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776CB" w14:textId="77777777" w:rsidR="001B3877" w:rsidRPr="00B96942" w:rsidRDefault="001B3877" w:rsidP="001B3877">
      <w:pPr>
        <w:spacing w:line="480" w:lineRule="auto"/>
        <w:rPr>
          <w:rStyle w:val="hps"/>
          <w:rFonts w:asciiTheme="majorBidi" w:hAnsiTheme="majorBidi" w:cstheme="majorBidi"/>
          <w:sz w:val="20"/>
          <w:szCs w:val="20"/>
          <w:lang w:bidi="fa-IR"/>
        </w:rPr>
      </w:pPr>
    </w:p>
    <w:p w14:paraId="69F52E39" w14:textId="77777777" w:rsidR="001B3877" w:rsidRPr="00B96942" w:rsidRDefault="001B3877" w:rsidP="001B3877">
      <w:pPr>
        <w:pStyle w:val="NoSpacing"/>
        <w:spacing w:line="480" w:lineRule="auto"/>
        <w:ind w:left="284"/>
        <w:rPr>
          <w:rFonts w:asciiTheme="majorHAnsi" w:hAnsiTheme="majorHAnsi" w:cstheme="majorBidi"/>
          <w:b/>
          <w:bCs/>
          <w:sz w:val="20"/>
          <w:szCs w:val="20"/>
        </w:rPr>
      </w:pPr>
    </w:p>
    <w:p w14:paraId="7DFB30CC" w14:textId="429586E6" w:rsidR="00730564" w:rsidRPr="00B96942" w:rsidRDefault="008A08CF" w:rsidP="00AA299A">
      <w:pPr>
        <w:pStyle w:val="NoSpacing"/>
        <w:spacing w:line="480" w:lineRule="auto"/>
        <w:ind w:left="284"/>
        <w:jc w:val="center"/>
        <w:rPr>
          <w:rFonts w:asciiTheme="majorHAnsi" w:hAnsiTheme="majorHAnsi" w:cstheme="majorBidi"/>
          <w:b/>
          <w:bCs/>
          <w:color w:val="0070C0"/>
          <w:sz w:val="20"/>
          <w:szCs w:val="20"/>
        </w:rPr>
      </w:pPr>
      <w:r w:rsidRPr="008A08CF">
        <w:rPr>
          <w:rFonts w:asciiTheme="majorHAnsi" w:hAnsiTheme="majorHAnsi" w:cstheme="majorBidi"/>
          <w:b/>
          <w:bCs/>
          <w:noProof/>
          <w:color w:val="0070C0"/>
          <w:sz w:val="20"/>
          <w:szCs w:val="20"/>
        </w:rPr>
        <w:drawing>
          <wp:inline distT="0" distB="0" distL="0" distR="0" wp14:anchorId="7D650C81" wp14:editId="57D1A76A">
            <wp:extent cx="5435600" cy="2991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02844" cy="3028979"/>
                    </a:xfrm>
                    <a:prstGeom prst="rect">
                      <a:avLst/>
                    </a:prstGeom>
                  </pic:spPr>
                </pic:pic>
              </a:graphicData>
            </a:graphic>
          </wp:inline>
        </w:drawing>
      </w:r>
    </w:p>
    <w:p w14:paraId="288BF820" w14:textId="76EC2728" w:rsidR="001B3877" w:rsidRPr="00E0172E" w:rsidRDefault="007A0E3E" w:rsidP="004C33F4">
      <w:pPr>
        <w:spacing w:after="0" w:line="480" w:lineRule="auto"/>
        <w:rPr>
          <w:b/>
          <w:bCs/>
          <w:color w:val="0070C0"/>
        </w:rPr>
      </w:pPr>
      <w:r w:rsidRPr="00E0172E">
        <w:rPr>
          <w:b/>
          <w:bCs/>
          <w:color w:val="0070C0"/>
        </w:rPr>
        <w:t>Fig.</w:t>
      </w:r>
      <w:r w:rsidR="001B3877" w:rsidRPr="00E0172E">
        <w:rPr>
          <w:b/>
          <w:bCs/>
          <w:color w:val="0070C0"/>
        </w:rPr>
        <w:t xml:space="preserve"> </w:t>
      </w:r>
      <w:r w:rsidR="00DE54B6">
        <w:rPr>
          <w:b/>
          <w:bCs/>
          <w:color w:val="0070C0"/>
        </w:rPr>
        <w:t>S</w:t>
      </w:r>
      <w:r w:rsidR="004C33F4">
        <w:rPr>
          <w:b/>
          <w:bCs/>
          <w:color w:val="0070C0"/>
        </w:rPr>
        <w:t>1</w:t>
      </w:r>
      <w:r w:rsidR="00E72583">
        <w:rPr>
          <w:b/>
          <w:bCs/>
          <w:color w:val="0070C0"/>
        </w:rPr>
        <w:t>A</w:t>
      </w:r>
      <w:r w:rsidR="001B3877" w:rsidRPr="00E0172E">
        <w:rPr>
          <w:b/>
          <w:bCs/>
          <w:color w:val="0070C0"/>
        </w:rPr>
        <w:t xml:space="preserve">. </w:t>
      </w:r>
      <w:r w:rsidR="001B3877" w:rsidRPr="00E0172E">
        <w:rPr>
          <w:rFonts w:asciiTheme="majorBidi" w:hAnsiTheme="majorBidi" w:cstheme="majorBidi"/>
          <w:b/>
          <w:bCs/>
          <w:color w:val="0070C0"/>
          <w:sz w:val="20"/>
          <w:szCs w:val="20"/>
        </w:rPr>
        <w:t xml:space="preserve">Determination of CCAE dosage </w:t>
      </w:r>
    </w:p>
    <w:p w14:paraId="1CBA9A66" w14:textId="0034365E" w:rsidR="003B5A7B" w:rsidRDefault="001B3877" w:rsidP="00E262B6">
      <w:pPr>
        <w:spacing w:after="0" w:line="480" w:lineRule="auto"/>
        <w:rPr>
          <w:rFonts w:asciiTheme="majorBidi" w:hAnsiTheme="majorBidi" w:cstheme="majorBidi"/>
          <w:sz w:val="20"/>
          <w:szCs w:val="20"/>
        </w:rPr>
      </w:pPr>
      <w:r w:rsidRPr="00B96942">
        <w:rPr>
          <w:rFonts w:asciiTheme="majorBidi" w:hAnsiTheme="majorBidi" w:cstheme="majorBidi"/>
          <w:sz w:val="20"/>
          <w:szCs w:val="20"/>
        </w:rPr>
        <w:t xml:space="preserve">After initial measuring of FBS in overnight starved rats, glucose (2 g/kg body weight) together with the aqueous extract CCAE (90 or 110 mg/kg body weight) or metformin (100 mg/kg), dissolved in 0.3 ml of 0.9% normal saline, were </w:t>
      </w:r>
      <w:proofErr w:type="spellStart"/>
      <w:r w:rsidRPr="00B96942">
        <w:rPr>
          <w:rFonts w:asciiTheme="majorBidi" w:hAnsiTheme="majorBidi" w:cstheme="majorBidi"/>
          <w:sz w:val="20"/>
          <w:szCs w:val="20"/>
        </w:rPr>
        <w:t>i</w:t>
      </w:r>
      <w:proofErr w:type="spellEnd"/>
      <w:r w:rsidRPr="00B96942">
        <w:rPr>
          <w:rFonts w:asciiTheme="majorBidi" w:hAnsiTheme="majorBidi" w:cstheme="majorBidi"/>
          <w:sz w:val="20"/>
          <w:szCs w:val="20"/>
        </w:rPr>
        <w:t xml:space="preserve">. p. injected. Blood sugar, measured at </w:t>
      </w:r>
      <w:r w:rsidR="00E262B6">
        <w:rPr>
          <w:rFonts w:asciiTheme="majorBidi" w:hAnsiTheme="majorBidi" w:cstheme="majorBidi"/>
          <w:sz w:val="20"/>
          <w:szCs w:val="20"/>
        </w:rPr>
        <w:t>15</w:t>
      </w:r>
      <w:r w:rsidRPr="00B96942">
        <w:rPr>
          <w:rFonts w:asciiTheme="majorBidi" w:hAnsiTheme="majorBidi" w:cstheme="majorBidi"/>
          <w:sz w:val="20"/>
          <w:szCs w:val="20"/>
        </w:rPr>
        <w:t xml:space="preserve"> min intervals in a drop of blood from the tail by glucometer, decreased significantly in NIA/STZ+ </w:t>
      </w:r>
      <w:r w:rsidR="004A36E4" w:rsidRPr="00B96942">
        <w:rPr>
          <w:rFonts w:asciiTheme="majorBidi" w:hAnsiTheme="majorBidi" w:cstheme="majorBidi"/>
          <w:sz w:val="20"/>
          <w:szCs w:val="20"/>
        </w:rPr>
        <w:t>CCAE (</w:t>
      </w:r>
      <w:r w:rsidRPr="00B96942">
        <w:rPr>
          <w:rFonts w:asciiTheme="majorBidi" w:hAnsiTheme="majorBidi" w:cstheme="majorBidi"/>
          <w:sz w:val="20"/>
          <w:szCs w:val="20"/>
        </w:rPr>
        <w:t xml:space="preserve">90 mg/kg) and NIA/STZ+ </w:t>
      </w:r>
      <w:r w:rsidR="004A36E4" w:rsidRPr="00B96942">
        <w:rPr>
          <w:rFonts w:asciiTheme="majorBidi" w:hAnsiTheme="majorBidi" w:cstheme="majorBidi"/>
          <w:sz w:val="20"/>
          <w:szCs w:val="20"/>
        </w:rPr>
        <w:t>Met (</w:t>
      </w:r>
      <w:r w:rsidRPr="00B96942">
        <w:rPr>
          <w:rFonts w:asciiTheme="majorBidi" w:hAnsiTheme="majorBidi" w:cstheme="majorBidi"/>
          <w:sz w:val="20"/>
          <w:szCs w:val="20"/>
        </w:rPr>
        <w:t>100 mg/kg) groups indicating the acute or short-term hypog</w:t>
      </w:r>
      <w:r w:rsidR="000C74E9">
        <w:rPr>
          <w:rFonts w:asciiTheme="majorBidi" w:hAnsiTheme="majorBidi" w:cstheme="majorBidi"/>
          <w:sz w:val="20"/>
          <w:szCs w:val="20"/>
        </w:rPr>
        <w:t>lycemic effect of CCAE in early-</w:t>
      </w:r>
      <w:r w:rsidRPr="00B96942">
        <w:rPr>
          <w:rFonts w:asciiTheme="majorBidi" w:hAnsiTheme="majorBidi" w:cstheme="majorBidi"/>
          <w:sz w:val="20"/>
          <w:szCs w:val="20"/>
        </w:rPr>
        <w:t xml:space="preserve">stage diabetes. The </w:t>
      </w:r>
      <w:r w:rsidR="003E76CD" w:rsidRPr="00B96942">
        <w:rPr>
          <w:rFonts w:asciiTheme="majorBidi" w:hAnsiTheme="majorBidi" w:cstheme="majorBidi"/>
          <w:sz w:val="20"/>
          <w:szCs w:val="20"/>
        </w:rPr>
        <w:t>two-hour</w:t>
      </w:r>
      <w:r w:rsidRPr="00B96942">
        <w:rPr>
          <w:rFonts w:asciiTheme="majorBidi" w:hAnsiTheme="majorBidi" w:cstheme="majorBidi"/>
          <w:sz w:val="20"/>
          <w:szCs w:val="20"/>
        </w:rPr>
        <w:t xml:space="preserve"> blood sugar did not change in the STZ groups (n=2 in each group).</w:t>
      </w:r>
    </w:p>
    <w:p w14:paraId="58104934" w14:textId="77777777" w:rsidR="00E72583" w:rsidRDefault="00E72583" w:rsidP="00E262B6">
      <w:pPr>
        <w:spacing w:after="0" w:line="480" w:lineRule="auto"/>
        <w:rPr>
          <w:rFonts w:asciiTheme="majorBidi" w:hAnsiTheme="majorBidi" w:cstheme="majorBidi"/>
          <w:sz w:val="20"/>
          <w:szCs w:val="20"/>
        </w:rPr>
      </w:pPr>
    </w:p>
    <w:p w14:paraId="03D547A1" w14:textId="6F695A59" w:rsidR="00E72583" w:rsidRDefault="008204AD" w:rsidP="00E262B6">
      <w:pPr>
        <w:spacing w:after="0" w:line="480" w:lineRule="auto"/>
        <w:rPr>
          <w:rFonts w:asciiTheme="majorBidi" w:hAnsiTheme="majorBidi" w:cstheme="majorBidi"/>
          <w:sz w:val="20"/>
          <w:szCs w:val="20"/>
        </w:rPr>
      </w:pPr>
      <w:r>
        <w:rPr>
          <w:rFonts w:asciiTheme="majorBidi" w:hAnsiTheme="majorBidi" w:cstheme="majorBidi"/>
          <w:noProof/>
          <w:sz w:val="20"/>
          <w:szCs w:val="20"/>
        </w:rPr>
        <w:lastRenderedPageBreak/>
        <w:drawing>
          <wp:inline distT="0" distB="0" distL="0" distR="0" wp14:anchorId="7CF1BCBD" wp14:editId="620940CC">
            <wp:extent cx="5141154" cy="2814452"/>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6835" cy="2823036"/>
                    </a:xfrm>
                    <a:prstGeom prst="rect">
                      <a:avLst/>
                    </a:prstGeom>
                    <a:noFill/>
                    <a:ln>
                      <a:noFill/>
                    </a:ln>
                  </pic:spPr>
                </pic:pic>
              </a:graphicData>
            </a:graphic>
          </wp:inline>
        </w:drawing>
      </w:r>
    </w:p>
    <w:p w14:paraId="595E7A5B" w14:textId="77777777" w:rsidR="00E72583" w:rsidRDefault="00E72583" w:rsidP="00E262B6">
      <w:pPr>
        <w:spacing w:after="0" w:line="480" w:lineRule="auto"/>
        <w:rPr>
          <w:rFonts w:asciiTheme="majorBidi" w:hAnsiTheme="majorBidi" w:cstheme="majorBidi"/>
          <w:sz w:val="20"/>
          <w:szCs w:val="20"/>
        </w:rPr>
      </w:pPr>
    </w:p>
    <w:p w14:paraId="532882B8" w14:textId="1138A2CE" w:rsidR="00E72583" w:rsidRPr="00E0172E" w:rsidRDefault="00E72583" w:rsidP="004C33F4">
      <w:pPr>
        <w:spacing w:after="0" w:line="480" w:lineRule="auto"/>
        <w:rPr>
          <w:b/>
          <w:bCs/>
          <w:color w:val="0070C0"/>
        </w:rPr>
      </w:pPr>
      <w:r w:rsidRPr="00E0172E">
        <w:rPr>
          <w:b/>
          <w:bCs/>
          <w:color w:val="0070C0"/>
        </w:rPr>
        <w:t xml:space="preserve">Fig. </w:t>
      </w:r>
      <w:r>
        <w:rPr>
          <w:b/>
          <w:bCs/>
          <w:color w:val="0070C0"/>
        </w:rPr>
        <w:t>S</w:t>
      </w:r>
      <w:r w:rsidR="004C33F4">
        <w:rPr>
          <w:b/>
          <w:bCs/>
          <w:color w:val="0070C0"/>
        </w:rPr>
        <w:t>1</w:t>
      </w:r>
      <w:r>
        <w:rPr>
          <w:b/>
          <w:bCs/>
          <w:color w:val="0070C0"/>
        </w:rPr>
        <w:t>B</w:t>
      </w:r>
      <w:r w:rsidRPr="00E0172E">
        <w:rPr>
          <w:b/>
          <w:bCs/>
          <w:color w:val="0070C0"/>
        </w:rPr>
        <w:t xml:space="preserve">. </w:t>
      </w:r>
      <w:r w:rsidRPr="00952FCE">
        <w:rPr>
          <w:b/>
          <w:bCs/>
          <w:color w:val="0070C0"/>
        </w:rPr>
        <w:t>Study groups</w:t>
      </w:r>
      <w:r w:rsidR="00952FCE" w:rsidRPr="00952FCE">
        <w:rPr>
          <w:b/>
          <w:bCs/>
          <w:color w:val="0070C0"/>
        </w:rPr>
        <w:t xml:space="preserve"> for l</w:t>
      </w:r>
      <w:r w:rsidR="00952FCE" w:rsidRPr="00952FCE">
        <w:rPr>
          <w:rFonts w:asciiTheme="majorBidi" w:hAnsiTheme="majorBidi" w:cstheme="majorBidi"/>
          <w:b/>
          <w:bCs/>
          <w:color w:val="0070C0"/>
        </w:rPr>
        <w:t>ong-term (28-day) experimental process</w:t>
      </w:r>
      <w:r w:rsidRPr="00952FCE">
        <w:rPr>
          <w:b/>
          <w:bCs/>
          <w:color w:val="0070C0"/>
        </w:rPr>
        <w:t>.</w:t>
      </w:r>
    </w:p>
    <w:p w14:paraId="542BA269" w14:textId="6326EFA7" w:rsidR="00E72583" w:rsidRPr="000C74E9" w:rsidRDefault="000C74E9" w:rsidP="008A1081">
      <w:pPr>
        <w:spacing w:after="0" w:line="480" w:lineRule="auto"/>
        <w:rPr>
          <w:rStyle w:val="hps"/>
          <w:rFonts w:asciiTheme="majorBidi" w:hAnsiTheme="majorBidi" w:cstheme="majorBidi"/>
          <w:sz w:val="20"/>
          <w:szCs w:val="20"/>
          <w:lang w:bidi="fa-IR"/>
        </w:rPr>
      </w:pPr>
      <w:r w:rsidRPr="000C74E9">
        <w:rPr>
          <w:rStyle w:val="hps"/>
          <w:rFonts w:asciiTheme="majorBidi" w:hAnsiTheme="majorBidi" w:cstheme="majorBidi"/>
          <w:sz w:val="20"/>
          <w:szCs w:val="20"/>
          <w:lang w:bidi="fa-IR"/>
        </w:rPr>
        <w:t>The groups of rats after diabetes induction and at the beginning of treatment with CCAE. At the end of the study, the six groups of rats included: Con (n=4), CCAE-Con (n=4), NIA/STZ (n=8), CCAE-NIA/STZ (n=8), STZ (n=12), CCAE-STZ (n=14 were alive on day 28). The numbers inside parentheses correspond to the number of rats in each group. The rats that did not become diabetic at the first injection (65 mg/kg) received a second injection of STZ at a lower dosage (55 mg/Kg). Four NIA/STZ-injected animals were excluded from the study before the treatment step due to normal IPGTT results. None of the animals from the STZ group died during the 28 days of the experiment. As insulin syringes were used for IP injections, no redness, bruising, or infection was observed at the site of injections during 28 days, but two of the CCAE-treated LT2D rats (CCAE-STZ group) were not feeling well enough at the end of the 28-day treatment and so were excluded from the study.</w:t>
      </w:r>
    </w:p>
    <w:p w14:paraId="1888CCE1" w14:textId="77777777" w:rsidR="00E72583" w:rsidRDefault="00E72583" w:rsidP="00E262B6">
      <w:pPr>
        <w:spacing w:after="0" w:line="480" w:lineRule="auto"/>
        <w:rPr>
          <w:rFonts w:asciiTheme="majorBidi" w:hAnsiTheme="majorBidi" w:cstheme="majorBidi"/>
          <w:sz w:val="20"/>
          <w:szCs w:val="20"/>
        </w:rPr>
      </w:pPr>
    </w:p>
    <w:p w14:paraId="3DC20C6D" w14:textId="77777777" w:rsidR="003B5A7B" w:rsidRDefault="003B5A7B">
      <w:pPr>
        <w:rPr>
          <w:rFonts w:asciiTheme="majorBidi" w:hAnsiTheme="majorBidi" w:cstheme="majorBidi"/>
          <w:sz w:val="20"/>
          <w:szCs w:val="20"/>
        </w:rPr>
      </w:pPr>
      <w:r>
        <w:rPr>
          <w:rFonts w:asciiTheme="majorBidi" w:hAnsiTheme="majorBidi" w:cstheme="majorBidi"/>
          <w:sz w:val="20"/>
          <w:szCs w:val="20"/>
        </w:rPr>
        <w:br w:type="page"/>
      </w:r>
    </w:p>
    <w:p w14:paraId="5863957A" w14:textId="16AF69D1" w:rsidR="00195B1B" w:rsidRPr="009B5B5B" w:rsidRDefault="001D69AA" w:rsidP="00AA299A">
      <w:pPr>
        <w:spacing w:line="480" w:lineRule="auto"/>
        <w:ind w:left="284"/>
        <w:jc w:val="center"/>
      </w:pPr>
      <w:r w:rsidRPr="001D69AA">
        <w:rPr>
          <w:noProof/>
        </w:rPr>
        <w:lastRenderedPageBreak/>
        <w:drawing>
          <wp:inline distT="0" distB="0" distL="0" distR="0" wp14:anchorId="627B3963" wp14:editId="7CD12E4B">
            <wp:extent cx="5615107" cy="3136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50153" cy="3156478"/>
                    </a:xfrm>
                    <a:prstGeom prst="rect">
                      <a:avLst/>
                    </a:prstGeom>
                  </pic:spPr>
                </pic:pic>
              </a:graphicData>
            </a:graphic>
          </wp:inline>
        </w:drawing>
      </w:r>
    </w:p>
    <w:tbl>
      <w:tblPr>
        <w:tblStyle w:val="TableGrid"/>
        <w:tblW w:w="0" w:type="auto"/>
        <w:tblInd w:w="284" w:type="dxa"/>
        <w:tblLook w:val="04A0" w:firstRow="1" w:lastRow="0" w:firstColumn="1" w:lastColumn="0" w:noHBand="0" w:noVBand="1"/>
      </w:tblPr>
      <w:tblGrid>
        <w:gridCol w:w="1436"/>
        <w:gridCol w:w="2793"/>
        <w:gridCol w:w="2353"/>
        <w:gridCol w:w="2494"/>
      </w:tblGrid>
      <w:tr w:rsidR="009B5B5B" w14:paraId="2B5A2529" w14:textId="77777777" w:rsidTr="00AA74ED">
        <w:tc>
          <w:tcPr>
            <w:tcW w:w="0" w:type="auto"/>
            <w:gridSpan w:val="4"/>
            <w:tcBorders>
              <w:top w:val="nil"/>
              <w:left w:val="nil"/>
              <w:right w:val="nil"/>
            </w:tcBorders>
          </w:tcPr>
          <w:p w14:paraId="7F6A4807" w14:textId="12DDE969" w:rsidR="009B5B5B" w:rsidRPr="00195B1B" w:rsidRDefault="00082731" w:rsidP="00955092">
            <w:pPr>
              <w:rPr>
                <w:color w:val="000000" w:themeColor="text1"/>
              </w:rPr>
            </w:pPr>
            <w:r>
              <w:t xml:space="preserve">Table </w:t>
            </w:r>
            <w:r w:rsidR="00EC7387">
              <w:t>S</w:t>
            </w:r>
            <w:r w:rsidR="00955092">
              <w:t>1</w:t>
            </w:r>
            <w:bookmarkStart w:id="0" w:name="_GoBack"/>
            <w:bookmarkEnd w:id="0"/>
            <w:r>
              <w:t xml:space="preserve">. </w:t>
            </w:r>
            <w:r w:rsidR="009B5B5B">
              <w:t>Area under curve (AUC) for data in the above graph.</w:t>
            </w:r>
          </w:p>
        </w:tc>
      </w:tr>
      <w:tr w:rsidR="003B0BA4" w14:paraId="4AFA6887" w14:textId="77777777" w:rsidTr="00AA74ED">
        <w:tc>
          <w:tcPr>
            <w:tcW w:w="0" w:type="auto"/>
          </w:tcPr>
          <w:p w14:paraId="3C507009" w14:textId="77777777" w:rsidR="00195B1B" w:rsidRPr="00AA74ED" w:rsidRDefault="00195B1B" w:rsidP="00987AAD">
            <w:pPr>
              <w:rPr>
                <w:b/>
                <w:bCs/>
                <w:color w:val="000000" w:themeColor="text1"/>
              </w:rPr>
            </w:pPr>
            <w:r w:rsidRPr="00AA74ED">
              <w:rPr>
                <w:b/>
                <w:bCs/>
                <w:color w:val="000000" w:themeColor="text1"/>
              </w:rPr>
              <w:t>Con</w:t>
            </w:r>
          </w:p>
        </w:tc>
        <w:tc>
          <w:tcPr>
            <w:tcW w:w="0" w:type="auto"/>
          </w:tcPr>
          <w:p w14:paraId="74E6D073" w14:textId="77777777" w:rsidR="00195B1B" w:rsidRPr="00AA74ED" w:rsidRDefault="00195B1B" w:rsidP="00987AAD">
            <w:pPr>
              <w:rPr>
                <w:b/>
                <w:bCs/>
                <w:color w:val="000000" w:themeColor="text1"/>
              </w:rPr>
            </w:pPr>
            <w:r w:rsidRPr="00AA74ED">
              <w:rPr>
                <w:b/>
                <w:bCs/>
                <w:color w:val="000000" w:themeColor="text1"/>
              </w:rPr>
              <w:t>Excluded NIA/STZ members</w:t>
            </w:r>
          </w:p>
        </w:tc>
        <w:tc>
          <w:tcPr>
            <w:tcW w:w="0" w:type="auto"/>
          </w:tcPr>
          <w:p w14:paraId="55D7BB0B" w14:textId="77777777" w:rsidR="00195B1B" w:rsidRPr="00AA74ED" w:rsidRDefault="00195B1B" w:rsidP="00987AAD">
            <w:pPr>
              <w:rPr>
                <w:b/>
                <w:bCs/>
                <w:color w:val="000000" w:themeColor="text1"/>
              </w:rPr>
            </w:pPr>
            <w:r w:rsidRPr="00AA74ED">
              <w:rPr>
                <w:b/>
                <w:bCs/>
                <w:color w:val="000000" w:themeColor="text1"/>
              </w:rPr>
              <w:t>NIA/STZ</w:t>
            </w:r>
          </w:p>
        </w:tc>
        <w:tc>
          <w:tcPr>
            <w:tcW w:w="0" w:type="auto"/>
          </w:tcPr>
          <w:p w14:paraId="502F8B28" w14:textId="77777777" w:rsidR="00195B1B" w:rsidRPr="00AA74ED" w:rsidRDefault="00195B1B" w:rsidP="00987AAD">
            <w:pPr>
              <w:rPr>
                <w:b/>
                <w:bCs/>
                <w:color w:val="000000" w:themeColor="text1"/>
              </w:rPr>
            </w:pPr>
            <w:r w:rsidRPr="00AA74ED">
              <w:rPr>
                <w:b/>
                <w:bCs/>
                <w:color w:val="000000" w:themeColor="text1"/>
              </w:rPr>
              <w:t>STZ</w:t>
            </w:r>
          </w:p>
        </w:tc>
      </w:tr>
      <w:tr w:rsidR="003B0BA4" w14:paraId="64547587" w14:textId="77777777" w:rsidTr="00AA74ED">
        <w:trPr>
          <w:trHeight w:val="377"/>
        </w:trPr>
        <w:tc>
          <w:tcPr>
            <w:tcW w:w="0" w:type="auto"/>
            <w:tcBorders>
              <w:bottom w:val="single" w:sz="4" w:space="0" w:color="auto"/>
            </w:tcBorders>
          </w:tcPr>
          <w:p w14:paraId="0388EB92" w14:textId="77777777" w:rsidR="00195B1B" w:rsidRPr="00195B1B" w:rsidRDefault="00195B1B" w:rsidP="00987AAD">
            <w:pPr>
              <w:rPr>
                <w:color w:val="000000" w:themeColor="text1"/>
              </w:rPr>
            </w:pPr>
            <w:r w:rsidRPr="00195B1B">
              <w:rPr>
                <w:color w:val="000000" w:themeColor="text1"/>
              </w:rPr>
              <w:t xml:space="preserve">6317 </w:t>
            </w:r>
            <w:r w:rsidRPr="00195B1B">
              <w:rPr>
                <w:rFonts w:asciiTheme="majorBidi" w:hAnsiTheme="majorBidi" w:cstheme="majorBidi"/>
                <w:color w:val="000000" w:themeColor="text1"/>
                <w:sz w:val="20"/>
                <w:szCs w:val="20"/>
              </w:rPr>
              <w:t>± 242.7</w:t>
            </w:r>
          </w:p>
        </w:tc>
        <w:tc>
          <w:tcPr>
            <w:tcW w:w="0" w:type="auto"/>
            <w:tcBorders>
              <w:bottom w:val="single" w:sz="4" w:space="0" w:color="auto"/>
            </w:tcBorders>
          </w:tcPr>
          <w:p w14:paraId="36C2026D" w14:textId="77777777" w:rsidR="00195B1B" w:rsidRPr="00195B1B" w:rsidRDefault="00195B1B" w:rsidP="00987AAD">
            <w:pPr>
              <w:rPr>
                <w:color w:val="000000" w:themeColor="text1"/>
              </w:rPr>
            </w:pPr>
            <w:r w:rsidRPr="00195B1B">
              <w:rPr>
                <w:color w:val="000000" w:themeColor="text1"/>
              </w:rPr>
              <w:t xml:space="preserve">7016 </w:t>
            </w:r>
            <w:r w:rsidRPr="00195B1B">
              <w:rPr>
                <w:rFonts w:asciiTheme="majorBidi" w:hAnsiTheme="majorBidi" w:cstheme="majorBidi"/>
                <w:color w:val="000000" w:themeColor="text1"/>
                <w:sz w:val="20"/>
                <w:szCs w:val="20"/>
              </w:rPr>
              <w:t>± 1740</w:t>
            </w:r>
            <w:r w:rsidR="009B5B5B">
              <w:rPr>
                <w:rFonts w:asciiTheme="majorBidi" w:hAnsiTheme="majorBidi" w:cstheme="majorBidi"/>
                <w:color w:val="000000" w:themeColor="text1"/>
                <w:sz w:val="20"/>
                <w:szCs w:val="20"/>
              </w:rPr>
              <w:t xml:space="preserve"> (p=0.91)</w:t>
            </w:r>
          </w:p>
        </w:tc>
        <w:tc>
          <w:tcPr>
            <w:tcW w:w="0" w:type="auto"/>
            <w:tcBorders>
              <w:bottom w:val="single" w:sz="4" w:space="0" w:color="auto"/>
            </w:tcBorders>
          </w:tcPr>
          <w:p w14:paraId="4BE3E6E4" w14:textId="77777777" w:rsidR="00195B1B" w:rsidRPr="00195B1B" w:rsidRDefault="00195B1B" w:rsidP="00987AAD">
            <w:pPr>
              <w:rPr>
                <w:color w:val="000000" w:themeColor="text1"/>
              </w:rPr>
            </w:pPr>
            <w:r w:rsidRPr="00195B1B">
              <w:rPr>
                <w:color w:val="000000" w:themeColor="text1"/>
              </w:rPr>
              <w:t xml:space="preserve">12820 </w:t>
            </w:r>
            <w:r w:rsidRPr="00195B1B">
              <w:rPr>
                <w:rFonts w:asciiTheme="majorBidi" w:hAnsiTheme="majorBidi" w:cstheme="majorBidi"/>
                <w:color w:val="000000" w:themeColor="text1"/>
                <w:sz w:val="20"/>
                <w:szCs w:val="20"/>
              </w:rPr>
              <w:t>± 1431</w:t>
            </w:r>
            <w:r w:rsidR="00A9108D">
              <w:rPr>
                <w:rFonts w:asciiTheme="majorBidi" w:hAnsiTheme="majorBidi" w:cstheme="majorBidi"/>
                <w:color w:val="000000" w:themeColor="text1"/>
                <w:sz w:val="20"/>
                <w:szCs w:val="20"/>
              </w:rPr>
              <w:t xml:space="preserve"> (p&lt;0.001)</w:t>
            </w:r>
          </w:p>
        </w:tc>
        <w:tc>
          <w:tcPr>
            <w:tcW w:w="0" w:type="auto"/>
            <w:tcBorders>
              <w:bottom w:val="single" w:sz="4" w:space="0" w:color="auto"/>
            </w:tcBorders>
          </w:tcPr>
          <w:p w14:paraId="011D83C3" w14:textId="77777777" w:rsidR="00195B1B" w:rsidRPr="00195B1B" w:rsidRDefault="00195B1B" w:rsidP="00987AAD">
            <w:pPr>
              <w:rPr>
                <w:color w:val="000000" w:themeColor="text1"/>
              </w:rPr>
            </w:pPr>
            <w:r w:rsidRPr="00195B1B">
              <w:rPr>
                <w:color w:val="000000" w:themeColor="text1"/>
              </w:rPr>
              <w:t xml:space="preserve">54290 </w:t>
            </w:r>
            <w:r w:rsidRPr="00195B1B">
              <w:rPr>
                <w:rFonts w:asciiTheme="majorBidi" w:hAnsiTheme="majorBidi" w:cstheme="majorBidi"/>
                <w:color w:val="000000" w:themeColor="text1"/>
                <w:sz w:val="20"/>
                <w:szCs w:val="20"/>
              </w:rPr>
              <w:t>± 1974</w:t>
            </w:r>
            <w:r w:rsidR="00A9108D">
              <w:rPr>
                <w:rFonts w:asciiTheme="majorBidi" w:hAnsiTheme="majorBidi" w:cstheme="majorBidi"/>
                <w:color w:val="000000" w:themeColor="text1"/>
                <w:sz w:val="20"/>
                <w:szCs w:val="20"/>
              </w:rPr>
              <w:t xml:space="preserve"> (p&lt;0.0001)</w:t>
            </w:r>
          </w:p>
        </w:tc>
      </w:tr>
      <w:tr w:rsidR="009B5B5B" w14:paraId="4CF5640E" w14:textId="77777777" w:rsidTr="00AA74ED">
        <w:trPr>
          <w:trHeight w:val="377"/>
        </w:trPr>
        <w:tc>
          <w:tcPr>
            <w:tcW w:w="0" w:type="auto"/>
            <w:gridSpan w:val="4"/>
            <w:tcBorders>
              <w:left w:val="nil"/>
              <w:bottom w:val="nil"/>
              <w:right w:val="nil"/>
            </w:tcBorders>
          </w:tcPr>
          <w:p w14:paraId="172DA3E6" w14:textId="22231721" w:rsidR="009B5B5B" w:rsidRPr="009B5B5B" w:rsidRDefault="009B5B5B" w:rsidP="003B0BA4">
            <w:pPr>
              <w:ind w:left="-14"/>
              <w:rPr>
                <w:color w:val="0070C0"/>
              </w:rPr>
            </w:pPr>
            <w:r w:rsidRPr="00987AAD">
              <w:rPr>
                <w:color w:val="000000" w:themeColor="text1"/>
              </w:rPr>
              <w:t>P values given inside</w:t>
            </w:r>
            <w:r w:rsidR="003B0BA4">
              <w:rPr>
                <w:color w:val="000000" w:themeColor="text1"/>
              </w:rPr>
              <w:t xml:space="preserve"> the parentheses in</w:t>
            </w:r>
            <w:r w:rsidRPr="00987AAD">
              <w:rPr>
                <w:color w:val="000000" w:themeColor="text1"/>
              </w:rPr>
              <w:t xml:space="preserve"> the </w:t>
            </w:r>
            <w:r w:rsidR="003B0BA4">
              <w:rPr>
                <w:color w:val="000000" w:themeColor="text1"/>
              </w:rPr>
              <w:t>table</w:t>
            </w:r>
            <w:r w:rsidRPr="00987AAD">
              <w:rPr>
                <w:color w:val="000000" w:themeColor="text1"/>
              </w:rPr>
              <w:t xml:space="preserve"> are as compared to Con. </w:t>
            </w:r>
            <w:r w:rsidR="003B0BA4">
              <w:rPr>
                <w:color w:val="000000" w:themeColor="text1"/>
              </w:rPr>
              <w:t xml:space="preserve">The p values for the </w:t>
            </w:r>
            <w:r w:rsidRPr="00987AAD">
              <w:rPr>
                <w:color w:val="000000" w:themeColor="text1"/>
              </w:rPr>
              <w:t xml:space="preserve">Excluded NIA/STZ members vs. NIA/STZ </w:t>
            </w:r>
            <w:r w:rsidR="003B0BA4">
              <w:rPr>
                <w:color w:val="000000" w:themeColor="text1"/>
              </w:rPr>
              <w:t xml:space="preserve">and the </w:t>
            </w:r>
            <w:r w:rsidRPr="00987AAD">
              <w:rPr>
                <w:color w:val="000000" w:themeColor="text1"/>
              </w:rPr>
              <w:t xml:space="preserve">NIA/STZ vs. STZ </w:t>
            </w:r>
            <w:r w:rsidR="003B0BA4">
              <w:rPr>
                <w:color w:val="000000" w:themeColor="text1"/>
              </w:rPr>
              <w:t>were p&lt;0.001 and p&lt;0.0001, respectively</w:t>
            </w:r>
            <w:r w:rsidRPr="00987AAD">
              <w:rPr>
                <w:color w:val="000000" w:themeColor="text1"/>
              </w:rPr>
              <w:t>.</w:t>
            </w:r>
          </w:p>
        </w:tc>
      </w:tr>
    </w:tbl>
    <w:p w14:paraId="7D0C3B15" w14:textId="77777777" w:rsidR="009B5B5B" w:rsidRDefault="009B5B5B" w:rsidP="003B5A7B">
      <w:pPr>
        <w:spacing w:line="480" w:lineRule="auto"/>
        <w:ind w:left="284"/>
        <w:rPr>
          <w:color w:val="0070C0"/>
        </w:rPr>
      </w:pPr>
    </w:p>
    <w:p w14:paraId="31924779" w14:textId="2883FE61" w:rsidR="00082731" w:rsidRPr="00E72583" w:rsidRDefault="00E0172E" w:rsidP="004C33F4">
      <w:pPr>
        <w:spacing w:after="0" w:line="480" w:lineRule="auto"/>
        <w:rPr>
          <w:rFonts w:asciiTheme="majorBidi" w:hAnsiTheme="majorBidi" w:cstheme="majorBidi"/>
          <w:b/>
          <w:bCs/>
          <w:color w:val="0070C0"/>
          <w:lang w:bidi="fa-IR"/>
        </w:rPr>
      </w:pPr>
      <w:r w:rsidRPr="00E72583">
        <w:rPr>
          <w:b/>
          <w:bCs/>
          <w:color w:val="0070C0"/>
        </w:rPr>
        <w:t>Fig.</w:t>
      </w:r>
      <w:r w:rsidR="001B3877" w:rsidRPr="00E72583">
        <w:rPr>
          <w:b/>
          <w:bCs/>
          <w:color w:val="0070C0"/>
        </w:rPr>
        <w:t xml:space="preserve"> </w:t>
      </w:r>
      <w:r w:rsidR="00DE54B6" w:rsidRPr="00E72583">
        <w:rPr>
          <w:b/>
          <w:bCs/>
          <w:color w:val="0070C0"/>
        </w:rPr>
        <w:t>S</w:t>
      </w:r>
      <w:r w:rsidR="004C33F4">
        <w:rPr>
          <w:b/>
          <w:bCs/>
          <w:color w:val="0070C0"/>
        </w:rPr>
        <w:t>1</w:t>
      </w:r>
      <w:r w:rsidR="001B3877" w:rsidRPr="00E72583">
        <w:rPr>
          <w:b/>
          <w:bCs/>
          <w:color w:val="0070C0"/>
        </w:rPr>
        <w:t xml:space="preserve">C. </w:t>
      </w:r>
      <w:r w:rsidR="001B3877" w:rsidRPr="00E72583">
        <w:rPr>
          <w:rFonts w:asciiTheme="majorBidi" w:hAnsiTheme="majorBidi" w:cstheme="majorBidi"/>
          <w:b/>
          <w:bCs/>
          <w:color w:val="0070C0"/>
          <w:lang w:bidi="fa-IR"/>
        </w:rPr>
        <w:t xml:space="preserve">The status of glucose tolerance in diabetic rats. </w:t>
      </w:r>
    </w:p>
    <w:p w14:paraId="1132DB3C" w14:textId="60260015" w:rsidR="001B3877" w:rsidRPr="00AC6A2C" w:rsidRDefault="000C74E9" w:rsidP="000C74E9">
      <w:pPr>
        <w:spacing w:after="0" w:line="480" w:lineRule="auto"/>
        <w:rPr>
          <w:rFonts w:asciiTheme="majorBidi" w:hAnsiTheme="majorBidi" w:cstheme="majorBidi"/>
          <w:b/>
          <w:bCs/>
          <w:color w:val="0070C0"/>
          <w:sz w:val="20"/>
          <w:szCs w:val="20"/>
          <w:lang w:bidi="fa-IR"/>
        </w:rPr>
      </w:pPr>
      <w:r w:rsidRPr="000C74E9">
        <w:rPr>
          <w:rFonts w:asciiTheme="majorBidi" w:hAnsiTheme="majorBidi" w:cstheme="majorBidi"/>
          <w:sz w:val="20"/>
          <w:szCs w:val="20"/>
        </w:rPr>
        <w:t xml:space="preserve">After overnight starvation, FBS was measured, and glucose (2 g/kg body weight dissolved in normal saline) was </w:t>
      </w:r>
      <w:proofErr w:type="spellStart"/>
      <w:r w:rsidRPr="000C74E9">
        <w:rPr>
          <w:rFonts w:asciiTheme="majorBidi" w:hAnsiTheme="majorBidi" w:cstheme="majorBidi"/>
          <w:sz w:val="20"/>
          <w:szCs w:val="20"/>
        </w:rPr>
        <w:t>i</w:t>
      </w:r>
      <w:proofErr w:type="spellEnd"/>
      <w:r w:rsidRPr="000C74E9">
        <w:rPr>
          <w:rFonts w:asciiTheme="majorBidi" w:hAnsiTheme="majorBidi" w:cstheme="majorBidi"/>
          <w:sz w:val="20"/>
          <w:szCs w:val="20"/>
        </w:rPr>
        <w:t>. p. injected. Blood sugar was measured at 30 min intervals. At the end of 2h, blood sugar stayed significantly higher than average in the NIA/STZ and STZ groups. Each line depicts the average value of blood sugar ± SD at each time. We excluded four members of the NIA/STZ group with normal IGT from the study. The spaghetti representation in the inset is meant to display the individual variations among the diabetic rats (the lines with a similar color are represented by a string of the same color in the main graph). The differences among the average blood sugar values at 120 min after injection [for members of the STZ group (538.66 ± 55.77); NIA/STZ group (145.31 ± 14.84); excluded members of NIA/STZ group (95.75 ± 9.81); and Con (92.33± 4.36)] and the AUCs, given in the corresponding Table above were statistically significant; *p&lt;0.001. AUC is a measure of insulin resistance (IR), and the data imply the existence of varying degrees of IR in ET2D and LT2D groups.</w:t>
      </w:r>
    </w:p>
    <w:sectPr w:rsidR="001B3877" w:rsidRPr="00AC6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91C46"/>
    <w:multiLevelType w:val="hybridMultilevel"/>
    <w:tmpl w:val="D0AC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3A75FB"/>
    <w:multiLevelType w:val="hybridMultilevel"/>
    <w:tmpl w:val="F078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awsDA0MbIwNzIxMrJQ0lEKTi0uzszPAykwrgUAS8FIXCwAAAA="/>
  </w:docVars>
  <w:rsids>
    <w:rsidRoot w:val="002E5FDD"/>
    <w:rsid w:val="00082731"/>
    <w:rsid w:val="000B2ECD"/>
    <w:rsid w:val="000C74E9"/>
    <w:rsid w:val="000D293C"/>
    <w:rsid w:val="00195B1B"/>
    <w:rsid w:val="001B3877"/>
    <w:rsid w:val="001D69AA"/>
    <w:rsid w:val="001F5B0F"/>
    <w:rsid w:val="0029127B"/>
    <w:rsid w:val="002E5FDD"/>
    <w:rsid w:val="002E7324"/>
    <w:rsid w:val="003213D9"/>
    <w:rsid w:val="003B0BA4"/>
    <w:rsid w:val="003B5A7B"/>
    <w:rsid w:val="003E76CD"/>
    <w:rsid w:val="00460197"/>
    <w:rsid w:val="004A36E4"/>
    <w:rsid w:val="004C33F4"/>
    <w:rsid w:val="005A0A56"/>
    <w:rsid w:val="00622E79"/>
    <w:rsid w:val="00657F4B"/>
    <w:rsid w:val="00685B18"/>
    <w:rsid w:val="006C064B"/>
    <w:rsid w:val="00730564"/>
    <w:rsid w:val="00745587"/>
    <w:rsid w:val="007A0E3E"/>
    <w:rsid w:val="00806E40"/>
    <w:rsid w:val="008204AD"/>
    <w:rsid w:val="008504FB"/>
    <w:rsid w:val="0087138A"/>
    <w:rsid w:val="008A063E"/>
    <w:rsid w:val="008A08CF"/>
    <w:rsid w:val="008A1081"/>
    <w:rsid w:val="00952FCE"/>
    <w:rsid w:val="00955092"/>
    <w:rsid w:val="00987AAD"/>
    <w:rsid w:val="009A6A0A"/>
    <w:rsid w:val="009B5B5B"/>
    <w:rsid w:val="00A9108D"/>
    <w:rsid w:val="00A959A6"/>
    <w:rsid w:val="00AA299A"/>
    <w:rsid w:val="00AA74ED"/>
    <w:rsid w:val="00AC6A2C"/>
    <w:rsid w:val="00B46F18"/>
    <w:rsid w:val="00B95865"/>
    <w:rsid w:val="00BB1F76"/>
    <w:rsid w:val="00BD27B4"/>
    <w:rsid w:val="00BD642E"/>
    <w:rsid w:val="00BF22FA"/>
    <w:rsid w:val="00C65642"/>
    <w:rsid w:val="00C71E9D"/>
    <w:rsid w:val="00D2320E"/>
    <w:rsid w:val="00D25730"/>
    <w:rsid w:val="00D303D9"/>
    <w:rsid w:val="00DE54B6"/>
    <w:rsid w:val="00E0172E"/>
    <w:rsid w:val="00E262B6"/>
    <w:rsid w:val="00E72583"/>
    <w:rsid w:val="00EA5B1B"/>
    <w:rsid w:val="00EC7387"/>
    <w:rsid w:val="00EF5805"/>
    <w:rsid w:val="00F86E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949F2"/>
  <w15:docId w15:val="{4366DC54-8E7B-44DA-96FC-F5BED79D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2E5FDD"/>
  </w:style>
  <w:style w:type="paragraph" w:styleId="NoSpacing">
    <w:name w:val="No Spacing"/>
    <w:uiPriority w:val="1"/>
    <w:qFormat/>
    <w:rsid w:val="001B3877"/>
    <w:pPr>
      <w:spacing w:after="0" w:line="240" w:lineRule="auto"/>
    </w:pPr>
  </w:style>
  <w:style w:type="paragraph" w:styleId="BalloonText">
    <w:name w:val="Balloon Text"/>
    <w:basedOn w:val="Normal"/>
    <w:link w:val="BalloonTextChar"/>
    <w:uiPriority w:val="99"/>
    <w:semiHidden/>
    <w:unhideWhenUsed/>
    <w:rsid w:val="00195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B1B"/>
    <w:rPr>
      <w:rFonts w:ascii="Tahoma" w:hAnsi="Tahoma" w:cs="Tahoma"/>
      <w:sz w:val="16"/>
      <w:szCs w:val="16"/>
    </w:rPr>
  </w:style>
  <w:style w:type="table" w:styleId="TableGrid">
    <w:name w:val="Table Grid"/>
    <w:basedOn w:val="TableNormal"/>
    <w:uiPriority w:val="39"/>
    <w:rsid w:val="00195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3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a_norouzi</dc:creator>
  <cp:lastModifiedBy>a_norouzi</cp:lastModifiedBy>
  <cp:revision>16</cp:revision>
  <dcterms:created xsi:type="dcterms:W3CDTF">2021-01-30T06:32:00Z</dcterms:created>
  <dcterms:modified xsi:type="dcterms:W3CDTF">2021-08-14T11:46:00Z</dcterms:modified>
</cp:coreProperties>
</file>