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1E23A" w14:textId="12365F50" w:rsidR="0035448D" w:rsidRPr="002A179D" w:rsidRDefault="000461D9" w:rsidP="002A17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2A179D">
        <w:rPr>
          <w:rFonts w:ascii="Times New Roman" w:hAnsi="Times New Roman" w:cs="Times New Roman"/>
          <w:b/>
          <w:bCs/>
          <w:sz w:val="24"/>
          <w:szCs w:val="24"/>
          <w:lang w:val="en-IE"/>
        </w:rPr>
        <w:t>Supporting Information</w:t>
      </w:r>
    </w:p>
    <w:p w14:paraId="4AF349A4" w14:textId="725D00A7" w:rsidR="002A179D" w:rsidRDefault="002A179D">
      <w:pPr>
        <w:rPr>
          <w:lang w:val="en-IE"/>
        </w:rPr>
      </w:pPr>
    </w:p>
    <w:p w14:paraId="0CDF791D" w14:textId="77777777" w:rsidR="002A179D" w:rsidRPr="00B73EDC" w:rsidRDefault="002A179D" w:rsidP="002A179D">
      <w:pPr>
        <w:spacing w:line="360" w:lineRule="auto"/>
        <w:jc w:val="both"/>
        <w:rPr>
          <w:b/>
          <w:bCs/>
          <w:lang w:val="es-ES"/>
        </w:rPr>
      </w:pPr>
      <w:bookmarkStart w:id="0" w:name="_Hlk62471116"/>
    </w:p>
    <w:p w14:paraId="5BE81B9F" w14:textId="181028D3" w:rsidR="00B73EDC" w:rsidRPr="002E6E6E" w:rsidRDefault="004302AD" w:rsidP="00B73EDC">
      <w:pPr>
        <w:pStyle w:val="Header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02AD">
        <w:rPr>
          <w:rFonts w:ascii="Times New Roman" w:hAnsi="Times New Roman" w:cs="Times New Roman"/>
          <w:b/>
          <w:bCs/>
          <w:sz w:val="24"/>
          <w:szCs w:val="24"/>
        </w:rPr>
        <w:t>Electroconductive PEDOT Nanoparticle Integrated Scaffolds for Spinal Cord Tissue Repair</w:t>
      </w:r>
    </w:p>
    <w:p w14:paraId="5A01FD08" w14:textId="77777777" w:rsidR="002A179D" w:rsidRPr="002A179D" w:rsidRDefault="002A179D" w:rsidP="002A179D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bookmarkEnd w:id="0"/>
    <w:p w14:paraId="681EA406" w14:textId="706B2DB6" w:rsidR="00D21B9F" w:rsidRPr="00D21B9F" w:rsidRDefault="00D21B9F" w:rsidP="00D21B9F">
      <w:pPr>
        <w:spacing w:line="360" w:lineRule="auto"/>
        <w:jc w:val="both"/>
        <w:rPr>
          <w:rFonts w:ascii="Times New Roman" w:hAnsi="Times New Roman"/>
          <w:b/>
          <w:bCs/>
          <w:sz w:val="24"/>
          <w:lang w:val="es-ES"/>
        </w:rPr>
      </w:pPr>
      <w:r w:rsidRPr="00D21B9F">
        <w:rPr>
          <w:rFonts w:ascii="Times New Roman" w:hAnsi="Times New Roman"/>
          <w:b/>
          <w:bCs/>
          <w:sz w:val="24"/>
          <w:lang w:val="es-ES"/>
        </w:rPr>
        <w:t>Aleksandra Serafin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1</w:t>
      </w:r>
      <w:r w:rsidRPr="00D21B9F">
        <w:rPr>
          <w:rFonts w:ascii="Times New Roman" w:hAnsi="Times New Roman"/>
          <w:b/>
          <w:bCs/>
          <w:sz w:val="24"/>
          <w:lang w:val="es-ES"/>
        </w:rPr>
        <w:t>, Mario Culebras Rubio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2</w:t>
      </w:r>
      <w:r w:rsidRPr="00D21B9F">
        <w:rPr>
          <w:rFonts w:ascii="Times New Roman" w:hAnsi="Times New Roman"/>
          <w:b/>
          <w:bCs/>
          <w:sz w:val="24"/>
          <w:lang w:val="es-ES"/>
        </w:rPr>
        <w:t>, Marta Carsi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3</w:t>
      </w:r>
      <w:r w:rsidRPr="00D21B9F">
        <w:rPr>
          <w:rFonts w:ascii="Times New Roman" w:hAnsi="Times New Roman"/>
          <w:b/>
          <w:bCs/>
          <w:sz w:val="24"/>
          <w:lang w:val="es-ES"/>
        </w:rPr>
        <w:t>, Pilar Ortiz-Serna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4</w:t>
      </w:r>
      <w:r w:rsidRPr="00D21B9F">
        <w:rPr>
          <w:rFonts w:ascii="Times New Roman" w:hAnsi="Times New Roman"/>
          <w:b/>
          <w:bCs/>
          <w:sz w:val="24"/>
          <w:lang w:val="es-ES"/>
        </w:rPr>
        <w:t>, Maria J. Sanchis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4</w:t>
      </w:r>
      <w:r w:rsidRPr="00D21B9F">
        <w:rPr>
          <w:rFonts w:ascii="Times New Roman" w:hAnsi="Times New Roman"/>
          <w:b/>
          <w:bCs/>
          <w:sz w:val="24"/>
          <w:lang w:val="es-ES"/>
        </w:rPr>
        <w:t>, Atul K. Garg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5</w:t>
      </w:r>
      <w:r w:rsidRPr="00D21B9F">
        <w:rPr>
          <w:rFonts w:ascii="Times New Roman" w:hAnsi="Times New Roman"/>
          <w:b/>
          <w:bCs/>
          <w:sz w:val="24"/>
          <w:lang w:val="es-ES"/>
        </w:rPr>
        <w:t>,</w:t>
      </w:r>
      <w:r w:rsidRPr="00D21B9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J. Miguel Oliveira</w:t>
      </w:r>
      <w:r w:rsidRPr="00D21B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s-ES"/>
        </w:rPr>
        <w:t>6,7</w:t>
      </w:r>
      <w:r w:rsidRPr="00D21B9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Jacob Koffler</w:t>
      </w:r>
      <w:r w:rsidRPr="00D21B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s-ES"/>
        </w:rPr>
        <w:t>8,9</w:t>
      </w:r>
      <w:r w:rsidRPr="00D21B9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, </w:t>
      </w:r>
      <w:r w:rsidRPr="00D21B9F">
        <w:rPr>
          <w:rFonts w:ascii="Times New Roman" w:hAnsi="Times New Roman"/>
          <w:b/>
          <w:bCs/>
          <w:sz w:val="24"/>
          <w:lang w:val="es-ES"/>
        </w:rPr>
        <w:t>Maurice N. Collins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1,10</w:t>
      </w:r>
    </w:p>
    <w:p w14:paraId="7A87773B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n-IE"/>
        </w:rPr>
        <w:t>1</w:t>
      </w:r>
      <w:r w:rsidRPr="00D21B9F">
        <w:rPr>
          <w:rFonts w:ascii="Times New Roman" w:hAnsi="Times New Roman" w:cs="Times New Roman"/>
          <w:iCs/>
          <w:sz w:val="24"/>
          <w:szCs w:val="24"/>
          <w:lang w:val="en-IE"/>
        </w:rPr>
        <w:t xml:space="preserve">School of Engineering, Bernal Institute, </w:t>
      </w:r>
      <w:r w:rsidRPr="00D21B9F">
        <w:rPr>
          <w:rFonts w:ascii="Times New Roman" w:hAnsi="Times New Roman" w:cs="Times New Roman"/>
          <w:iCs/>
          <w:sz w:val="24"/>
          <w:szCs w:val="24"/>
          <w:lang w:val="en-US"/>
        </w:rPr>
        <w:t>University of Limerick, Limerick, Ireland;</w:t>
      </w:r>
    </w:p>
    <w:p w14:paraId="39F618B5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2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Materials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Science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Institute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(ICMUV),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Universitat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València, c/ Catedrático José Beltrán 2, 46980 Paterna, Valencia,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Spain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;</w:t>
      </w:r>
    </w:p>
    <w:p w14:paraId="311E9E6A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3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Instituto de Automática e Informática Industrial,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Universitat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Politècnica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Valencia, 46022 Valencia,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Spain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;</w:t>
      </w:r>
    </w:p>
    <w:p w14:paraId="7EB006FF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4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Instituto Tecnológico de la Energía, Departamento de Termodinámica Aplicada,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Universitat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Politècnica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València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Camí de Vera s/n, 46022, Valencia,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Spain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;</w:t>
      </w:r>
    </w:p>
    <w:p w14:paraId="42095135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5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Manufacturing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Technology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and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Innovation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Global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Supply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Chain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Johnson &amp; Johnson,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Bridgewater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, New Jersey 08807, USA</w:t>
      </w:r>
    </w:p>
    <w:p w14:paraId="7A7D3FBB" w14:textId="77777777" w:rsidR="00D21B9F" w:rsidRPr="00D21B9F" w:rsidRDefault="00D21B9F" w:rsidP="00D21B9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D21B9F">
        <w:rPr>
          <w:rFonts w:ascii="Times New Roman" w:eastAsia="Times New Roman" w:hAnsi="Times New Roman" w:cs="Times New Roman"/>
          <w:sz w:val="24"/>
          <w:szCs w:val="24"/>
          <w:vertAlign w:val="superscript"/>
          <w:lang w:val="en-IE" w:eastAsia="en-IE"/>
        </w:rPr>
        <w:t>6</w:t>
      </w:r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3B’s Research Group, I3Bs—Research Institute on Biomaterials, Biodegradables and Biomimetics, University of Minho, Headquarters of the European Institute of Excellence on Tissue Engineering and Regenerative Medicine,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AvePark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,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Parque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de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Ciência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e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Tecnologia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, Zona Industrial da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Gandra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, 4805-017 Barco,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Guimarães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, Portugal;</w:t>
      </w:r>
    </w:p>
    <w:p w14:paraId="3202F533" w14:textId="77777777" w:rsidR="00D21B9F" w:rsidRPr="00D21B9F" w:rsidRDefault="00D21B9F" w:rsidP="00D21B9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36858091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eastAsia="Times New Roman" w:hAnsi="Times New Roman" w:cs="Times New Roman"/>
          <w:sz w:val="24"/>
          <w:szCs w:val="24"/>
          <w:vertAlign w:val="superscript"/>
          <w:lang w:val="en-IE" w:eastAsia="en-IE"/>
        </w:rPr>
        <w:t>7</w:t>
      </w:r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ICVS/3B’s—PT Government Associate Laboratory, 4710-057 Braga, Braga, Portugal;</w:t>
      </w: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 xml:space="preserve"> 8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Department of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Neuroscience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University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of California San Diego, La Jolla, CA, USA 92093;</w:t>
      </w:r>
    </w:p>
    <w:p w14:paraId="3AA208C0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9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Veterans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Affairs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Medical Center, San Diego, CA, USA;</w:t>
      </w:r>
    </w:p>
    <w:p w14:paraId="753691ED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10</w:t>
      </w:r>
      <w:r w:rsidRPr="00D21B9F">
        <w:rPr>
          <w:rFonts w:ascii="Times New Roman" w:hAnsi="Times New Roman" w:cs="Times New Roman"/>
          <w:iCs/>
          <w:sz w:val="24"/>
          <w:szCs w:val="24"/>
          <w:lang w:val="en-US"/>
        </w:rPr>
        <w:t>Health Research Institute and AMBER, University of Limerick, Limerick, Ireland.</w:t>
      </w:r>
    </w:p>
    <w:p w14:paraId="74EEEBF8" w14:textId="77777777" w:rsidR="002A179D" w:rsidRDefault="002A179D">
      <w:pPr>
        <w:rPr>
          <w:lang w:val="en-IE"/>
        </w:rPr>
      </w:pPr>
    </w:p>
    <w:p w14:paraId="0DA10EAC" w14:textId="5B2C183C" w:rsidR="000461D9" w:rsidRPr="00D57A3A" w:rsidRDefault="00D57A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 w:rsidRPr="00D57A3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45AAA810" wp14:editId="35B777B6">
            <wp:extent cx="5731510" cy="3146327"/>
            <wp:effectExtent l="0" t="0" r="2540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10"/>
                    <a:stretch/>
                  </pic:blipFill>
                  <pic:spPr bwMode="auto">
                    <a:xfrm>
                      <a:off x="0" y="0"/>
                      <a:ext cx="5731510" cy="314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972DA" w14:textId="2C97F0F7" w:rsidR="002A179D" w:rsidRDefault="002A179D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 w:rsidRPr="00D57A3A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Figure S1:</w:t>
      </w:r>
      <w:r w:rsid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 Stress vs. Strain graphs of </w:t>
      </w:r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gel</w:t>
      </w:r>
      <w:proofErr w:type="gramStart"/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:HA:PEDOT</w:t>
      </w:r>
      <w:proofErr w:type="gramEnd"/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-NPs scaffolds</w:t>
      </w:r>
      <w:r w:rsid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 from which the Young’s Modulus was derived by taking the </w:t>
      </w:r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slope in the linear region</w:t>
      </w:r>
      <w:r w:rsid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.</w:t>
      </w:r>
    </w:p>
    <w:p w14:paraId="3E3027B2" w14:textId="77777777" w:rsidR="00D57A3A" w:rsidRPr="00D57A3A" w:rsidRDefault="00D57A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</w:p>
    <w:p w14:paraId="45D0F83F" w14:textId="77777777" w:rsidR="00F826DF" w:rsidRDefault="00F826DF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>
        <w:rPr>
          <w:noProof/>
          <w:lang w:val="en-PH" w:eastAsia="en-PH"/>
        </w:rPr>
        <w:drawing>
          <wp:inline distT="0" distB="0" distL="0" distR="0" wp14:anchorId="681F9E5C" wp14:editId="443D9A6D">
            <wp:extent cx="5538158" cy="4244903"/>
            <wp:effectExtent l="0" t="0" r="5715" b="3810"/>
            <wp:docPr id="1" name="Picture 1" descr="Graphical user interface, 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523" cy="4249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EDA1D" w14:textId="1D8D6B38" w:rsidR="00EC7C39" w:rsidRDefault="004F515B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 w:rsidRPr="004F515B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Figure S2: Representative 3D printed lattice of the PEDOT 1× and Gel</w:t>
      </w:r>
      <w:proofErr w:type="gramStart"/>
      <w:r w:rsidRPr="004F515B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:HA</w:t>
      </w:r>
      <w:proofErr w:type="gramEnd"/>
      <w:r w:rsidRPr="004F515B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 (control with no PEDOT NPs) hydrogels before a crosslinking regime is introduced.</w:t>
      </w:r>
    </w:p>
    <w:p w14:paraId="748A6780" w14:textId="2C30BBDC" w:rsidR="0058675B" w:rsidRPr="0058675B" w:rsidRDefault="0058675B" w:rsidP="0058675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58675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In-Vitro Neuronal Stem Cell Assessment</w:t>
      </w:r>
    </w:p>
    <w:p w14:paraId="2411DCAE" w14:textId="4EA6EACC" w:rsidR="0058675B" w:rsidRPr="0058675B" w:rsidRDefault="0058675B" w:rsidP="0058675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675B">
        <w:rPr>
          <w:rFonts w:ascii="Times New Roman" w:eastAsia="Calibri" w:hAnsi="Times New Roman" w:cs="Times New Roman"/>
          <w:sz w:val="24"/>
          <w:szCs w:val="24"/>
        </w:rPr>
        <w:t xml:space="preserve">tdTomato Neuronal stem cells (NSCs) were grown in </w:t>
      </w:r>
      <w:proofErr w:type="spellStart"/>
      <w:r w:rsidRPr="0058675B">
        <w:rPr>
          <w:rFonts w:ascii="Times New Roman" w:eastAsia="Calibri" w:hAnsi="Times New Roman" w:cs="Times New Roman"/>
          <w:sz w:val="24"/>
          <w:szCs w:val="24"/>
        </w:rPr>
        <w:t>ENStem</w:t>
      </w:r>
      <w:proofErr w:type="spellEnd"/>
      <w:r w:rsidRPr="0058675B">
        <w:rPr>
          <w:rFonts w:ascii="Times New Roman" w:eastAsia="Calibri" w:hAnsi="Times New Roman" w:cs="Times New Roman"/>
          <w:sz w:val="24"/>
          <w:szCs w:val="24"/>
        </w:rPr>
        <w:t>-A™ Neural Expansion Medium, supplemented with L-Glutamine (2 mM), FGF-2 (2 ng/mL) and 1% Penicillin-Streptomycin in a 5% CO</w:t>
      </w:r>
      <w:r w:rsidRPr="0058675B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58675B">
        <w:rPr>
          <w:rFonts w:ascii="Times New Roman" w:eastAsia="Calibri" w:hAnsi="Times New Roman" w:cs="Times New Roman"/>
          <w:sz w:val="24"/>
          <w:szCs w:val="24"/>
        </w:rPr>
        <w:t xml:space="preserve"> environment. </w:t>
      </w:r>
    </w:p>
    <w:p w14:paraId="78620D5C" w14:textId="6B6B71AA" w:rsidR="0058675B" w:rsidRPr="0058675B" w:rsidRDefault="0058675B" w:rsidP="005867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58675B">
        <w:rPr>
          <w:rFonts w:ascii="Times New Roman" w:hAnsi="Times New Roman" w:cs="Times New Roman"/>
          <w:noProof/>
          <w:sz w:val="24"/>
          <w:szCs w:val="24"/>
          <w:lang w:val="en-IE"/>
        </w:rPr>
        <w:t>tdTomato NSCs were also used to study the morphology and attachment onto Gel:HA:</w:t>
      </w:r>
      <w:r>
        <w:rPr>
          <w:rFonts w:ascii="Times New Roman" w:hAnsi="Times New Roman" w:cs="Times New Roman"/>
          <w:noProof/>
          <w:sz w:val="24"/>
          <w:szCs w:val="24"/>
          <w:lang w:val="en-IE"/>
        </w:rPr>
        <w:t>PEDOT</w:t>
      </w:r>
      <w:r w:rsidRPr="0058675B">
        <w:rPr>
          <w:rFonts w:ascii="Times New Roman" w:hAnsi="Times New Roman" w:cs="Times New Roman"/>
          <w:noProof/>
          <w:sz w:val="24"/>
          <w:szCs w:val="24"/>
          <w:lang w:val="en-IE"/>
        </w:rPr>
        <w:t>-NP scaffolds. Prior to NSCs seeding, Gel:HA:P</w:t>
      </w:r>
      <w:r>
        <w:rPr>
          <w:rFonts w:ascii="Times New Roman" w:hAnsi="Times New Roman" w:cs="Times New Roman"/>
          <w:noProof/>
          <w:sz w:val="24"/>
          <w:szCs w:val="24"/>
          <w:lang w:val="en-IE"/>
        </w:rPr>
        <w:t>EDOT</w:t>
      </w:r>
      <w:r w:rsidRPr="0058675B">
        <w:rPr>
          <w:rFonts w:ascii="Times New Roman" w:hAnsi="Times New Roman" w:cs="Times New Roman"/>
          <w:noProof/>
          <w:sz w:val="24"/>
          <w:szCs w:val="24"/>
          <w:lang w:val="en-IE"/>
        </w:rPr>
        <w:t>-NP scaffolds were coated with 20 µg/mL Poly-D-Lysine (PDL) and 10 µg/mL laminin to allow for cellular attachment. NSCs were seeded at a density of 0.25x106 cells per scaffold onto pre-conditioned Gel:HA:</w:t>
      </w:r>
      <w:r>
        <w:rPr>
          <w:rFonts w:ascii="Times New Roman" w:hAnsi="Times New Roman" w:cs="Times New Roman"/>
          <w:noProof/>
          <w:sz w:val="24"/>
          <w:szCs w:val="24"/>
          <w:lang w:val="en-IE"/>
        </w:rPr>
        <w:t>PEDOT</w:t>
      </w:r>
      <w:r w:rsidRPr="0058675B">
        <w:rPr>
          <w:rFonts w:ascii="Times New Roman" w:hAnsi="Times New Roman" w:cs="Times New Roman"/>
          <w:noProof/>
          <w:sz w:val="24"/>
          <w:szCs w:val="24"/>
          <w:lang w:val="en-IE"/>
        </w:rPr>
        <w:t xml:space="preserve">-NP scaffolds in a 24-well plate, with the media </w:t>
      </w:r>
      <w:r w:rsidRPr="0058675B">
        <w:rPr>
          <w:rFonts w:ascii="Times New Roman" w:hAnsi="Times New Roman" w:cs="Times New Roman"/>
          <w:sz w:val="24"/>
          <w:szCs w:val="24"/>
          <w:lang w:val="en-IE"/>
        </w:rPr>
        <w:t>changed every 48 h. After a period of 96 h, the cells were fixed with 4% PFA, stained with DAPI (1:1000)</w:t>
      </w:r>
      <w:r>
        <w:rPr>
          <w:rFonts w:ascii="Times New Roman" w:hAnsi="Times New Roman" w:cs="Times New Roman"/>
          <w:sz w:val="24"/>
          <w:szCs w:val="24"/>
          <w:lang w:val="en-IE"/>
        </w:rPr>
        <w:t>, imaged and shown in Figure S3</w:t>
      </w:r>
      <w:r w:rsidRPr="0058675B">
        <w:rPr>
          <w:rFonts w:ascii="Times New Roman" w:hAnsi="Times New Roman" w:cs="Times New Roman"/>
          <w:sz w:val="24"/>
          <w:szCs w:val="24"/>
          <w:lang w:val="en-IE"/>
        </w:rPr>
        <w:t>.</w:t>
      </w:r>
    </w:p>
    <w:p w14:paraId="0676A677" w14:textId="586B58B5" w:rsidR="0058675B" w:rsidRPr="007465DE" w:rsidRDefault="0058675B" w:rsidP="0058675B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  <w:lang w:val="en-IE"/>
        </w:rPr>
      </w:pPr>
      <w:bookmarkStart w:id="1" w:name="_Hlk115440790"/>
      <w:r w:rsidRPr="00E42DAE">
        <w:rPr>
          <w:rFonts w:ascii="Times New Roman" w:hAnsi="Times New Roman" w:cs="Times New Roman"/>
          <w:sz w:val="24"/>
          <w:szCs w:val="24"/>
          <w:lang w:val="en-IE"/>
        </w:rPr>
        <w:t xml:space="preserve">The </w:t>
      </w:r>
      <w:proofErr w:type="spellStart"/>
      <w:r w:rsidRPr="00E42DAE">
        <w:rPr>
          <w:rFonts w:ascii="Times New Roman" w:hAnsi="Times New Roman" w:cs="Times New Roman"/>
          <w:sz w:val="24"/>
          <w:szCs w:val="24"/>
          <w:lang w:val="en-IE"/>
        </w:rPr>
        <w:t>gel:HA:PEDOT-NP</w:t>
      </w:r>
      <w:proofErr w:type="spellEnd"/>
      <w:r w:rsidRPr="00E42DAE">
        <w:rPr>
          <w:rFonts w:ascii="Times New Roman" w:hAnsi="Times New Roman" w:cs="Times New Roman"/>
          <w:sz w:val="24"/>
          <w:szCs w:val="24"/>
          <w:lang w:val="en-IE"/>
        </w:rPr>
        <w:t xml:space="preserve"> scaffold are intended to act as a bridge for regeneration in-vivo as the amount of NSCs in the spine is low, therefore the assessment of their differentiation within the scaffold was not conducted.</w:t>
      </w:r>
      <w:bookmarkStart w:id="2" w:name="_GoBack"/>
      <w:bookmarkEnd w:id="2"/>
    </w:p>
    <w:bookmarkEnd w:id="1"/>
    <w:p w14:paraId="22F4A1F2" w14:textId="64A76FBE" w:rsidR="002A179D" w:rsidRPr="00D57A3A" w:rsidRDefault="00D57A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>
        <w:rPr>
          <w:noProof/>
          <w:lang w:val="en-PH" w:eastAsia="en-PH"/>
        </w:rPr>
        <w:drawing>
          <wp:inline distT="0" distB="0" distL="0" distR="0" wp14:anchorId="7B103AA3" wp14:editId="69E7492D">
            <wp:extent cx="5731510" cy="4507230"/>
            <wp:effectExtent l="0" t="0" r="0" b="7620"/>
            <wp:docPr id="2" name="Picture 2" descr="A picture containing tree, indoor, star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ree, indoor, star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D5EB7" w14:textId="4BFD245B" w:rsidR="00D57A3A" w:rsidRDefault="00D57A3A">
      <w:pP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</w:pPr>
      <w:r w:rsidRPr="00D57A3A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lastRenderedPageBreak/>
        <w:t>Figure S</w:t>
      </w:r>
      <w:r w:rsidR="00F826DF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3</w:t>
      </w:r>
      <w:r w:rsidRPr="00D57A3A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:</w:t>
      </w:r>
      <w:r w:rsidRPr="00D57A3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 xml:space="preserve"> </w:t>
      </w:r>
      <w:r w:rsid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>N</w:t>
      </w:r>
      <w:r w:rsidR="00B422F6" w:rsidRP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 xml:space="preserve">SCs stained with </w:t>
      </w:r>
      <w:r w:rsid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 xml:space="preserve">tdTomato </w:t>
      </w:r>
      <w:r w:rsidR="00B422F6" w:rsidRP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>(red) seeded onto gel:HA:PEDOT-NPs scaffolds of different NP concentrations and cultured for a period of 96 h, fixed and stained with DAPI (blue), (A) scale bar - 200 µm. (B,C,D) scale bar - 100 µm.</w:t>
      </w:r>
    </w:p>
    <w:p w14:paraId="7783D0BA" w14:textId="16EB5F84" w:rsidR="00F826DF" w:rsidRDefault="00F826DF">
      <w:pP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</w:pPr>
    </w:p>
    <w:p w14:paraId="5EBC0CD0" w14:textId="02098296" w:rsidR="00F826DF" w:rsidRPr="000461D9" w:rsidRDefault="00F826DF">
      <w:pPr>
        <w:rPr>
          <w:lang w:val="en-IE"/>
        </w:rPr>
      </w:pPr>
    </w:p>
    <w:sectPr w:rsidR="00F826DF" w:rsidRPr="00046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D9"/>
    <w:rsid w:val="000461D9"/>
    <w:rsid w:val="002A179D"/>
    <w:rsid w:val="0035448D"/>
    <w:rsid w:val="004302AD"/>
    <w:rsid w:val="004F515B"/>
    <w:rsid w:val="0058675B"/>
    <w:rsid w:val="007465DE"/>
    <w:rsid w:val="00964A55"/>
    <w:rsid w:val="00B422F6"/>
    <w:rsid w:val="00B73EDC"/>
    <w:rsid w:val="00D21B9F"/>
    <w:rsid w:val="00D57A3A"/>
    <w:rsid w:val="00D66F27"/>
    <w:rsid w:val="00D80B70"/>
    <w:rsid w:val="00E42DAE"/>
    <w:rsid w:val="00EC7C39"/>
    <w:rsid w:val="00F15970"/>
    <w:rsid w:val="00F8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8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79D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2A179D"/>
  </w:style>
  <w:style w:type="paragraph" w:styleId="BalloonText">
    <w:name w:val="Balloon Text"/>
    <w:basedOn w:val="Normal"/>
    <w:link w:val="BalloonTextChar"/>
    <w:uiPriority w:val="99"/>
    <w:semiHidden/>
    <w:unhideWhenUsed/>
    <w:rsid w:val="00E42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DAE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79D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2A179D"/>
  </w:style>
  <w:style w:type="paragraph" w:styleId="BalloonText">
    <w:name w:val="Balloon Text"/>
    <w:basedOn w:val="Normal"/>
    <w:link w:val="BalloonTextChar"/>
    <w:uiPriority w:val="99"/>
    <w:semiHidden/>
    <w:unhideWhenUsed/>
    <w:rsid w:val="00E42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DA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Aleksandra.Serafin</dc:creator>
  <cp:keywords/>
  <dc:description/>
  <cp:lastModifiedBy>Remjun Delos Reyes</cp:lastModifiedBy>
  <cp:revision>3</cp:revision>
  <dcterms:created xsi:type="dcterms:W3CDTF">2022-09-30T16:05:00Z</dcterms:created>
  <dcterms:modified xsi:type="dcterms:W3CDTF">2022-11-17T15:39:00Z</dcterms:modified>
</cp:coreProperties>
</file>