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7D4" w:rsidRDefault="006F2E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Supplementary Information</w:t>
      </w:r>
    </w:p>
    <w:p w:rsidR="00E817D4" w:rsidRDefault="006F2E19">
      <w:pPr>
        <w:jc w:val="center"/>
        <w:rPr>
          <w:b/>
          <w:bCs/>
          <w:sz w:val="24"/>
          <w:szCs w:val="24"/>
          <w:lang w:eastAsia="ja-JP"/>
        </w:rPr>
      </w:pPr>
      <w:r>
        <w:rPr>
          <w:b/>
          <w:bCs/>
          <w:sz w:val="24"/>
          <w:szCs w:val="24"/>
          <w:lang w:eastAsia="ja-JP"/>
        </w:rPr>
        <w:t xml:space="preserve">Ginsenoside Rg3 nanoparticles with permeation enhancing based chitosan derivatives were encapsulated with doxorubicin by thermosensitive hydrogel and anti-cancer evaluation of peritumoral hydrogel injection combined with PD-L1 </w:t>
      </w:r>
      <w:r>
        <w:rPr>
          <w:b/>
          <w:bCs/>
          <w:sz w:val="24"/>
          <w:szCs w:val="24"/>
          <w:lang w:eastAsia="ja-JP"/>
        </w:rPr>
        <w:t>antibody</w:t>
      </w:r>
    </w:p>
    <w:p w:rsidR="00E817D4" w:rsidRDefault="006F2E19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Hao Wu</w:t>
      </w:r>
      <w:r>
        <w:rPr>
          <w:rFonts w:hint="eastAsia"/>
          <w:bCs/>
          <w:sz w:val="24"/>
          <w:szCs w:val="24"/>
        </w:rPr>
        <w:t xml:space="preserve"> </w:t>
      </w:r>
      <w:r>
        <w:rPr>
          <w:rFonts w:hint="eastAsia"/>
          <w:bCs/>
          <w:sz w:val="24"/>
          <w:szCs w:val="24"/>
          <w:vertAlign w:val="superscript"/>
        </w:rPr>
        <w:t>c</w:t>
      </w:r>
      <w:r>
        <w:rPr>
          <w:bCs/>
          <w:sz w:val="24"/>
          <w:szCs w:val="24"/>
        </w:rPr>
        <w:t>,</w:t>
      </w:r>
      <w:bookmarkStart w:id="0" w:name="_Hlk108599494"/>
      <w:r>
        <w:rPr>
          <w:bCs/>
          <w:sz w:val="24"/>
          <w:szCs w:val="24"/>
        </w:rPr>
        <w:t xml:space="preserve"> Guoli Wei</w:t>
      </w:r>
      <w:r>
        <w:rPr>
          <w:rFonts w:hint="eastAsia"/>
          <w:bCs/>
          <w:sz w:val="24"/>
          <w:szCs w:val="24"/>
          <w:vertAlign w:val="superscript"/>
        </w:rPr>
        <w:t xml:space="preserve"> a, b</w:t>
      </w:r>
      <w:r>
        <w:rPr>
          <w:rFonts w:hint="eastAsia"/>
          <w:bCs/>
          <w:sz w:val="24"/>
          <w:szCs w:val="24"/>
          <w:vertAlign w:val="superscript"/>
        </w:rPr>
        <w:t>, d</w:t>
      </w:r>
      <w:r>
        <w:rPr>
          <w:bCs/>
          <w:sz w:val="24"/>
          <w:szCs w:val="24"/>
        </w:rPr>
        <w:t>, Lixia</w:t>
      </w:r>
      <w:r>
        <w:rPr>
          <w:rFonts w:hint="eastAsia"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Luo</w:t>
      </w:r>
      <w:r>
        <w:rPr>
          <w:rFonts w:hint="eastAsia"/>
          <w:bCs/>
          <w:sz w:val="24"/>
          <w:szCs w:val="24"/>
          <w:vertAlign w:val="superscript"/>
        </w:rPr>
        <w:t xml:space="preserve"> a, b</w:t>
      </w:r>
      <w:r>
        <w:rPr>
          <w:bCs/>
          <w:sz w:val="24"/>
          <w:szCs w:val="24"/>
        </w:rPr>
        <w:t>, Lingchang Li</w:t>
      </w:r>
      <w:r>
        <w:rPr>
          <w:rFonts w:hint="eastAsia"/>
          <w:bCs/>
          <w:sz w:val="24"/>
          <w:szCs w:val="24"/>
          <w:vertAlign w:val="superscript"/>
        </w:rPr>
        <w:t xml:space="preserve"> a, b</w:t>
      </w:r>
      <w:r>
        <w:rPr>
          <w:bCs/>
          <w:sz w:val="24"/>
          <w:szCs w:val="24"/>
        </w:rPr>
        <w:t>, Y</w:t>
      </w:r>
      <w:r>
        <w:rPr>
          <w:rFonts w:hint="eastAsia"/>
          <w:bCs/>
          <w:sz w:val="24"/>
          <w:szCs w:val="24"/>
        </w:rPr>
        <w:t>ibo</w:t>
      </w:r>
      <w:r>
        <w:rPr>
          <w:bCs/>
          <w:sz w:val="24"/>
          <w:szCs w:val="24"/>
        </w:rPr>
        <w:t xml:space="preserve"> G</w:t>
      </w:r>
      <w:r>
        <w:rPr>
          <w:rFonts w:hint="eastAsia"/>
          <w:bCs/>
          <w:sz w:val="24"/>
          <w:szCs w:val="24"/>
        </w:rPr>
        <w:t>ao</w:t>
      </w:r>
      <w:r>
        <w:rPr>
          <w:rFonts w:hint="eastAsia"/>
          <w:bCs/>
          <w:sz w:val="24"/>
          <w:szCs w:val="24"/>
          <w:vertAlign w:val="superscript"/>
        </w:rPr>
        <w:t xml:space="preserve"> a, b</w:t>
      </w:r>
      <w:r>
        <w:rPr>
          <w:rFonts w:hint="eastAsia"/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Xiaobin Tan</w:t>
      </w:r>
      <w:r>
        <w:rPr>
          <w:rFonts w:hint="eastAsia"/>
          <w:bCs/>
          <w:sz w:val="24"/>
          <w:szCs w:val="24"/>
          <w:vertAlign w:val="superscript"/>
        </w:rPr>
        <w:t xml:space="preserve"> a, b</w:t>
      </w:r>
      <w:r>
        <w:rPr>
          <w:bCs/>
          <w:sz w:val="24"/>
          <w:szCs w:val="24"/>
        </w:rPr>
        <w:t>, Sen Wang</w:t>
      </w:r>
      <w:r>
        <w:rPr>
          <w:rFonts w:hint="eastAsia"/>
          <w:bCs/>
          <w:sz w:val="24"/>
          <w:szCs w:val="24"/>
          <w:vertAlign w:val="superscript"/>
        </w:rPr>
        <w:t xml:space="preserve"> a, b</w:t>
      </w:r>
      <w:r>
        <w:rPr>
          <w:bCs/>
          <w:sz w:val="24"/>
          <w:szCs w:val="24"/>
        </w:rPr>
        <w:t>, H</w:t>
      </w:r>
      <w:r>
        <w:rPr>
          <w:rFonts w:hint="eastAsia"/>
          <w:bCs/>
          <w:sz w:val="24"/>
          <w:szCs w:val="24"/>
        </w:rPr>
        <w:t>aoxiao</w:t>
      </w:r>
      <w:r>
        <w:rPr>
          <w:bCs/>
          <w:sz w:val="24"/>
          <w:szCs w:val="24"/>
        </w:rPr>
        <w:t xml:space="preserve"> C</w:t>
      </w:r>
      <w:r>
        <w:rPr>
          <w:rFonts w:hint="eastAsia"/>
          <w:bCs/>
          <w:sz w:val="24"/>
          <w:szCs w:val="24"/>
        </w:rPr>
        <w:t>hang</w:t>
      </w:r>
      <w:r>
        <w:rPr>
          <w:rFonts w:hint="eastAsia"/>
          <w:bCs/>
          <w:sz w:val="24"/>
          <w:szCs w:val="24"/>
          <w:vertAlign w:val="superscript"/>
        </w:rPr>
        <w:t xml:space="preserve"> c</w:t>
      </w:r>
      <w:r w:rsidR="008B614C">
        <w:rPr>
          <w:bCs/>
          <w:sz w:val="24"/>
          <w:szCs w:val="24"/>
          <w:vertAlign w:val="superscript"/>
        </w:rPr>
        <w:t>, e</w:t>
      </w:r>
      <w:r>
        <w:rPr>
          <w:rFonts w:hint="eastAsia"/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Yuxi Liu</w:t>
      </w:r>
      <w:r>
        <w:rPr>
          <w:rFonts w:hint="eastAsia"/>
          <w:bCs/>
          <w:sz w:val="24"/>
          <w:szCs w:val="24"/>
        </w:rPr>
        <w:t xml:space="preserve"> </w:t>
      </w:r>
      <w:r>
        <w:rPr>
          <w:rFonts w:hint="eastAsia"/>
          <w:bCs/>
          <w:sz w:val="24"/>
          <w:szCs w:val="24"/>
          <w:vertAlign w:val="superscript"/>
        </w:rPr>
        <w:t>c</w:t>
      </w:r>
      <w:r>
        <w:rPr>
          <w:bCs/>
          <w:sz w:val="24"/>
          <w:szCs w:val="24"/>
        </w:rPr>
        <w:t>, Yingjie</w:t>
      </w:r>
      <w:r>
        <w:rPr>
          <w:rFonts w:hint="eastAsia"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Wei</w:t>
      </w:r>
      <w:r>
        <w:rPr>
          <w:rFonts w:hint="eastAsia"/>
          <w:bCs/>
          <w:sz w:val="24"/>
          <w:szCs w:val="24"/>
          <w:vertAlign w:val="superscript"/>
        </w:rPr>
        <w:t xml:space="preserve"> a, b</w:t>
      </w:r>
      <w:r>
        <w:rPr>
          <w:rFonts w:hint="eastAsia"/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Jie Song</w:t>
      </w:r>
      <w:r>
        <w:rPr>
          <w:rFonts w:hint="eastAsia"/>
          <w:bCs/>
          <w:sz w:val="24"/>
          <w:szCs w:val="24"/>
        </w:rPr>
        <w:t xml:space="preserve"> </w:t>
      </w:r>
      <w:r>
        <w:rPr>
          <w:rFonts w:hint="eastAsia"/>
          <w:bCs/>
          <w:sz w:val="24"/>
          <w:szCs w:val="24"/>
          <w:vertAlign w:val="superscript"/>
        </w:rPr>
        <w:t>a, b,</w:t>
      </w:r>
      <w:r>
        <w:rPr>
          <w:rFonts w:hint="eastAsia"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*, Zhenhai Zhang</w:t>
      </w:r>
      <w:r>
        <w:rPr>
          <w:rFonts w:hint="eastAsia"/>
          <w:bCs/>
          <w:sz w:val="24"/>
          <w:szCs w:val="24"/>
          <w:vertAlign w:val="superscript"/>
        </w:rPr>
        <w:t xml:space="preserve"> a, b</w:t>
      </w:r>
      <w:r>
        <w:rPr>
          <w:bCs/>
          <w:sz w:val="24"/>
          <w:szCs w:val="24"/>
          <w:vertAlign w:val="superscript"/>
        </w:rPr>
        <w:t>,</w:t>
      </w:r>
      <w:r w:rsidR="008B614C">
        <w:rPr>
          <w:bCs/>
          <w:sz w:val="24"/>
          <w:szCs w:val="24"/>
          <w:vertAlign w:val="superscript"/>
        </w:rPr>
        <w:t xml:space="preserve"> </w:t>
      </w:r>
      <w:bookmarkStart w:id="1" w:name="_GoBack"/>
      <w:bookmarkEnd w:id="1"/>
      <w:r>
        <w:rPr>
          <w:bCs/>
          <w:sz w:val="24"/>
          <w:szCs w:val="24"/>
        </w:rPr>
        <w:t>*, Jiege</w:t>
      </w:r>
      <w:r>
        <w:rPr>
          <w:rFonts w:hint="eastAsia"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Huo</w:t>
      </w:r>
      <w:r>
        <w:rPr>
          <w:rFonts w:hint="eastAsia"/>
          <w:bCs/>
          <w:sz w:val="24"/>
          <w:szCs w:val="24"/>
          <w:vertAlign w:val="superscript"/>
        </w:rPr>
        <w:t xml:space="preserve"> a, b,</w:t>
      </w:r>
      <w:r>
        <w:rPr>
          <w:bCs/>
          <w:sz w:val="24"/>
          <w:szCs w:val="24"/>
        </w:rPr>
        <w:t>*</w:t>
      </w:r>
    </w:p>
    <w:bookmarkEnd w:id="0"/>
    <w:p w:rsidR="00E817D4" w:rsidRDefault="006F2E19">
      <w:pPr>
        <w:jc w:val="both"/>
        <w:rPr>
          <w:rFonts w:eastAsiaTheme="minorEastAsia"/>
          <w:bCs/>
          <w:szCs w:val="21"/>
        </w:rPr>
      </w:pPr>
      <w:r>
        <w:rPr>
          <w:rFonts w:eastAsiaTheme="minorEastAsia" w:hint="eastAsia"/>
          <w:bCs/>
          <w:szCs w:val="21"/>
        </w:rPr>
        <w:t xml:space="preserve">a </w:t>
      </w:r>
      <w:r>
        <w:rPr>
          <w:rFonts w:eastAsiaTheme="minorEastAsia"/>
          <w:bCs/>
          <w:i/>
          <w:szCs w:val="21"/>
        </w:rPr>
        <w:t>Affiliated Hospital of Integr</w:t>
      </w:r>
      <w:r>
        <w:rPr>
          <w:rFonts w:eastAsiaTheme="minorEastAsia"/>
          <w:bCs/>
          <w:i/>
          <w:szCs w:val="21"/>
        </w:rPr>
        <w:t>ated Traditional Chinese and Western Medicine, Nanjing University of Chinese Medicine, 210023 Nanjing, China</w:t>
      </w:r>
    </w:p>
    <w:p w:rsidR="00E817D4" w:rsidRDefault="006F2E19">
      <w:pPr>
        <w:jc w:val="both"/>
        <w:rPr>
          <w:rFonts w:eastAsiaTheme="minorEastAsia"/>
          <w:bCs/>
          <w:szCs w:val="21"/>
        </w:rPr>
      </w:pPr>
      <w:r>
        <w:rPr>
          <w:rFonts w:eastAsiaTheme="minorEastAsia"/>
          <w:bCs/>
          <w:szCs w:val="21"/>
        </w:rPr>
        <w:t xml:space="preserve">b </w:t>
      </w:r>
      <w:r>
        <w:rPr>
          <w:rFonts w:eastAsiaTheme="minorEastAsia"/>
          <w:bCs/>
          <w:i/>
          <w:szCs w:val="21"/>
        </w:rPr>
        <w:t>Jiangsu Province Academy of Traditional Chinese Medicine, 210028 Nanjing, China</w:t>
      </w:r>
    </w:p>
    <w:p w:rsidR="00E817D4" w:rsidRDefault="006F2E19">
      <w:pPr>
        <w:jc w:val="both"/>
        <w:rPr>
          <w:rFonts w:eastAsiaTheme="minorEastAsia"/>
          <w:bCs/>
          <w:i/>
          <w:szCs w:val="21"/>
        </w:rPr>
      </w:pPr>
      <w:r>
        <w:rPr>
          <w:rFonts w:eastAsiaTheme="minorEastAsia" w:hint="eastAsia"/>
          <w:bCs/>
          <w:szCs w:val="21"/>
        </w:rPr>
        <w:t xml:space="preserve">c </w:t>
      </w:r>
      <w:r>
        <w:rPr>
          <w:rFonts w:eastAsiaTheme="minorEastAsia"/>
          <w:bCs/>
          <w:i/>
          <w:szCs w:val="21"/>
        </w:rPr>
        <w:t xml:space="preserve">School of Material Science and Chemical Engineering, Chuzhou </w:t>
      </w:r>
      <w:r>
        <w:rPr>
          <w:rFonts w:eastAsiaTheme="minorEastAsia"/>
          <w:bCs/>
          <w:i/>
          <w:szCs w:val="21"/>
        </w:rPr>
        <w:t>University, Chuzhou 239000</w:t>
      </w:r>
    </w:p>
    <w:p w:rsidR="00E817D4" w:rsidRDefault="006F2E19">
      <w:pPr>
        <w:rPr>
          <w:rFonts w:eastAsiaTheme="minorEastAsia"/>
          <w:bCs/>
          <w:i/>
          <w:szCs w:val="21"/>
        </w:rPr>
      </w:pPr>
      <w:r>
        <w:rPr>
          <w:rFonts w:eastAsiaTheme="minorEastAsia" w:hint="eastAsia"/>
          <w:bCs/>
          <w:iCs/>
          <w:szCs w:val="21"/>
        </w:rPr>
        <w:t>d</w:t>
      </w:r>
      <w:r>
        <w:rPr>
          <w:rFonts w:eastAsiaTheme="minorEastAsia" w:hint="eastAsia"/>
          <w:bCs/>
          <w:i/>
          <w:szCs w:val="21"/>
        </w:rPr>
        <w:t xml:space="preserve"> </w:t>
      </w:r>
      <w:r>
        <w:rPr>
          <w:rFonts w:eastAsiaTheme="minorEastAsia" w:hint="eastAsia"/>
          <w:bCs/>
          <w:i/>
          <w:szCs w:val="21"/>
        </w:rPr>
        <w:t>Department of Oncology, Nanjing Lishui District Hospital of Traditional Chinese Medicine, Nanjing, China</w:t>
      </w:r>
    </w:p>
    <w:p w:rsidR="008B614C" w:rsidRPr="00D51969" w:rsidRDefault="008B614C" w:rsidP="008B614C">
      <w:pPr>
        <w:rPr>
          <w:rFonts w:eastAsiaTheme="minorEastAsia"/>
          <w:bCs/>
          <w:i/>
          <w:szCs w:val="21"/>
        </w:rPr>
      </w:pPr>
      <w:r>
        <w:rPr>
          <w:rFonts w:eastAsiaTheme="minorEastAsia" w:hint="eastAsia"/>
          <w:bCs/>
          <w:iCs/>
          <w:szCs w:val="21"/>
        </w:rPr>
        <w:t>e</w:t>
      </w:r>
      <w:r>
        <w:rPr>
          <w:rFonts w:eastAsiaTheme="minorEastAsia"/>
          <w:bCs/>
          <w:iCs/>
          <w:szCs w:val="21"/>
        </w:rPr>
        <w:t xml:space="preserve"> </w:t>
      </w:r>
      <w:r w:rsidRPr="00D51969">
        <w:rPr>
          <w:rFonts w:eastAsiaTheme="minorEastAsia"/>
          <w:bCs/>
          <w:i/>
          <w:szCs w:val="21"/>
        </w:rPr>
        <w:t>Department of Neurology, Beijing Tiantan Hospital, Capital Medical University, Beijing, China.</w:t>
      </w:r>
    </w:p>
    <w:p w:rsidR="00E817D4" w:rsidRPr="008B614C" w:rsidRDefault="00E817D4">
      <w:pPr>
        <w:jc w:val="both"/>
        <w:rPr>
          <w:rFonts w:eastAsiaTheme="minorEastAsia"/>
          <w:bCs/>
          <w:i/>
          <w:szCs w:val="21"/>
        </w:rPr>
      </w:pPr>
    </w:p>
    <w:p w:rsidR="00E817D4" w:rsidRDefault="006F2E19">
      <w:pPr>
        <w:rPr>
          <w:b/>
          <w:sz w:val="24"/>
          <w:szCs w:val="24"/>
        </w:rPr>
      </w:pPr>
      <w:r>
        <w:rPr>
          <w:b/>
          <w:sz w:val="24"/>
          <w:szCs w:val="24"/>
        </w:rPr>
        <w:t>Supplementary Methods</w:t>
      </w:r>
    </w:p>
    <w:p w:rsidR="00E817D4" w:rsidRDefault="006F2E19">
      <w:pPr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In vivo Hydrogel Degradation. </w:t>
      </w:r>
      <w:r>
        <w:rPr>
          <w:bCs/>
          <w:sz w:val="24"/>
          <w:szCs w:val="24"/>
        </w:rPr>
        <w:t>The</w:t>
      </w:r>
      <w:r>
        <w:rPr>
          <w:rFonts w:hint="eastAsia"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thermosensitive hydrogel</w:t>
      </w:r>
      <w:r>
        <w:rPr>
          <w:rFonts w:hint="eastAsia"/>
          <w:bCs/>
          <w:sz w:val="24"/>
          <w:szCs w:val="24"/>
        </w:rPr>
        <w:t xml:space="preserve"> (</w:t>
      </w:r>
      <w:r>
        <w:rPr>
          <w:bCs/>
          <w:sz w:val="24"/>
          <w:szCs w:val="24"/>
        </w:rPr>
        <w:t>PLGA-PEG-PLGA, PPP</w:t>
      </w:r>
      <w:r>
        <w:rPr>
          <w:rFonts w:hint="eastAsia"/>
          <w:bCs/>
          <w:sz w:val="24"/>
          <w:szCs w:val="24"/>
        </w:rPr>
        <w:t>)</w:t>
      </w:r>
      <w:r>
        <w:rPr>
          <w:bCs/>
          <w:sz w:val="24"/>
          <w:szCs w:val="24"/>
        </w:rPr>
        <w:t xml:space="preserve"> (</w:t>
      </w:r>
      <w:r>
        <w:rPr>
          <w:rFonts w:hint="eastAsia"/>
          <w:bCs/>
          <w:sz w:val="24"/>
          <w:szCs w:val="24"/>
        </w:rPr>
        <w:t>20%, 2</w:t>
      </w:r>
      <w:r>
        <w:rPr>
          <w:bCs/>
          <w:sz w:val="24"/>
          <w:szCs w:val="24"/>
        </w:rPr>
        <w:t>00 μL) was i</w:t>
      </w:r>
      <w:r>
        <w:rPr>
          <w:bCs/>
          <w:sz w:val="24"/>
          <w:szCs w:val="24"/>
        </w:rPr>
        <w:t>njected into the right backs of BALB/c mice. The mice were photographed and sacrificed at different time intervals. The remaining hydrogel in each mouse was first</w:t>
      </w:r>
      <w:r>
        <w:rPr>
          <w:rFonts w:hint="eastAsia"/>
          <w:bCs/>
          <w:sz w:val="24"/>
          <w:szCs w:val="24"/>
        </w:rPr>
        <w:t>ly</w:t>
      </w:r>
      <w:r>
        <w:rPr>
          <w:bCs/>
          <w:sz w:val="24"/>
          <w:szCs w:val="24"/>
        </w:rPr>
        <w:t xml:space="preserve"> photographed</w:t>
      </w:r>
      <w:r>
        <w:rPr>
          <w:rFonts w:hint="eastAsia"/>
          <w:bCs/>
          <w:sz w:val="24"/>
          <w:szCs w:val="24"/>
        </w:rPr>
        <w:t>. Skins were examined by H&amp;E staining.</w:t>
      </w:r>
    </w:p>
    <w:p w:rsidR="00E817D4" w:rsidRDefault="00E817D4">
      <w:pPr>
        <w:jc w:val="both"/>
      </w:pPr>
    </w:p>
    <w:p w:rsidR="00E817D4" w:rsidRDefault="006F2E19">
      <w:pPr>
        <w:rPr>
          <w:b/>
        </w:rPr>
      </w:pPr>
      <w:r>
        <w:rPr>
          <w:b/>
        </w:rPr>
        <w:t xml:space="preserve">Supplementary </w:t>
      </w:r>
      <w:r>
        <w:rPr>
          <w:rFonts w:hint="eastAsia"/>
          <w:b/>
        </w:rPr>
        <w:t>Results</w:t>
      </w:r>
    </w:p>
    <w:p w:rsidR="00E817D4" w:rsidRDefault="006F2E19">
      <w:r>
        <w:rPr>
          <w:noProof/>
        </w:rPr>
        <w:drawing>
          <wp:inline distT="0" distB="0" distL="0" distR="0">
            <wp:extent cx="5274310" cy="123444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7D4" w:rsidRDefault="006F2E1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Supplementary F</w:t>
      </w:r>
      <w:r>
        <w:rPr>
          <w:b/>
          <w:sz w:val="24"/>
          <w:szCs w:val="24"/>
        </w:rPr>
        <w:t xml:space="preserve">igure S1. </w:t>
      </w:r>
      <w:r>
        <w:t xml:space="preserve">Schematic procedure </w:t>
      </w:r>
      <w:r>
        <w:rPr>
          <w:rFonts w:hint="eastAsia"/>
        </w:rPr>
        <w:t>of</w:t>
      </w:r>
      <w:r>
        <w:t xml:space="preserve"> the synthesis of PEP-CS.</w:t>
      </w:r>
    </w:p>
    <w:p w:rsidR="00E817D4" w:rsidRDefault="006F2E19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274310" cy="4606925"/>
            <wp:effectExtent l="0" t="0" r="254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0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7D4" w:rsidRDefault="006F2E19">
      <w:pPr>
        <w:jc w:val="center"/>
        <w:rPr>
          <w:kern w:val="0"/>
          <w:sz w:val="24"/>
          <w:szCs w:val="24"/>
        </w:rPr>
      </w:pPr>
      <w:r>
        <w:rPr>
          <w:b/>
          <w:sz w:val="24"/>
          <w:szCs w:val="24"/>
        </w:rPr>
        <w:t>Supplementary Figure S2.</w:t>
      </w:r>
      <w:r>
        <w:rPr>
          <w:sz w:val="24"/>
          <w:szCs w:val="24"/>
        </w:rPr>
        <w:t xml:space="preserve"> The characterization of CS, Pep and Pep-CS. (a)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The FT-IR of CS, Pep and Pep-CS</w:t>
      </w:r>
      <w:r>
        <w:rPr>
          <w:rFonts w:hint="eastAsia"/>
          <w:sz w:val="24"/>
          <w:szCs w:val="24"/>
        </w:rPr>
        <w:t>.</w:t>
      </w:r>
      <w:r>
        <w:rPr>
          <w:sz w:val="24"/>
          <w:szCs w:val="24"/>
        </w:rPr>
        <w:t xml:space="preserve"> The </w:t>
      </w:r>
      <w:r>
        <w:rPr>
          <w:kern w:val="0"/>
          <w:sz w:val="24"/>
          <w:szCs w:val="24"/>
          <w:vertAlign w:val="superscript"/>
        </w:rPr>
        <w:t>1</w:t>
      </w:r>
      <w:r>
        <w:rPr>
          <w:kern w:val="0"/>
          <w:sz w:val="24"/>
          <w:szCs w:val="24"/>
        </w:rPr>
        <w:t>H NMR spectra of</w:t>
      </w:r>
      <w:r>
        <w:rPr>
          <w:sz w:val="24"/>
          <w:szCs w:val="24"/>
        </w:rPr>
        <w:t xml:space="preserve"> </w:t>
      </w:r>
      <w:r>
        <w:rPr>
          <w:kern w:val="0"/>
          <w:sz w:val="24"/>
          <w:szCs w:val="24"/>
        </w:rPr>
        <w:t xml:space="preserve">CS </w:t>
      </w:r>
      <w:r>
        <w:rPr>
          <w:sz w:val="24"/>
          <w:szCs w:val="24"/>
        </w:rPr>
        <w:t xml:space="preserve">(b) </w:t>
      </w:r>
      <w:r>
        <w:rPr>
          <w:kern w:val="0"/>
          <w:sz w:val="24"/>
          <w:szCs w:val="24"/>
        </w:rPr>
        <w:t xml:space="preserve">and the </w:t>
      </w:r>
      <w:r>
        <w:rPr>
          <w:kern w:val="0"/>
          <w:sz w:val="24"/>
          <w:szCs w:val="24"/>
          <w:vertAlign w:val="superscript"/>
        </w:rPr>
        <w:t>1</w:t>
      </w:r>
      <w:r>
        <w:rPr>
          <w:kern w:val="0"/>
          <w:sz w:val="24"/>
          <w:szCs w:val="24"/>
        </w:rPr>
        <w:t xml:space="preserve">H NMR spectra of Pep-CS </w:t>
      </w:r>
      <w:r>
        <w:rPr>
          <w:sz w:val="24"/>
          <w:szCs w:val="24"/>
        </w:rPr>
        <w:t>(c)</w:t>
      </w:r>
      <w:r>
        <w:rPr>
          <w:kern w:val="0"/>
          <w:sz w:val="24"/>
          <w:szCs w:val="24"/>
        </w:rPr>
        <w:t>.</w:t>
      </w:r>
    </w:p>
    <w:p w:rsidR="00E817D4" w:rsidRDefault="006F2E19">
      <w:pPr>
        <w:jc w:val="center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br w:type="page"/>
      </w:r>
    </w:p>
    <w:p w:rsidR="00E817D4" w:rsidRDefault="00E817D4">
      <w:pPr>
        <w:rPr>
          <w:kern w:val="0"/>
          <w:sz w:val="24"/>
          <w:szCs w:val="24"/>
        </w:rPr>
      </w:pPr>
    </w:p>
    <w:p w:rsidR="00E817D4" w:rsidRDefault="006F2E19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825875" cy="314706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25875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7D4" w:rsidRDefault="006F2E1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Supplementary </w:t>
      </w:r>
      <w:r>
        <w:rPr>
          <w:b/>
          <w:sz w:val="24"/>
          <w:szCs w:val="24"/>
        </w:rPr>
        <w:t>Figure S3.</w:t>
      </w:r>
      <w:r>
        <w:rPr>
          <w:sz w:val="24"/>
          <w:szCs w:val="24"/>
        </w:rPr>
        <w:t xml:space="preserve"> The stability of Rg3-NPs and Rg3-PNPs (pH 7.4) at 25°C for up to 7 days.</w:t>
      </w:r>
    </w:p>
    <w:p w:rsidR="00E817D4" w:rsidRDefault="006F2E19">
      <w:pPr>
        <w:jc w:val="center"/>
        <w:rPr>
          <w:sz w:val="24"/>
          <w:szCs w:val="24"/>
        </w:rPr>
      </w:pPr>
      <w:bookmarkStart w:id="2" w:name="_Hlk116312959"/>
      <w:r>
        <w:rPr>
          <w:noProof/>
        </w:rPr>
        <w:drawing>
          <wp:inline distT="0" distB="0" distL="0" distR="0">
            <wp:extent cx="4133850" cy="291465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7D4" w:rsidRDefault="006F2E1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Supplementary Figure S4.</w:t>
      </w:r>
      <w:r>
        <w:rPr>
          <w:sz w:val="24"/>
          <w:szCs w:val="24"/>
        </w:rPr>
        <w:t xml:space="preserve"> The stability of blank PPP and Rg3-PNPs+DOX@PPP (pH 7.4) at 25°C for up to 7 days.</w:t>
      </w:r>
    </w:p>
    <w:bookmarkEnd w:id="2"/>
    <w:p w:rsidR="00E817D4" w:rsidRDefault="00E817D4">
      <w:pPr>
        <w:jc w:val="center"/>
        <w:rPr>
          <w:sz w:val="24"/>
          <w:szCs w:val="24"/>
        </w:rPr>
      </w:pPr>
    </w:p>
    <w:p w:rsidR="00E817D4" w:rsidRDefault="006F2E19">
      <w:pPr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noProof/>
        </w:rPr>
        <w:lastRenderedPageBreak/>
        <w:drawing>
          <wp:inline distT="0" distB="0" distL="0" distR="0">
            <wp:extent cx="5274310" cy="172593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7D4" w:rsidRDefault="006F2E19">
      <w:pPr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Supplementary Figure S5 </w:t>
      </w:r>
      <w:r>
        <w:rPr>
          <w:rFonts w:hint="eastAsia"/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T1 </w:t>
      </w:r>
      <w:r>
        <w:rPr>
          <w:rFonts w:hint="eastAsia"/>
          <w:bCs/>
          <w:sz w:val="24"/>
          <w:szCs w:val="24"/>
        </w:rPr>
        <w:t>cytotoxicity</w:t>
      </w:r>
      <w:r>
        <w:rPr>
          <w:bCs/>
          <w:sz w:val="24"/>
          <w:szCs w:val="24"/>
        </w:rPr>
        <w:t xml:space="preserve"> study and CI valu</w:t>
      </w:r>
      <w:r>
        <w:rPr>
          <w:bCs/>
          <w:sz w:val="24"/>
          <w:szCs w:val="24"/>
        </w:rPr>
        <w:t>e treated with different combined groups.</w:t>
      </w:r>
    </w:p>
    <w:p w:rsidR="00E817D4" w:rsidRDefault="00E817D4">
      <w:pPr>
        <w:rPr>
          <w:sz w:val="24"/>
          <w:szCs w:val="24"/>
        </w:rPr>
      </w:pPr>
    </w:p>
    <w:p w:rsidR="00E817D4" w:rsidRDefault="00E817D4">
      <w:pPr>
        <w:rPr>
          <w:sz w:val="24"/>
          <w:szCs w:val="24"/>
        </w:rPr>
      </w:pPr>
    </w:p>
    <w:p w:rsidR="00E817D4" w:rsidRDefault="00E817D4">
      <w:pPr>
        <w:rPr>
          <w:sz w:val="24"/>
          <w:szCs w:val="24"/>
        </w:rPr>
      </w:pPr>
    </w:p>
    <w:p w:rsidR="00E817D4" w:rsidRDefault="00E817D4">
      <w:pPr>
        <w:rPr>
          <w:sz w:val="24"/>
          <w:szCs w:val="24"/>
        </w:rPr>
      </w:pPr>
    </w:p>
    <w:p w:rsidR="00E817D4" w:rsidRDefault="006F2E19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2698750"/>
            <wp:effectExtent l="0" t="0" r="254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7D4" w:rsidRDefault="006F2E19">
      <w:pPr>
        <w:jc w:val="center"/>
        <w:rPr>
          <w:sz w:val="24"/>
          <w:szCs w:val="24"/>
        </w:rPr>
      </w:pPr>
      <w:bookmarkStart w:id="3" w:name="OLE_LINK1"/>
      <w:r>
        <w:rPr>
          <w:b/>
          <w:sz w:val="24"/>
          <w:szCs w:val="24"/>
        </w:rPr>
        <w:t>Supplementary Figure S6.</w:t>
      </w:r>
      <w:bookmarkEnd w:id="3"/>
      <w:r>
        <w:rPr>
          <w:sz w:val="24"/>
          <w:szCs w:val="24"/>
        </w:rPr>
        <w:t xml:space="preserve"> The degradation behavior of the thermogel and the H&amp;E-stained images of skin tissue after subcutaneous injection of thermogel.</w:t>
      </w:r>
    </w:p>
    <w:p w:rsidR="00E817D4" w:rsidRDefault="006F2E1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817D4" w:rsidRDefault="00E817D4">
      <w:pPr>
        <w:jc w:val="center"/>
        <w:rPr>
          <w:sz w:val="24"/>
          <w:szCs w:val="24"/>
        </w:rPr>
      </w:pPr>
    </w:p>
    <w:p w:rsidR="00E817D4" w:rsidRDefault="006F2E19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6203950"/>
            <wp:effectExtent l="0" t="0" r="254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0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7D4" w:rsidRDefault="006F2E1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Supplementary Figure S7. </w:t>
      </w:r>
      <w:r>
        <w:rPr>
          <w:rFonts w:hint="eastAsia"/>
          <w:sz w:val="24"/>
          <w:szCs w:val="24"/>
        </w:rPr>
        <w:t>Body weight and h</w:t>
      </w:r>
      <w:r>
        <w:rPr>
          <w:sz w:val="24"/>
          <w:szCs w:val="24"/>
        </w:rPr>
        <w:t xml:space="preserve">istopathological images of the </w:t>
      </w:r>
      <w:r>
        <w:rPr>
          <w:rFonts w:hint="eastAsia"/>
          <w:sz w:val="24"/>
          <w:szCs w:val="24"/>
        </w:rPr>
        <w:t>major</w:t>
      </w:r>
      <w:r>
        <w:rPr>
          <w:sz w:val="24"/>
          <w:szCs w:val="24"/>
        </w:rPr>
        <w:t xml:space="preserve"> organs, </w:t>
      </w:r>
      <w:r>
        <w:rPr>
          <w:rFonts w:hint="eastAsia"/>
          <w:sz w:val="24"/>
          <w:szCs w:val="24"/>
        </w:rPr>
        <w:t>including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spleen, lung, </w:t>
      </w:r>
      <w:r>
        <w:rPr>
          <w:sz w:val="24"/>
          <w:szCs w:val="24"/>
        </w:rPr>
        <w:t>liver,</w:t>
      </w:r>
      <w:r>
        <w:rPr>
          <w:rFonts w:hint="eastAsia"/>
          <w:sz w:val="24"/>
          <w:szCs w:val="24"/>
        </w:rPr>
        <w:t xml:space="preserve"> heart</w:t>
      </w:r>
      <w:r>
        <w:rPr>
          <w:sz w:val="24"/>
          <w:szCs w:val="24"/>
        </w:rPr>
        <w:t xml:space="preserve"> and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kidney obtained from the 4T1-bearing mice</w:t>
      </w:r>
      <w:r>
        <w:rPr>
          <w:rFonts w:hint="eastAsia"/>
          <w:sz w:val="24"/>
          <w:szCs w:val="24"/>
        </w:rPr>
        <w:t xml:space="preserve"> sacrificed at Day 15</w:t>
      </w:r>
      <w:r>
        <w:rPr>
          <w:sz w:val="24"/>
          <w:szCs w:val="24"/>
        </w:rPr>
        <w:t xml:space="preserve"> (scale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bar: 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00 μm).</w:t>
      </w:r>
    </w:p>
    <w:p w:rsidR="00E817D4" w:rsidRDefault="006F2E19">
      <w:pPr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noProof/>
          <w:sz w:val="24"/>
          <w:szCs w:val="24"/>
        </w:rPr>
        <w:lastRenderedPageBreak/>
        <w:drawing>
          <wp:inline distT="0" distB="0" distL="0" distR="0">
            <wp:extent cx="5274310" cy="533717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3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7D4" w:rsidRDefault="006F2E1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Supplementary Figure S8.</w:t>
      </w:r>
      <w:r>
        <w:rPr>
          <w:sz w:val="24"/>
          <w:szCs w:val="24"/>
        </w:rPr>
        <w:t xml:space="preserve"> </w:t>
      </w:r>
      <w:r>
        <w:rPr>
          <w:rFonts w:eastAsia="Times New Roman,Bold"/>
          <w:bCs/>
          <w:color w:val="000000"/>
          <w:kern w:val="0"/>
          <w:sz w:val="24"/>
          <w:szCs w:val="24"/>
        </w:rPr>
        <w:t xml:space="preserve">Representative flow cytometry profiles and quantitation of </w:t>
      </w:r>
      <w:r>
        <w:rPr>
          <w:rFonts w:eastAsia="Times New Roman,Bold" w:hint="eastAsia"/>
          <w:bCs/>
          <w:color w:val="000000"/>
          <w:kern w:val="0"/>
          <w:sz w:val="24"/>
          <w:szCs w:val="24"/>
        </w:rPr>
        <w:t>TH1 (</w:t>
      </w:r>
      <w:r>
        <w:rPr>
          <w:sz w:val="24"/>
          <w:szCs w:val="24"/>
        </w:rPr>
        <w:t>IFN-γ</w:t>
      </w:r>
      <w:r>
        <w:rPr>
          <w:sz w:val="24"/>
          <w:szCs w:val="24"/>
          <w:vertAlign w:val="superscript"/>
        </w:rPr>
        <w:t>+</w:t>
      </w:r>
      <w:r>
        <w:rPr>
          <w:sz w:val="24"/>
          <w:szCs w:val="24"/>
        </w:rPr>
        <w:t>CD4</w:t>
      </w:r>
      <w:r>
        <w:rPr>
          <w:sz w:val="24"/>
          <w:szCs w:val="24"/>
          <w:vertAlign w:val="superscript"/>
        </w:rPr>
        <w:t>+</w:t>
      </w:r>
      <w:r>
        <w:rPr>
          <w:rFonts w:hint="eastAsia"/>
          <w:bCs/>
          <w:kern w:val="0"/>
          <w:sz w:val="24"/>
          <w:szCs w:val="24"/>
        </w:rPr>
        <w:t>T)</w:t>
      </w:r>
      <w:r>
        <w:rPr>
          <w:bCs/>
          <w:kern w:val="0"/>
          <w:sz w:val="24"/>
          <w:szCs w:val="24"/>
        </w:rPr>
        <w:t xml:space="preserve"> cell, CTL (</w:t>
      </w:r>
      <w:r>
        <w:rPr>
          <w:sz w:val="24"/>
          <w:szCs w:val="24"/>
        </w:rPr>
        <w:t>IFN-γ</w:t>
      </w:r>
      <w:r>
        <w:rPr>
          <w:sz w:val="24"/>
          <w:szCs w:val="24"/>
          <w:vertAlign w:val="superscript"/>
        </w:rPr>
        <w:t>+</w:t>
      </w:r>
      <w:r>
        <w:rPr>
          <w:sz w:val="24"/>
          <w:szCs w:val="24"/>
        </w:rPr>
        <w:t>CD8</w:t>
      </w:r>
      <w:r>
        <w:rPr>
          <w:sz w:val="24"/>
          <w:szCs w:val="24"/>
          <w:vertAlign w:val="superscript"/>
        </w:rPr>
        <w:t>+</w:t>
      </w:r>
      <w:r>
        <w:rPr>
          <w:rFonts w:hint="eastAsia"/>
          <w:bCs/>
          <w:kern w:val="0"/>
          <w:sz w:val="24"/>
          <w:szCs w:val="24"/>
        </w:rPr>
        <w:t>T</w:t>
      </w:r>
      <w:r>
        <w:rPr>
          <w:bCs/>
          <w:kern w:val="0"/>
          <w:sz w:val="24"/>
          <w:szCs w:val="24"/>
        </w:rPr>
        <w:t xml:space="preserve">) cell, </w:t>
      </w:r>
      <w:r>
        <w:rPr>
          <w:rFonts w:eastAsia="Times New Roman,Bold"/>
          <w:bCs/>
          <w:color w:val="000000"/>
          <w:kern w:val="0"/>
          <w:sz w:val="24"/>
          <w:szCs w:val="24"/>
        </w:rPr>
        <w:t>and</w:t>
      </w:r>
      <w:r>
        <w:rPr>
          <w:bCs/>
          <w:kern w:val="0"/>
          <w:sz w:val="24"/>
          <w:szCs w:val="24"/>
        </w:rPr>
        <w:t xml:space="preserve"> Tregs (CD4</w:t>
      </w:r>
      <w:r>
        <w:rPr>
          <w:bCs/>
          <w:kern w:val="0"/>
          <w:sz w:val="24"/>
          <w:szCs w:val="24"/>
          <w:vertAlign w:val="superscript"/>
        </w:rPr>
        <w:t>+</w:t>
      </w:r>
      <w:r>
        <w:rPr>
          <w:bCs/>
          <w:kern w:val="0"/>
          <w:sz w:val="24"/>
          <w:szCs w:val="24"/>
        </w:rPr>
        <w:t>Fox</w:t>
      </w:r>
      <w:r>
        <w:rPr>
          <w:rFonts w:hint="eastAsia"/>
          <w:bCs/>
          <w:kern w:val="0"/>
          <w:sz w:val="24"/>
          <w:szCs w:val="24"/>
        </w:rPr>
        <w:t>p</w:t>
      </w:r>
      <w:r>
        <w:rPr>
          <w:bCs/>
          <w:kern w:val="0"/>
          <w:sz w:val="24"/>
          <w:szCs w:val="24"/>
        </w:rPr>
        <w:t>3</w:t>
      </w:r>
      <w:r>
        <w:rPr>
          <w:bCs/>
          <w:kern w:val="0"/>
          <w:sz w:val="24"/>
          <w:szCs w:val="24"/>
          <w:vertAlign w:val="superscript"/>
        </w:rPr>
        <w:t>+</w:t>
      </w:r>
      <w:r>
        <w:rPr>
          <w:rFonts w:hint="eastAsia"/>
          <w:bCs/>
          <w:kern w:val="0"/>
          <w:sz w:val="24"/>
          <w:szCs w:val="24"/>
          <w:vertAlign w:val="superscript"/>
        </w:rPr>
        <w:t xml:space="preserve"> </w:t>
      </w:r>
      <w:r>
        <w:rPr>
          <w:rFonts w:hint="eastAsia"/>
          <w:bCs/>
          <w:kern w:val="0"/>
          <w:sz w:val="24"/>
          <w:szCs w:val="24"/>
        </w:rPr>
        <w:t>T</w:t>
      </w:r>
      <w:r>
        <w:rPr>
          <w:bCs/>
          <w:kern w:val="0"/>
          <w:sz w:val="24"/>
          <w:szCs w:val="24"/>
        </w:rPr>
        <w:t xml:space="preserve">) </w:t>
      </w:r>
      <w:r>
        <w:rPr>
          <w:rFonts w:eastAsia="Times New Roman,Bold"/>
          <w:bCs/>
          <w:color w:val="000000"/>
          <w:kern w:val="0"/>
          <w:sz w:val="24"/>
          <w:szCs w:val="24"/>
        </w:rPr>
        <w:t xml:space="preserve">cell populations in spleen from tumor-bearing mice. </w:t>
      </w:r>
      <w:r>
        <w:rPr>
          <w:sz w:val="24"/>
          <w:szCs w:val="24"/>
        </w:rPr>
        <w:t>The data show mean ± SD from a representative experiment (n=3). *p &lt; 0.0</w:t>
      </w:r>
      <w:r>
        <w:rPr>
          <w:sz w:val="24"/>
          <w:szCs w:val="24"/>
        </w:rPr>
        <w:t>5, ** p &lt; 0.01 vs PBS.</w:t>
      </w:r>
    </w:p>
    <w:p w:rsidR="00E817D4" w:rsidRDefault="006F2E1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817D4" w:rsidRDefault="006F2E19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Supplementary Table S1</w:t>
      </w:r>
      <w:r>
        <w:rPr>
          <w:sz w:val="24"/>
          <w:szCs w:val="24"/>
        </w:rPr>
        <w:t>. Properties of different nanoparticles.</w:t>
      </w: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E817D4"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:rsidR="00E817D4" w:rsidRDefault="006F2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Sample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E817D4" w:rsidRDefault="006F2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%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E817D4" w:rsidRDefault="006F2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EE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%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E817D4">
        <w:tc>
          <w:tcPr>
            <w:tcW w:w="2840" w:type="dxa"/>
            <w:tcBorders>
              <w:top w:val="single" w:sz="4" w:space="0" w:color="auto"/>
            </w:tcBorders>
          </w:tcPr>
          <w:p w:rsidR="00E817D4" w:rsidRDefault="006F2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Rg3-NPs</w:t>
            </w:r>
          </w:p>
        </w:tc>
        <w:tc>
          <w:tcPr>
            <w:tcW w:w="2841" w:type="dxa"/>
            <w:tcBorders>
              <w:top w:val="single" w:sz="4" w:space="0" w:color="auto"/>
            </w:tcBorders>
          </w:tcPr>
          <w:p w:rsidR="00E817D4" w:rsidRDefault="006F2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8.7±1.2</w:t>
            </w:r>
          </w:p>
        </w:tc>
        <w:tc>
          <w:tcPr>
            <w:tcW w:w="2841" w:type="dxa"/>
            <w:tcBorders>
              <w:top w:val="single" w:sz="4" w:space="0" w:color="auto"/>
            </w:tcBorders>
          </w:tcPr>
          <w:p w:rsidR="00E817D4" w:rsidRDefault="006F2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50.3±2.3</w:t>
            </w:r>
          </w:p>
        </w:tc>
      </w:tr>
      <w:tr w:rsidR="00E817D4">
        <w:tc>
          <w:tcPr>
            <w:tcW w:w="2840" w:type="dxa"/>
          </w:tcPr>
          <w:p w:rsidR="00E817D4" w:rsidRDefault="006F2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Rg3-PNPs</w:t>
            </w:r>
          </w:p>
        </w:tc>
        <w:tc>
          <w:tcPr>
            <w:tcW w:w="2841" w:type="dxa"/>
          </w:tcPr>
          <w:p w:rsidR="00E817D4" w:rsidRDefault="006F2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9.2±1.7</w:t>
            </w:r>
          </w:p>
        </w:tc>
        <w:tc>
          <w:tcPr>
            <w:tcW w:w="2841" w:type="dxa"/>
          </w:tcPr>
          <w:p w:rsidR="00E817D4" w:rsidRDefault="006F2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53.6±1.8</w:t>
            </w:r>
          </w:p>
        </w:tc>
      </w:tr>
    </w:tbl>
    <w:p w:rsidR="00E817D4" w:rsidRDefault="006F2E19">
      <w:pPr>
        <w:rPr>
          <w:sz w:val="24"/>
          <w:szCs w:val="24"/>
        </w:rPr>
      </w:pPr>
      <w:r>
        <w:rPr>
          <w:sz w:val="24"/>
          <w:szCs w:val="24"/>
        </w:rPr>
        <w:t>The data are presented as means ± SD (</w:t>
      </w:r>
      <w:r>
        <w:rPr>
          <w:i/>
          <w:iCs/>
          <w:sz w:val="24"/>
          <w:szCs w:val="24"/>
        </w:rPr>
        <w:t>n</w:t>
      </w:r>
      <w:r>
        <w:rPr>
          <w:rFonts w:hint="eastAsia"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= 3).</w:t>
      </w:r>
    </w:p>
    <w:p w:rsidR="00E817D4" w:rsidRDefault="00E817D4">
      <w:pPr>
        <w:rPr>
          <w:sz w:val="24"/>
          <w:szCs w:val="24"/>
        </w:rPr>
      </w:pPr>
    </w:p>
    <w:p w:rsidR="00E817D4" w:rsidRDefault="006F2E19">
      <w:pPr>
        <w:rPr>
          <w:bCs/>
          <w:sz w:val="24"/>
          <w:szCs w:val="24"/>
        </w:rPr>
      </w:pPr>
      <w:r>
        <w:rPr>
          <w:b/>
          <w:sz w:val="24"/>
          <w:szCs w:val="24"/>
        </w:rPr>
        <w:t>Supplementary Table S2.</w:t>
      </w:r>
      <w:r>
        <w:rPr>
          <w:bCs/>
          <w:sz w:val="24"/>
          <w:szCs w:val="24"/>
        </w:rPr>
        <w:t xml:space="preserve"> Zeta potential of blank PPP and Rg3-PNPs+DOX@PPP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E817D4"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:rsidR="00E817D4" w:rsidRDefault="006F2E19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Time</w:t>
            </w:r>
            <w:r>
              <w:rPr>
                <w:rFonts w:hint="eastAsia"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Cs/>
                <w:color w:val="FF0000"/>
                <w:sz w:val="24"/>
                <w:szCs w:val="24"/>
              </w:rPr>
              <w:t>(day)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E817D4" w:rsidRDefault="006F2E19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P</w:t>
            </w:r>
            <w:r>
              <w:rPr>
                <w:bCs/>
                <w:sz w:val="24"/>
                <w:szCs w:val="24"/>
              </w:rPr>
              <w:t>PP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E817D4" w:rsidRDefault="006F2E19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Rg3-PNPs+DOX@PPP</w:t>
            </w:r>
          </w:p>
        </w:tc>
      </w:tr>
      <w:tr w:rsidR="00E817D4">
        <w:tc>
          <w:tcPr>
            <w:tcW w:w="2840" w:type="dxa"/>
            <w:tcBorders>
              <w:top w:val="single" w:sz="4" w:space="0" w:color="auto"/>
            </w:tcBorders>
          </w:tcPr>
          <w:p w:rsidR="00E817D4" w:rsidRDefault="006F2E19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</w:tcBorders>
          </w:tcPr>
          <w:p w:rsidR="00E817D4" w:rsidRDefault="006F2E19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0.51</w:t>
            </w:r>
            <w:r>
              <w:rPr>
                <w:sz w:val="24"/>
                <w:szCs w:val="24"/>
              </w:rPr>
              <w:t>±0.08</w:t>
            </w:r>
          </w:p>
        </w:tc>
        <w:tc>
          <w:tcPr>
            <w:tcW w:w="2841" w:type="dxa"/>
            <w:tcBorders>
              <w:top w:val="single" w:sz="4" w:space="0" w:color="auto"/>
            </w:tcBorders>
          </w:tcPr>
          <w:p w:rsidR="00E817D4" w:rsidRDefault="006F2E19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0.7</w:t>
            </w:r>
            <w:r>
              <w:rPr>
                <w:sz w:val="24"/>
                <w:szCs w:val="24"/>
              </w:rPr>
              <w:t>±</w:t>
            </w:r>
            <w:r>
              <w:rPr>
                <w:rFonts w:hint="eastAsia"/>
                <w:sz w:val="24"/>
                <w:szCs w:val="24"/>
              </w:rPr>
              <w:t>0.76</w:t>
            </w:r>
          </w:p>
        </w:tc>
      </w:tr>
      <w:tr w:rsidR="00E817D4">
        <w:tc>
          <w:tcPr>
            <w:tcW w:w="2840" w:type="dxa"/>
          </w:tcPr>
          <w:p w:rsidR="00E817D4" w:rsidRDefault="006F2E19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3</w:t>
            </w:r>
          </w:p>
        </w:tc>
        <w:tc>
          <w:tcPr>
            <w:tcW w:w="2841" w:type="dxa"/>
          </w:tcPr>
          <w:p w:rsidR="00E817D4" w:rsidRDefault="006F2E19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0.54</w:t>
            </w:r>
            <w:r>
              <w:rPr>
                <w:sz w:val="24"/>
                <w:szCs w:val="24"/>
              </w:rPr>
              <w:t>±0.07</w:t>
            </w:r>
          </w:p>
        </w:tc>
        <w:tc>
          <w:tcPr>
            <w:tcW w:w="2841" w:type="dxa"/>
          </w:tcPr>
          <w:p w:rsidR="00E817D4" w:rsidRDefault="006F2E19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9.8</w:t>
            </w:r>
            <w:r>
              <w:rPr>
                <w:sz w:val="24"/>
                <w:szCs w:val="24"/>
              </w:rPr>
              <w:t>±</w:t>
            </w:r>
            <w:r>
              <w:rPr>
                <w:rFonts w:hint="eastAsia"/>
                <w:sz w:val="24"/>
                <w:szCs w:val="24"/>
              </w:rPr>
              <w:t>0.73</w:t>
            </w:r>
          </w:p>
        </w:tc>
      </w:tr>
      <w:tr w:rsidR="00E817D4">
        <w:tc>
          <w:tcPr>
            <w:tcW w:w="2840" w:type="dxa"/>
          </w:tcPr>
          <w:p w:rsidR="00E817D4" w:rsidRDefault="006F2E19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5</w:t>
            </w:r>
          </w:p>
        </w:tc>
        <w:tc>
          <w:tcPr>
            <w:tcW w:w="2841" w:type="dxa"/>
          </w:tcPr>
          <w:p w:rsidR="00E817D4" w:rsidRDefault="006F2E19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0.57</w:t>
            </w:r>
            <w:r>
              <w:rPr>
                <w:sz w:val="24"/>
                <w:szCs w:val="24"/>
              </w:rPr>
              <w:t>±0.07</w:t>
            </w:r>
          </w:p>
        </w:tc>
        <w:tc>
          <w:tcPr>
            <w:tcW w:w="2841" w:type="dxa"/>
          </w:tcPr>
          <w:p w:rsidR="00E817D4" w:rsidRDefault="006F2E19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11.3</w:t>
            </w:r>
            <w:r>
              <w:rPr>
                <w:sz w:val="24"/>
                <w:szCs w:val="24"/>
              </w:rPr>
              <w:t>±</w:t>
            </w:r>
            <w:r>
              <w:rPr>
                <w:rFonts w:hint="eastAsia"/>
                <w:sz w:val="24"/>
                <w:szCs w:val="24"/>
              </w:rPr>
              <w:t>0.79</w:t>
            </w:r>
          </w:p>
        </w:tc>
      </w:tr>
      <w:tr w:rsidR="00E817D4">
        <w:tc>
          <w:tcPr>
            <w:tcW w:w="2840" w:type="dxa"/>
          </w:tcPr>
          <w:p w:rsidR="00E817D4" w:rsidRDefault="006F2E19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7</w:t>
            </w:r>
          </w:p>
        </w:tc>
        <w:tc>
          <w:tcPr>
            <w:tcW w:w="2841" w:type="dxa"/>
          </w:tcPr>
          <w:p w:rsidR="00E817D4" w:rsidRDefault="006F2E19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0.63</w:t>
            </w:r>
            <w:r>
              <w:rPr>
                <w:sz w:val="24"/>
                <w:szCs w:val="24"/>
              </w:rPr>
              <w:t>±0.06</w:t>
            </w:r>
          </w:p>
        </w:tc>
        <w:tc>
          <w:tcPr>
            <w:tcW w:w="2841" w:type="dxa"/>
          </w:tcPr>
          <w:p w:rsidR="00E817D4" w:rsidRDefault="006F2E19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11.7</w:t>
            </w:r>
            <w:r>
              <w:rPr>
                <w:sz w:val="24"/>
                <w:szCs w:val="24"/>
              </w:rPr>
              <w:t>±</w:t>
            </w:r>
            <w:r>
              <w:rPr>
                <w:rFonts w:hint="eastAsia"/>
                <w:sz w:val="24"/>
                <w:szCs w:val="24"/>
              </w:rPr>
              <w:t>0.81</w:t>
            </w:r>
          </w:p>
        </w:tc>
      </w:tr>
    </w:tbl>
    <w:p w:rsidR="00E817D4" w:rsidRDefault="00E817D4">
      <w:pPr>
        <w:rPr>
          <w:bCs/>
          <w:sz w:val="24"/>
          <w:szCs w:val="24"/>
        </w:rPr>
      </w:pPr>
    </w:p>
    <w:sectPr w:rsidR="00E817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E19" w:rsidRDefault="006F2E19">
      <w:pPr>
        <w:spacing w:line="240" w:lineRule="auto"/>
      </w:pPr>
      <w:r>
        <w:separator/>
      </w:r>
    </w:p>
  </w:endnote>
  <w:endnote w:type="continuationSeparator" w:id="0">
    <w:p w:rsidR="006F2E19" w:rsidRDefault="006F2E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,Bold">
    <w:altName w:val="宋体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E19" w:rsidRDefault="006F2E19">
      <w:r>
        <w:separator/>
      </w:r>
    </w:p>
  </w:footnote>
  <w:footnote w:type="continuationSeparator" w:id="0">
    <w:p w:rsidR="006F2E19" w:rsidRDefault="006F2E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VjNDNhZjYzZTYyNGY0ZGJlZTY3OWE5NDFiOWNiNmYifQ=="/>
  </w:docVars>
  <w:rsids>
    <w:rsidRoot w:val="00DE1C55"/>
    <w:rsid w:val="000142E3"/>
    <w:rsid w:val="0006470E"/>
    <w:rsid w:val="0006496A"/>
    <w:rsid w:val="00067240"/>
    <w:rsid w:val="00080BE2"/>
    <w:rsid w:val="00091EC8"/>
    <w:rsid w:val="000A28C4"/>
    <w:rsid w:val="000A4F75"/>
    <w:rsid w:val="000B23DC"/>
    <w:rsid w:val="000C0749"/>
    <w:rsid w:val="000C2273"/>
    <w:rsid w:val="000D1E8A"/>
    <w:rsid w:val="000E1269"/>
    <w:rsid w:val="001000BE"/>
    <w:rsid w:val="001073A8"/>
    <w:rsid w:val="001313E0"/>
    <w:rsid w:val="00185F43"/>
    <w:rsid w:val="001933C3"/>
    <w:rsid w:val="00197045"/>
    <w:rsid w:val="001A6F2E"/>
    <w:rsid w:val="001B0C2F"/>
    <w:rsid w:val="001F2CB7"/>
    <w:rsid w:val="00211FA4"/>
    <w:rsid w:val="0021289E"/>
    <w:rsid w:val="00224FBD"/>
    <w:rsid w:val="002269C0"/>
    <w:rsid w:val="00236171"/>
    <w:rsid w:val="00243F3B"/>
    <w:rsid w:val="00244FB7"/>
    <w:rsid w:val="002648CB"/>
    <w:rsid w:val="00295ED3"/>
    <w:rsid w:val="002B3789"/>
    <w:rsid w:val="002D53D2"/>
    <w:rsid w:val="002E0781"/>
    <w:rsid w:val="002E1C71"/>
    <w:rsid w:val="002F0CB3"/>
    <w:rsid w:val="002F5386"/>
    <w:rsid w:val="003038AF"/>
    <w:rsid w:val="003040A6"/>
    <w:rsid w:val="00305EDF"/>
    <w:rsid w:val="00310FBA"/>
    <w:rsid w:val="003158B3"/>
    <w:rsid w:val="00315C36"/>
    <w:rsid w:val="00322DCE"/>
    <w:rsid w:val="00324A39"/>
    <w:rsid w:val="0033604B"/>
    <w:rsid w:val="003401F4"/>
    <w:rsid w:val="00344CA6"/>
    <w:rsid w:val="00354A30"/>
    <w:rsid w:val="00366678"/>
    <w:rsid w:val="003B7C94"/>
    <w:rsid w:val="003D2E50"/>
    <w:rsid w:val="003D7E86"/>
    <w:rsid w:val="003F0176"/>
    <w:rsid w:val="004269C9"/>
    <w:rsid w:val="0044127F"/>
    <w:rsid w:val="00461343"/>
    <w:rsid w:val="00476CBD"/>
    <w:rsid w:val="00482A78"/>
    <w:rsid w:val="004C0721"/>
    <w:rsid w:val="004C090A"/>
    <w:rsid w:val="004C1BFC"/>
    <w:rsid w:val="004C69BB"/>
    <w:rsid w:val="004D0337"/>
    <w:rsid w:val="004F3038"/>
    <w:rsid w:val="004F5E21"/>
    <w:rsid w:val="00501185"/>
    <w:rsid w:val="00505AF2"/>
    <w:rsid w:val="005247C4"/>
    <w:rsid w:val="00534DA8"/>
    <w:rsid w:val="00547DED"/>
    <w:rsid w:val="0055335D"/>
    <w:rsid w:val="005C08AB"/>
    <w:rsid w:val="005E2942"/>
    <w:rsid w:val="005F628C"/>
    <w:rsid w:val="005F7142"/>
    <w:rsid w:val="0064365D"/>
    <w:rsid w:val="00662629"/>
    <w:rsid w:val="00664D51"/>
    <w:rsid w:val="00676A31"/>
    <w:rsid w:val="00685BFB"/>
    <w:rsid w:val="00697908"/>
    <w:rsid w:val="006B761F"/>
    <w:rsid w:val="006C2A63"/>
    <w:rsid w:val="006C2FA2"/>
    <w:rsid w:val="006D038C"/>
    <w:rsid w:val="006E1F2B"/>
    <w:rsid w:val="006F2E19"/>
    <w:rsid w:val="006F45E4"/>
    <w:rsid w:val="006F6135"/>
    <w:rsid w:val="00713DDE"/>
    <w:rsid w:val="0073077C"/>
    <w:rsid w:val="007553D1"/>
    <w:rsid w:val="007610A3"/>
    <w:rsid w:val="00773997"/>
    <w:rsid w:val="007762D8"/>
    <w:rsid w:val="007B1743"/>
    <w:rsid w:val="007B6B1A"/>
    <w:rsid w:val="007E654D"/>
    <w:rsid w:val="007F00CC"/>
    <w:rsid w:val="007F1BAA"/>
    <w:rsid w:val="0080429A"/>
    <w:rsid w:val="008165ED"/>
    <w:rsid w:val="00840171"/>
    <w:rsid w:val="008552FB"/>
    <w:rsid w:val="00883FF5"/>
    <w:rsid w:val="0089377F"/>
    <w:rsid w:val="00894481"/>
    <w:rsid w:val="008B1050"/>
    <w:rsid w:val="008B614C"/>
    <w:rsid w:val="008C4BCC"/>
    <w:rsid w:val="008D7B61"/>
    <w:rsid w:val="008F384A"/>
    <w:rsid w:val="00916974"/>
    <w:rsid w:val="00943418"/>
    <w:rsid w:val="00952DCC"/>
    <w:rsid w:val="0095416F"/>
    <w:rsid w:val="009769E4"/>
    <w:rsid w:val="0098613D"/>
    <w:rsid w:val="00992617"/>
    <w:rsid w:val="009A69C6"/>
    <w:rsid w:val="009D3772"/>
    <w:rsid w:val="009E341E"/>
    <w:rsid w:val="00A10D1A"/>
    <w:rsid w:val="00A118D4"/>
    <w:rsid w:val="00A20DAF"/>
    <w:rsid w:val="00A541CB"/>
    <w:rsid w:val="00A81913"/>
    <w:rsid w:val="00A87C00"/>
    <w:rsid w:val="00A96461"/>
    <w:rsid w:val="00A966CF"/>
    <w:rsid w:val="00AA6860"/>
    <w:rsid w:val="00AB73C6"/>
    <w:rsid w:val="00AE441E"/>
    <w:rsid w:val="00AF5860"/>
    <w:rsid w:val="00AF7EC8"/>
    <w:rsid w:val="00B06912"/>
    <w:rsid w:val="00B121C7"/>
    <w:rsid w:val="00B36669"/>
    <w:rsid w:val="00B4073C"/>
    <w:rsid w:val="00B43FB8"/>
    <w:rsid w:val="00B914FC"/>
    <w:rsid w:val="00B95837"/>
    <w:rsid w:val="00BD3F63"/>
    <w:rsid w:val="00BE18E2"/>
    <w:rsid w:val="00C037B6"/>
    <w:rsid w:val="00C21447"/>
    <w:rsid w:val="00C27D09"/>
    <w:rsid w:val="00C368BA"/>
    <w:rsid w:val="00C55108"/>
    <w:rsid w:val="00C56A5B"/>
    <w:rsid w:val="00C630C4"/>
    <w:rsid w:val="00C8792C"/>
    <w:rsid w:val="00C87B36"/>
    <w:rsid w:val="00C87ED2"/>
    <w:rsid w:val="00C90700"/>
    <w:rsid w:val="00C96EF5"/>
    <w:rsid w:val="00CA318E"/>
    <w:rsid w:val="00CB6E89"/>
    <w:rsid w:val="00CF1170"/>
    <w:rsid w:val="00CF53E7"/>
    <w:rsid w:val="00D154A0"/>
    <w:rsid w:val="00D22357"/>
    <w:rsid w:val="00D311A5"/>
    <w:rsid w:val="00D3154B"/>
    <w:rsid w:val="00D32198"/>
    <w:rsid w:val="00D513E6"/>
    <w:rsid w:val="00D55A6E"/>
    <w:rsid w:val="00D66C3E"/>
    <w:rsid w:val="00D82B4F"/>
    <w:rsid w:val="00D90965"/>
    <w:rsid w:val="00DC0F48"/>
    <w:rsid w:val="00DD0205"/>
    <w:rsid w:val="00DD368A"/>
    <w:rsid w:val="00DD5979"/>
    <w:rsid w:val="00DE1C55"/>
    <w:rsid w:val="00E10F30"/>
    <w:rsid w:val="00E128F0"/>
    <w:rsid w:val="00E12F7C"/>
    <w:rsid w:val="00E30D28"/>
    <w:rsid w:val="00E36225"/>
    <w:rsid w:val="00E70463"/>
    <w:rsid w:val="00E817D4"/>
    <w:rsid w:val="00E959A6"/>
    <w:rsid w:val="00EA228B"/>
    <w:rsid w:val="00EA2C44"/>
    <w:rsid w:val="00EC2EB0"/>
    <w:rsid w:val="00F0041D"/>
    <w:rsid w:val="00F13CBF"/>
    <w:rsid w:val="00F25352"/>
    <w:rsid w:val="00F363F8"/>
    <w:rsid w:val="00F36F36"/>
    <w:rsid w:val="00F5560F"/>
    <w:rsid w:val="00F65B48"/>
    <w:rsid w:val="00F802ED"/>
    <w:rsid w:val="00F93C6D"/>
    <w:rsid w:val="00F95E3A"/>
    <w:rsid w:val="00F9772F"/>
    <w:rsid w:val="00FC4ECA"/>
    <w:rsid w:val="00FD027A"/>
    <w:rsid w:val="00FF1D8E"/>
    <w:rsid w:val="00FF4860"/>
    <w:rsid w:val="062E69E4"/>
    <w:rsid w:val="5C51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75C3D"/>
  <w15:docId w15:val="{5D465932-42A3-44AB-8904-928733029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60" w:lineRule="auto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1"/>
    <w:uiPriority w:val="99"/>
    <w:unhideWhenUsed/>
    <w:qFormat/>
    <w:rPr>
      <w:kern w:val="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qFormat/>
    <w:rPr>
      <w:kern w:val="0"/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uiPriority w:val="99"/>
    <w:unhideWhenUsed/>
    <w:qFormat/>
    <w:rPr>
      <w:sz w:val="21"/>
      <w:szCs w:val="21"/>
    </w:rPr>
  </w:style>
  <w:style w:type="character" w:customStyle="1" w:styleId="ac">
    <w:name w:val="批注文字 字符"/>
    <w:uiPriority w:val="99"/>
    <w:qFormat/>
  </w:style>
  <w:style w:type="character" w:customStyle="1" w:styleId="1">
    <w:name w:val="批注文字 字符1"/>
    <w:basedOn w:val="a0"/>
    <w:link w:val="a3"/>
    <w:uiPriority w:val="99"/>
    <w:qFormat/>
  </w:style>
  <w:style w:type="character" w:customStyle="1" w:styleId="a5">
    <w:name w:val="批注框文本 字符"/>
    <w:basedOn w:val="a0"/>
    <w:link w:val="a4"/>
    <w:uiPriority w:val="99"/>
    <w:semiHidden/>
    <w:qFormat/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Pr>
      <w:kern w:val="2"/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447</Words>
  <Characters>2551</Characters>
  <Application>Microsoft Office Word</Application>
  <DocSecurity>0</DocSecurity>
  <Lines>21</Lines>
  <Paragraphs>5</Paragraphs>
  <ScaleCrop>false</ScaleCrop>
  <Company>Microsoft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 hao</dc:creator>
  <cp:lastModifiedBy>PC</cp:lastModifiedBy>
  <cp:revision>40</cp:revision>
  <cp:lastPrinted>2022-08-10T11:38:00Z</cp:lastPrinted>
  <dcterms:created xsi:type="dcterms:W3CDTF">2022-03-13T11:00:00Z</dcterms:created>
  <dcterms:modified xsi:type="dcterms:W3CDTF">2022-10-17T05:06:00Z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D96177C975AD4A78BCFDA817949C499F</vt:lpwstr>
  </property>
</Properties>
</file>