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75376" w14:textId="104C8860" w:rsidR="00823310" w:rsidRPr="004A69E4" w:rsidRDefault="00BD511A" w:rsidP="00462CB1">
      <w:pPr>
        <w:pStyle w:val="Title1"/>
        <w:spacing w:before="720"/>
        <w:jc w:val="both"/>
        <w:rPr>
          <w:rFonts w:ascii="Times New Roman" w:hAnsi="Times New Roman"/>
        </w:rPr>
      </w:pPr>
      <w:r w:rsidRPr="00D15306">
        <w:rPr>
          <w:rFonts w:ascii="Times New Roman" w:hAnsi="Times New Roman"/>
          <w:bCs/>
          <w:lang w:val="en-US"/>
        </w:rPr>
        <w:t>Development of a screening platfo</w:t>
      </w:r>
      <w:r w:rsidRPr="00A33F69">
        <w:rPr>
          <w:rFonts w:ascii="Times New Roman" w:hAnsi="Times New Roman"/>
          <w:bCs/>
          <w:lang w:val="en-US"/>
        </w:rPr>
        <w:t>rm to dis</w:t>
      </w:r>
      <w:r w:rsidRPr="004A69E4">
        <w:rPr>
          <w:rFonts w:ascii="Times New Roman" w:hAnsi="Times New Roman"/>
          <w:bCs/>
          <w:lang w:val="en-US"/>
        </w:rPr>
        <w:t xml:space="preserve">cover natural products active against SARS-CoV‑2 infection using lung organoid </w:t>
      </w:r>
      <w:proofErr w:type="gramStart"/>
      <w:r w:rsidRPr="004A69E4">
        <w:rPr>
          <w:rFonts w:ascii="Times New Roman" w:hAnsi="Times New Roman"/>
          <w:bCs/>
          <w:lang w:val="en-US"/>
        </w:rPr>
        <w:t>models</w:t>
      </w:r>
      <w:proofErr w:type="gramEnd"/>
    </w:p>
    <w:p w14:paraId="66DC323F" w14:textId="0DB3FC92" w:rsidR="00B141B8" w:rsidRPr="004A69E4" w:rsidRDefault="00B141B8" w:rsidP="00F259EC">
      <w:pPr>
        <w:pStyle w:val="Authors"/>
        <w:rPr>
          <w:rFonts w:ascii="Times New Roman" w:hAnsi="Times New Roman"/>
          <w:vertAlign w:val="superscript"/>
          <w:lang w:val="de-DE"/>
        </w:rPr>
      </w:pPr>
    </w:p>
    <w:p w14:paraId="69BFCFB0" w14:textId="77777777" w:rsidR="00F22CB1" w:rsidRPr="004A69E4" w:rsidRDefault="00F22CB1" w:rsidP="00F22CB1">
      <w:pPr>
        <w:spacing w:line="360" w:lineRule="auto"/>
        <w:jc w:val="both"/>
        <w:rPr>
          <w:vertAlign w:val="superscript"/>
          <w:lang w:val="en-GB"/>
        </w:rPr>
      </w:pPr>
      <w:r w:rsidRPr="004A69E4">
        <w:t>Joo-Eun Lee</w:t>
      </w:r>
      <w:r w:rsidRPr="004A69E4">
        <w:rPr>
          <w:vertAlign w:val="superscript"/>
        </w:rPr>
        <w:t>1,</w:t>
      </w:r>
      <w:r w:rsidRPr="004A69E4">
        <w:rPr>
          <w:rFonts w:hint="eastAsia"/>
          <w:vertAlign w:val="superscript"/>
          <w:lang w:eastAsia="ko-KR"/>
        </w:rPr>
        <w:t>a</w:t>
      </w:r>
      <w:r w:rsidRPr="004A69E4">
        <w:t>, Se Yun Jeong</w:t>
      </w:r>
      <w:r w:rsidRPr="004A69E4">
        <w:rPr>
          <w:vertAlign w:val="superscript"/>
        </w:rPr>
        <w:t>2,</w:t>
      </w:r>
      <w:r w:rsidRPr="004A69E4">
        <w:rPr>
          <w:rFonts w:hint="eastAsia"/>
          <w:vertAlign w:val="superscript"/>
          <w:lang w:eastAsia="ko-KR"/>
        </w:rPr>
        <w:t>a</w:t>
      </w:r>
      <w:r w:rsidRPr="004A69E4">
        <w:t>, Zijun Li</w:t>
      </w:r>
      <w:r w:rsidRPr="004A69E4">
        <w:rPr>
          <w:vertAlign w:val="superscript"/>
        </w:rPr>
        <w:t>1</w:t>
      </w:r>
      <w:r w:rsidRPr="004A69E4">
        <w:rPr>
          <w:rFonts w:hint="eastAsia"/>
          <w:vertAlign w:val="superscript"/>
        </w:rPr>
        <w:t>,</w:t>
      </w:r>
      <w:r w:rsidRPr="004A69E4">
        <w:rPr>
          <w:vertAlign w:val="superscript"/>
        </w:rPr>
        <w:t>3,a</w:t>
      </w:r>
      <w:r w:rsidRPr="004A69E4">
        <w:t>, Hyun-Yi Kim</w:t>
      </w:r>
      <w:r w:rsidRPr="004A69E4">
        <w:rPr>
          <w:vertAlign w:val="superscript"/>
        </w:rPr>
        <w:t>4</w:t>
      </w:r>
      <w:r w:rsidRPr="004A69E4">
        <w:t>, Hyun-Woo Kim</w:t>
      </w:r>
      <w:r w:rsidRPr="004A69E4">
        <w:rPr>
          <w:vertAlign w:val="superscript"/>
        </w:rPr>
        <w:t>5</w:t>
      </w:r>
      <w:r w:rsidRPr="004A69E4">
        <w:t>, Min Jeong Yoo</w:t>
      </w:r>
      <w:r w:rsidRPr="004A69E4">
        <w:rPr>
          <w:vertAlign w:val="superscript"/>
        </w:rPr>
        <w:t>2</w:t>
      </w:r>
      <w:r w:rsidRPr="004A69E4">
        <w:t>, Hee Joo Jang</w:t>
      </w:r>
      <w:r w:rsidRPr="004A69E4">
        <w:rPr>
          <w:vertAlign w:val="superscript"/>
        </w:rPr>
        <w:t>2</w:t>
      </w:r>
      <w:r w:rsidRPr="004A69E4">
        <w:t>, Do-Kyun Kim</w:t>
      </w:r>
      <w:r w:rsidRPr="004A69E4">
        <w:rPr>
          <w:vertAlign w:val="superscript"/>
        </w:rPr>
        <w:t>5</w:t>
      </w:r>
      <w:r w:rsidRPr="004A69E4">
        <w:t>, Namki Cho</w:t>
      </w:r>
      <w:r w:rsidRPr="004A69E4">
        <w:rPr>
          <w:vertAlign w:val="superscript"/>
        </w:rPr>
        <w:t>1</w:t>
      </w:r>
      <w:r w:rsidRPr="004A69E4">
        <w:t xml:space="preserve">, </w:t>
      </w:r>
      <w:r w:rsidRPr="004A69E4">
        <w:rPr>
          <w:bCs/>
        </w:rPr>
        <w:t>Hee Min Yoo</w:t>
      </w:r>
      <w:r w:rsidRPr="004A69E4">
        <w:rPr>
          <w:vertAlign w:val="superscript"/>
        </w:rPr>
        <w:t>3</w:t>
      </w:r>
      <w:r w:rsidRPr="004A69E4">
        <w:rPr>
          <w:rFonts w:hint="eastAsia"/>
          <w:vertAlign w:val="superscript"/>
        </w:rPr>
        <w:t>,</w:t>
      </w:r>
      <w:r w:rsidRPr="004A69E4">
        <w:rPr>
          <w:vertAlign w:val="superscript"/>
        </w:rPr>
        <w:t>6,</w:t>
      </w:r>
      <w:r w:rsidRPr="004A69E4">
        <w:rPr>
          <w:rFonts w:hint="eastAsia"/>
        </w:rPr>
        <w:t>*</w:t>
      </w:r>
      <w:r w:rsidRPr="004A69E4">
        <w:t xml:space="preserve"> ,Ki Hyun Kim</w:t>
      </w:r>
      <w:r w:rsidRPr="004A69E4">
        <w:rPr>
          <w:vertAlign w:val="superscript"/>
        </w:rPr>
        <w:t>2,</w:t>
      </w:r>
      <w:r w:rsidRPr="004A69E4">
        <w:t>*</w:t>
      </w:r>
    </w:p>
    <w:p w14:paraId="1BA6BE0C" w14:textId="77777777" w:rsidR="006B0E07" w:rsidRPr="004A69E4" w:rsidRDefault="006B0E07" w:rsidP="00F22CB1">
      <w:pPr>
        <w:spacing w:line="360" w:lineRule="auto"/>
        <w:jc w:val="both"/>
        <w:rPr>
          <w:lang w:val="en-GB"/>
        </w:rPr>
      </w:pPr>
    </w:p>
    <w:p w14:paraId="1C7673F4" w14:textId="77777777" w:rsidR="00F22CB1" w:rsidRPr="004A69E4" w:rsidRDefault="00F22CB1" w:rsidP="00F22CB1">
      <w:pPr>
        <w:spacing w:line="360" w:lineRule="auto"/>
        <w:jc w:val="both"/>
        <w:rPr>
          <w:vertAlign w:val="superscript"/>
        </w:rPr>
      </w:pPr>
      <w:r w:rsidRPr="004A69E4">
        <w:rPr>
          <w:vertAlign w:val="superscript"/>
        </w:rPr>
        <w:t>1</w:t>
      </w:r>
      <w:r w:rsidRPr="004A69E4">
        <w:t xml:space="preserve"> </w:t>
      </w:r>
      <w:r w:rsidRPr="004A69E4">
        <w:rPr>
          <w:i/>
          <w:iCs/>
        </w:rPr>
        <w:t>College of Pharmacy, Chonnam National University, Gwangju, 61186, Republic of Korea</w:t>
      </w:r>
    </w:p>
    <w:p w14:paraId="074B0F64" w14:textId="77777777" w:rsidR="00F22CB1" w:rsidRPr="004A69E4" w:rsidRDefault="00F22CB1" w:rsidP="00F22CB1">
      <w:pPr>
        <w:spacing w:line="360" w:lineRule="auto"/>
        <w:jc w:val="both"/>
      </w:pPr>
      <w:r w:rsidRPr="004A69E4">
        <w:rPr>
          <w:vertAlign w:val="superscript"/>
        </w:rPr>
        <w:t xml:space="preserve">2 </w:t>
      </w:r>
      <w:r w:rsidRPr="004A69E4">
        <w:rPr>
          <w:i/>
          <w:iCs/>
        </w:rPr>
        <w:t>School of Pharmacy, Sungkyunkwan University, Suwon 16419, Republic of Korea</w:t>
      </w:r>
    </w:p>
    <w:p w14:paraId="659A2832" w14:textId="77777777" w:rsidR="00F22CB1" w:rsidRPr="004A69E4" w:rsidRDefault="00F22CB1" w:rsidP="00F22CB1">
      <w:pPr>
        <w:spacing w:line="360" w:lineRule="auto"/>
        <w:jc w:val="both"/>
        <w:rPr>
          <w:i/>
          <w:iCs/>
        </w:rPr>
      </w:pPr>
      <w:r w:rsidRPr="004A69E4">
        <w:rPr>
          <w:vertAlign w:val="superscript"/>
          <w:lang w:val="en-GB"/>
        </w:rPr>
        <w:t xml:space="preserve">3 </w:t>
      </w:r>
      <w:r w:rsidRPr="004A69E4">
        <w:rPr>
          <w:i/>
          <w:iCs/>
        </w:rPr>
        <w:t>Biometrology Group, Korea Research Institute of Standards and Science (KRISS), Daejeon 34113, Republic of Korea</w:t>
      </w:r>
    </w:p>
    <w:p w14:paraId="66050132" w14:textId="77777777" w:rsidR="00F22CB1" w:rsidRPr="004A69E4" w:rsidRDefault="00F22CB1" w:rsidP="00F22CB1">
      <w:pPr>
        <w:spacing w:line="360" w:lineRule="auto"/>
        <w:jc w:val="both"/>
        <w:rPr>
          <w:i/>
          <w:lang w:val="en-GB"/>
        </w:rPr>
      </w:pPr>
      <w:r w:rsidRPr="004A69E4">
        <w:rPr>
          <w:vertAlign w:val="superscript"/>
        </w:rPr>
        <w:t>4</w:t>
      </w:r>
      <w:r w:rsidRPr="004A69E4">
        <w:t xml:space="preserve"> </w:t>
      </w:r>
      <w:proofErr w:type="spellStart"/>
      <w:r w:rsidRPr="004A69E4">
        <w:rPr>
          <w:i/>
          <w:lang w:val="en-GB"/>
        </w:rPr>
        <w:t>NGeneS</w:t>
      </w:r>
      <w:proofErr w:type="spellEnd"/>
      <w:r w:rsidRPr="004A69E4">
        <w:rPr>
          <w:i/>
          <w:lang w:val="en-GB"/>
        </w:rPr>
        <w:t xml:space="preserve"> Inc., </w:t>
      </w:r>
      <w:proofErr w:type="spellStart"/>
      <w:r w:rsidRPr="004A69E4">
        <w:rPr>
          <w:i/>
          <w:lang w:val="en-GB"/>
        </w:rPr>
        <w:t>Ansan</w:t>
      </w:r>
      <w:proofErr w:type="spellEnd"/>
      <w:r w:rsidRPr="004A69E4">
        <w:rPr>
          <w:i/>
          <w:lang w:val="en-GB"/>
        </w:rPr>
        <w:t xml:space="preserve"> 15495, </w:t>
      </w:r>
      <w:r w:rsidRPr="004A69E4">
        <w:rPr>
          <w:i/>
          <w:iCs/>
        </w:rPr>
        <w:t xml:space="preserve">Republic of </w:t>
      </w:r>
      <w:r w:rsidRPr="004A69E4">
        <w:rPr>
          <w:i/>
          <w:lang w:val="en-GB"/>
        </w:rPr>
        <w:t>Korea.</w:t>
      </w:r>
    </w:p>
    <w:p w14:paraId="690BBEBE" w14:textId="77777777" w:rsidR="00F22CB1" w:rsidRPr="004A69E4" w:rsidRDefault="00F22CB1" w:rsidP="00F22CB1">
      <w:pPr>
        <w:spacing w:line="360" w:lineRule="auto"/>
        <w:jc w:val="both"/>
        <w:rPr>
          <w:i/>
          <w:iCs/>
        </w:rPr>
      </w:pPr>
      <w:r w:rsidRPr="004A69E4">
        <w:rPr>
          <w:vertAlign w:val="superscript"/>
        </w:rPr>
        <w:t>5</w:t>
      </w:r>
      <w:r w:rsidRPr="004A69E4">
        <w:t xml:space="preserve"> </w:t>
      </w:r>
      <w:r w:rsidRPr="004A69E4">
        <w:rPr>
          <w:i/>
          <w:iCs/>
        </w:rPr>
        <w:t>Korea Zoonosis Research Institute, Jeonbuk National University, Iksan 54531, Republic of Korea</w:t>
      </w:r>
    </w:p>
    <w:p w14:paraId="02A1683A" w14:textId="77777777" w:rsidR="00F22CB1" w:rsidRPr="004A69E4" w:rsidRDefault="00F22CB1" w:rsidP="00F22CB1">
      <w:pPr>
        <w:spacing w:line="360" w:lineRule="auto"/>
        <w:jc w:val="both"/>
      </w:pPr>
      <w:r w:rsidRPr="004A69E4">
        <w:rPr>
          <w:vertAlign w:val="superscript"/>
        </w:rPr>
        <w:t>6</w:t>
      </w:r>
      <w:r w:rsidRPr="004A69E4">
        <w:t xml:space="preserve"> </w:t>
      </w:r>
      <w:r w:rsidRPr="004A69E4">
        <w:rPr>
          <w:i/>
          <w:iCs/>
        </w:rPr>
        <w:t>Department of Precision Measurement, University of Science and Technology (UST), Daejeon 34113, Republic of Korea</w:t>
      </w:r>
    </w:p>
    <w:p w14:paraId="21911F50" w14:textId="77777777" w:rsidR="006B0E07" w:rsidRPr="004A69E4" w:rsidRDefault="006B0E07" w:rsidP="006B0E07">
      <w:pPr>
        <w:pStyle w:val="Adress"/>
        <w:pBdr>
          <w:top w:val="single" w:sz="4" w:space="1" w:color="000000"/>
        </w:pBdr>
        <w:spacing w:line="360" w:lineRule="auto"/>
        <w:ind w:left="0" w:firstLine="0"/>
        <w:rPr>
          <w:rFonts w:ascii="Times New Roman" w:hAnsi="Times New Roman"/>
          <w:sz w:val="24"/>
          <w:szCs w:val="24"/>
        </w:rPr>
      </w:pPr>
    </w:p>
    <w:p w14:paraId="576B0645" w14:textId="4F029768" w:rsidR="006B0E07" w:rsidRPr="004A69E4" w:rsidRDefault="0033089C" w:rsidP="006B0E07">
      <w:pPr>
        <w:spacing w:line="360" w:lineRule="auto"/>
        <w:jc w:val="both"/>
        <w:rPr>
          <w:lang w:val="en-GB"/>
        </w:rPr>
      </w:pPr>
      <w:proofErr w:type="spellStart"/>
      <w:r w:rsidRPr="004A69E4">
        <w:rPr>
          <w:vertAlign w:val="superscript"/>
          <w:lang w:val="en-GB"/>
        </w:rPr>
        <w:t>a</w:t>
      </w:r>
      <w:proofErr w:type="spellEnd"/>
      <w:r w:rsidR="006B0E07" w:rsidRPr="004A69E4">
        <w:rPr>
          <w:vertAlign w:val="superscript"/>
          <w:lang w:val="en-GB"/>
        </w:rPr>
        <w:t xml:space="preserve"> </w:t>
      </w:r>
      <w:r w:rsidR="006B0E07" w:rsidRPr="004A69E4">
        <w:rPr>
          <w:lang w:val="en-GB"/>
        </w:rPr>
        <w:t xml:space="preserve">These authors contributed equally to this </w:t>
      </w:r>
      <w:proofErr w:type="gramStart"/>
      <w:r w:rsidR="006B0E07" w:rsidRPr="004A69E4">
        <w:rPr>
          <w:lang w:val="en-GB"/>
        </w:rPr>
        <w:t>work</w:t>
      </w:r>
      <w:proofErr w:type="gramEnd"/>
    </w:p>
    <w:p w14:paraId="3FDC6679" w14:textId="77777777" w:rsidR="006B0E07" w:rsidRPr="004A69E4" w:rsidRDefault="006B0E07" w:rsidP="006B0E07">
      <w:pPr>
        <w:spacing w:line="360" w:lineRule="auto"/>
        <w:jc w:val="both"/>
        <w:rPr>
          <w:vertAlign w:val="superscript"/>
          <w:lang w:val="en-GB"/>
        </w:rPr>
      </w:pPr>
    </w:p>
    <w:p w14:paraId="05540EE5" w14:textId="77777777" w:rsidR="006B0E07" w:rsidRPr="004A69E4" w:rsidRDefault="006B0E07" w:rsidP="006B0E07">
      <w:pPr>
        <w:spacing w:line="360" w:lineRule="auto"/>
        <w:jc w:val="both"/>
        <w:rPr>
          <w:lang w:val="en-GB"/>
        </w:rPr>
      </w:pPr>
    </w:p>
    <w:p w14:paraId="04CC1FFE" w14:textId="77777777" w:rsidR="006B0E07" w:rsidRPr="004A69E4" w:rsidRDefault="006B0E07" w:rsidP="006B0E07">
      <w:pPr>
        <w:spacing w:line="360" w:lineRule="auto"/>
        <w:jc w:val="both"/>
      </w:pPr>
      <w:r w:rsidRPr="004A69E4">
        <w:rPr>
          <w:i/>
        </w:rPr>
        <w:t>*</w:t>
      </w:r>
      <w:r w:rsidRPr="004A69E4">
        <w:t xml:space="preserve"> Corresponding authors: </w:t>
      </w:r>
    </w:p>
    <w:p w14:paraId="25F3FA9D" w14:textId="730B5120" w:rsidR="006B0E07" w:rsidRPr="004A69E4" w:rsidRDefault="006B0E07" w:rsidP="006B0E07">
      <w:pPr>
        <w:spacing w:line="360" w:lineRule="auto"/>
        <w:jc w:val="both"/>
      </w:pPr>
      <w:r w:rsidRPr="004A69E4">
        <w:t>Ki Hyun Kim</w:t>
      </w:r>
      <w:r w:rsidR="00BF08E9" w:rsidRPr="004A69E4">
        <w:rPr>
          <w:rFonts w:eastAsiaTheme="minorEastAsia"/>
          <w:vertAlign w:val="superscript"/>
          <w:lang w:eastAsia="ko-KR"/>
        </w:rPr>
        <w:t>1</w:t>
      </w:r>
      <w:r w:rsidRPr="004A69E4">
        <w:t>, Tel: +82-31-290-7700; Fax: +82-31-290-7730; E-mail: khkim83@skku.edu</w:t>
      </w:r>
    </w:p>
    <w:p w14:paraId="1BE21A60" w14:textId="07E57FC0" w:rsidR="006B0E07" w:rsidRPr="004A69E4" w:rsidRDefault="006B0E07" w:rsidP="006B0E07">
      <w:pPr>
        <w:spacing w:line="360" w:lineRule="auto"/>
        <w:jc w:val="both"/>
      </w:pPr>
      <w:bookmarkStart w:id="0" w:name="_Hlk86217619"/>
      <w:r w:rsidRPr="004A69E4">
        <w:rPr>
          <w:bCs/>
        </w:rPr>
        <w:t>Hee Min Yoo</w:t>
      </w:r>
      <w:r w:rsidR="00BF08E9" w:rsidRPr="004A69E4">
        <w:rPr>
          <w:rFonts w:eastAsiaTheme="minorEastAsia"/>
          <w:vertAlign w:val="superscript"/>
          <w:lang w:eastAsia="ko-KR"/>
        </w:rPr>
        <w:t>3</w:t>
      </w:r>
      <w:r w:rsidRPr="004A69E4">
        <w:rPr>
          <w:vertAlign w:val="superscript"/>
        </w:rPr>
        <w:t>,</w:t>
      </w:r>
      <w:r w:rsidR="00BF08E9" w:rsidRPr="004A69E4">
        <w:rPr>
          <w:rFonts w:eastAsiaTheme="minorEastAsia"/>
          <w:vertAlign w:val="superscript"/>
          <w:lang w:eastAsia="ko-KR"/>
        </w:rPr>
        <w:t>6</w:t>
      </w:r>
      <w:r w:rsidRPr="004A69E4">
        <w:t xml:space="preserve">, E-mail: </w:t>
      </w:r>
      <w:bookmarkEnd w:id="0"/>
      <w:r w:rsidRPr="004A69E4">
        <w:t>hmy@kriss.re.kr</w:t>
      </w:r>
    </w:p>
    <w:p w14:paraId="4CED1F77" w14:textId="77777777" w:rsidR="006B0E07" w:rsidRPr="004A69E4" w:rsidRDefault="006B0E07" w:rsidP="00F259EC">
      <w:pPr>
        <w:pStyle w:val="Authors"/>
        <w:rPr>
          <w:vertAlign w:val="superscript"/>
          <w:lang w:val="de-DE"/>
        </w:rPr>
      </w:pPr>
    </w:p>
    <w:p w14:paraId="1E3C1FEB" w14:textId="03A12F80" w:rsidR="00EE7B2C" w:rsidRPr="004A69E4" w:rsidRDefault="00EE7B2C" w:rsidP="00F259EC">
      <w:pPr>
        <w:pStyle w:val="Authors"/>
        <w:rPr>
          <w:vertAlign w:val="superscript"/>
          <w:lang w:val="en-US"/>
        </w:rPr>
      </w:pPr>
    </w:p>
    <w:p w14:paraId="29D79722" w14:textId="77777777" w:rsidR="001460A2" w:rsidRPr="004A69E4" w:rsidRDefault="001460A2" w:rsidP="001308BE">
      <w:pPr>
        <w:rPr>
          <w:lang w:val="en-US"/>
        </w:rPr>
        <w:sectPr w:rsidR="001460A2" w:rsidRPr="004A69E4" w:rsidSect="004E0056">
          <w:headerReference w:type="default" r:id="rId8"/>
          <w:footerReference w:type="default" r:id="rId9"/>
          <w:type w:val="continuous"/>
          <w:pgSz w:w="11906" w:h="16838" w:code="9"/>
          <w:pgMar w:top="1134" w:right="936" w:bottom="1134" w:left="936" w:header="1021" w:footer="0" w:gutter="0"/>
          <w:cols w:space="284"/>
          <w:docGrid w:linePitch="360"/>
        </w:sectPr>
      </w:pPr>
    </w:p>
    <w:p w14:paraId="4ECDB8E2" w14:textId="77777777" w:rsidR="00B1125C" w:rsidRPr="004A69E4" w:rsidRDefault="00B1125C" w:rsidP="000907F4">
      <w:pPr>
        <w:pStyle w:val="H1"/>
        <w:rPr>
          <w:rFonts w:ascii="Times New Roman" w:hAnsi="Times New Roman"/>
          <w:sz w:val="20"/>
          <w:szCs w:val="22"/>
        </w:rPr>
      </w:pPr>
      <w:r w:rsidRPr="004A69E4">
        <w:rPr>
          <w:rFonts w:ascii="Times New Roman" w:hAnsi="Times New Roman"/>
          <w:sz w:val="20"/>
          <w:szCs w:val="22"/>
        </w:rPr>
        <w:lastRenderedPageBreak/>
        <w:t>Table of Contents</w:t>
      </w:r>
    </w:p>
    <w:p w14:paraId="6301E737" w14:textId="283A2A91" w:rsidR="00B40470" w:rsidRPr="004A69E4" w:rsidRDefault="00D15306" w:rsidP="0096551A">
      <w:pPr>
        <w:rPr>
          <w:b/>
          <w:bCs/>
          <w:iCs/>
          <w:sz w:val="20"/>
          <w:lang w:val="en-US" w:bidi="en-US"/>
        </w:rPr>
      </w:pPr>
      <w:r w:rsidRPr="004A69E4">
        <w:rPr>
          <w:rStyle w:val="Comment"/>
          <w:rFonts w:ascii="Times New Roman" w:hAnsi="Times New Roman"/>
          <w:b/>
          <w:bCs/>
          <w:color w:val="auto"/>
          <w:sz w:val="20"/>
          <w:lang w:val="en-US"/>
        </w:rPr>
        <w:t>Supplemental Methods</w:t>
      </w:r>
    </w:p>
    <w:p w14:paraId="37C58BE4" w14:textId="6FC7E750" w:rsidR="0096551A" w:rsidRPr="004A69E4" w:rsidRDefault="0096551A" w:rsidP="0096551A">
      <w:pPr>
        <w:rPr>
          <w:b/>
          <w:bCs/>
          <w:iCs/>
          <w:sz w:val="20"/>
          <w:vertAlign w:val="superscript"/>
          <w:lang w:val="en-US" w:bidi="en-US"/>
        </w:rPr>
      </w:pPr>
      <w:r w:rsidRPr="004A69E4">
        <w:rPr>
          <w:b/>
          <w:bCs/>
          <w:iCs/>
          <w:sz w:val="20"/>
          <w:lang w:val="en-US" w:bidi="en-US"/>
        </w:rPr>
        <w:t xml:space="preserve">Table S1. </w:t>
      </w:r>
      <w:r w:rsidRPr="004A69E4">
        <w:rPr>
          <w:bCs/>
          <w:iCs/>
          <w:sz w:val="20"/>
          <w:vertAlign w:val="superscript"/>
          <w:lang w:val="en-US" w:bidi="en-US"/>
        </w:rPr>
        <w:t>1</w:t>
      </w:r>
      <w:r w:rsidRPr="004A69E4">
        <w:rPr>
          <w:bCs/>
          <w:iCs/>
          <w:sz w:val="20"/>
          <w:lang w:val="en-US" w:bidi="en-US"/>
        </w:rPr>
        <w:t xml:space="preserve">H (850 MHz) and </w:t>
      </w:r>
      <w:r w:rsidRPr="004A69E4">
        <w:rPr>
          <w:bCs/>
          <w:iCs/>
          <w:sz w:val="20"/>
          <w:vertAlign w:val="superscript"/>
          <w:lang w:val="en-US" w:bidi="en-US"/>
        </w:rPr>
        <w:t>13</w:t>
      </w:r>
      <w:r w:rsidRPr="004A69E4">
        <w:rPr>
          <w:bCs/>
          <w:iCs/>
          <w:sz w:val="20"/>
          <w:lang w:val="en-US" w:bidi="en-US"/>
        </w:rPr>
        <w:t xml:space="preserve">C NMR (212.5 MHz) data for compounds </w:t>
      </w:r>
      <w:r w:rsidRPr="004A69E4">
        <w:rPr>
          <w:b/>
          <w:bCs/>
          <w:iCs/>
          <w:sz w:val="20"/>
          <w:lang w:val="en-US" w:bidi="en-US"/>
        </w:rPr>
        <w:t>M-1</w:t>
      </w:r>
      <w:r w:rsidRPr="004A69E4">
        <w:rPr>
          <w:bCs/>
          <w:iCs/>
          <w:sz w:val="20"/>
          <w:lang w:val="en-US" w:bidi="en-US"/>
        </w:rPr>
        <w:t xml:space="preserve"> and </w:t>
      </w:r>
      <w:r w:rsidRPr="004A69E4">
        <w:rPr>
          <w:b/>
          <w:bCs/>
          <w:iCs/>
          <w:sz w:val="20"/>
          <w:lang w:val="en-US" w:bidi="en-US"/>
        </w:rPr>
        <w:t>M-2</w:t>
      </w:r>
      <w:r w:rsidRPr="004A69E4">
        <w:rPr>
          <w:bCs/>
          <w:iCs/>
          <w:sz w:val="20"/>
          <w:lang w:val="en-US" w:bidi="en-US"/>
        </w:rPr>
        <w:t xml:space="preserve"> in CD</w:t>
      </w:r>
      <w:r w:rsidRPr="004A69E4">
        <w:rPr>
          <w:bCs/>
          <w:iCs/>
          <w:sz w:val="20"/>
          <w:vertAlign w:val="subscript"/>
          <w:lang w:val="en-US" w:bidi="en-US"/>
        </w:rPr>
        <w:t>3</w:t>
      </w:r>
      <w:r w:rsidRPr="004A69E4">
        <w:rPr>
          <w:bCs/>
          <w:iCs/>
          <w:sz w:val="20"/>
          <w:lang w:val="en-US" w:bidi="en-US"/>
        </w:rPr>
        <w:t>OD (</w:t>
      </w:r>
      <w:r w:rsidRPr="004A69E4">
        <w:rPr>
          <w:bCs/>
          <w:iCs/>
          <w:sz w:val="20"/>
          <w:lang w:val="en-US" w:bidi="en-US"/>
        </w:rPr>
        <w:sym w:font="Symbol" w:char="F064"/>
      </w:r>
      <w:r w:rsidRPr="004A69E4">
        <w:rPr>
          <w:bCs/>
          <w:iCs/>
          <w:sz w:val="20"/>
          <w:lang w:val="en-US" w:bidi="en-US"/>
        </w:rPr>
        <w:t xml:space="preserve"> ppm) </w:t>
      </w:r>
    </w:p>
    <w:p w14:paraId="48C4795A" w14:textId="53064FB7" w:rsidR="00536502" w:rsidRPr="004A69E4" w:rsidRDefault="00536502" w:rsidP="00794DEA">
      <w:pPr>
        <w:rPr>
          <w:b/>
          <w:sz w:val="20"/>
        </w:rPr>
      </w:pPr>
    </w:p>
    <w:p w14:paraId="342D00D0" w14:textId="04DD038C" w:rsidR="00957410" w:rsidRPr="004A69E4" w:rsidRDefault="00957410" w:rsidP="00794DEA">
      <w:pPr>
        <w:rPr>
          <w:b/>
          <w:sz w:val="20"/>
        </w:rPr>
      </w:pPr>
      <w:r w:rsidRPr="004A69E4">
        <w:rPr>
          <w:b/>
          <w:sz w:val="20"/>
        </w:rPr>
        <w:t>Natural Products Library Selection and Structure Characterization</w:t>
      </w:r>
    </w:p>
    <w:p w14:paraId="535A8169" w14:textId="77777777" w:rsidR="00A1204F" w:rsidRPr="004A69E4" w:rsidRDefault="00A1204F" w:rsidP="00A1204F">
      <w:pPr>
        <w:spacing w:line="276" w:lineRule="auto"/>
        <w:jc w:val="both"/>
        <w:rPr>
          <w:bCs/>
          <w:noProof/>
          <w:sz w:val="20"/>
        </w:rPr>
      </w:pPr>
      <w:r w:rsidRPr="004A69E4">
        <w:rPr>
          <w:b/>
          <w:noProof/>
          <w:sz w:val="20"/>
          <w:lang w:val="en-US" w:eastAsia="ko-KR"/>
        </w:rPr>
        <mc:AlternateContent>
          <mc:Choice Requires="wps">
            <w:drawing>
              <wp:anchor distT="0" distB="0" distL="114300" distR="114300" simplePos="0" relativeHeight="251696128" behindDoc="0" locked="0" layoutInCell="1" allowOverlap="1" wp14:anchorId="522388F0" wp14:editId="6DFA5AA0">
                <wp:simplePos x="0" y="0"/>
                <wp:positionH relativeFrom="column">
                  <wp:posOffset>1372235</wp:posOffset>
                </wp:positionH>
                <wp:positionV relativeFrom="paragraph">
                  <wp:posOffset>95250</wp:posOffset>
                </wp:positionV>
                <wp:extent cx="153035" cy="0"/>
                <wp:effectExtent l="0" t="19050" r="37465" b="19050"/>
                <wp:wrapNone/>
                <wp:docPr id="1" name="직선 연결선 1"/>
                <wp:cNvGraphicFramePr/>
                <a:graphic xmlns:a="http://schemas.openxmlformats.org/drawingml/2006/main">
                  <a:graphicData uri="http://schemas.microsoft.com/office/word/2010/wordprocessingShape">
                    <wps:wsp>
                      <wps:cNvCnPr/>
                      <wps:spPr>
                        <a:xfrm>
                          <a:off x="0" y="0"/>
                          <a:ext cx="153035" cy="0"/>
                        </a:xfrm>
                        <a:prstGeom prst="line">
                          <a:avLst/>
                        </a:prstGeom>
                        <a:ln w="28575">
                          <a:solidFill>
                            <a:srgbClr val="0E14F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03D3E" id="직선 연결선 1"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05pt,7.5pt" to="120.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" strokecolor="#0e14fe" strokeweight="2.25pt">
                <v:stroke joinstyle="miter"/>
              </v:line>
            </w:pict>
          </mc:Fallback>
        </mc:AlternateContent>
      </w:r>
      <w:r w:rsidRPr="004A69E4">
        <w:rPr>
          <w:b/>
          <w:bCs/>
          <w:noProof/>
          <w:sz w:val="20"/>
        </w:rPr>
        <w:t>Figure S1.</w:t>
      </w:r>
      <w:r w:rsidRPr="004A69E4">
        <w:rPr>
          <w:bCs/>
          <w:noProof/>
          <w:sz w:val="20"/>
        </w:rPr>
        <w:t xml:space="preserve"> </w:t>
      </w:r>
      <w:r w:rsidRPr="004A69E4">
        <w:rPr>
          <w:sz w:val="20"/>
          <w:vertAlign w:val="superscript"/>
        </w:rPr>
        <w:t>1</w:t>
      </w:r>
      <w:r w:rsidRPr="004A69E4">
        <w:rPr>
          <w:sz w:val="20"/>
        </w:rPr>
        <w:t>H</w:t>
      </w:r>
      <w:r w:rsidRPr="004A69E4">
        <w:rPr>
          <w:bCs/>
          <w:sz w:val="20"/>
        </w:rPr>
        <w:t>−</w:t>
      </w:r>
      <w:r w:rsidRPr="004A69E4">
        <w:rPr>
          <w:sz w:val="20"/>
          <w:vertAlign w:val="superscript"/>
        </w:rPr>
        <w:t>1</w:t>
      </w:r>
      <w:r w:rsidRPr="004A69E4">
        <w:rPr>
          <w:sz w:val="20"/>
        </w:rPr>
        <w:t>H COSY (     ) and key HMBC (</w:t>
      </w:r>
      <w:r w:rsidRPr="004A69E4">
        <w:rPr>
          <w:sz w:val="20"/>
        </w:rPr>
        <w:object w:dxaOrig="505" w:dyaOrig="159" w14:anchorId="4128BFFF">
          <v:shape id="_x0000_i1026" type="#_x0000_t75" style="width:25.05pt;height:8.75pt" o:ole="">
            <v:imagedata r:id="rId10" o:title=""/>
          </v:shape>
          <o:OLEObject Type="Embed" ProgID="ChemDraw.Document.6.0" ShapeID="_x0000_i1026" DrawAspect="Content" ObjectID="_1736362175" r:id="rId11"/>
        </w:object>
      </w:r>
      <w:r w:rsidRPr="004A69E4">
        <w:rPr>
          <w:sz w:val="20"/>
        </w:rPr>
        <w:t xml:space="preserve">) correlations of compounds </w:t>
      </w:r>
      <w:r w:rsidRPr="004A69E4">
        <w:rPr>
          <w:b/>
          <w:bCs/>
          <w:iCs/>
          <w:sz w:val="20"/>
        </w:rPr>
        <w:t>M-1</w:t>
      </w:r>
      <w:r w:rsidRPr="004A69E4">
        <w:rPr>
          <w:iCs/>
          <w:sz w:val="20"/>
        </w:rPr>
        <w:t xml:space="preserve"> and </w:t>
      </w:r>
      <w:r w:rsidRPr="004A69E4">
        <w:rPr>
          <w:b/>
          <w:bCs/>
          <w:iCs/>
          <w:sz w:val="20"/>
        </w:rPr>
        <w:t>M-2</w:t>
      </w:r>
      <w:r w:rsidRPr="004A69E4">
        <w:rPr>
          <w:sz w:val="20"/>
        </w:rPr>
        <w:t>.</w:t>
      </w:r>
    </w:p>
    <w:p w14:paraId="32E53553" w14:textId="20AE2C26" w:rsidR="00957410" w:rsidRPr="004A69E4" w:rsidRDefault="00957410" w:rsidP="00794DEA">
      <w:pPr>
        <w:rPr>
          <w:b/>
          <w:sz w:val="20"/>
        </w:rPr>
      </w:pPr>
    </w:p>
    <w:p w14:paraId="04F5FBF2" w14:textId="4C456D5B" w:rsidR="0096551A" w:rsidRPr="004A69E4" w:rsidRDefault="0096551A" w:rsidP="00794DEA">
      <w:pPr>
        <w:rPr>
          <w:rStyle w:val="Comment"/>
          <w:rFonts w:ascii="Times New Roman" w:hAnsi="Times New Roman"/>
          <w:color w:val="auto"/>
          <w:sz w:val="20"/>
          <w:lang w:val="en-US"/>
        </w:rPr>
      </w:pPr>
      <w:r w:rsidRPr="004A69E4">
        <w:rPr>
          <w:b/>
          <w:sz w:val="20"/>
        </w:rPr>
        <w:t>Figure S</w:t>
      </w:r>
      <w:r w:rsidR="00DB0021" w:rsidRPr="004A69E4">
        <w:rPr>
          <w:b/>
          <w:sz w:val="20"/>
        </w:rPr>
        <w:t>2</w:t>
      </w:r>
      <w:r w:rsidRPr="004A69E4">
        <w:rPr>
          <w:b/>
          <w:sz w:val="20"/>
        </w:rPr>
        <w:t>.</w:t>
      </w:r>
      <w:r w:rsidRPr="004A69E4">
        <w:rPr>
          <w:sz w:val="20"/>
        </w:rPr>
        <w:t xml:space="preserve"> </w:t>
      </w:r>
      <w:r w:rsidR="00770DCA" w:rsidRPr="004A69E4">
        <w:rPr>
          <w:sz w:val="20"/>
        </w:rPr>
        <w:t>Modeling SARS-CoV-2 infection using hiPSC differentiation into lung organoids</w:t>
      </w:r>
      <w:r w:rsidR="00190419" w:rsidRPr="004A69E4">
        <w:rPr>
          <w:sz w:val="20"/>
        </w:rPr>
        <w:t xml:space="preserve"> (LOs)</w:t>
      </w:r>
      <w:r w:rsidR="00770DCA" w:rsidRPr="004A69E4">
        <w:rPr>
          <w:sz w:val="20"/>
        </w:rPr>
        <w:t>.</w:t>
      </w:r>
    </w:p>
    <w:p w14:paraId="66C1EA3E" w14:textId="77777777" w:rsidR="00A3034C" w:rsidRPr="004A69E4" w:rsidRDefault="00A3034C" w:rsidP="00A3034C">
      <w:r w:rsidRPr="004A69E4">
        <w:rPr>
          <w:b/>
          <w:sz w:val="20"/>
        </w:rPr>
        <w:t>Figure S3</w:t>
      </w:r>
      <w:r w:rsidRPr="004A69E4">
        <w:rPr>
          <w:sz w:val="20"/>
        </w:rPr>
        <w:t>. Inhibition of SARS-CoV-2 variant infection of Calu-3 cells.</w:t>
      </w:r>
    </w:p>
    <w:p w14:paraId="45708CAC" w14:textId="11B8132C" w:rsidR="009B42A6" w:rsidRPr="004A69E4" w:rsidRDefault="00A3034C" w:rsidP="00A3034C">
      <w:pPr>
        <w:rPr>
          <w:b/>
          <w:sz w:val="20"/>
        </w:rPr>
      </w:pPr>
      <w:r w:rsidRPr="004A69E4">
        <w:rPr>
          <w:b/>
          <w:sz w:val="20"/>
        </w:rPr>
        <w:t>Figure S4</w:t>
      </w:r>
      <w:r w:rsidRPr="004A69E4">
        <w:rPr>
          <w:sz w:val="20"/>
        </w:rPr>
        <w:t xml:space="preserve">. </w:t>
      </w:r>
      <w:r w:rsidR="009B42A6" w:rsidRPr="004A69E4">
        <w:rPr>
          <w:sz w:val="20"/>
        </w:rPr>
        <w:t>The enriched gene sets in control (GFP) or pseudovirus of SARS-CoV-2 Omicron variant infected in human LOs</w:t>
      </w:r>
      <w:r w:rsidR="009B42A6" w:rsidRPr="004A69E4">
        <w:rPr>
          <w:b/>
          <w:sz w:val="20"/>
        </w:rPr>
        <w:t>.</w:t>
      </w:r>
    </w:p>
    <w:p w14:paraId="2D85A129" w14:textId="50E6E874" w:rsidR="00A3034C" w:rsidRPr="004A69E4" w:rsidRDefault="00A3034C" w:rsidP="00A3034C">
      <w:r w:rsidRPr="004A69E4">
        <w:rPr>
          <w:b/>
          <w:sz w:val="20"/>
        </w:rPr>
        <w:t>Figure S5</w:t>
      </w:r>
      <w:r w:rsidRPr="004A69E4">
        <w:rPr>
          <w:sz w:val="20"/>
        </w:rPr>
        <w:t>. Differentially expressed gene (DEG) and gene ontology (GO) analyses of transcriptome in the control (GFP) and SARS-CoV-2 Omicron variant pseudovirus-infected human LOs.</w:t>
      </w:r>
    </w:p>
    <w:p w14:paraId="7A8469BF" w14:textId="77777777" w:rsidR="00A3034C" w:rsidRPr="004A69E4" w:rsidRDefault="00A3034C" w:rsidP="00A3034C">
      <w:r w:rsidRPr="004A69E4">
        <w:rPr>
          <w:b/>
          <w:sz w:val="20"/>
        </w:rPr>
        <w:t>Figure S6</w:t>
      </w:r>
      <w:r w:rsidRPr="004A69E4">
        <w:rPr>
          <w:sz w:val="20"/>
        </w:rPr>
        <w:t>. The subtype variation analysis</w:t>
      </w:r>
      <w:r w:rsidRPr="004A69E4">
        <w:rPr>
          <w:rFonts w:eastAsiaTheme="minorEastAsia"/>
          <w:sz w:val="20"/>
          <w:lang w:eastAsia="ko-KR"/>
        </w:rPr>
        <w:t>.</w:t>
      </w:r>
    </w:p>
    <w:p w14:paraId="44D9CC02" w14:textId="77777777" w:rsidR="00A3034C" w:rsidRPr="004A69E4" w:rsidRDefault="00A3034C" w:rsidP="00A3034C">
      <w:r w:rsidRPr="004A69E4">
        <w:rPr>
          <w:b/>
          <w:sz w:val="20"/>
        </w:rPr>
        <w:t>Figure S7</w:t>
      </w:r>
      <w:r w:rsidRPr="004A69E4">
        <w:rPr>
          <w:sz w:val="20"/>
        </w:rPr>
        <w:t>. Differentially expressed gene (DEG), gene ontology (GO), and gene set variation analysis (GSVA) of PV-uninfected or infected LOs on gene sets of the COVID-19 patient samples.</w:t>
      </w:r>
    </w:p>
    <w:p w14:paraId="727439DF" w14:textId="77777777" w:rsidR="00A3034C" w:rsidRPr="004A69E4" w:rsidRDefault="00A3034C" w:rsidP="00A3034C">
      <w:r w:rsidRPr="004A69E4">
        <w:rPr>
          <w:b/>
          <w:sz w:val="20"/>
        </w:rPr>
        <w:t>Figure S8</w:t>
      </w:r>
      <w:r w:rsidRPr="004A69E4">
        <w:rPr>
          <w:sz w:val="20"/>
        </w:rPr>
        <w:t>. Kyoto Encyclopedia of Genes and Genomes (KEGG) pathway and differentially expressed genes (DEGs)</w:t>
      </w:r>
    </w:p>
    <w:p w14:paraId="6FDD1559" w14:textId="77777777" w:rsidR="00A3034C" w:rsidRPr="004A69E4" w:rsidRDefault="00A3034C" w:rsidP="00A3034C">
      <w:r w:rsidRPr="004A69E4">
        <w:rPr>
          <w:b/>
          <w:sz w:val="20"/>
        </w:rPr>
        <w:t>Figure S9</w:t>
      </w:r>
      <w:r w:rsidRPr="004A69E4">
        <w:rPr>
          <w:sz w:val="20"/>
        </w:rPr>
        <w:t>. Gene ontology (GO) and differentially expressed gene (DEG) of PV-uninfected or infected LOs.</w:t>
      </w:r>
    </w:p>
    <w:p w14:paraId="0F88E28F" w14:textId="77777777" w:rsidR="00A3034C" w:rsidRPr="004A69E4" w:rsidRDefault="00A3034C" w:rsidP="00A3034C">
      <w:r w:rsidRPr="004A69E4">
        <w:rPr>
          <w:b/>
          <w:sz w:val="20"/>
        </w:rPr>
        <w:t>Figure S10</w:t>
      </w:r>
      <w:r w:rsidRPr="004A69E4">
        <w:rPr>
          <w:sz w:val="20"/>
        </w:rPr>
        <w:t>. Disease Ontology (DO) enrichment analyses.</w:t>
      </w:r>
    </w:p>
    <w:p w14:paraId="7DF44E27" w14:textId="77777777" w:rsidR="0045352B" w:rsidRPr="004A69E4" w:rsidRDefault="0045352B" w:rsidP="00794DEA">
      <w:pPr>
        <w:rPr>
          <w:rStyle w:val="Comment"/>
          <w:rFonts w:ascii="Times New Roman" w:hAnsi="Times New Roman"/>
          <w:b/>
          <w:bCs/>
          <w:color w:val="auto"/>
          <w:sz w:val="20"/>
          <w:lang w:val="en-US"/>
        </w:rPr>
      </w:pPr>
    </w:p>
    <w:p w14:paraId="02461B6E" w14:textId="0A596C35" w:rsidR="0096551A" w:rsidRPr="004A69E4" w:rsidRDefault="0096551A" w:rsidP="00794DEA">
      <w:pPr>
        <w:rPr>
          <w:rStyle w:val="Comment"/>
          <w:rFonts w:ascii="Times New Roman" w:hAnsi="Times New Roman"/>
          <w:color w:val="auto"/>
          <w:sz w:val="20"/>
          <w:lang w:val="en-US"/>
        </w:rPr>
      </w:pPr>
      <w:r w:rsidRPr="004A69E4">
        <w:rPr>
          <w:rStyle w:val="Comment"/>
          <w:rFonts w:ascii="Times New Roman" w:hAnsi="Times New Roman"/>
          <w:b/>
          <w:bCs/>
          <w:color w:val="auto"/>
          <w:sz w:val="20"/>
          <w:lang w:val="en-US"/>
        </w:rPr>
        <w:t>HR-MS, and 1D- and 2D-NMR data for compounds M-1 and M-2</w:t>
      </w:r>
      <w:r w:rsidR="00C43967" w:rsidRPr="004A69E4">
        <w:rPr>
          <w:rStyle w:val="Comment"/>
          <w:rFonts w:ascii="Times New Roman" w:hAnsi="Times New Roman"/>
          <w:color w:val="auto"/>
          <w:sz w:val="20"/>
          <w:lang w:val="en-US"/>
        </w:rPr>
        <w:t xml:space="preserve"> </w:t>
      </w:r>
    </w:p>
    <w:p w14:paraId="5C85B5C2" w14:textId="05E01E7D" w:rsidR="00C43967" w:rsidRPr="004A69E4" w:rsidRDefault="00C43967" w:rsidP="00C43967">
      <w:pPr>
        <w:rPr>
          <w:sz w:val="20"/>
          <w:lang w:val="en-GB"/>
        </w:rPr>
      </w:pPr>
      <w:r w:rsidRPr="004A69E4">
        <w:rPr>
          <w:b/>
          <w:sz w:val="20"/>
          <w:lang w:val="en-GB"/>
        </w:rPr>
        <w:t>Figure S</w:t>
      </w:r>
      <w:r w:rsidR="003D2CA9" w:rsidRPr="004A69E4">
        <w:rPr>
          <w:rFonts w:eastAsiaTheme="minorEastAsia"/>
          <w:b/>
          <w:sz w:val="20"/>
          <w:lang w:val="en-GB" w:eastAsia="ko-KR"/>
        </w:rPr>
        <w:t>11</w:t>
      </w:r>
      <w:r w:rsidRPr="004A69E4">
        <w:rPr>
          <w:b/>
          <w:sz w:val="20"/>
          <w:lang w:val="en-GB"/>
        </w:rPr>
        <w:t>.</w:t>
      </w:r>
      <w:r w:rsidRPr="004A69E4">
        <w:rPr>
          <w:sz w:val="20"/>
          <w:lang w:val="en-GB"/>
        </w:rPr>
        <w:t xml:space="preserve"> HR-ESI-MS of compound </w:t>
      </w:r>
      <w:r w:rsidRPr="004A69E4">
        <w:rPr>
          <w:b/>
          <w:bCs/>
          <w:sz w:val="20"/>
          <w:lang w:val="en-GB"/>
        </w:rPr>
        <w:t>M-1</w:t>
      </w:r>
      <w:r w:rsidRPr="004A69E4">
        <w:rPr>
          <w:sz w:val="20"/>
          <w:lang w:val="en-GB"/>
        </w:rPr>
        <w:t xml:space="preserve"> </w:t>
      </w:r>
    </w:p>
    <w:p w14:paraId="01378833" w14:textId="02A6BD74" w:rsidR="00C43967" w:rsidRPr="004A69E4" w:rsidRDefault="00C43967" w:rsidP="00C43967">
      <w:pPr>
        <w:rPr>
          <w:sz w:val="20"/>
          <w:lang w:val="en-GB"/>
        </w:rPr>
      </w:pPr>
      <w:r w:rsidRPr="004A69E4">
        <w:rPr>
          <w:b/>
          <w:sz w:val="20"/>
          <w:lang w:val="en-GB"/>
        </w:rPr>
        <w:t>Figure S</w:t>
      </w:r>
      <w:r w:rsidR="003D2CA9" w:rsidRPr="004A69E4">
        <w:rPr>
          <w:rFonts w:eastAsiaTheme="minorEastAsia"/>
          <w:b/>
          <w:sz w:val="20"/>
          <w:lang w:val="en-GB" w:eastAsia="ko-KR"/>
        </w:rPr>
        <w:t>12</w:t>
      </w:r>
      <w:r w:rsidRPr="004A69E4">
        <w:rPr>
          <w:b/>
          <w:sz w:val="20"/>
          <w:lang w:val="en-GB"/>
        </w:rPr>
        <w:t>.</w:t>
      </w:r>
      <w:r w:rsidRPr="004A69E4">
        <w:rPr>
          <w:sz w:val="20"/>
          <w:lang w:val="en-GB"/>
        </w:rPr>
        <w:t xml:space="preserve"> </w:t>
      </w:r>
      <w:r w:rsidRPr="004A69E4">
        <w:rPr>
          <w:sz w:val="20"/>
          <w:vertAlign w:val="superscript"/>
          <w:lang w:val="en-GB"/>
        </w:rPr>
        <w:t>1</w:t>
      </w:r>
      <w:r w:rsidRPr="004A69E4">
        <w:rPr>
          <w:sz w:val="20"/>
          <w:lang w:val="en-GB"/>
        </w:rPr>
        <w:t xml:space="preserve">H NMR spectrum of compound </w:t>
      </w:r>
      <w:r w:rsidRPr="004A69E4">
        <w:rPr>
          <w:b/>
          <w:bCs/>
          <w:sz w:val="20"/>
          <w:lang w:val="en-GB"/>
        </w:rPr>
        <w:t>M-1</w:t>
      </w:r>
      <w:r w:rsidRPr="004A69E4">
        <w:rPr>
          <w:sz w:val="20"/>
          <w:lang w:val="en-GB"/>
        </w:rPr>
        <w:t xml:space="preserve"> </w:t>
      </w:r>
    </w:p>
    <w:p w14:paraId="437FA885" w14:textId="688BBE74" w:rsidR="00F76429" w:rsidRPr="004A69E4" w:rsidRDefault="00F76429" w:rsidP="00F76429">
      <w:pPr>
        <w:rPr>
          <w:sz w:val="20"/>
          <w:lang w:val="en-GB"/>
        </w:rPr>
      </w:pPr>
      <w:r w:rsidRPr="004A69E4">
        <w:rPr>
          <w:b/>
          <w:sz w:val="20"/>
          <w:lang w:val="en-GB"/>
        </w:rPr>
        <w:t>Figure S</w:t>
      </w:r>
      <w:r w:rsidR="003D2CA9" w:rsidRPr="004A69E4">
        <w:rPr>
          <w:rFonts w:eastAsiaTheme="minorEastAsia"/>
          <w:b/>
          <w:sz w:val="20"/>
          <w:lang w:val="en-GB" w:eastAsia="ko-KR"/>
        </w:rPr>
        <w:t>13</w:t>
      </w:r>
      <w:r w:rsidRPr="004A69E4">
        <w:rPr>
          <w:b/>
          <w:sz w:val="20"/>
          <w:lang w:val="en-GB"/>
        </w:rPr>
        <w:t>.</w:t>
      </w:r>
      <w:r w:rsidRPr="004A69E4">
        <w:rPr>
          <w:sz w:val="20"/>
          <w:lang w:val="en-GB"/>
        </w:rPr>
        <w:t xml:space="preserve"> HSQC spectrum of compound </w:t>
      </w:r>
      <w:r w:rsidRPr="004A69E4">
        <w:rPr>
          <w:b/>
          <w:bCs/>
          <w:sz w:val="20"/>
          <w:lang w:val="en-GB"/>
        </w:rPr>
        <w:t xml:space="preserve">M-1 </w:t>
      </w:r>
    </w:p>
    <w:p w14:paraId="6BBDDFB1" w14:textId="7E8CCCCC" w:rsidR="00F76429" w:rsidRPr="004A69E4" w:rsidRDefault="00F76429" w:rsidP="00F76429">
      <w:pPr>
        <w:rPr>
          <w:sz w:val="20"/>
          <w:lang w:val="en-GB"/>
        </w:rPr>
      </w:pPr>
      <w:r w:rsidRPr="004A69E4">
        <w:rPr>
          <w:b/>
          <w:sz w:val="20"/>
          <w:lang w:val="en-GB"/>
        </w:rPr>
        <w:t>Figure S</w:t>
      </w:r>
      <w:r w:rsidR="003D2CA9" w:rsidRPr="004A69E4">
        <w:rPr>
          <w:rFonts w:eastAsiaTheme="minorEastAsia"/>
          <w:b/>
          <w:sz w:val="20"/>
          <w:lang w:val="en-GB" w:eastAsia="ko-KR"/>
        </w:rPr>
        <w:t>14</w:t>
      </w:r>
      <w:r w:rsidRPr="004A69E4">
        <w:rPr>
          <w:b/>
          <w:sz w:val="20"/>
          <w:lang w:val="en-GB"/>
        </w:rPr>
        <w:t>.</w:t>
      </w:r>
      <w:r w:rsidRPr="004A69E4">
        <w:rPr>
          <w:sz w:val="20"/>
          <w:lang w:val="en-GB"/>
        </w:rPr>
        <w:t xml:space="preserve"> </w:t>
      </w:r>
      <w:r w:rsidRPr="004A69E4">
        <w:rPr>
          <w:sz w:val="20"/>
          <w:vertAlign w:val="superscript"/>
          <w:lang w:val="en-US"/>
        </w:rPr>
        <w:t>1</w:t>
      </w:r>
      <w:r w:rsidRPr="004A69E4">
        <w:rPr>
          <w:sz w:val="20"/>
          <w:lang w:val="en-US"/>
        </w:rPr>
        <w:t>H</w:t>
      </w:r>
      <w:r w:rsidRPr="004A69E4">
        <w:rPr>
          <w:bCs/>
          <w:sz w:val="20"/>
          <w:lang w:val="en-US"/>
        </w:rPr>
        <w:t>−</w:t>
      </w:r>
      <w:r w:rsidRPr="004A69E4">
        <w:rPr>
          <w:sz w:val="20"/>
          <w:vertAlign w:val="superscript"/>
          <w:lang w:val="en-US"/>
        </w:rPr>
        <w:t>1</w:t>
      </w:r>
      <w:r w:rsidRPr="004A69E4">
        <w:rPr>
          <w:sz w:val="20"/>
          <w:lang w:val="en-US"/>
        </w:rPr>
        <w:t xml:space="preserve">H COSY spectrum </w:t>
      </w:r>
      <w:r w:rsidRPr="004A69E4">
        <w:rPr>
          <w:sz w:val="20"/>
          <w:lang w:val="en-GB"/>
        </w:rPr>
        <w:t xml:space="preserve">of compound </w:t>
      </w:r>
      <w:r w:rsidRPr="004A69E4">
        <w:rPr>
          <w:b/>
          <w:bCs/>
          <w:sz w:val="20"/>
          <w:lang w:val="en-GB"/>
        </w:rPr>
        <w:t>M-1</w:t>
      </w:r>
      <w:r w:rsidRPr="004A69E4">
        <w:rPr>
          <w:sz w:val="20"/>
          <w:lang w:val="en-GB"/>
        </w:rPr>
        <w:t xml:space="preserve"> </w:t>
      </w:r>
    </w:p>
    <w:p w14:paraId="30682D26" w14:textId="1C2EC4B2" w:rsidR="00F76429" w:rsidRPr="004A69E4" w:rsidRDefault="00F76429" w:rsidP="00F76429">
      <w:pPr>
        <w:rPr>
          <w:sz w:val="20"/>
          <w:lang w:val="en-GB"/>
        </w:rPr>
      </w:pPr>
      <w:r w:rsidRPr="004A69E4">
        <w:rPr>
          <w:b/>
          <w:sz w:val="20"/>
          <w:lang w:val="en-GB"/>
        </w:rPr>
        <w:t>Figure S</w:t>
      </w:r>
      <w:r w:rsidR="003D2CA9" w:rsidRPr="004A69E4">
        <w:rPr>
          <w:rFonts w:eastAsiaTheme="minorEastAsia"/>
          <w:b/>
          <w:sz w:val="20"/>
          <w:lang w:val="en-GB" w:eastAsia="ko-KR"/>
        </w:rPr>
        <w:t>15</w:t>
      </w:r>
      <w:r w:rsidRPr="004A69E4">
        <w:rPr>
          <w:b/>
          <w:sz w:val="20"/>
          <w:lang w:val="en-GB"/>
        </w:rPr>
        <w:t>.</w:t>
      </w:r>
      <w:r w:rsidRPr="004A69E4">
        <w:rPr>
          <w:sz w:val="20"/>
          <w:lang w:val="en-GB"/>
        </w:rPr>
        <w:t xml:space="preserve"> HMBC spectrum of compound </w:t>
      </w:r>
      <w:r w:rsidRPr="004A69E4">
        <w:rPr>
          <w:b/>
          <w:bCs/>
          <w:sz w:val="20"/>
          <w:lang w:val="en-GB"/>
        </w:rPr>
        <w:t>M-1</w:t>
      </w:r>
      <w:r w:rsidRPr="004A69E4">
        <w:rPr>
          <w:sz w:val="20"/>
          <w:lang w:val="en-GB"/>
        </w:rPr>
        <w:t xml:space="preserve"> </w:t>
      </w:r>
    </w:p>
    <w:p w14:paraId="7295EED3" w14:textId="11095527" w:rsidR="00F76429" w:rsidRPr="004A69E4" w:rsidRDefault="00F76429" w:rsidP="00F76429">
      <w:pPr>
        <w:rPr>
          <w:sz w:val="20"/>
          <w:lang w:val="en-GB"/>
        </w:rPr>
      </w:pPr>
      <w:r w:rsidRPr="004A69E4">
        <w:rPr>
          <w:b/>
          <w:sz w:val="20"/>
          <w:lang w:val="en-GB"/>
        </w:rPr>
        <w:t>Figure S</w:t>
      </w:r>
      <w:r w:rsidR="003D2CA9" w:rsidRPr="004A69E4">
        <w:rPr>
          <w:rFonts w:eastAsiaTheme="minorEastAsia"/>
          <w:b/>
          <w:sz w:val="20"/>
          <w:lang w:val="en-GB" w:eastAsia="ko-KR"/>
        </w:rPr>
        <w:t>16</w:t>
      </w:r>
      <w:r w:rsidRPr="004A69E4">
        <w:rPr>
          <w:b/>
          <w:sz w:val="20"/>
          <w:lang w:val="en-GB"/>
        </w:rPr>
        <w:t>.</w:t>
      </w:r>
      <w:r w:rsidRPr="004A69E4">
        <w:rPr>
          <w:sz w:val="20"/>
          <w:lang w:val="en-GB"/>
        </w:rPr>
        <w:t xml:space="preserve"> </w:t>
      </w:r>
      <w:r w:rsidRPr="004A69E4">
        <w:rPr>
          <w:sz w:val="20"/>
          <w:lang w:val="en-US"/>
        </w:rPr>
        <w:t xml:space="preserve">NOESY spectrum </w:t>
      </w:r>
      <w:r w:rsidRPr="004A69E4">
        <w:rPr>
          <w:sz w:val="20"/>
          <w:lang w:val="en-GB"/>
        </w:rPr>
        <w:t xml:space="preserve">of compound </w:t>
      </w:r>
      <w:r w:rsidRPr="004A69E4">
        <w:rPr>
          <w:b/>
          <w:bCs/>
          <w:sz w:val="20"/>
          <w:lang w:val="en-GB"/>
        </w:rPr>
        <w:t>M-1</w:t>
      </w:r>
    </w:p>
    <w:p w14:paraId="735AFA8A" w14:textId="61F67261" w:rsidR="00EC078D" w:rsidRPr="004A69E4" w:rsidRDefault="00EC078D" w:rsidP="00EC078D">
      <w:pPr>
        <w:rPr>
          <w:sz w:val="20"/>
          <w:lang w:val="en-GB"/>
        </w:rPr>
      </w:pPr>
      <w:r w:rsidRPr="004A69E4">
        <w:rPr>
          <w:b/>
          <w:sz w:val="20"/>
          <w:lang w:val="en-GB"/>
        </w:rPr>
        <w:t>Figure S</w:t>
      </w:r>
      <w:r w:rsidR="003D2CA9" w:rsidRPr="004A69E4">
        <w:rPr>
          <w:rFonts w:eastAsiaTheme="minorEastAsia"/>
          <w:b/>
          <w:sz w:val="20"/>
          <w:lang w:val="en-GB" w:eastAsia="ko-KR"/>
        </w:rPr>
        <w:t>17</w:t>
      </w:r>
      <w:r w:rsidRPr="004A69E4">
        <w:rPr>
          <w:b/>
          <w:sz w:val="20"/>
          <w:lang w:val="en-GB"/>
        </w:rPr>
        <w:t>.</w:t>
      </w:r>
      <w:r w:rsidRPr="004A69E4">
        <w:rPr>
          <w:sz w:val="20"/>
          <w:lang w:val="en-GB"/>
        </w:rPr>
        <w:t xml:space="preserve"> </w:t>
      </w:r>
      <w:r w:rsidRPr="004A69E4">
        <w:rPr>
          <w:sz w:val="20"/>
          <w:lang w:val="en-US"/>
        </w:rPr>
        <w:t xml:space="preserve">Retention time of reaction product of thiocarbamoyl-thiazolidine derivative of glucose (A) from compound </w:t>
      </w:r>
      <w:r w:rsidRPr="004A69E4">
        <w:rPr>
          <w:b/>
          <w:bCs/>
          <w:sz w:val="20"/>
          <w:lang w:val="en-GB"/>
        </w:rPr>
        <w:t xml:space="preserve">M-1 </w:t>
      </w:r>
      <w:r w:rsidRPr="004A69E4">
        <w:rPr>
          <w:sz w:val="20"/>
          <w:lang w:val="en-GB"/>
        </w:rPr>
        <w:t xml:space="preserve">and </w:t>
      </w:r>
      <w:r w:rsidRPr="004A69E4">
        <w:rPr>
          <w:sz w:val="20"/>
          <w:lang w:val="en-US"/>
        </w:rPr>
        <w:t>β-ᴅ-glucose standard (B)</w:t>
      </w:r>
      <w:r w:rsidR="00E668DA" w:rsidRPr="004A69E4">
        <w:rPr>
          <w:sz w:val="20"/>
          <w:lang w:val="en-US"/>
        </w:rPr>
        <w:t xml:space="preserve"> </w:t>
      </w:r>
    </w:p>
    <w:p w14:paraId="489B1281" w14:textId="734C5CAC" w:rsidR="00F00757" w:rsidRPr="004A69E4" w:rsidRDefault="00F00757" w:rsidP="00F00757">
      <w:pPr>
        <w:rPr>
          <w:sz w:val="20"/>
          <w:lang w:val="en-GB"/>
        </w:rPr>
      </w:pPr>
      <w:r w:rsidRPr="004A69E4">
        <w:rPr>
          <w:b/>
          <w:sz w:val="20"/>
          <w:lang w:val="en-GB"/>
        </w:rPr>
        <w:t>Figure S</w:t>
      </w:r>
      <w:r w:rsidR="00DB0021" w:rsidRPr="004A69E4">
        <w:rPr>
          <w:b/>
          <w:sz w:val="20"/>
          <w:lang w:val="en-GB"/>
        </w:rPr>
        <w:t>1</w:t>
      </w:r>
      <w:r w:rsidR="003D2CA9" w:rsidRPr="004A69E4">
        <w:rPr>
          <w:rFonts w:eastAsiaTheme="minorEastAsia"/>
          <w:b/>
          <w:sz w:val="20"/>
          <w:lang w:val="en-GB" w:eastAsia="ko-KR"/>
        </w:rPr>
        <w:t>8</w:t>
      </w:r>
      <w:r w:rsidRPr="004A69E4">
        <w:rPr>
          <w:b/>
          <w:sz w:val="20"/>
          <w:lang w:val="en-GB"/>
        </w:rPr>
        <w:t>.</w:t>
      </w:r>
      <w:r w:rsidRPr="004A69E4">
        <w:rPr>
          <w:sz w:val="20"/>
          <w:lang w:val="en-GB"/>
        </w:rPr>
        <w:t xml:space="preserve"> HR-ESI-MS of compound </w:t>
      </w:r>
      <w:r w:rsidRPr="004A69E4">
        <w:rPr>
          <w:b/>
          <w:bCs/>
          <w:sz w:val="20"/>
          <w:lang w:val="en-GB"/>
        </w:rPr>
        <w:t>M-2</w:t>
      </w:r>
      <w:r w:rsidRPr="004A69E4">
        <w:rPr>
          <w:sz w:val="20"/>
          <w:lang w:val="en-GB"/>
        </w:rPr>
        <w:t xml:space="preserve"> </w:t>
      </w:r>
    </w:p>
    <w:p w14:paraId="594D35E9" w14:textId="41008409" w:rsidR="00C43967" w:rsidRPr="004A69E4" w:rsidRDefault="00F00757" w:rsidP="00794DEA">
      <w:pPr>
        <w:rPr>
          <w:rStyle w:val="Comment"/>
          <w:rFonts w:ascii="Times New Roman" w:hAnsi="Times New Roman"/>
          <w:color w:val="auto"/>
          <w:sz w:val="20"/>
          <w:lang w:val="en-GB"/>
        </w:rPr>
      </w:pPr>
      <w:r w:rsidRPr="004A69E4">
        <w:rPr>
          <w:b/>
          <w:sz w:val="20"/>
        </w:rPr>
        <w:t>Figure S1</w:t>
      </w:r>
      <w:r w:rsidR="003D2CA9" w:rsidRPr="004A69E4">
        <w:rPr>
          <w:rFonts w:eastAsiaTheme="minorEastAsia"/>
          <w:b/>
          <w:sz w:val="20"/>
          <w:lang w:eastAsia="ko-KR"/>
        </w:rPr>
        <w:t>9</w:t>
      </w:r>
      <w:r w:rsidRPr="004A69E4">
        <w:rPr>
          <w:b/>
          <w:sz w:val="20"/>
        </w:rPr>
        <w:t>.</w:t>
      </w:r>
      <w:r w:rsidRPr="004A69E4">
        <w:rPr>
          <w:sz w:val="20"/>
        </w:rPr>
        <w:t xml:space="preserve"> </w:t>
      </w:r>
      <w:r w:rsidRPr="004A69E4">
        <w:rPr>
          <w:sz w:val="20"/>
          <w:vertAlign w:val="superscript"/>
        </w:rPr>
        <w:t>1</w:t>
      </w:r>
      <w:r w:rsidRPr="004A69E4">
        <w:rPr>
          <w:sz w:val="20"/>
        </w:rPr>
        <w:t xml:space="preserve">H NMR spectrum of compound </w:t>
      </w:r>
      <w:r w:rsidRPr="004A69E4">
        <w:rPr>
          <w:b/>
          <w:bCs/>
          <w:sz w:val="20"/>
        </w:rPr>
        <w:t xml:space="preserve">M-2 </w:t>
      </w:r>
    </w:p>
    <w:p w14:paraId="7A35DA27" w14:textId="5B745576" w:rsidR="0096551A" w:rsidRPr="004A69E4" w:rsidRDefault="00AF0F91" w:rsidP="00794DEA">
      <w:pPr>
        <w:rPr>
          <w:b/>
          <w:bCs/>
          <w:sz w:val="20"/>
        </w:rPr>
      </w:pPr>
      <w:r w:rsidRPr="004A69E4">
        <w:rPr>
          <w:b/>
          <w:sz w:val="20"/>
        </w:rPr>
        <w:t>Figure S</w:t>
      </w:r>
      <w:r w:rsidR="003D2CA9" w:rsidRPr="004A69E4">
        <w:rPr>
          <w:rFonts w:eastAsiaTheme="minorEastAsia"/>
          <w:b/>
          <w:sz w:val="20"/>
          <w:lang w:eastAsia="ko-KR"/>
        </w:rPr>
        <w:t>20</w:t>
      </w:r>
      <w:r w:rsidRPr="004A69E4">
        <w:rPr>
          <w:b/>
          <w:sz w:val="20"/>
        </w:rPr>
        <w:t>.</w:t>
      </w:r>
      <w:r w:rsidRPr="004A69E4">
        <w:rPr>
          <w:sz w:val="20"/>
        </w:rPr>
        <w:t xml:space="preserve"> HSQC spectrum of compound </w:t>
      </w:r>
      <w:r w:rsidRPr="004A69E4">
        <w:rPr>
          <w:b/>
          <w:bCs/>
          <w:sz w:val="20"/>
        </w:rPr>
        <w:t xml:space="preserve">M-2 </w:t>
      </w:r>
    </w:p>
    <w:p w14:paraId="0E0A1393" w14:textId="000EA5FE" w:rsidR="00AF0F91" w:rsidRPr="004A69E4" w:rsidRDefault="00AF0F91" w:rsidP="00AF0F91">
      <w:pPr>
        <w:rPr>
          <w:rFonts w:eastAsiaTheme="minorEastAsia"/>
          <w:sz w:val="20"/>
          <w:lang w:val="en-GB" w:eastAsia="ko-KR"/>
        </w:rPr>
      </w:pPr>
      <w:r w:rsidRPr="004A69E4">
        <w:rPr>
          <w:b/>
          <w:bCs/>
          <w:sz w:val="20"/>
          <w:lang w:val="en-GB"/>
        </w:rPr>
        <w:t>Figure S</w:t>
      </w:r>
      <w:r w:rsidR="003D2CA9" w:rsidRPr="004A69E4">
        <w:rPr>
          <w:rFonts w:eastAsiaTheme="minorEastAsia"/>
          <w:b/>
          <w:bCs/>
          <w:sz w:val="20"/>
          <w:lang w:val="en-GB" w:eastAsia="ko-KR"/>
        </w:rPr>
        <w:t>21</w:t>
      </w:r>
      <w:r w:rsidRPr="004A69E4">
        <w:rPr>
          <w:b/>
          <w:bCs/>
          <w:sz w:val="20"/>
          <w:lang w:val="en-GB"/>
        </w:rPr>
        <w:t xml:space="preserve">. </w:t>
      </w:r>
      <w:r w:rsidRPr="004A69E4">
        <w:rPr>
          <w:sz w:val="20"/>
          <w:vertAlign w:val="superscript"/>
          <w:lang w:val="en-US"/>
        </w:rPr>
        <w:t>1</w:t>
      </w:r>
      <w:r w:rsidRPr="004A69E4">
        <w:rPr>
          <w:sz w:val="20"/>
          <w:lang w:val="en-US"/>
        </w:rPr>
        <w:t>H−</w:t>
      </w:r>
      <w:r w:rsidRPr="004A69E4">
        <w:rPr>
          <w:sz w:val="20"/>
          <w:vertAlign w:val="superscript"/>
          <w:lang w:val="en-US"/>
        </w:rPr>
        <w:t>1</w:t>
      </w:r>
      <w:r w:rsidRPr="004A69E4">
        <w:rPr>
          <w:sz w:val="20"/>
          <w:lang w:val="en-US"/>
        </w:rPr>
        <w:t xml:space="preserve">H COSY spectrum </w:t>
      </w:r>
      <w:r w:rsidRPr="004A69E4">
        <w:rPr>
          <w:sz w:val="20"/>
          <w:lang w:val="en-GB"/>
        </w:rPr>
        <w:t>of compound</w:t>
      </w:r>
      <w:r w:rsidRPr="004A69E4">
        <w:rPr>
          <w:b/>
          <w:bCs/>
          <w:sz w:val="20"/>
          <w:lang w:val="en-GB"/>
        </w:rPr>
        <w:t xml:space="preserve"> M-2</w:t>
      </w:r>
      <w:r w:rsidR="002611E1" w:rsidRPr="004A69E4">
        <w:rPr>
          <w:b/>
          <w:bCs/>
          <w:sz w:val="20"/>
          <w:lang w:val="en-GB"/>
        </w:rPr>
        <w:t xml:space="preserve"> </w:t>
      </w:r>
    </w:p>
    <w:p w14:paraId="18534684" w14:textId="7B088538" w:rsidR="00B65E80" w:rsidRPr="004A69E4" w:rsidRDefault="00B65E80" w:rsidP="00B65E80">
      <w:pPr>
        <w:rPr>
          <w:b/>
          <w:bCs/>
          <w:sz w:val="20"/>
          <w:lang w:val="en-GB"/>
        </w:rPr>
      </w:pPr>
      <w:r w:rsidRPr="004A69E4">
        <w:rPr>
          <w:b/>
          <w:bCs/>
          <w:sz w:val="20"/>
          <w:lang w:val="en-GB"/>
        </w:rPr>
        <w:t>Figure S</w:t>
      </w:r>
      <w:r w:rsidR="003D2CA9" w:rsidRPr="004A69E4">
        <w:rPr>
          <w:rFonts w:eastAsiaTheme="minorEastAsia"/>
          <w:b/>
          <w:bCs/>
          <w:sz w:val="20"/>
          <w:lang w:val="en-GB" w:eastAsia="ko-KR"/>
        </w:rPr>
        <w:t>22</w:t>
      </w:r>
      <w:r w:rsidRPr="004A69E4">
        <w:rPr>
          <w:b/>
          <w:bCs/>
          <w:sz w:val="20"/>
          <w:lang w:val="en-GB"/>
        </w:rPr>
        <w:t xml:space="preserve">. </w:t>
      </w:r>
      <w:r w:rsidRPr="004A69E4">
        <w:rPr>
          <w:sz w:val="20"/>
          <w:lang w:val="en-GB"/>
        </w:rPr>
        <w:t>HMBC spectrum of compound</w:t>
      </w:r>
      <w:r w:rsidRPr="004A69E4">
        <w:rPr>
          <w:b/>
          <w:bCs/>
          <w:sz w:val="20"/>
          <w:lang w:val="en-GB"/>
        </w:rPr>
        <w:t xml:space="preserve"> M-2 </w:t>
      </w:r>
    </w:p>
    <w:p w14:paraId="3CE3D0F7" w14:textId="42474F17" w:rsidR="00AF0F91" w:rsidRPr="004A69E4" w:rsidRDefault="00B504C3" w:rsidP="00794DEA">
      <w:pPr>
        <w:rPr>
          <w:b/>
          <w:bCs/>
          <w:sz w:val="20"/>
        </w:rPr>
      </w:pPr>
      <w:r w:rsidRPr="004A69E4">
        <w:rPr>
          <w:b/>
          <w:bCs/>
          <w:sz w:val="20"/>
          <w:lang w:val="en-GB"/>
        </w:rPr>
        <w:t>Figure S</w:t>
      </w:r>
      <w:r w:rsidR="003D2CA9" w:rsidRPr="004A69E4">
        <w:rPr>
          <w:rFonts w:eastAsiaTheme="minorEastAsia"/>
          <w:b/>
          <w:bCs/>
          <w:sz w:val="20"/>
          <w:lang w:val="en-GB" w:eastAsia="ko-KR"/>
        </w:rPr>
        <w:t>23</w:t>
      </w:r>
      <w:r w:rsidRPr="004A69E4">
        <w:rPr>
          <w:b/>
          <w:bCs/>
          <w:sz w:val="20"/>
          <w:lang w:val="en-GB"/>
        </w:rPr>
        <w:t xml:space="preserve">. </w:t>
      </w:r>
      <w:r w:rsidRPr="004A69E4">
        <w:rPr>
          <w:sz w:val="20"/>
          <w:lang w:val="en-US"/>
        </w:rPr>
        <w:t xml:space="preserve">NOESY spectrum </w:t>
      </w:r>
      <w:r w:rsidRPr="004A69E4">
        <w:rPr>
          <w:sz w:val="20"/>
          <w:lang w:val="en-GB"/>
        </w:rPr>
        <w:t>of compound</w:t>
      </w:r>
      <w:r w:rsidRPr="004A69E4">
        <w:rPr>
          <w:b/>
          <w:bCs/>
          <w:sz w:val="20"/>
          <w:lang w:val="en-GB"/>
        </w:rPr>
        <w:t xml:space="preserve"> M-2 </w:t>
      </w:r>
    </w:p>
    <w:p w14:paraId="0EDBD57D" w14:textId="77777777" w:rsidR="00AF0F91" w:rsidRPr="004A69E4" w:rsidRDefault="00AF0F91" w:rsidP="00794DEA">
      <w:pPr>
        <w:rPr>
          <w:rStyle w:val="Comment"/>
          <w:rFonts w:cs="Arial"/>
          <w:color w:val="auto"/>
          <w:lang w:val="en-US"/>
        </w:rPr>
      </w:pPr>
    </w:p>
    <w:p w14:paraId="75ECBCF9" w14:textId="70DA914D" w:rsidR="000F32BB" w:rsidRPr="004A69E4" w:rsidRDefault="00322B2D" w:rsidP="004E0056">
      <w:pPr>
        <w:rPr>
          <w:b/>
          <w:sz w:val="20"/>
          <w:lang w:val="en-GB"/>
        </w:rPr>
      </w:pPr>
      <w:r w:rsidRPr="004A69E4">
        <w:rPr>
          <w:b/>
          <w:sz w:val="20"/>
          <w:lang w:val="en-GB"/>
        </w:rPr>
        <w:t>Supplemental References</w:t>
      </w:r>
    </w:p>
    <w:p w14:paraId="161A9E9C" w14:textId="46467A52" w:rsidR="000F32BB" w:rsidRPr="004A69E4" w:rsidRDefault="00AF0F91" w:rsidP="004E0056">
      <w:pPr>
        <w:rPr>
          <w:rFonts w:eastAsiaTheme="minorEastAsia"/>
          <w:lang w:val="en-US" w:eastAsia="ko-KR"/>
        </w:rPr>
        <w:sectPr w:rsidR="000F32BB" w:rsidRPr="004A69E4" w:rsidSect="001460A2">
          <w:pgSz w:w="11906" w:h="16838" w:code="9"/>
          <w:pgMar w:top="1134" w:right="936" w:bottom="1134" w:left="936" w:header="1021" w:footer="0" w:gutter="0"/>
          <w:cols w:space="284"/>
          <w:docGrid w:linePitch="360"/>
        </w:sectPr>
      </w:pPr>
      <w:r w:rsidRPr="004A69E4">
        <w:rPr>
          <w:rFonts w:eastAsiaTheme="minorEastAsia" w:hint="eastAsia"/>
          <w:lang w:val="en-US" w:eastAsia="ko-KR"/>
        </w:rPr>
        <w:t xml:space="preserve"> </w:t>
      </w:r>
    </w:p>
    <w:p w14:paraId="1584A93B" w14:textId="77777777" w:rsidR="007D69B6" w:rsidRPr="004A69E4" w:rsidRDefault="007D69B6">
      <w:pPr>
        <w:rPr>
          <w:rFonts w:ascii="Arial" w:hAnsi="Arial"/>
          <w:b/>
          <w:sz w:val="22"/>
          <w:szCs w:val="20"/>
          <w:lang w:val="en-US"/>
        </w:rPr>
      </w:pPr>
      <w:r w:rsidRPr="004A69E4">
        <w:br w:type="page"/>
      </w:r>
    </w:p>
    <w:p w14:paraId="7672FA89" w14:textId="267C54DB" w:rsidR="00D15306" w:rsidRPr="004A69E4" w:rsidRDefault="00D15306" w:rsidP="0018110F">
      <w:pPr>
        <w:pStyle w:val="P1"/>
        <w:spacing w:line="360" w:lineRule="auto"/>
        <w:rPr>
          <w:rFonts w:ascii="Times New Roman" w:hAnsi="Times New Roman"/>
          <w:b/>
          <w:sz w:val="20"/>
        </w:rPr>
      </w:pPr>
      <w:r w:rsidRPr="004A69E4">
        <w:rPr>
          <w:rFonts w:ascii="Times New Roman" w:hAnsi="Times New Roman"/>
          <w:b/>
          <w:sz w:val="20"/>
        </w:rPr>
        <w:lastRenderedPageBreak/>
        <w:t>Supplemental Methods</w:t>
      </w:r>
    </w:p>
    <w:p w14:paraId="1F63DDE3" w14:textId="77777777" w:rsidR="00D15306" w:rsidRPr="004A69E4" w:rsidRDefault="00D15306" w:rsidP="0018110F">
      <w:pPr>
        <w:pStyle w:val="P1"/>
        <w:spacing w:line="360" w:lineRule="auto"/>
        <w:rPr>
          <w:rFonts w:ascii="Times New Roman" w:hAnsi="Times New Roman"/>
          <w:b/>
          <w:sz w:val="20"/>
        </w:rPr>
      </w:pPr>
    </w:p>
    <w:p w14:paraId="016D61D3" w14:textId="0896E1DF" w:rsidR="00B57FC6" w:rsidRPr="004A69E4" w:rsidRDefault="00B57FC6" w:rsidP="0018110F">
      <w:pPr>
        <w:pStyle w:val="P1"/>
        <w:spacing w:line="360" w:lineRule="auto"/>
        <w:rPr>
          <w:rFonts w:ascii="Times New Roman" w:hAnsi="Times New Roman"/>
          <w:i/>
          <w:sz w:val="20"/>
        </w:rPr>
      </w:pPr>
      <w:r w:rsidRPr="004A69E4">
        <w:rPr>
          <w:rFonts w:ascii="Times New Roman" w:hAnsi="Times New Roman"/>
          <w:i/>
          <w:sz w:val="20"/>
        </w:rPr>
        <w:t>General experimental procedures</w:t>
      </w:r>
    </w:p>
    <w:p w14:paraId="5C4E9739" w14:textId="44310597" w:rsidR="00B57FC6" w:rsidRPr="004A69E4" w:rsidRDefault="00B57FC6" w:rsidP="0018110F">
      <w:pPr>
        <w:pStyle w:val="P1"/>
        <w:spacing w:line="360" w:lineRule="auto"/>
        <w:jc w:val="both"/>
        <w:rPr>
          <w:rFonts w:ascii="Times New Roman" w:hAnsi="Times New Roman"/>
          <w:bCs/>
          <w:iCs/>
          <w:sz w:val="20"/>
        </w:rPr>
      </w:pPr>
      <w:r w:rsidRPr="004A69E4">
        <w:rPr>
          <w:rFonts w:ascii="Times New Roman" w:hAnsi="Times New Roman"/>
          <w:bCs/>
          <w:iCs/>
          <w:sz w:val="20"/>
        </w:rPr>
        <w:t xml:space="preserve">Optical rotations were measured using a P-2000 polarimeter (JASCO, Easton, MD, USA). Ultraviolet (UV) spectra were acquired using Agilent 8453 UV-visible spectrophotometer (Agilent Technologies, Santa Clara, CA, USA). The ECD spectra were obtained using a JASCO J-1500 spectropolarimeter (JASCO). Infrared (IR) spectra were recorded using a Bruker IFS-66/S FT-IR spectrometer (Bruker, Karlsruhe, Germany). NMR spectra were recorded with a Bruker AVANCE III HD 850 NMR spectrometer with a 5 mm TCI </w:t>
      </w:r>
      <w:proofErr w:type="spellStart"/>
      <w:r w:rsidRPr="004A69E4">
        <w:rPr>
          <w:rFonts w:ascii="Times New Roman" w:hAnsi="Times New Roman"/>
          <w:bCs/>
          <w:iCs/>
          <w:sz w:val="20"/>
        </w:rPr>
        <w:t>CryoProbe</w:t>
      </w:r>
      <w:proofErr w:type="spellEnd"/>
      <w:r w:rsidRPr="004A69E4">
        <w:rPr>
          <w:rFonts w:ascii="Times New Roman" w:hAnsi="Times New Roman"/>
          <w:bCs/>
          <w:iCs/>
          <w:sz w:val="20"/>
        </w:rPr>
        <w:t xml:space="preserve"> operating at 850 MHz (</w:t>
      </w:r>
      <w:r w:rsidRPr="004A69E4">
        <w:rPr>
          <w:rFonts w:ascii="Times New Roman" w:hAnsi="Times New Roman"/>
          <w:bCs/>
          <w:iCs/>
          <w:sz w:val="20"/>
          <w:vertAlign w:val="superscript"/>
        </w:rPr>
        <w:t>1</w:t>
      </w:r>
      <w:r w:rsidRPr="004A69E4">
        <w:rPr>
          <w:rFonts w:ascii="Times New Roman" w:hAnsi="Times New Roman"/>
          <w:bCs/>
          <w:iCs/>
          <w:sz w:val="20"/>
        </w:rPr>
        <w:t>H) and 212.5 MHz (</w:t>
      </w:r>
      <w:r w:rsidRPr="004A69E4">
        <w:rPr>
          <w:rFonts w:ascii="Times New Roman" w:hAnsi="Times New Roman"/>
          <w:bCs/>
          <w:iCs/>
          <w:sz w:val="20"/>
          <w:vertAlign w:val="superscript"/>
        </w:rPr>
        <w:t>13</w:t>
      </w:r>
      <w:r w:rsidRPr="004A69E4">
        <w:rPr>
          <w:rFonts w:ascii="Times New Roman" w:hAnsi="Times New Roman"/>
          <w:bCs/>
          <w:iCs/>
          <w:sz w:val="20"/>
        </w:rPr>
        <w:t xml:space="preserve">C), with chemical shifts given in ppm (δ) for </w:t>
      </w:r>
      <w:r w:rsidRPr="004A69E4">
        <w:rPr>
          <w:rFonts w:ascii="Times New Roman" w:hAnsi="Times New Roman"/>
          <w:bCs/>
          <w:iCs/>
          <w:sz w:val="20"/>
          <w:vertAlign w:val="superscript"/>
        </w:rPr>
        <w:t>1</w:t>
      </w:r>
      <w:r w:rsidRPr="004A69E4">
        <w:rPr>
          <w:rFonts w:ascii="Times New Roman" w:hAnsi="Times New Roman"/>
          <w:bCs/>
          <w:iCs/>
          <w:sz w:val="20"/>
        </w:rPr>
        <w:t xml:space="preserve">H and </w:t>
      </w:r>
      <w:r w:rsidRPr="004A69E4">
        <w:rPr>
          <w:rFonts w:ascii="Times New Roman" w:hAnsi="Times New Roman"/>
          <w:bCs/>
          <w:iCs/>
          <w:sz w:val="20"/>
          <w:vertAlign w:val="superscript"/>
        </w:rPr>
        <w:t>13</w:t>
      </w:r>
      <w:r w:rsidRPr="004A69E4">
        <w:rPr>
          <w:rFonts w:ascii="Times New Roman" w:hAnsi="Times New Roman"/>
          <w:bCs/>
          <w:iCs/>
          <w:sz w:val="20"/>
        </w:rPr>
        <w:t xml:space="preserve">C NMR analyses. All HR-ESIMS data were obtained using an Agilent G6545B quadrupole time-of-flight mass spectrometer (Agilent Technologies) coupled to an Agilent 1290 Infinity II HPLC instrument using an Agilent Eclipse Plus C18 column (2.1 × 50 mm, 1.8 </w:t>
      </w:r>
      <w:proofErr w:type="spellStart"/>
      <w:r w:rsidRPr="004A69E4">
        <w:rPr>
          <w:rFonts w:ascii="Times New Roman" w:hAnsi="Times New Roman"/>
          <w:bCs/>
          <w:iCs/>
          <w:sz w:val="20"/>
        </w:rPr>
        <w:t>μm</w:t>
      </w:r>
      <w:proofErr w:type="spellEnd"/>
      <w:r w:rsidRPr="004A69E4">
        <w:rPr>
          <w:rFonts w:ascii="Times New Roman" w:hAnsi="Times New Roman"/>
          <w:bCs/>
          <w:iCs/>
          <w:sz w:val="20"/>
        </w:rPr>
        <w:t xml:space="preserve">; flow rate: 0.3 mL/min). Preparative HPLC was performed using a Waters 1525 Binary HPLC pump with a Waters 996 Photodiode Array Detector (Waters Corporation, Milford, MA, USA) and an Agilent Eclipse C18 column (250 × 21.2 mm, 5 </w:t>
      </w:r>
      <w:proofErr w:type="spellStart"/>
      <w:r w:rsidRPr="004A69E4">
        <w:rPr>
          <w:rFonts w:ascii="Times New Roman" w:hAnsi="Times New Roman"/>
          <w:bCs/>
          <w:iCs/>
          <w:sz w:val="20"/>
        </w:rPr>
        <w:t>μm</w:t>
      </w:r>
      <w:proofErr w:type="spellEnd"/>
      <w:r w:rsidRPr="004A69E4">
        <w:rPr>
          <w:rFonts w:ascii="Times New Roman" w:hAnsi="Times New Roman"/>
          <w:bCs/>
          <w:iCs/>
          <w:sz w:val="20"/>
        </w:rPr>
        <w:t>; flow rate: 5 mL/min; Agilent Technologies). Semi-preparative HPLC was performed using a Shimadzu Prominence HPLC System with SPD-20 A/20AV Series Prominence HPLC UV-</w:t>
      </w:r>
      <w:proofErr w:type="gramStart"/>
      <w:r w:rsidRPr="004A69E4">
        <w:rPr>
          <w:rFonts w:ascii="Times New Roman" w:hAnsi="Times New Roman"/>
          <w:bCs/>
          <w:iCs/>
          <w:sz w:val="20"/>
        </w:rPr>
        <w:t>Vis</w:t>
      </w:r>
      <w:proofErr w:type="gramEnd"/>
      <w:r w:rsidRPr="004A69E4">
        <w:rPr>
          <w:rFonts w:ascii="Times New Roman" w:hAnsi="Times New Roman"/>
          <w:bCs/>
          <w:iCs/>
          <w:sz w:val="20"/>
        </w:rPr>
        <w:t xml:space="preserve"> detectors (Shimadzu, Tokyo, Japan) and Phenomenex Luna C18 column (250 × 10 mm, 5 </w:t>
      </w:r>
      <w:proofErr w:type="spellStart"/>
      <w:r w:rsidRPr="004A69E4">
        <w:rPr>
          <w:rFonts w:ascii="Times New Roman" w:hAnsi="Times New Roman"/>
          <w:bCs/>
          <w:iCs/>
          <w:sz w:val="20"/>
        </w:rPr>
        <w:t>μm</w:t>
      </w:r>
      <w:proofErr w:type="spellEnd"/>
      <w:r w:rsidRPr="004A69E4">
        <w:rPr>
          <w:rFonts w:ascii="Times New Roman" w:hAnsi="Times New Roman"/>
          <w:bCs/>
          <w:iCs/>
          <w:sz w:val="20"/>
        </w:rPr>
        <w:t xml:space="preserve">; flow rate: 2 mL/min; Phenomenex, Torrance, CA, USA). LC/MS analysis was performed on an Agilent 1200 Series HPLC system equipped with a diode array detector and 6130 Series ESI mass spectrometer using an analytical </w:t>
      </w:r>
      <w:proofErr w:type="spellStart"/>
      <w:r w:rsidRPr="004A69E4">
        <w:rPr>
          <w:rFonts w:ascii="Times New Roman" w:hAnsi="Times New Roman"/>
          <w:bCs/>
          <w:iCs/>
          <w:sz w:val="20"/>
        </w:rPr>
        <w:t>Kinetex</w:t>
      </w:r>
      <w:proofErr w:type="spellEnd"/>
      <w:r w:rsidRPr="004A69E4">
        <w:rPr>
          <w:rFonts w:ascii="Times New Roman" w:hAnsi="Times New Roman"/>
          <w:bCs/>
          <w:iCs/>
          <w:sz w:val="20"/>
        </w:rPr>
        <w:t xml:space="preserve"> C18 100 Å column (100 × 2.1 mm, 5 </w:t>
      </w:r>
      <w:proofErr w:type="spellStart"/>
      <w:r w:rsidRPr="004A69E4">
        <w:rPr>
          <w:rFonts w:ascii="Times New Roman" w:hAnsi="Times New Roman"/>
          <w:bCs/>
          <w:iCs/>
          <w:sz w:val="20"/>
        </w:rPr>
        <w:t>μm</w:t>
      </w:r>
      <w:proofErr w:type="spellEnd"/>
      <w:r w:rsidRPr="004A69E4">
        <w:rPr>
          <w:rFonts w:ascii="Times New Roman" w:hAnsi="Times New Roman"/>
          <w:bCs/>
          <w:iCs/>
          <w:sz w:val="20"/>
        </w:rPr>
        <w:t>; flow rate: 0.3 mL/min; Phenomenex). Silica gel 60 (230–400 mesh; Merck, Darmstadt, Germany) and RP-C18 silica gel (230–400 mesh; Merck) were used for column chromatography. Sephadex LH-20 (Pharmacia, Uppsala, Sweden) was used as the packing material for the molecular sieve column chromatography. Thin-layer chromatography (TLC) was performed using pre-coated silica gel F254 plates and RP-C18 F254s plates (Merck), and spots were detected under UV light or by heating after spraying with anisaldehyde-sulfuric acid.</w:t>
      </w:r>
    </w:p>
    <w:p w14:paraId="27B046D3" w14:textId="3099E5BE" w:rsidR="00B57FC6" w:rsidRPr="004A69E4" w:rsidRDefault="00B57FC6" w:rsidP="0018110F">
      <w:pPr>
        <w:pStyle w:val="P1"/>
        <w:spacing w:line="360" w:lineRule="auto"/>
        <w:jc w:val="both"/>
        <w:rPr>
          <w:rFonts w:ascii="Times New Roman" w:hAnsi="Times New Roman"/>
          <w:bCs/>
          <w:iCs/>
          <w:sz w:val="20"/>
        </w:rPr>
      </w:pPr>
    </w:p>
    <w:p w14:paraId="3D1768E6" w14:textId="0FD7FB2B" w:rsidR="00B57FC6" w:rsidRPr="004A69E4" w:rsidRDefault="0002124A" w:rsidP="0018110F">
      <w:pPr>
        <w:pStyle w:val="P1"/>
        <w:spacing w:line="360" w:lineRule="auto"/>
        <w:rPr>
          <w:rFonts w:ascii="Times New Roman" w:hAnsi="Times New Roman"/>
          <w:i/>
          <w:sz w:val="20"/>
        </w:rPr>
      </w:pPr>
      <w:r w:rsidRPr="004A69E4">
        <w:rPr>
          <w:rFonts w:ascii="Times New Roman" w:hAnsi="Times New Roman"/>
          <w:i/>
          <w:sz w:val="20"/>
        </w:rPr>
        <w:t>Sample materials</w:t>
      </w:r>
    </w:p>
    <w:p w14:paraId="1B0F82BE" w14:textId="3AFBACC8" w:rsidR="00B57FC6" w:rsidRPr="004A69E4" w:rsidRDefault="0002124A" w:rsidP="0018110F">
      <w:pPr>
        <w:pStyle w:val="P1"/>
        <w:spacing w:line="360" w:lineRule="auto"/>
        <w:jc w:val="both"/>
        <w:rPr>
          <w:rFonts w:ascii="Times New Roman" w:hAnsi="Times New Roman"/>
          <w:bCs/>
          <w:iCs/>
          <w:sz w:val="20"/>
        </w:rPr>
      </w:pPr>
      <w:r w:rsidRPr="004A69E4">
        <w:rPr>
          <w:rFonts w:ascii="Times New Roman" w:hAnsi="Times New Roman"/>
          <w:bCs/>
          <w:i/>
          <w:iCs/>
          <w:sz w:val="20"/>
          <w:lang w:val="de-DE"/>
        </w:rPr>
        <w:t xml:space="preserve">Kaempferia parviflora </w:t>
      </w:r>
      <w:r w:rsidRPr="004A69E4">
        <w:rPr>
          <w:rFonts w:ascii="Times New Roman" w:hAnsi="Times New Roman"/>
          <w:bCs/>
          <w:iCs/>
          <w:sz w:val="20"/>
          <w:lang w:val="de-DE"/>
        </w:rPr>
        <w:t xml:space="preserve">rhizomes were collected in January 2020 from Chiang Mai City, northern Thailand. This material was authenticated by one of the authors (K.H.K). A voucher specimen (SKKU-BG 1908) was stored in the herbarium at the School of Pharmacy, Sungkyunkwan University, Suwon, Korea. </w:t>
      </w:r>
      <w:r w:rsidRPr="004A69E4">
        <w:rPr>
          <w:rFonts w:ascii="Times New Roman" w:hAnsi="Times New Roman"/>
          <w:bCs/>
          <w:i/>
          <w:iCs/>
          <w:sz w:val="20"/>
          <w:lang w:val="de-DE"/>
        </w:rPr>
        <w:t>Morus alba</w:t>
      </w:r>
      <w:r w:rsidRPr="004A69E4">
        <w:rPr>
          <w:rFonts w:ascii="Times New Roman" w:hAnsi="Times New Roman"/>
          <w:bCs/>
          <w:iCs/>
          <w:sz w:val="20"/>
          <w:lang w:val="de-DE"/>
        </w:rPr>
        <w:t xml:space="preserve"> fruits were purchased from the Kyungdong Market (Woori Herb), Seoul, Korea, in January 2014. This material was authenticated by K. H. Kim. A voucher specimen of the material (MA 1414) was deposited in laboratory 306 at the Dong-A ST Research Center, Yongin, Korea.</w:t>
      </w:r>
    </w:p>
    <w:p w14:paraId="58650CCD" w14:textId="77777777" w:rsidR="00B57FC6" w:rsidRPr="004A69E4" w:rsidRDefault="00B57FC6" w:rsidP="0018110F">
      <w:pPr>
        <w:pStyle w:val="P1"/>
        <w:spacing w:line="360" w:lineRule="auto"/>
        <w:rPr>
          <w:rFonts w:ascii="Times New Roman" w:hAnsi="Times New Roman"/>
          <w:i/>
          <w:sz w:val="20"/>
        </w:rPr>
      </w:pPr>
    </w:p>
    <w:p w14:paraId="589818A9" w14:textId="4E89DA96" w:rsidR="00B57FC6" w:rsidRPr="004A69E4" w:rsidRDefault="0002124A" w:rsidP="0018110F">
      <w:pPr>
        <w:pStyle w:val="P1"/>
        <w:spacing w:line="360" w:lineRule="auto"/>
        <w:rPr>
          <w:rFonts w:ascii="Times New Roman" w:hAnsi="Times New Roman"/>
          <w:i/>
          <w:sz w:val="20"/>
        </w:rPr>
      </w:pPr>
      <w:r w:rsidRPr="004A69E4">
        <w:rPr>
          <w:rFonts w:ascii="Times New Roman" w:hAnsi="Times New Roman"/>
          <w:i/>
          <w:sz w:val="20"/>
        </w:rPr>
        <w:t>Extraction and isolation of natural products</w:t>
      </w:r>
    </w:p>
    <w:p w14:paraId="19938609" w14:textId="37468C30" w:rsidR="0002124A" w:rsidRPr="004A69E4" w:rsidRDefault="0002124A" w:rsidP="0018110F">
      <w:pPr>
        <w:pStyle w:val="P1"/>
        <w:spacing w:line="360" w:lineRule="auto"/>
        <w:rPr>
          <w:rFonts w:ascii="Times New Roman" w:hAnsi="Times New Roman"/>
          <w:i/>
          <w:sz w:val="20"/>
          <w:lang w:val="de-DE"/>
        </w:rPr>
      </w:pPr>
      <w:r w:rsidRPr="004A69E4">
        <w:rPr>
          <w:rFonts w:ascii="Times New Roman" w:hAnsi="Times New Roman"/>
          <w:i/>
          <w:sz w:val="20"/>
          <w:lang w:val="de-DE"/>
        </w:rPr>
        <w:t>Isolation of natural products from K. parviflora rhizomes</w:t>
      </w:r>
    </w:p>
    <w:p w14:paraId="352B48E4" w14:textId="4367A5A5" w:rsidR="00B57FC6" w:rsidRPr="004A69E4" w:rsidRDefault="0002124A" w:rsidP="0018110F">
      <w:pPr>
        <w:pStyle w:val="P1"/>
        <w:spacing w:line="360" w:lineRule="auto"/>
        <w:jc w:val="both"/>
        <w:rPr>
          <w:rFonts w:ascii="Times New Roman" w:hAnsi="Times New Roman"/>
          <w:bCs/>
          <w:iCs/>
          <w:sz w:val="20"/>
        </w:rPr>
      </w:pPr>
      <w:r w:rsidRPr="004A69E4">
        <w:rPr>
          <w:rFonts w:ascii="Times New Roman" w:hAnsi="Times New Roman"/>
          <w:bCs/>
          <w:iCs/>
          <w:sz w:val="20"/>
          <w:lang w:val="de-DE"/>
        </w:rPr>
        <w:t xml:space="preserve">Dried </w:t>
      </w:r>
      <w:r w:rsidRPr="004A69E4">
        <w:rPr>
          <w:rFonts w:ascii="Times New Roman" w:hAnsi="Times New Roman"/>
          <w:bCs/>
          <w:i/>
          <w:iCs/>
          <w:sz w:val="20"/>
          <w:lang w:val="de-DE"/>
        </w:rPr>
        <w:t>K. parviflora</w:t>
      </w:r>
      <w:r w:rsidRPr="004A69E4">
        <w:rPr>
          <w:rFonts w:ascii="Times New Roman" w:hAnsi="Times New Roman"/>
          <w:bCs/>
          <w:iCs/>
          <w:sz w:val="20"/>
          <w:lang w:val="de-DE"/>
        </w:rPr>
        <w:t xml:space="preserve"> rhizomes (132 g) were crushed and then extracted with 80%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(2.0 L, 24 h × 2) at room temperature, and then the residue of </w:t>
      </w:r>
      <w:r w:rsidRPr="004A69E4">
        <w:rPr>
          <w:rFonts w:ascii="Times New Roman" w:hAnsi="Times New Roman"/>
          <w:bCs/>
          <w:i/>
          <w:iCs/>
          <w:sz w:val="20"/>
          <w:lang w:val="de-DE"/>
        </w:rPr>
        <w:t>K. parviflora</w:t>
      </w:r>
      <w:r w:rsidRPr="004A69E4">
        <w:rPr>
          <w:rFonts w:ascii="Times New Roman" w:hAnsi="Times New Roman"/>
          <w:bCs/>
          <w:iCs/>
          <w:sz w:val="20"/>
          <w:lang w:val="de-DE"/>
        </w:rPr>
        <w:t xml:space="preserve"> rhizomes was extracted with 80%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(3.0 L, 12 h) under reflux. The filtered extracts were combined and evaporated under reduced pressure using a rotary evaporator to obtain a crude MeOH extract (9.2 g). The resultant extract was suspended in distilled water (700 mL), and solvent partitioning of the extract was performed using </w:t>
      </w:r>
      <w:r w:rsidRPr="004A69E4">
        <w:rPr>
          <w:rFonts w:ascii="Times New Roman" w:hAnsi="Times New Roman"/>
          <w:bCs/>
          <w:i/>
          <w:iCs/>
          <w:sz w:val="20"/>
          <w:lang w:val="de-DE"/>
        </w:rPr>
        <w:t>n</w:t>
      </w:r>
      <w:r w:rsidRPr="004A69E4">
        <w:rPr>
          <w:rFonts w:ascii="Times New Roman" w:hAnsi="Times New Roman"/>
          <w:bCs/>
          <w:iCs/>
          <w:sz w:val="20"/>
          <w:lang w:val="de-DE"/>
        </w:rPr>
        <w:t>-hexane (700 mL), dichloromethane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 700 mL), ethyl acetate (EtOAc, 700 mL), and </w:t>
      </w:r>
      <w:r w:rsidRPr="004A69E4">
        <w:rPr>
          <w:rFonts w:ascii="Times New Roman" w:hAnsi="Times New Roman"/>
          <w:bCs/>
          <w:i/>
          <w:iCs/>
          <w:sz w:val="20"/>
          <w:lang w:val="de-DE"/>
        </w:rPr>
        <w:t>n</w:t>
      </w:r>
      <w:r w:rsidRPr="004A69E4">
        <w:rPr>
          <w:rFonts w:ascii="Times New Roman" w:hAnsi="Times New Roman"/>
          <w:bCs/>
          <w:iCs/>
          <w:sz w:val="20"/>
          <w:lang w:val="de-DE"/>
        </w:rPr>
        <w:t>-butanol (</w:t>
      </w:r>
      <w:r w:rsidRPr="004A69E4">
        <w:rPr>
          <w:rFonts w:ascii="Times New Roman" w:hAnsi="Times New Roman"/>
          <w:bCs/>
          <w:i/>
          <w:iCs/>
          <w:sz w:val="20"/>
          <w:lang w:val="de-DE"/>
        </w:rPr>
        <w:t>n</w:t>
      </w:r>
      <w:r w:rsidRPr="004A69E4">
        <w:rPr>
          <w:rFonts w:ascii="Times New Roman" w:hAnsi="Times New Roman"/>
          <w:bCs/>
          <w:iCs/>
          <w:sz w:val="20"/>
          <w:lang w:val="de-DE"/>
        </w:rPr>
        <w:t>-BuOH, 700 mL), three times. Four fractions with increasing polarity, namely, the hexane-soluble (1.0 g),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-soluble (3.2 g), EtOAc-soluble (0.4 g), and </w:t>
      </w:r>
      <w:r w:rsidRPr="004A69E4">
        <w:rPr>
          <w:rFonts w:ascii="Times New Roman" w:hAnsi="Times New Roman"/>
          <w:bCs/>
          <w:i/>
          <w:iCs/>
          <w:sz w:val="20"/>
          <w:lang w:val="de-DE"/>
        </w:rPr>
        <w:t>n</w:t>
      </w:r>
      <w:r w:rsidRPr="004A69E4">
        <w:rPr>
          <w:rFonts w:ascii="Times New Roman" w:hAnsi="Times New Roman"/>
          <w:bCs/>
          <w:iCs/>
          <w:sz w:val="20"/>
          <w:lang w:val="de-DE"/>
        </w:rPr>
        <w:t xml:space="preserve">-BuOH-soluble (0.5 g) layers, were obtained. With reference to an in-house UV library, LC-MS analysis of the four fractions derived from the solvent partition process confirmed the presence of the majority of flavonoids in the hexane-soluble fraction. The hexane-soluble fraction (1.0 g) was subjected to silica gel column </w:t>
      </w:r>
      <w:r w:rsidRPr="004A69E4">
        <w:rPr>
          <w:rFonts w:ascii="Times New Roman" w:hAnsi="Times New Roman"/>
          <w:bCs/>
          <w:iCs/>
          <w:sz w:val="20"/>
          <w:lang w:val="de-DE"/>
        </w:rPr>
        <w:lastRenderedPageBreak/>
        <w:t xml:space="preserve">chromatography (eluted with </w:t>
      </w:r>
      <w:r w:rsidRPr="004A69E4">
        <w:rPr>
          <w:rFonts w:ascii="Times New Roman" w:hAnsi="Times New Roman"/>
          <w:bCs/>
          <w:i/>
          <w:iCs/>
          <w:sz w:val="20"/>
          <w:lang w:val="de-DE"/>
        </w:rPr>
        <w:t>n</w:t>
      </w:r>
      <w:r w:rsidRPr="004A69E4">
        <w:rPr>
          <w:rFonts w:ascii="Times New Roman" w:hAnsi="Times New Roman"/>
          <w:bCs/>
          <w:iCs/>
          <w:sz w:val="20"/>
          <w:lang w:val="de-DE"/>
        </w:rPr>
        <w:t>-hexane/EtOAc [10:1 → 1:1] and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/MeOH [10:1→1:1], gradient solvent system) to obtain six fractions (H1–H6). Fraction H1 (31.1 mg) was separated by semi-preparative reverse-phase HPLC with 94%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obtain compound </w:t>
      </w:r>
      <w:r w:rsidRPr="004A69E4">
        <w:rPr>
          <w:rFonts w:ascii="Times New Roman" w:hAnsi="Times New Roman"/>
          <w:b/>
          <w:bCs/>
          <w:iCs/>
          <w:sz w:val="20"/>
          <w:lang w:val="de-DE"/>
        </w:rPr>
        <w:t xml:space="preserve">K-10 </w:t>
      </w:r>
      <w:r w:rsidRPr="004A69E4">
        <w:rPr>
          <w:rFonts w:ascii="Times New Roman" w:hAnsi="Times New Roman"/>
          <w:bCs/>
          <w:iCs/>
          <w:sz w:val="20"/>
          <w:lang w:val="de-DE"/>
        </w:rPr>
        <w:t xml:space="preserve">(2.3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14.5 min). Fraction H2 (91.5 mg) was separated using Sephadex LH-20 column chromatography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/MeOH (2:8)] to obtain five subfractions (H21–H25). Subfraction H22 (29.2 mg) was isolated using semi-preparative reverse-phase HPLC with 78%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obtain compounds </w:t>
      </w:r>
      <w:r w:rsidRPr="004A69E4">
        <w:rPr>
          <w:rFonts w:ascii="Times New Roman" w:hAnsi="Times New Roman"/>
          <w:b/>
          <w:bCs/>
          <w:iCs/>
          <w:sz w:val="20"/>
          <w:lang w:val="de-DE"/>
        </w:rPr>
        <w:t xml:space="preserve">K-1 </w:t>
      </w:r>
      <w:r w:rsidRPr="004A69E4">
        <w:rPr>
          <w:rFonts w:ascii="Times New Roman" w:hAnsi="Times New Roman"/>
          <w:bCs/>
          <w:iCs/>
          <w:sz w:val="20"/>
          <w:lang w:val="de-DE"/>
        </w:rPr>
        <w:t xml:space="preserve">(4.1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xml:space="preserve">= 35.5 min) and </w:t>
      </w:r>
      <w:r w:rsidRPr="004A69E4">
        <w:rPr>
          <w:rFonts w:ascii="Times New Roman" w:hAnsi="Times New Roman"/>
          <w:b/>
          <w:bCs/>
          <w:iCs/>
          <w:sz w:val="20"/>
          <w:lang w:val="de-DE"/>
        </w:rPr>
        <w:t xml:space="preserve">K-2 </w:t>
      </w:r>
      <w:r w:rsidRPr="004A69E4">
        <w:rPr>
          <w:rFonts w:ascii="Times New Roman" w:hAnsi="Times New Roman"/>
          <w:bCs/>
          <w:iCs/>
          <w:sz w:val="20"/>
          <w:lang w:val="de-DE"/>
        </w:rPr>
        <w:t xml:space="preserve">(3.9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39.8 min). Fraction H4 (65.8 mg) was purified using semi-preparative reverse-phase HPLC with 70%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yield compounds </w:t>
      </w:r>
      <w:r w:rsidRPr="004A69E4">
        <w:rPr>
          <w:rFonts w:ascii="Times New Roman" w:hAnsi="Times New Roman"/>
          <w:b/>
          <w:bCs/>
          <w:iCs/>
          <w:sz w:val="20"/>
          <w:lang w:val="de-DE"/>
        </w:rPr>
        <w:t xml:space="preserve">K-5 </w:t>
      </w:r>
      <w:r w:rsidRPr="004A69E4">
        <w:rPr>
          <w:rFonts w:ascii="Times New Roman" w:hAnsi="Times New Roman"/>
          <w:bCs/>
          <w:iCs/>
          <w:sz w:val="20"/>
          <w:lang w:val="de-DE"/>
        </w:rPr>
        <w:t xml:space="preserve">(1.2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xml:space="preserve">= 16.8 min) and </w:t>
      </w:r>
      <w:r w:rsidRPr="004A69E4">
        <w:rPr>
          <w:rFonts w:ascii="Times New Roman" w:hAnsi="Times New Roman"/>
          <w:b/>
          <w:bCs/>
          <w:iCs/>
          <w:sz w:val="20"/>
          <w:lang w:val="de-DE"/>
        </w:rPr>
        <w:t xml:space="preserve">K-8 </w:t>
      </w:r>
      <w:r w:rsidRPr="004A69E4">
        <w:rPr>
          <w:rFonts w:ascii="Times New Roman" w:hAnsi="Times New Roman"/>
          <w:bCs/>
          <w:iCs/>
          <w:sz w:val="20"/>
          <w:lang w:val="de-DE"/>
        </w:rPr>
        <w:t xml:space="preserve">(2.0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21.3 min). Fraction H5 (112.7 mg) was subjected to Sephadex LH-20 column chromatography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/MeOH (2:8)] to obtain two subfractions (H51 and H52). Subfraction H52 (28.2 mg) was separated using semi-preparative reverse-phase HPLC with 83%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isolate compounds </w:t>
      </w:r>
      <w:r w:rsidRPr="004A69E4">
        <w:rPr>
          <w:rFonts w:ascii="Times New Roman" w:hAnsi="Times New Roman"/>
          <w:b/>
          <w:bCs/>
          <w:iCs/>
          <w:sz w:val="20"/>
          <w:lang w:val="de-DE"/>
        </w:rPr>
        <w:t>K-4</w:t>
      </w:r>
      <w:r w:rsidRPr="004A69E4">
        <w:rPr>
          <w:rFonts w:ascii="Times New Roman" w:hAnsi="Times New Roman"/>
          <w:bCs/>
          <w:iCs/>
          <w:sz w:val="20"/>
          <w:lang w:val="de-DE"/>
        </w:rPr>
        <w:t xml:space="preserve"> (3.8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xml:space="preserve">= 26.3 min), </w:t>
      </w:r>
      <w:r w:rsidRPr="004A69E4">
        <w:rPr>
          <w:rFonts w:ascii="Times New Roman" w:hAnsi="Times New Roman"/>
          <w:b/>
          <w:bCs/>
          <w:iCs/>
          <w:sz w:val="20"/>
          <w:lang w:val="de-DE"/>
        </w:rPr>
        <w:t xml:space="preserve">K-7 </w:t>
      </w:r>
      <w:r w:rsidRPr="004A69E4">
        <w:rPr>
          <w:rFonts w:ascii="Times New Roman" w:hAnsi="Times New Roman"/>
          <w:bCs/>
          <w:iCs/>
          <w:sz w:val="20"/>
          <w:lang w:val="de-DE"/>
        </w:rPr>
        <w:t xml:space="preserve">(2.5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xml:space="preserve">= 28.1 min), and </w:t>
      </w:r>
      <w:r w:rsidRPr="004A69E4">
        <w:rPr>
          <w:rFonts w:ascii="Times New Roman" w:hAnsi="Times New Roman"/>
          <w:b/>
          <w:bCs/>
          <w:iCs/>
          <w:sz w:val="20"/>
          <w:lang w:val="de-DE"/>
        </w:rPr>
        <w:t xml:space="preserve">K-11 </w:t>
      </w:r>
      <w:r w:rsidRPr="004A69E4">
        <w:rPr>
          <w:rFonts w:ascii="Times New Roman" w:hAnsi="Times New Roman"/>
          <w:bCs/>
          <w:iCs/>
          <w:sz w:val="20"/>
          <w:lang w:val="de-DE"/>
        </w:rPr>
        <w:t xml:space="preserve">(0.6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31.5 min). Fraction H6 (271.8 mg) was fractionated using Sephadex LH-20 column chromatography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/MeOH [2:8]) to obtain three subfractions (H61–H63). Subfraction H61 (14.5 mg) was isolated using semi-preparative reverse-phase HPLC with 42% MeCN/H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obtain compounds </w:t>
      </w:r>
      <w:r w:rsidRPr="004A69E4">
        <w:rPr>
          <w:rFonts w:ascii="Times New Roman" w:hAnsi="Times New Roman"/>
          <w:b/>
          <w:bCs/>
          <w:iCs/>
          <w:sz w:val="20"/>
          <w:lang w:val="de-DE"/>
        </w:rPr>
        <w:t>K-6</w:t>
      </w:r>
      <w:r w:rsidRPr="004A69E4">
        <w:rPr>
          <w:rFonts w:ascii="Times New Roman" w:hAnsi="Times New Roman"/>
          <w:bCs/>
          <w:iCs/>
          <w:sz w:val="20"/>
          <w:lang w:val="de-DE"/>
        </w:rPr>
        <w:t xml:space="preserve"> (2.8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xml:space="preserve">= 40.2 min), </w:t>
      </w:r>
      <w:r w:rsidRPr="004A69E4">
        <w:rPr>
          <w:rFonts w:ascii="Times New Roman" w:hAnsi="Times New Roman"/>
          <w:b/>
          <w:bCs/>
          <w:iCs/>
          <w:sz w:val="20"/>
          <w:lang w:val="de-DE"/>
        </w:rPr>
        <w:t xml:space="preserve">K-3 </w:t>
      </w:r>
      <w:r w:rsidRPr="004A69E4">
        <w:rPr>
          <w:rFonts w:ascii="Times New Roman" w:hAnsi="Times New Roman"/>
          <w:bCs/>
          <w:iCs/>
          <w:sz w:val="20"/>
          <w:lang w:val="de-DE"/>
        </w:rPr>
        <w:t xml:space="preserve">(0.8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xml:space="preserve">= 44.0 min), and </w:t>
      </w:r>
      <w:r w:rsidRPr="004A69E4">
        <w:rPr>
          <w:rFonts w:ascii="Times New Roman" w:hAnsi="Times New Roman"/>
          <w:b/>
          <w:bCs/>
          <w:iCs/>
          <w:sz w:val="20"/>
          <w:lang w:val="de-DE"/>
        </w:rPr>
        <w:t xml:space="preserve">K-9 </w:t>
      </w:r>
      <w:r w:rsidRPr="004A69E4">
        <w:rPr>
          <w:rFonts w:ascii="Times New Roman" w:hAnsi="Times New Roman"/>
          <w:bCs/>
          <w:iCs/>
          <w:sz w:val="20"/>
          <w:lang w:val="de-DE"/>
        </w:rPr>
        <w:t xml:space="preserve">(0.5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45.9 min). Subfraction H62 (228.5 mg) was subjected to silica gel column chromatography (eluted with CH</w:t>
      </w:r>
      <w:r w:rsidRPr="004A69E4">
        <w:rPr>
          <w:rFonts w:ascii="Times New Roman" w:hAnsi="Times New Roman"/>
          <w:bCs/>
          <w:iCs/>
          <w:sz w:val="20"/>
          <w:vertAlign w:val="subscript"/>
          <w:lang w:val="de-DE"/>
        </w:rPr>
        <w:t>2</w:t>
      </w:r>
      <w:r w:rsidRPr="004A69E4">
        <w:rPr>
          <w:rFonts w:ascii="Times New Roman" w:hAnsi="Times New Roman"/>
          <w:bCs/>
          <w:iCs/>
          <w:sz w:val="20"/>
          <w:lang w:val="de-DE"/>
        </w:rPr>
        <w:t>Cl</w:t>
      </w:r>
      <w:r w:rsidRPr="004A69E4">
        <w:rPr>
          <w:rFonts w:ascii="Times New Roman" w:hAnsi="Times New Roman"/>
          <w:bCs/>
          <w:iCs/>
          <w:sz w:val="20"/>
          <w:vertAlign w:val="subscript"/>
          <w:lang w:val="de-DE"/>
        </w:rPr>
        <w:t>2</w:t>
      </w:r>
      <w:r w:rsidRPr="004A69E4">
        <w:rPr>
          <w:rFonts w:ascii="Times New Roman" w:hAnsi="Times New Roman"/>
          <w:bCs/>
          <w:iCs/>
          <w:sz w:val="20"/>
          <w:lang w:val="de-DE"/>
        </w:rPr>
        <w:t>/MeOH [60:1→1:1], gradient solvent system) to obtain six subfractions (H621–H626). Subfraction H622 (20.1 mg) was purified using semi-preparative reverse-phase HPLC with 76%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obtain compound </w:t>
      </w:r>
      <w:r w:rsidRPr="004A69E4">
        <w:rPr>
          <w:rFonts w:ascii="Times New Roman" w:hAnsi="Times New Roman"/>
          <w:b/>
          <w:bCs/>
          <w:iCs/>
          <w:sz w:val="20"/>
          <w:lang w:val="de-DE"/>
        </w:rPr>
        <w:t>K-12</w:t>
      </w:r>
      <w:r w:rsidRPr="004A69E4">
        <w:rPr>
          <w:rFonts w:ascii="Times New Roman" w:hAnsi="Times New Roman"/>
          <w:bCs/>
          <w:iCs/>
          <w:sz w:val="20"/>
          <w:lang w:val="de-DE"/>
        </w:rPr>
        <w:t xml:space="preserve"> (1.4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
          <w:iCs/>
          <w:sz w:val="20"/>
          <w:lang w:val="de-DE"/>
        </w:rPr>
        <w:t xml:space="preserve"> </w:t>
      </w:r>
      <w:r w:rsidRPr="004A69E4">
        <w:rPr>
          <w:rFonts w:ascii="Times New Roman" w:hAnsi="Times New Roman"/>
          <w:bCs/>
          <w:iCs/>
          <w:sz w:val="20"/>
          <w:lang w:val="de-DE"/>
        </w:rPr>
        <w:t>= 47.2 min).</w:t>
      </w:r>
    </w:p>
    <w:p w14:paraId="4D3687A1" w14:textId="77777777" w:rsidR="00CF7EB9" w:rsidRPr="004A69E4" w:rsidRDefault="00CF7EB9" w:rsidP="0018110F">
      <w:pPr>
        <w:pStyle w:val="P1"/>
        <w:spacing w:line="360" w:lineRule="auto"/>
        <w:jc w:val="both"/>
        <w:rPr>
          <w:bCs/>
          <w:i/>
          <w:iCs/>
          <w:sz w:val="20"/>
          <w:lang w:val="de-DE"/>
        </w:rPr>
      </w:pPr>
    </w:p>
    <w:p w14:paraId="112CEBB5" w14:textId="28472A82" w:rsidR="00B57FC6" w:rsidRPr="004A69E4" w:rsidRDefault="00CF7EB9" w:rsidP="0018110F">
      <w:pPr>
        <w:pStyle w:val="P1"/>
        <w:spacing w:line="360" w:lineRule="auto"/>
        <w:jc w:val="both"/>
        <w:rPr>
          <w:rFonts w:ascii="Times New Roman" w:hAnsi="Times New Roman"/>
          <w:i/>
          <w:sz w:val="20"/>
        </w:rPr>
      </w:pPr>
      <w:r w:rsidRPr="004A69E4">
        <w:rPr>
          <w:rFonts w:ascii="Times New Roman" w:hAnsi="Times New Roman"/>
          <w:bCs/>
          <w:i/>
          <w:iCs/>
          <w:sz w:val="20"/>
          <w:lang w:val="de-DE"/>
        </w:rPr>
        <w:t>Isolation of natural products from Morus alba fruits</w:t>
      </w:r>
    </w:p>
    <w:p w14:paraId="679D1B4B" w14:textId="3F8C0CB6" w:rsidR="00B57FC6" w:rsidRPr="004A69E4" w:rsidRDefault="00CF7EB9" w:rsidP="0018110F">
      <w:pPr>
        <w:pStyle w:val="P1"/>
        <w:spacing w:line="360" w:lineRule="auto"/>
        <w:jc w:val="both"/>
        <w:rPr>
          <w:rFonts w:ascii="Times New Roman" w:hAnsi="Times New Roman"/>
          <w:bCs/>
          <w:iCs/>
          <w:sz w:val="20"/>
        </w:rPr>
      </w:pPr>
      <w:r w:rsidRPr="004A69E4">
        <w:rPr>
          <w:rFonts w:ascii="Times New Roman" w:hAnsi="Times New Roman"/>
          <w:bCs/>
          <w:iCs/>
          <w:sz w:val="20"/>
          <w:lang w:val="de-DE"/>
        </w:rPr>
        <w:t xml:space="preserve">Dried and mashed </w:t>
      </w:r>
      <w:r w:rsidRPr="004A69E4">
        <w:rPr>
          <w:rFonts w:ascii="Times New Roman" w:hAnsi="Times New Roman"/>
          <w:bCs/>
          <w:i/>
          <w:iCs/>
          <w:sz w:val="20"/>
          <w:lang w:val="de-DE"/>
        </w:rPr>
        <w:t>M. alba</w:t>
      </w:r>
      <w:r w:rsidRPr="004A69E4">
        <w:rPr>
          <w:rFonts w:ascii="Times New Roman" w:hAnsi="Times New Roman"/>
          <w:bCs/>
          <w:iCs/>
          <w:sz w:val="20"/>
          <w:lang w:val="de-DE"/>
        </w:rPr>
        <w:t xml:space="preserve"> fruits (1.1 kg) were extracted by mixing the material with 70% aqueous ethanol (EtOH) (15.0 L) for three days at room temperature; this was repeated three times, followed by filtration. After evaporation of the filtrate </w:t>
      </w:r>
      <w:r w:rsidRPr="004A69E4">
        <w:rPr>
          <w:rFonts w:ascii="Times New Roman" w:hAnsi="Times New Roman"/>
          <w:bCs/>
          <w:i/>
          <w:iCs/>
          <w:sz w:val="20"/>
          <w:lang w:val="de-DE"/>
        </w:rPr>
        <w:t>in vacuo</w:t>
      </w:r>
      <w:r w:rsidRPr="004A69E4">
        <w:rPr>
          <w:rFonts w:ascii="Times New Roman" w:hAnsi="Times New Roman"/>
          <w:bCs/>
          <w:iCs/>
          <w:sz w:val="20"/>
          <w:lang w:val="de-DE"/>
        </w:rPr>
        <w:t xml:space="preserve">, the resultant residue (120 g) was dissolved in distilled water (800 mL) and then solvent-partitioned with </w:t>
      </w:r>
      <w:r w:rsidRPr="004A69E4">
        <w:rPr>
          <w:rFonts w:ascii="Times New Roman" w:hAnsi="Times New Roman"/>
          <w:bCs/>
          <w:i/>
          <w:iCs/>
          <w:sz w:val="20"/>
          <w:lang w:val="de-DE"/>
        </w:rPr>
        <w:t>n</w:t>
      </w:r>
      <w:r w:rsidRPr="004A69E4">
        <w:rPr>
          <w:rFonts w:ascii="Times New Roman" w:hAnsi="Times New Roman"/>
          <w:bCs/>
          <w:iCs/>
          <w:sz w:val="20"/>
          <w:lang w:val="de-DE"/>
        </w:rPr>
        <w:t>-hexane (800 mL), chloroform (CHCl</w:t>
      </w:r>
      <w:r w:rsidRPr="004A69E4">
        <w:rPr>
          <w:rFonts w:ascii="Times New Roman" w:hAnsi="Times New Roman"/>
          <w:bCs/>
          <w:iCs/>
          <w:sz w:val="20"/>
          <w:vertAlign w:val="subscript"/>
          <w:lang w:val="de-DE"/>
        </w:rPr>
        <w:t>3</w:t>
      </w:r>
      <w:r w:rsidRPr="004A69E4">
        <w:rPr>
          <w:rFonts w:ascii="Times New Roman" w:hAnsi="Times New Roman"/>
          <w:bCs/>
          <w:iCs/>
          <w:sz w:val="20"/>
          <w:lang w:val="de-DE"/>
        </w:rPr>
        <w:t xml:space="preserve">, 800 mL), ethyl acetate (EtOAc, 800 mL), and </w:t>
      </w:r>
      <w:r w:rsidRPr="004A69E4">
        <w:rPr>
          <w:rFonts w:ascii="Times New Roman" w:hAnsi="Times New Roman"/>
          <w:bCs/>
          <w:i/>
          <w:iCs/>
          <w:sz w:val="20"/>
          <w:lang w:val="de-DE"/>
        </w:rPr>
        <w:t>n</w:t>
      </w:r>
      <w:r w:rsidRPr="004A69E4">
        <w:rPr>
          <w:rFonts w:ascii="Times New Roman" w:hAnsi="Times New Roman"/>
          <w:bCs/>
          <w:iCs/>
          <w:sz w:val="20"/>
          <w:lang w:val="de-DE"/>
        </w:rPr>
        <w:t>-butanol (</w:t>
      </w:r>
      <w:r w:rsidRPr="004A69E4">
        <w:rPr>
          <w:rFonts w:ascii="Times New Roman" w:hAnsi="Times New Roman"/>
          <w:bCs/>
          <w:i/>
          <w:iCs/>
          <w:sz w:val="20"/>
          <w:lang w:val="de-DE"/>
        </w:rPr>
        <w:t>n</w:t>
      </w:r>
      <w:r w:rsidRPr="004A69E4">
        <w:rPr>
          <w:rFonts w:ascii="Times New Roman" w:hAnsi="Times New Roman"/>
          <w:bCs/>
          <w:iCs/>
          <w:sz w:val="20"/>
          <w:lang w:val="de-DE"/>
        </w:rPr>
        <w:t>-BuOH, 800 mL), three times. Four layers with increasing polarity, hexane-soluble (2.8 g), CHCl</w:t>
      </w:r>
      <w:r w:rsidRPr="004A69E4">
        <w:rPr>
          <w:rFonts w:ascii="Times New Roman" w:hAnsi="Times New Roman"/>
          <w:bCs/>
          <w:iCs/>
          <w:sz w:val="20"/>
          <w:vertAlign w:val="subscript"/>
          <w:lang w:val="de-DE"/>
        </w:rPr>
        <w:t>3</w:t>
      </w:r>
      <w:r w:rsidRPr="004A69E4">
        <w:rPr>
          <w:rFonts w:ascii="Times New Roman" w:hAnsi="Times New Roman"/>
          <w:bCs/>
          <w:iCs/>
          <w:sz w:val="20"/>
          <w:lang w:val="de-DE"/>
        </w:rPr>
        <w:t xml:space="preserve">-soluble (8.5 g), EtOAc-soluble (3.2 g), and </w:t>
      </w:r>
      <w:r w:rsidRPr="004A69E4">
        <w:rPr>
          <w:rFonts w:ascii="Times New Roman" w:hAnsi="Times New Roman"/>
          <w:bCs/>
          <w:i/>
          <w:iCs/>
          <w:sz w:val="20"/>
          <w:lang w:val="de-DE"/>
        </w:rPr>
        <w:t>n</w:t>
      </w:r>
      <w:r w:rsidRPr="004A69E4">
        <w:rPr>
          <w:rFonts w:ascii="Times New Roman" w:hAnsi="Times New Roman"/>
          <w:bCs/>
          <w:iCs/>
          <w:sz w:val="20"/>
          <w:lang w:val="de-DE"/>
        </w:rPr>
        <w:t>-BuOH-soluble (13.8 g) fractions, were obtained. LC-MS/MS analysis of the solvent-partitioned fractions obtained in combination with our in-house UV library database revealed that the EtOAc-soluble fraction was rich in flavonoids. The EtOAc-soluble fraction (3.2 g) was fractionated by RP-C</w:t>
      </w:r>
      <w:r w:rsidRPr="004A69E4">
        <w:rPr>
          <w:rFonts w:ascii="Times New Roman" w:hAnsi="Times New Roman"/>
          <w:bCs/>
          <w:iCs/>
          <w:sz w:val="20"/>
          <w:vertAlign w:val="subscript"/>
          <w:lang w:val="de-DE"/>
        </w:rPr>
        <w:t>18</w:t>
      </w:r>
      <w:r w:rsidRPr="004A69E4">
        <w:rPr>
          <w:rFonts w:ascii="Times New Roman" w:hAnsi="Times New Roman"/>
          <w:bCs/>
          <w:iCs/>
          <w:sz w:val="20"/>
          <w:lang w:val="de-DE"/>
        </w:rPr>
        <w:t xml:space="preserve"> column chromatography (eluted with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O [30:70 → 60:40 → 100:0], gradient solvent system) to obtain seven fractions (E1–E7). Fraction E5 (0.5 g) was further separated on a Sephadex LH-20 column using a solvent system of 100% MeOH to yield seven subfractions (E51-E57). Subfraction E55 (150 mg) was fractionated by preparative reversed HPLC (eluted with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O [30:70 → 80:20] in 120 min, gradient solvent system) to yield four subfractions (E551-E554). Subfraction E553 (25.3 mg) was purified using semi-preparative HPLC with 30%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obtain compounds </w:t>
      </w:r>
      <w:r w:rsidRPr="004A69E4">
        <w:rPr>
          <w:rFonts w:ascii="Times New Roman" w:hAnsi="Times New Roman"/>
          <w:b/>
          <w:bCs/>
          <w:iCs/>
          <w:sz w:val="20"/>
          <w:lang w:val="de-DE"/>
        </w:rPr>
        <w:t>M-4</w:t>
      </w:r>
      <w:r w:rsidRPr="004A69E4">
        <w:rPr>
          <w:rFonts w:ascii="Times New Roman" w:hAnsi="Times New Roman"/>
          <w:bCs/>
          <w:iCs/>
          <w:sz w:val="20"/>
          <w:lang w:val="de-DE"/>
        </w:rPr>
        <w:t xml:space="preserve"> (3.5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30.0 min), </w:t>
      </w:r>
      <w:r w:rsidRPr="004A69E4">
        <w:rPr>
          <w:rFonts w:ascii="Times New Roman" w:hAnsi="Times New Roman"/>
          <w:b/>
          <w:bCs/>
          <w:iCs/>
          <w:sz w:val="20"/>
          <w:lang w:val="de-DE"/>
        </w:rPr>
        <w:t>M-5</w:t>
      </w:r>
      <w:r w:rsidRPr="004A69E4">
        <w:rPr>
          <w:rFonts w:ascii="Times New Roman" w:hAnsi="Times New Roman"/>
          <w:bCs/>
          <w:iCs/>
          <w:sz w:val="20"/>
          <w:lang w:val="de-DE"/>
        </w:rPr>
        <w:t xml:space="preserve"> (0.6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33.8 min), and </w:t>
      </w:r>
      <w:r w:rsidRPr="004A69E4">
        <w:rPr>
          <w:rFonts w:ascii="Times New Roman" w:hAnsi="Times New Roman"/>
          <w:b/>
          <w:bCs/>
          <w:iCs/>
          <w:sz w:val="20"/>
          <w:lang w:val="de-DE"/>
        </w:rPr>
        <w:t>M-7</w:t>
      </w:r>
      <w:r w:rsidRPr="004A69E4">
        <w:rPr>
          <w:rFonts w:ascii="Times New Roman" w:hAnsi="Times New Roman"/>
          <w:bCs/>
          <w:iCs/>
          <w:sz w:val="20"/>
          <w:lang w:val="de-DE"/>
        </w:rPr>
        <w:t xml:space="preserve"> (1.5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48.2 min). Subfraction E56 (50 mg) was purified using semi-preparative HPLC with 45%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afford compounds </w:t>
      </w:r>
      <w:r w:rsidRPr="004A69E4">
        <w:rPr>
          <w:rFonts w:ascii="Times New Roman" w:hAnsi="Times New Roman"/>
          <w:b/>
          <w:bCs/>
          <w:iCs/>
          <w:sz w:val="20"/>
          <w:lang w:val="de-DE"/>
        </w:rPr>
        <w:t xml:space="preserve">M-3 </w:t>
      </w:r>
      <w:r w:rsidRPr="004A69E4">
        <w:rPr>
          <w:rFonts w:ascii="Times New Roman" w:hAnsi="Times New Roman"/>
          <w:bCs/>
          <w:iCs/>
          <w:sz w:val="20"/>
          <w:lang w:val="de-DE"/>
        </w:rPr>
        <w:t xml:space="preserve">(1.7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38.9 min) and </w:t>
      </w:r>
      <w:r w:rsidRPr="004A69E4">
        <w:rPr>
          <w:rFonts w:ascii="Times New Roman" w:hAnsi="Times New Roman"/>
          <w:b/>
          <w:bCs/>
          <w:iCs/>
          <w:sz w:val="20"/>
          <w:lang w:val="de-DE"/>
        </w:rPr>
        <w:t>M-6</w:t>
      </w:r>
      <w:r w:rsidRPr="004A69E4">
        <w:rPr>
          <w:rFonts w:ascii="Times New Roman" w:hAnsi="Times New Roman"/>
          <w:bCs/>
          <w:iCs/>
          <w:sz w:val="20"/>
          <w:lang w:val="de-DE"/>
        </w:rPr>
        <w:t xml:space="preserve"> (2.2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54.0 min). Fraction E6 (0.4 g) was separated on a Sephadex LH-20 column using a solvent system of 100% MeOH to yield five subfractions (E61–E65). Subfraction E63 (19.8 mg) was purified using semi-preparative HPLC with 53%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 xml:space="preserve">O (flow rate of 2 mL/min) to afford compounds </w:t>
      </w:r>
      <w:r w:rsidRPr="004A69E4">
        <w:rPr>
          <w:rFonts w:ascii="Times New Roman" w:hAnsi="Times New Roman"/>
          <w:b/>
          <w:bCs/>
          <w:iCs/>
          <w:sz w:val="20"/>
          <w:lang w:val="de-DE"/>
        </w:rPr>
        <w:t>M-1</w:t>
      </w:r>
      <w:r w:rsidRPr="004A69E4">
        <w:rPr>
          <w:rFonts w:ascii="Times New Roman" w:hAnsi="Times New Roman"/>
          <w:bCs/>
          <w:iCs/>
          <w:sz w:val="20"/>
          <w:lang w:val="de-DE"/>
        </w:rPr>
        <w:t xml:space="preserve"> (1.1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54.1 min) and </w:t>
      </w:r>
      <w:r w:rsidRPr="004A69E4">
        <w:rPr>
          <w:rFonts w:ascii="Times New Roman" w:hAnsi="Times New Roman"/>
          <w:b/>
          <w:bCs/>
          <w:iCs/>
          <w:sz w:val="20"/>
          <w:lang w:val="de-DE"/>
        </w:rPr>
        <w:t xml:space="preserve">M-2 </w:t>
      </w:r>
      <w:r w:rsidRPr="004A69E4">
        <w:rPr>
          <w:rFonts w:ascii="Times New Roman" w:hAnsi="Times New Roman"/>
          <w:bCs/>
          <w:iCs/>
          <w:sz w:val="20"/>
          <w:lang w:val="de-DE"/>
        </w:rPr>
        <w:t xml:space="preserve">(0.8 mg,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44.9 min).</w:t>
      </w:r>
    </w:p>
    <w:p w14:paraId="2C378072" w14:textId="77777777" w:rsidR="00B57FC6" w:rsidRPr="004A69E4" w:rsidRDefault="00B57FC6" w:rsidP="0018110F">
      <w:pPr>
        <w:pStyle w:val="P1"/>
        <w:spacing w:line="360" w:lineRule="auto"/>
        <w:jc w:val="both"/>
        <w:rPr>
          <w:rFonts w:ascii="Times New Roman" w:hAnsi="Times New Roman"/>
          <w:i/>
          <w:sz w:val="16"/>
          <w:szCs w:val="20"/>
        </w:rPr>
      </w:pPr>
    </w:p>
    <w:p w14:paraId="056E1956" w14:textId="67CE373A" w:rsidR="00B57FC6" w:rsidRPr="004A69E4" w:rsidRDefault="00CF7EB9" w:rsidP="0018110F">
      <w:pPr>
        <w:pStyle w:val="P1"/>
        <w:spacing w:line="360" w:lineRule="auto"/>
        <w:jc w:val="both"/>
        <w:rPr>
          <w:rFonts w:ascii="Times New Roman" w:hAnsi="Times New Roman"/>
          <w:i/>
          <w:sz w:val="20"/>
        </w:rPr>
      </w:pPr>
      <w:bookmarkStart w:id="1" w:name="_Hlk89919106"/>
      <w:r w:rsidRPr="004A69E4">
        <w:rPr>
          <w:rFonts w:ascii="Times New Roman" w:hAnsi="Times New Roman"/>
          <w:bCs/>
          <w:i/>
          <w:iCs/>
          <w:sz w:val="20"/>
          <w:lang w:val="de-DE"/>
        </w:rPr>
        <w:t>Kaempferol-3-O-glucoside</w:t>
      </w:r>
      <w:bookmarkEnd w:id="1"/>
      <w:r w:rsidRPr="004A69E4">
        <w:rPr>
          <w:rFonts w:ascii="Times New Roman" w:hAnsi="Times New Roman"/>
          <w:bCs/>
          <w:i/>
          <w:iCs/>
          <w:sz w:val="20"/>
          <w:lang w:val="de-DE"/>
        </w:rPr>
        <w:t xml:space="preserve"> 6"-succinate methyl ester (</w:t>
      </w:r>
      <w:r w:rsidRPr="004A69E4">
        <w:rPr>
          <w:rFonts w:ascii="Times New Roman" w:hAnsi="Times New Roman"/>
          <w:b/>
          <w:bCs/>
          <w:i/>
          <w:iCs/>
          <w:sz w:val="20"/>
          <w:lang w:val="de-DE"/>
        </w:rPr>
        <w:t>M-1</w:t>
      </w:r>
      <w:r w:rsidRPr="004A69E4">
        <w:rPr>
          <w:rFonts w:ascii="Times New Roman" w:hAnsi="Times New Roman"/>
          <w:bCs/>
          <w:i/>
          <w:iCs/>
          <w:sz w:val="20"/>
          <w:lang w:val="de-DE"/>
        </w:rPr>
        <w:t>)</w:t>
      </w:r>
    </w:p>
    <w:p w14:paraId="634C693C" w14:textId="19489D08" w:rsidR="00B57FC6" w:rsidRPr="004A69E4" w:rsidRDefault="00CF7EB9" w:rsidP="0018110F">
      <w:pPr>
        <w:pStyle w:val="P1"/>
        <w:spacing w:line="360" w:lineRule="auto"/>
        <w:jc w:val="both"/>
        <w:rPr>
          <w:rFonts w:ascii="Times New Roman" w:hAnsi="Times New Roman"/>
          <w:bCs/>
          <w:iCs/>
          <w:sz w:val="20"/>
        </w:rPr>
      </w:pPr>
      <w:r w:rsidRPr="004A69E4">
        <w:rPr>
          <w:rFonts w:ascii="Times New Roman" w:hAnsi="Times New Roman"/>
          <w:bCs/>
          <w:iCs/>
          <w:sz w:val="20"/>
          <w:lang w:val="de-DE"/>
        </w:rPr>
        <w:t>Yellowish amorphous powder; [α]</w:t>
      </w:r>
      <w:r w:rsidRPr="004A69E4">
        <w:rPr>
          <w:rFonts w:ascii="Times New Roman" w:hAnsi="Times New Roman"/>
          <w:bCs/>
          <w:iCs/>
          <w:sz w:val="10"/>
          <w:szCs w:val="14"/>
          <w:lang w:val="de-DE"/>
        </w:rPr>
        <w:fldChar w:fldCharType="begin"/>
      </w:r>
      <w:r w:rsidRPr="004A69E4">
        <w:rPr>
          <w:rFonts w:ascii="Times New Roman" w:hAnsi="Times New Roman"/>
          <w:bCs/>
          <w:iCs/>
          <w:sz w:val="10"/>
          <w:szCs w:val="14"/>
          <w:lang w:val="de-DE"/>
        </w:rPr>
        <w:instrText xml:space="preserve"> EQ \S(25,D) </w:instrText>
      </w:r>
      <w:r w:rsidRPr="004A69E4">
        <w:rPr>
          <w:rFonts w:ascii="Times New Roman" w:hAnsi="Times New Roman"/>
          <w:bCs/>
          <w:iCs/>
          <w:sz w:val="10"/>
          <w:szCs w:val="14"/>
        </w:rPr>
        <w:fldChar w:fldCharType="end"/>
      </w:r>
      <w:r w:rsidRPr="004A69E4">
        <w:rPr>
          <w:rFonts w:ascii="Times New Roman" w:hAnsi="Times New Roman"/>
          <w:bCs/>
          <w:iCs/>
          <w:sz w:val="20"/>
          <w:lang w:val="de-DE"/>
        </w:rPr>
        <w:t>-19.0 (</w:t>
      </w:r>
      <w:r w:rsidRPr="004A69E4">
        <w:rPr>
          <w:rFonts w:ascii="Times New Roman" w:hAnsi="Times New Roman"/>
          <w:bCs/>
          <w:i/>
          <w:iCs/>
          <w:sz w:val="20"/>
          <w:lang w:val="de-DE"/>
        </w:rPr>
        <w:t>c</w:t>
      </w:r>
      <w:r w:rsidRPr="004A69E4">
        <w:rPr>
          <w:rFonts w:ascii="Times New Roman" w:hAnsi="Times New Roman"/>
          <w:bCs/>
          <w:iCs/>
          <w:sz w:val="20"/>
          <w:lang w:val="de-DE"/>
        </w:rPr>
        <w:t xml:space="preserve"> 0.05, MeOH); UV (MeOH) </w:t>
      </w:r>
      <w:r w:rsidRPr="004A69E4">
        <w:rPr>
          <w:rFonts w:ascii="Times New Roman" w:hAnsi="Times New Roman"/>
          <w:bCs/>
          <w:i/>
          <w:iCs/>
          <w:sz w:val="20"/>
          <w:lang w:val="de-DE"/>
        </w:rPr>
        <w:t>λ</w:t>
      </w:r>
      <w:r w:rsidRPr="004A69E4">
        <w:rPr>
          <w:rFonts w:ascii="Times New Roman" w:hAnsi="Times New Roman"/>
          <w:bCs/>
          <w:iCs/>
          <w:sz w:val="20"/>
          <w:vertAlign w:val="subscript"/>
          <w:lang w:val="de-DE"/>
        </w:rPr>
        <w:t>max</w:t>
      </w:r>
      <w:r w:rsidRPr="004A69E4">
        <w:rPr>
          <w:rFonts w:ascii="Times New Roman" w:hAnsi="Times New Roman"/>
          <w:bCs/>
          <w:iCs/>
          <w:sz w:val="20"/>
          <w:lang w:val="de-DE"/>
        </w:rPr>
        <w:t xml:space="preserve"> (log ε) 250 (3.8), 329 (3.5) nm; IR (KBr) ν</w:t>
      </w:r>
      <w:r w:rsidRPr="004A69E4">
        <w:rPr>
          <w:rFonts w:ascii="Times New Roman" w:hAnsi="Times New Roman"/>
          <w:bCs/>
          <w:iCs/>
          <w:sz w:val="20"/>
          <w:vertAlign w:val="subscript"/>
          <w:lang w:val="de-DE"/>
        </w:rPr>
        <w:t>max</w:t>
      </w:r>
      <w:r w:rsidRPr="004A69E4">
        <w:rPr>
          <w:rFonts w:ascii="Times New Roman" w:hAnsi="Times New Roman"/>
          <w:bCs/>
          <w:iCs/>
          <w:sz w:val="20"/>
          <w:lang w:val="de-DE"/>
        </w:rPr>
        <w:t xml:space="preserve"> 3420, 2935, 2365, 1658, 1560, 1510, 1462, 1025 cm</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 </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H and </w:t>
      </w:r>
      <w:r w:rsidRPr="004A69E4">
        <w:rPr>
          <w:rFonts w:ascii="Times New Roman" w:hAnsi="Times New Roman"/>
          <w:bCs/>
          <w:iCs/>
          <w:sz w:val="20"/>
          <w:vertAlign w:val="superscript"/>
          <w:lang w:val="de-DE"/>
        </w:rPr>
        <w:t>13</w:t>
      </w:r>
      <w:r w:rsidRPr="004A69E4">
        <w:rPr>
          <w:rFonts w:ascii="Times New Roman" w:hAnsi="Times New Roman"/>
          <w:bCs/>
          <w:iCs/>
          <w:sz w:val="20"/>
          <w:lang w:val="de-DE"/>
        </w:rPr>
        <w:t xml:space="preserve">C NMR (850 and 212.5 MHz, respectively) (Table </w:t>
      </w:r>
      <w:r w:rsidRPr="004A69E4">
        <w:rPr>
          <w:rFonts w:ascii="Times New Roman" w:eastAsiaTheme="minorEastAsia" w:hAnsi="Times New Roman"/>
          <w:bCs/>
          <w:iCs/>
          <w:sz w:val="20"/>
          <w:lang w:val="de-DE" w:eastAsia="ko-KR"/>
        </w:rPr>
        <w:t>S</w:t>
      </w:r>
      <w:r w:rsidRPr="004A69E4">
        <w:rPr>
          <w:rFonts w:ascii="Times New Roman" w:hAnsi="Times New Roman"/>
          <w:bCs/>
          <w:iCs/>
          <w:sz w:val="20"/>
          <w:lang w:val="de-DE"/>
        </w:rPr>
        <w:t xml:space="preserve">1); </w:t>
      </w:r>
      <w:r w:rsidRPr="004A69E4">
        <w:rPr>
          <w:rFonts w:ascii="Times New Roman" w:hAnsi="Times New Roman"/>
          <w:bCs/>
          <w:iCs/>
          <w:sz w:val="20"/>
          <w:lang w:val="de-DE"/>
        </w:rPr>
        <w:lastRenderedPageBreak/>
        <w:t xml:space="preserve">negative high-resolution electrospray ionization mass spectroscopy (HR-ESIMS) </w:t>
      </w:r>
      <w:r w:rsidRPr="004A69E4">
        <w:rPr>
          <w:rFonts w:ascii="Times New Roman" w:hAnsi="Times New Roman"/>
          <w:bCs/>
          <w:i/>
          <w:iCs/>
          <w:sz w:val="20"/>
          <w:lang w:val="de-DE"/>
        </w:rPr>
        <w:t>m/z</w:t>
      </w:r>
      <w:r w:rsidRPr="004A69E4">
        <w:rPr>
          <w:rFonts w:ascii="Times New Roman" w:hAnsi="Times New Roman"/>
          <w:bCs/>
          <w:iCs/>
          <w:sz w:val="20"/>
          <w:lang w:val="de-DE"/>
        </w:rPr>
        <w:t xml:space="preserve"> 561.1248 [M - H]</w:t>
      </w:r>
      <w:r w:rsidRPr="004A69E4">
        <w:rPr>
          <w:rFonts w:ascii="Times New Roman" w:hAnsi="Times New Roman"/>
          <w:bCs/>
          <w:iCs/>
          <w:sz w:val="20"/>
          <w:vertAlign w:val="superscript"/>
          <w:lang w:val="de-DE"/>
        </w:rPr>
        <w:t>-</w:t>
      </w:r>
      <w:r w:rsidRPr="004A69E4">
        <w:rPr>
          <w:rFonts w:ascii="Times New Roman" w:hAnsi="Times New Roman"/>
          <w:bCs/>
          <w:iCs/>
          <w:sz w:val="20"/>
          <w:lang w:val="de-DE"/>
        </w:rPr>
        <w:t xml:space="preserve"> (calculated for C</w:t>
      </w:r>
      <w:r w:rsidRPr="004A69E4">
        <w:rPr>
          <w:rFonts w:ascii="Times New Roman" w:hAnsi="Times New Roman"/>
          <w:bCs/>
          <w:iCs/>
          <w:sz w:val="20"/>
          <w:vertAlign w:val="subscript"/>
          <w:lang w:val="de-DE"/>
        </w:rPr>
        <w:t>26</w:t>
      </w:r>
      <w:r w:rsidRPr="004A69E4">
        <w:rPr>
          <w:rFonts w:ascii="Times New Roman" w:hAnsi="Times New Roman"/>
          <w:bCs/>
          <w:iCs/>
          <w:sz w:val="20"/>
          <w:lang w:val="de-DE"/>
        </w:rPr>
        <w:t>H</w:t>
      </w:r>
      <w:r w:rsidRPr="004A69E4">
        <w:rPr>
          <w:rFonts w:ascii="Times New Roman" w:hAnsi="Times New Roman"/>
          <w:bCs/>
          <w:iCs/>
          <w:sz w:val="20"/>
          <w:vertAlign w:val="subscript"/>
          <w:lang w:val="de-DE"/>
        </w:rPr>
        <w:t>25</w:t>
      </w:r>
      <w:r w:rsidRPr="004A69E4">
        <w:rPr>
          <w:rFonts w:ascii="Times New Roman" w:hAnsi="Times New Roman"/>
          <w:bCs/>
          <w:iCs/>
          <w:sz w:val="20"/>
          <w:lang w:val="de-DE"/>
        </w:rPr>
        <w:t>O</w:t>
      </w:r>
      <w:r w:rsidRPr="004A69E4">
        <w:rPr>
          <w:rFonts w:ascii="Times New Roman" w:hAnsi="Times New Roman"/>
          <w:bCs/>
          <w:iCs/>
          <w:sz w:val="20"/>
          <w:vertAlign w:val="subscript"/>
          <w:lang w:val="de-DE"/>
        </w:rPr>
        <w:t>14</w:t>
      </w:r>
      <w:r w:rsidRPr="004A69E4">
        <w:rPr>
          <w:rFonts w:ascii="Times New Roman" w:hAnsi="Times New Roman"/>
          <w:bCs/>
          <w:iCs/>
          <w:sz w:val="20"/>
          <w:lang w:val="de-DE"/>
        </w:rPr>
        <w:t>, 561.1244).</w:t>
      </w:r>
    </w:p>
    <w:p w14:paraId="2B4D3C42" w14:textId="4D0D88C4" w:rsidR="00B57FC6" w:rsidRPr="004A69E4" w:rsidRDefault="00B57FC6" w:rsidP="0018110F">
      <w:pPr>
        <w:pStyle w:val="P1"/>
        <w:spacing w:line="360" w:lineRule="auto"/>
        <w:jc w:val="both"/>
        <w:rPr>
          <w:rFonts w:ascii="Times New Roman" w:hAnsi="Times New Roman"/>
          <w:bCs/>
          <w:iCs/>
          <w:sz w:val="20"/>
        </w:rPr>
      </w:pPr>
    </w:p>
    <w:p w14:paraId="344A4481" w14:textId="7CEFDDDB" w:rsidR="00B57FC6" w:rsidRPr="004A69E4" w:rsidRDefault="00A64FDD" w:rsidP="0018110F">
      <w:pPr>
        <w:pStyle w:val="P1"/>
        <w:spacing w:line="360" w:lineRule="auto"/>
        <w:jc w:val="both"/>
        <w:rPr>
          <w:rFonts w:ascii="Times New Roman" w:hAnsi="Times New Roman"/>
          <w:i/>
          <w:sz w:val="20"/>
        </w:rPr>
      </w:pPr>
      <w:r w:rsidRPr="004A69E4">
        <w:rPr>
          <w:rFonts w:ascii="Times New Roman" w:hAnsi="Times New Roman"/>
          <w:bCs/>
          <w:i/>
          <w:iCs/>
          <w:sz w:val="20"/>
          <w:lang w:val="de-DE"/>
        </w:rPr>
        <w:t>Kaempferol-3-O-glucoside 6"-malonate methyl ester (</w:t>
      </w:r>
      <w:r w:rsidRPr="004A69E4">
        <w:rPr>
          <w:rFonts w:ascii="Times New Roman" w:hAnsi="Times New Roman"/>
          <w:b/>
          <w:bCs/>
          <w:i/>
          <w:iCs/>
          <w:sz w:val="20"/>
          <w:lang w:val="de-DE"/>
        </w:rPr>
        <w:t>M-2</w:t>
      </w:r>
      <w:r w:rsidRPr="004A69E4">
        <w:rPr>
          <w:rFonts w:ascii="Times New Roman" w:hAnsi="Times New Roman"/>
          <w:bCs/>
          <w:i/>
          <w:iCs/>
          <w:sz w:val="20"/>
          <w:lang w:val="de-DE"/>
        </w:rPr>
        <w:t>)</w:t>
      </w:r>
    </w:p>
    <w:p w14:paraId="194DEA2E" w14:textId="75E733C4" w:rsidR="00717001" w:rsidRPr="004A69E4" w:rsidRDefault="00A64FDD" w:rsidP="00A766D3">
      <w:pPr>
        <w:pStyle w:val="P1"/>
        <w:spacing w:line="360" w:lineRule="auto"/>
        <w:jc w:val="both"/>
        <w:rPr>
          <w:rFonts w:ascii="Times New Roman" w:hAnsi="Times New Roman"/>
          <w:b/>
          <w:bCs/>
          <w:iCs/>
          <w:sz w:val="14"/>
          <w:lang w:bidi="en-US"/>
        </w:rPr>
      </w:pPr>
      <w:r w:rsidRPr="004A69E4">
        <w:rPr>
          <w:rFonts w:ascii="Times New Roman" w:hAnsi="Times New Roman"/>
          <w:bCs/>
          <w:iCs/>
          <w:sz w:val="20"/>
          <w:lang w:val="de-DE"/>
        </w:rPr>
        <w:t>Yellow amorphous powder; [α]</w:t>
      </w:r>
      <w:r w:rsidRPr="004A69E4">
        <w:rPr>
          <w:rFonts w:ascii="Times New Roman" w:hAnsi="Times New Roman"/>
          <w:bCs/>
          <w:iCs/>
          <w:sz w:val="10"/>
          <w:szCs w:val="14"/>
          <w:lang w:val="de-DE"/>
        </w:rPr>
        <w:fldChar w:fldCharType="begin"/>
      </w:r>
      <w:r w:rsidRPr="004A69E4">
        <w:rPr>
          <w:rFonts w:ascii="Times New Roman" w:hAnsi="Times New Roman"/>
          <w:bCs/>
          <w:iCs/>
          <w:sz w:val="10"/>
          <w:szCs w:val="14"/>
          <w:lang w:val="de-DE"/>
        </w:rPr>
        <w:instrText xml:space="preserve"> EQ \S(25,D) </w:instrText>
      </w:r>
      <w:r w:rsidRPr="004A69E4">
        <w:rPr>
          <w:rFonts w:ascii="Times New Roman" w:hAnsi="Times New Roman"/>
          <w:bCs/>
          <w:iCs/>
          <w:sz w:val="10"/>
          <w:szCs w:val="14"/>
        </w:rPr>
        <w:fldChar w:fldCharType="end"/>
      </w:r>
      <w:r w:rsidRPr="004A69E4">
        <w:rPr>
          <w:rFonts w:ascii="Times New Roman" w:hAnsi="Times New Roman"/>
          <w:bCs/>
          <w:iCs/>
          <w:sz w:val="20"/>
          <w:lang w:val="de-DE"/>
        </w:rPr>
        <w:t>-15.0 (</w:t>
      </w:r>
      <w:r w:rsidRPr="004A69E4">
        <w:rPr>
          <w:rFonts w:ascii="Times New Roman" w:hAnsi="Times New Roman"/>
          <w:bCs/>
          <w:i/>
          <w:iCs/>
          <w:sz w:val="20"/>
          <w:lang w:val="de-DE"/>
        </w:rPr>
        <w:t>c</w:t>
      </w:r>
      <w:r w:rsidRPr="004A69E4">
        <w:rPr>
          <w:rFonts w:ascii="Times New Roman" w:hAnsi="Times New Roman"/>
          <w:bCs/>
          <w:iCs/>
          <w:sz w:val="20"/>
          <w:lang w:val="de-DE"/>
        </w:rPr>
        <w:t xml:space="preserve"> 0.04, MeOH); UV (MeOH) </w:t>
      </w:r>
      <w:r w:rsidRPr="004A69E4">
        <w:rPr>
          <w:rFonts w:ascii="Times New Roman" w:hAnsi="Times New Roman"/>
          <w:bCs/>
          <w:i/>
          <w:iCs/>
          <w:sz w:val="20"/>
          <w:lang w:val="de-DE"/>
        </w:rPr>
        <w:t>λ</w:t>
      </w:r>
      <w:r w:rsidRPr="004A69E4">
        <w:rPr>
          <w:rFonts w:ascii="Times New Roman" w:hAnsi="Times New Roman"/>
          <w:bCs/>
          <w:iCs/>
          <w:sz w:val="20"/>
          <w:vertAlign w:val="subscript"/>
          <w:lang w:val="de-DE"/>
        </w:rPr>
        <w:t>max</w:t>
      </w:r>
      <w:r w:rsidRPr="004A69E4">
        <w:rPr>
          <w:rFonts w:ascii="Times New Roman" w:hAnsi="Times New Roman"/>
          <w:bCs/>
          <w:iCs/>
          <w:sz w:val="20"/>
          <w:lang w:val="de-DE"/>
        </w:rPr>
        <w:t xml:space="preserve"> (log ε) 246 (3.8), 328 (3.5) nm; IR (KBr) ν</w:t>
      </w:r>
      <w:r w:rsidRPr="004A69E4">
        <w:rPr>
          <w:rFonts w:ascii="Times New Roman" w:hAnsi="Times New Roman"/>
          <w:bCs/>
          <w:iCs/>
          <w:sz w:val="20"/>
          <w:vertAlign w:val="subscript"/>
          <w:lang w:val="de-DE"/>
        </w:rPr>
        <w:t>max</w:t>
      </w:r>
      <w:r w:rsidRPr="004A69E4">
        <w:rPr>
          <w:rFonts w:ascii="Times New Roman" w:hAnsi="Times New Roman"/>
          <w:bCs/>
          <w:iCs/>
          <w:sz w:val="20"/>
          <w:lang w:val="de-DE"/>
        </w:rPr>
        <w:t xml:space="preserve"> 3415, 2938, 2364, 1655, 1561, 1510, 1460, 1025 cm</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 </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H and </w:t>
      </w:r>
      <w:r w:rsidRPr="004A69E4">
        <w:rPr>
          <w:rFonts w:ascii="Times New Roman" w:hAnsi="Times New Roman"/>
          <w:bCs/>
          <w:iCs/>
          <w:sz w:val="20"/>
          <w:vertAlign w:val="superscript"/>
          <w:lang w:val="de-DE"/>
        </w:rPr>
        <w:t>13</w:t>
      </w:r>
      <w:r w:rsidRPr="004A69E4">
        <w:rPr>
          <w:rFonts w:ascii="Times New Roman" w:hAnsi="Times New Roman"/>
          <w:bCs/>
          <w:iCs/>
          <w:sz w:val="20"/>
          <w:lang w:val="de-DE"/>
        </w:rPr>
        <w:t xml:space="preserve">C NMR (850 and 212.5 MHz, respectively) (Table </w:t>
      </w:r>
      <w:r w:rsidR="0096551A" w:rsidRPr="004A69E4">
        <w:rPr>
          <w:rFonts w:ascii="Times New Roman" w:eastAsiaTheme="minorEastAsia" w:hAnsi="Times New Roman"/>
          <w:bCs/>
          <w:iCs/>
          <w:sz w:val="20"/>
          <w:lang w:val="de-DE" w:eastAsia="ko-KR"/>
        </w:rPr>
        <w:t>S</w:t>
      </w:r>
      <w:r w:rsidRPr="004A69E4">
        <w:rPr>
          <w:rFonts w:ascii="Times New Roman" w:hAnsi="Times New Roman"/>
          <w:bCs/>
          <w:iCs/>
          <w:sz w:val="20"/>
          <w:lang w:val="de-DE"/>
        </w:rPr>
        <w:t xml:space="preserve">1); negative HR-ESIMS </w:t>
      </w:r>
      <w:r w:rsidRPr="004A69E4">
        <w:rPr>
          <w:rFonts w:ascii="Times New Roman" w:hAnsi="Times New Roman"/>
          <w:bCs/>
          <w:i/>
          <w:iCs/>
          <w:sz w:val="20"/>
          <w:lang w:val="de-DE"/>
        </w:rPr>
        <w:t>m/z</w:t>
      </w:r>
      <w:r w:rsidRPr="004A69E4">
        <w:rPr>
          <w:rFonts w:ascii="Times New Roman" w:hAnsi="Times New Roman"/>
          <w:bCs/>
          <w:iCs/>
          <w:sz w:val="20"/>
          <w:lang w:val="de-DE"/>
        </w:rPr>
        <w:t xml:space="preserve"> 547.1093 [M - H]</w:t>
      </w:r>
      <w:r w:rsidRPr="004A69E4">
        <w:rPr>
          <w:rFonts w:ascii="Times New Roman" w:hAnsi="Times New Roman"/>
          <w:bCs/>
          <w:iCs/>
          <w:sz w:val="20"/>
          <w:vertAlign w:val="superscript"/>
          <w:lang w:val="de-DE"/>
        </w:rPr>
        <w:t>-</w:t>
      </w:r>
      <w:r w:rsidRPr="004A69E4">
        <w:rPr>
          <w:rFonts w:ascii="Times New Roman" w:hAnsi="Times New Roman"/>
          <w:bCs/>
          <w:iCs/>
          <w:sz w:val="20"/>
          <w:lang w:val="de-DE"/>
        </w:rPr>
        <w:t xml:space="preserve"> (calculated for C</w:t>
      </w:r>
      <w:r w:rsidRPr="004A69E4">
        <w:rPr>
          <w:rFonts w:ascii="Times New Roman" w:hAnsi="Times New Roman"/>
          <w:bCs/>
          <w:iCs/>
          <w:sz w:val="20"/>
          <w:vertAlign w:val="subscript"/>
          <w:lang w:val="de-DE"/>
        </w:rPr>
        <w:t>25</w:t>
      </w:r>
      <w:r w:rsidRPr="004A69E4">
        <w:rPr>
          <w:rFonts w:ascii="Times New Roman" w:hAnsi="Times New Roman"/>
          <w:bCs/>
          <w:iCs/>
          <w:sz w:val="20"/>
          <w:lang w:val="de-DE"/>
        </w:rPr>
        <w:t>H</w:t>
      </w:r>
      <w:r w:rsidRPr="004A69E4">
        <w:rPr>
          <w:rFonts w:ascii="Times New Roman" w:hAnsi="Times New Roman"/>
          <w:bCs/>
          <w:iCs/>
          <w:sz w:val="20"/>
          <w:vertAlign w:val="subscript"/>
          <w:lang w:val="de-DE"/>
        </w:rPr>
        <w:t>23</w:t>
      </w:r>
      <w:r w:rsidRPr="004A69E4">
        <w:rPr>
          <w:rFonts w:ascii="Times New Roman" w:hAnsi="Times New Roman"/>
          <w:bCs/>
          <w:iCs/>
          <w:sz w:val="20"/>
          <w:lang w:val="de-DE"/>
        </w:rPr>
        <w:t>O</w:t>
      </w:r>
      <w:r w:rsidRPr="004A69E4">
        <w:rPr>
          <w:rFonts w:ascii="Times New Roman" w:hAnsi="Times New Roman"/>
          <w:bCs/>
          <w:iCs/>
          <w:sz w:val="20"/>
          <w:vertAlign w:val="subscript"/>
          <w:lang w:val="de-DE"/>
        </w:rPr>
        <w:t>14</w:t>
      </w:r>
      <w:r w:rsidRPr="004A69E4">
        <w:rPr>
          <w:rFonts w:ascii="Times New Roman" w:hAnsi="Times New Roman"/>
          <w:bCs/>
          <w:iCs/>
          <w:sz w:val="20"/>
          <w:lang w:val="de-DE"/>
        </w:rPr>
        <w:t>, 547.1088).</w:t>
      </w:r>
      <w:bookmarkStart w:id="2" w:name="_Hlk110430980"/>
    </w:p>
    <w:p w14:paraId="5B6D0062" w14:textId="77777777" w:rsidR="00717001" w:rsidRPr="004A69E4" w:rsidRDefault="00717001" w:rsidP="00EE4DE3">
      <w:pPr>
        <w:pStyle w:val="P1"/>
        <w:rPr>
          <w:rFonts w:ascii="Times New Roman" w:hAnsi="Times New Roman"/>
          <w:b/>
          <w:bCs/>
          <w:iCs/>
          <w:sz w:val="20"/>
          <w:lang w:bidi="en-US"/>
        </w:rPr>
      </w:pPr>
    </w:p>
    <w:p w14:paraId="7081DA4A" w14:textId="77777777" w:rsidR="00C57138" w:rsidRPr="004A69E4" w:rsidRDefault="00C57138" w:rsidP="00C57138">
      <w:pPr>
        <w:pStyle w:val="P1"/>
        <w:spacing w:line="360" w:lineRule="auto"/>
        <w:rPr>
          <w:rFonts w:ascii="Times New Roman" w:hAnsi="Times New Roman"/>
          <w:b/>
          <w:bCs/>
          <w:iCs/>
          <w:sz w:val="20"/>
          <w:lang w:bidi="en-US"/>
        </w:rPr>
      </w:pPr>
    </w:p>
    <w:p w14:paraId="5C2E63C1" w14:textId="65E72BA2" w:rsidR="00EE4DE3" w:rsidRPr="004A69E4" w:rsidRDefault="00EE4DE3" w:rsidP="00C57138">
      <w:pPr>
        <w:pStyle w:val="P1"/>
        <w:spacing w:line="360" w:lineRule="auto"/>
        <w:rPr>
          <w:rFonts w:ascii="Times New Roman" w:hAnsi="Times New Roman"/>
          <w:b/>
          <w:bCs/>
          <w:iCs/>
          <w:sz w:val="20"/>
          <w:vertAlign w:val="superscript"/>
          <w:lang w:bidi="en-US"/>
        </w:rPr>
      </w:pPr>
      <w:r w:rsidRPr="004A69E4">
        <w:rPr>
          <w:rFonts w:ascii="Times New Roman" w:hAnsi="Times New Roman"/>
          <w:b/>
          <w:bCs/>
          <w:iCs/>
          <w:sz w:val="20"/>
          <w:lang w:bidi="en-US"/>
        </w:rPr>
        <w:t xml:space="preserve">Table </w:t>
      </w:r>
      <w:r w:rsidR="0096551A" w:rsidRPr="004A69E4">
        <w:rPr>
          <w:rFonts w:ascii="Times New Roman" w:eastAsiaTheme="minorEastAsia" w:hAnsi="Times New Roman"/>
          <w:b/>
          <w:bCs/>
          <w:iCs/>
          <w:sz w:val="20"/>
          <w:lang w:eastAsia="ko-KR" w:bidi="en-US"/>
        </w:rPr>
        <w:t>S</w:t>
      </w:r>
      <w:r w:rsidRPr="004A69E4">
        <w:rPr>
          <w:rFonts w:ascii="Times New Roman" w:hAnsi="Times New Roman"/>
          <w:b/>
          <w:bCs/>
          <w:iCs/>
          <w:sz w:val="20"/>
          <w:lang w:bidi="en-US"/>
        </w:rPr>
        <w:t xml:space="preserve">1. </w:t>
      </w:r>
      <w:r w:rsidRPr="004A69E4">
        <w:rPr>
          <w:rFonts w:ascii="Times New Roman" w:hAnsi="Times New Roman"/>
          <w:bCs/>
          <w:iCs/>
          <w:sz w:val="20"/>
          <w:vertAlign w:val="superscript"/>
          <w:lang w:bidi="en-US"/>
        </w:rPr>
        <w:t>1</w:t>
      </w:r>
      <w:r w:rsidRPr="004A69E4">
        <w:rPr>
          <w:rFonts w:ascii="Times New Roman" w:hAnsi="Times New Roman"/>
          <w:bCs/>
          <w:iCs/>
          <w:sz w:val="20"/>
          <w:lang w:bidi="en-US"/>
        </w:rPr>
        <w:t xml:space="preserve">H (850 MHz) and </w:t>
      </w:r>
      <w:r w:rsidRPr="004A69E4">
        <w:rPr>
          <w:rFonts w:ascii="Times New Roman" w:hAnsi="Times New Roman"/>
          <w:bCs/>
          <w:iCs/>
          <w:sz w:val="20"/>
          <w:vertAlign w:val="superscript"/>
          <w:lang w:bidi="en-US"/>
        </w:rPr>
        <w:t>13</w:t>
      </w:r>
      <w:r w:rsidRPr="004A69E4">
        <w:rPr>
          <w:rFonts w:ascii="Times New Roman" w:hAnsi="Times New Roman"/>
          <w:bCs/>
          <w:iCs/>
          <w:sz w:val="20"/>
          <w:lang w:bidi="en-US"/>
        </w:rPr>
        <w:t xml:space="preserve">C NMR (212.5 MHz) data for compounds </w:t>
      </w:r>
      <w:r w:rsidRPr="004A69E4">
        <w:rPr>
          <w:rFonts w:ascii="Times New Roman" w:hAnsi="Times New Roman"/>
          <w:b/>
          <w:bCs/>
          <w:iCs/>
          <w:sz w:val="20"/>
          <w:lang w:bidi="en-US"/>
        </w:rPr>
        <w:t>M-1</w:t>
      </w:r>
      <w:r w:rsidRPr="004A69E4">
        <w:rPr>
          <w:rFonts w:ascii="Times New Roman" w:hAnsi="Times New Roman"/>
          <w:bCs/>
          <w:iCs/>
          <w:sz w:val="20"/>
          <w:lang w:bidi="en-US"/>
        </w:rPr>
        <w:t xml:space="preserve"> and </w:t>
      </w:r>
      <w:r w:rsidRPr="004A69E4">
        <w:rPr>
          <w:rFonts w:ascii="Times New Roman" w:hAnsi="Times New Roman"/>
          <w:b/>
          <w:bCs/>
          <w:iCs/>
          <w:sz w:val="20"/>
          <w:lang w:bidi="en-US"/>
        </w:rPr>
        <w:t>M-2</w:t>
      </w:r>
      <w:r w:rsidRPr="004A69E4">
        <w:rPr>
          <w:rFonts w:ascii="Times New Roman" w:hAnsi="Times New Roman"/>
          <w:bCs/>
          <w:iCs/>
          <w:sz w:val="20"/>
          <w:lang w:bidi="en-US"/>
        </w:rPr>
        <w:t xml:space="preserve"> in CD</w:t>
      </w:r>
      <w:r w:rsidRPr="004A69E4">
        <w:rPr>
          <w:rFonts w:ascii="Times New Roman" w:hAnsi="Times New Roman"/>
          <w:bCs/>
          <w:iCs/>
          <w:sz w:val="20"/>
          <w:vertAlign w:val="subscript"/>
          <w:lang w:bidi="en-US"/>
        </w:rPr>
        <w:t>3</w:t>
      </w:r>
      <w:r w:rsidRPr="004A69E4">
        <w:rPr>
          <w:rFonts w:ascii="Times New Roman" w:hAnsi="Times New Roman"/>
          <w:bCs/>
          <w:iCs/>
          <w:sz w:val="20"/>
          <w:lang w:bidi="en-US"/>
        </w:rPr>
        <w:t>OD (</w:t>
      </w:r>
      <w:r w:rsidRPr="004A69E4">
        <w:rPr>
          <w:rFonts w:ascii="Times New Roman" w:hAnsi="Times New Roman"/>
          <w:bCs/>
          <w:iCs/>
          <w:sz w:val="20"/>
          <w:lang w:bidi="en-US"/>
        </w:rPr>
        <w:sym w:font="Symbol" w:char="F064"/>
      </w:r>
      <w:r w:rsidRPr="004A69E4">
        <w:rPr>
          <w:rFonts w:ascii="Times New Roman" w:hAnsi="Times New Roman"/>
          <w:bCs/>
          <w:iCs/>
          <w:sz w:val="20"/>
          <w:lang w:bidi="en-US"/>
        </w:rPr>
        <w:t xml:space="preserve"> ppm</w:t>
      </w:r>
      <w:proofErr w:type="gramStart"/>
      <w:r w:rsidRPr="004A69E4">
        <w:rPr>
          <w:rFonts w:ascii="Times New Roman" w:hAnsi="Times New Roman"/>
          <w:bCs/>
          <w:iCs/>
          <w:sz w:val="20"/>
          <w:lang w:bidi="en-US"/>
        </w:rPr>
        <w:t>).</w:t>
      </w:r>
      <w:r w:rsidRPr="004A69E4">
        <w:rPr>
          <w:rFonts w:ascii="Times New Roman" w:hAnsi="Times New Roman"/>
          <w:bCs/>
          <w:iCs/>
          <w:sz w:val="20"/>
          <w:vertAlign w:val="superscript"/>
          <w:lang w:bidi="en-US"/>
        </w:rPr>
        <w:t>a</w:t>
      </w:r>
      <w:proofErr w:type="gramEnd"/>
    </w:p>
    <w:tbl>
      <w:tblPr>
        <w:tblW w:w="9777" w:type="dxa"/>
        <w:tblCellMar>
          <w:left w:w="99" w:type="dxa"/>
          <w:right w:w="99" w:type="dxa"/>
        </w:tblCellMar>
        <w:tblLook w:val="04A0" w:firstRow="1" w:lastRow="0" w:firstColumn="1" w:lastColumn="0" w:noHBand="0" w:noVBand="1"/>
      </w:tblPr>
      <w:tblGrid>
        <w:gridCol w:w="1612"/>
        <w:gridCol w:w="2499"/>
        <w:gridCol w:w="1559"/>
        <w:gridCol w:w="2792"/>
        <w:gridCol w:w="1315"/>
      </w:tblGrid>
      <w:tr w:rsidR="00A33F69" w:rsidRPr="004A69E4" w14:paraId="185DA785" w14:textId="77777777" w:rsidTr="008449E4">
        <w:trPr>
          <w:trHeight w:val="243"/>
        </w:trPr>
        <w:tc>
          <w:tcPr>
            <w:tcW w:w="1612" w:type="dxa"/>
            <w:vMerge w:val="restart"/>
            <w:tcBorders>
              <w:top w:val="single" w:sz="8" w:space="0" w:color="auto"/>
              <w:left w:val="nil"/>
              <w:bottom w:val="single" w:sz="8" w:space="0" w:color="000000"/>
              <w:right w:val="nil"/>
            </w:tcBorders>
            <w:shd w:val="clear" w:color="auto" w:fill="auto"/>
            <w:vAlign w:val="center"/>
            <w:hideMark/>
          </w:tcPr>
          <w:bookmarkEnd w:id="2"/>
          <w:p w14:paraId="7AB5C33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Position</w:t>
            </w:r>
          </w:p>
        </w:tc>
        <w:tc>
          <w:tcPr>
            <w:tcW w:w="2499" w:type="dxa"/>
            <w:tcBorders>
              <w:top w:val="single" w:sz="8" w:space="0" w:color="auto"/>
              <w:left w:val="nil"/>
              <w:bottom w:val="single" w:sz="8" w:space="0" w:color="auto"/>
              <w:right w:val="nil"/>
            </w:tcBorders>
            <w:shd w:val="clear" w:color="auto" w:fill="auto"/>
            <w:vAlign w:val="center"/>
            <w:hideMark/>
          </w:tcPr>
          <w:p w14:paraId="2A102373" w14:textId="77777777" w:rsidR="00EE4DE3" w:rsidRPr="004A69E4" w:rsidRDefault="00EE4DE3" w:rsidP="00163269">
            <w:pPr>
              <w:pStyle w:val="P1"/>
              <w:jc w:val="both"/>
              <w:rPr>
                <w:rFonts w:ascii="Times New Roman" w:hAnsi="Times New Roman"/>
                <w:b/>
                <w:bCs/>
                <w:iCs/>
                <w:sz w:val="20"/>
              </w:rPr>
            </w:pPr>
            <w:r w:rsidRPr="004A69E4">
              <w:rPr>
                <w:rFonts w:ascii="Times New Roman" w:hAnsi="Times New Roman"/>
                <w:b/>
                <w:bCs/>
                <w:iCs/>
                <w:sz w:val="20"/>
              </w:rPr>
              <w:t>M-1</w:t>
            </w:r>
          </w:p>
        </w:tc>
        <w:tc>
          <w:tcPr>
            <w:tcW w:w="1559" w:type="dxa"/>
            <w:tcBorders>
              <w:top w:val="single" w:sz="8" w:space="0" w:color="auto"/>
              <w:left w:val="nil"/>
              <w:bottom w:val="single" w:sz="8" w:space="0" w:color="auto"/>
              <w:right w:val="nil"/>
            </w:tcBorders>
            <w:shd w:val="clear" w:color="auto" w:fill="auto"/>
            <w:vAlign w:val="center"/>
            <w:hideMark/>
          </w:tcPr>
          <w:p w14:paraId="482CCB6B" w14:textId="77777777" w:rsidR="00EE4DE3" w:rsidRPr="004A69E4" w:rsidRDefault="00EE4DE3" w:rsidP="00163269">
            <w:pPr>
              <w:pStyle w:val="P1"/>
              <w:jc w:val="both"/>
              <w:rPr>
                <w:rFonts w:ascii="Times New Roman" w:hAnsi="Times New Roman"/>
                <w:b/>
                <w:bCs/>
                <w:iCs/>
                <w:sz w:val="20"/>
              </w:rPr>
            </w:pPr>
            <w:r w:rsidRPr="004A69E4">
              <w:rPr>
                <w:rFonts w:ascii="Times New Roman" w:hAnsi="Times New Roman"/>
                <w:b/>
                <w:bCs/>
                <w:iCs/>
                <w:sz w:val="20"/>
              </w:rPr>
              <w:t xml:space="preserve">　</w:t>
            </w:r>
          </w:p>
        </w:tc>
        <w:tc>
          <w:tcPr>
            <w:tcW w:w="2792" w:type="dxa"/>
            <w:tcBorders>
              <w:top w:val="single" w:sz="8" w:space="0" w:color="auto"/>
              <w:left w:val="nil"/>
              <w:bottom w:val="single" w:sz="8" w:space="0" w:color="auto"/>
              <w:right w:val="nil"/>
            </w:tcBorders>
            <w:shd w:val="clear" w:color="auto" w:fill="auto"/>
            <w:vAlign w:val="center"/>
            <w:hideMark/>
          </w:tcPr>
          <w:p w14:paraId="79849D23" w14:textId="77777777" w:rsidR="00EE4DE3" w:rsidRPr="004A69E4" w:rsidRDefault="00EE4DE3" w:rsidP="00163269">
            <w:pPr>
              <w:pStyle w:val="P1"/>
              <w:jc w:val="both"/>
              <w:rPr>
                <w:rFonts w:ascii="Times New Roman" w:hAnsi="Times New Roman"/>
                <w:b/>
                <w:bCs/>
                <w:iCs/>
                <w:sz w:val="20"/>
              </w:rPr>
            </w:pPr>
            <w:r w:rsidRPr="004A69E4">
              <w:rPr>
                <w:rFonts w:ascii="Times New Roman" w:hAnsi="Times New Roman"/>
                <w:b/>
                <w:bCs/>
                <w:iCs/>
                <w:sz w:val="20"/>
              </w:rPr>
              <w:t>M-2</w:t>
            </w:r>
          </w:p>
        </w:tc>
        <w:tc>
          <w:tcPr>
            <w:tcW w:w="1315" w:type="dxa"/>
            <w:tcBorders>
              <w:top w:val="single" w:sz="8" w:space="0" w:color="auto"/>
              <w:left w:val="nil"/>
              <w:bottom w:val="single" w:sz="8" w:space="0" w:color="auto"/>
              <w:right w:val="nil"/>
            </w:tcBorders>
            <w:shd w:val="clear" w:color="auto" w:fill="auto"/>
            <w:vAlign w:val="center"/>
            <w:hideMark/>
          </w:tcPr>
          <w:p w14:paraId="6F8D3CAD" w14:textId="77777777" w:rsidR="00EE4DE3" w:rsidRPr="004A69E4" w:rsidRDefault="00EE4DE3" w:rsidP="00163269">
            <w:pPr>
              <w:pStyle w:val="P1"/>
              <w:jc w:val="both"/>
              <w:rPr>
                <w:rFonts w:ascii="Times New Roman" w:hAnsi="Times New Roman"/>
                <w:b/>
                <w:bCs/>
                <w:iCs/>
                <w:sz w:val="20"/>
              </w:rPr>
            </w:pPr>
            <w:r w:rsidRPr="004A69E4">
              <w:rPr>
                <w:rFonts w:ascii="Times New Roman" w:hAnsi="Times New Roman"/>
                <w:b/>
                <w:bCs/>
                <w:iCs/>
                <w:sz w:val="20"/>
              </w:rPr>
              <w:t xml:space="preserve">　</w:t>
            </w:r>
          </w:p>
        </w:tc>
      </w:tr>
      <w:tr w:rsidR="00A33F69" w:rsidRPr="004A69E4" w14:paraId="7A844946" w14:textId="77777777" w:rsidTr="008449E4">
        <w:trPr>
          <w:trHeight w:val="243"/>
        </w:trPr>
        <w:tc>
          <w:tcPr>
            <w:tcW w:w="1612" w:type="dxa"/>
            <w:vMerge/>
            <w:tcBorders>
              <w:top w:val="single" w:sz="8" w:space="0" w:color="auto"/>
              <w:left w:val="nil"/>
              <w:bottom w:val="single" w:sz="8" w:space="0" w:color="000000"/>
              <w:right w:val="nil"/>
            </w:tcBorders>
            <w:vAlign w:val="center"/>
            <w:hideMark/>
          </w:tcPr>
          <w:p w14:paraId="5BF057BB" w14:textId="77777777" w:rsidR="00EE4DE3" w:rsidRPr="004A69E4" w:rsidRDefault="00EE4DE3" w:rsidP="00163269">
            <w:pPr>
              <w:pStyle w:val="P1"/>
              <w:rPr>
                <w:rFonts w:ascii="Times New Roman" w:hAnsi="Times New Roman"/>
                <w:bCs/>
                <w:iCs/>
                <w:sz w:val="20"/>
              </w:rPr>
            </w:pPr>
          </w:p>
        </w:tc>
        <w:tc>
          <w:tcPr>
            <w:tcW w:w="2499" w:type="dxa"/>
            <w:tcBorders>
              <w:top w:val="nil"/>
              <w:left w:val="nil"/>
              <w:bottom w:val="single" w:sz="8" w:space="0" w:color="auto"/>
              <w:right w:val="nil"/>
            </w:tcBorders>
            <w:shd w:val="clear" w:color="auto" w:fill="auto"/>
            <w:vAlign w:val="center"/>
            <w:hideMark/>
          </w:tcPr>
          <w:p w14:paraId="2E62868A" w14:textId="77777777" w:rsidR="00EE4DE3" w:rsidRPr="004A69E4" w:rsidRDefault="00EE4DE3" w:rsidP="00163269">
            <w:pPr>
              <w:pStyle w:val="P1"/>
              <w:jc w:val="both"/>
              <w:rPr>
                <w:rFonts w:ascii="Times New Roman" w:hAnsi="Times New Roman"/>
                <w:bCs/>
                <w:i/>
                <w:iCs/>
                <w:sz w:val="20"/>
              </w:rPr>
            </w:pPr>
            <w:proofErr w:type="spellStart"/>
            <w:r w:rsidRPr="004A69E4">
              <w:rPr>
                <w:rFonts w:ascii="Times New Roman" w:hAnsi="Times New Roman"/>
                <w:bCs/>
                <w:i/>
                <w:iCs/>
                <w:sz w:val="20"/>
              </w:rPr>
              <w:t>δ</w:t>
            </w:r>
            <w:r w:rsidRPr="004A69E4">
              <w:rPr>
                <w:rFonts w:ascii="Times New Roman" w:hAnsi="Times New Roman"/>
                <w:bCs/>
                <w:iCs/>
                <w:sz w:val="20"/>
                <w:vertAlign w:val="subscript"/>
              </w:rPr>
              <w:t>H</w:t>
            </w:r>
            <w:proofErr w:type="spellEnd"/>
            <w:r w:rsidRPr="004A69E4">
              <w:rPr>
                <w:rFonts w:ascii="Times New Roman" w:hAnsi="Times New Roman"/>
                <w:bCs/>
                <w:i/>
                <w:iCs/>
                <w:sz w:val="20"/>
              </w:rPr>
              <w:t xml:space="preserve"> (J</w:t>
            </w:r>
            <w:r w:rsidRPr="004A69E4">
              <w:rPr>
                <w:rFonts w:ascii="Times New Roman" w:hAnsi="Times New Roman"/>
                <w:bCs/>
                <w:iCs/>
                <w:sz w:val="20"/>
              </w:rPr>
              <w:t xml:space="preserve"> in Hz)</w:t>
            </w:r>
          </w:p>
        </w:tc>
        <w:tc>
          <w:tcPr>
            <w:tcW w:w="1559" w:type="dxa"/>
            <w:tcBorders>
              <w:top w:val="nil"/>
              <w:left w:val="nil"/>
              <w:bottom w:val="single" w:sz="8" w:space="0" w:color="auto"/>
              <w:right w:val="nil"/>
            </w:tcBorders>
            <w:shd w:val="clear" w:color="auto" w:fill="auto"/>
            <w:vAlign w:val="center"/>
            <w:hideMark/>
          </w:tcPr>
          <w:p w14:paraId="14D01B4D" w14:textId="77777777" w:rsidR="00EE4DE3" w:rsidRPr="004A69E4" w:rsidRDefault="00EE4DE3" w:rsidP="00163269">
            <w:pPr>
              <w:pStyle w:val="P1"/>
              <w:jc w:val="both"/>
              <w:rPr>
                <w:rFonts w:ascii="Times New Roman" w:hAnsi="Times New Roman"/>
                <w:bCs/>
                <w:i/>
                <w:iCs/>
                <w:sz w:val="20"/>
              </w:rPr>
            </w:pPr>
            <w:proofErr w:type="spellStart"/>
            <w:r w:rsidRPr="004A69E4">
              <w:rPr>
                <w:rFonts w:ascii="Times New Roman" w:hAnsi="Times New Roman"/>
                <w:bCs/>
                <w:i/>
                <w:iCs/>
                <w:sz w:val="20"/>
              </w:rPr>
              <w:t>δ</w:t>
            </w:r>
            <w:r w:rsidRPr="004A69E4">
              <w:rPr>
                <w:rFonts w:ascii="Times New Roman" w:hAnsi="Times New Roman"/>
                <w:bCs/>
                <w:iCs/>
                <w:sz w:val="20"/>
                <w:vertAlign w:val="subscript"/>
              </w:rPr>
              <w:t>C</w:t>
            </w:r>
            <w:proofErr w:type="spellEnd"/>
          </w:p>
        </w:tc>
        <w:tc>
          <w:tcPr>
            <w:tcW w:w="2792" w:type="dxa"/>
            <w:tcBorders>
              <w:top w:val="nil"/>
              <w:left w:val="nil"/>
              <w:bottom w:val="single" w:sz="8" w:space="0" w:color="auto"/>
              <w:right w:val="nil"/>
            </w:tcBorders>
            <w:shd w:val="clear" w:color="auto" w:fill="auto"/>
            <w:vAlign w:val="center"/>
            <w:hideMark/>
          </w:tcPr>
          <w:p w14:paraId="0EB4112C" w14:textId="77777777" w:rsidR="00EE4DE3" w:rsidRPr="004A69E4" w:rsidRDefault="00EE4DE3" w:rsidP="00163269">
            <w:pPr>
              <w:pStyle w:val="P1"/>
              <w:jc w:val="both"/>
              <w:rPr>
                <w:rFonts w:ascii="Times New Roman" w:hAnsi="Times New Roman"/>
                <w:bCs/>
                <w:i/>
                <w:iCs/>
                <w:sz w:val="20"/>
              </w:rPr>
            </w:pPr>
            <w:proofErr w:type="spellStart"/>
            <w:r w:rsidRPr="004A69E4">
              <w:rPr>
                <w:rFonts w:ascii="Times New Roman" w:hAnsi="Times New Roman"/>
                <w:bCs/>
                <w:i/>
                <w:iCs/>
                <w:sz w:val="20"/>
              </w:rPr>
              <w:t>δ</w:t>
            </w:r>
            <w:r w:rsidRPr="004A69E4">
              <w:rPr>
                <w:rFonts w:ascii="Times New Roman" w:hAnsi="Times New Roman"/>
                <w:bCs/>
                <w:iCs/>
                <w:sz w:val="20"/>
                <w:vertAlign w:val="subscript"/>
              </w:rPr>
              <w:t>H</w:t>
            </w:r>
            <w:proofErr w:type="spellEnd"/>
            <w:r w:rsidRPr="004A69E4">
              <w:rPr>
                <w:rFonts w:ascii="Times New Roman" w:hAnsi="Times New Roman"/>
                <w:bCs/>
                <w:i/>
                <w:iCs/>
                <w:sz w:val="20"/>
              </w:rPr>
              <w:t xml:space="preserve"> (J</w:t>
            </w:r>
            <w:r w:rsidRPr="004A69E4">
              <w:rPr>
                <w:rFonts w:ascii="Times New Roman" w:hAnsi="Times New Roman"/>
                <w:bCs/>
                <w:iCs/>
                <w:sz w:val="20"/>
              </w:rPr>
              <w:t xml:space="preserve"> in Hz)</w:t>
            </w:r>
          </w:p>
        </w:tc>
        <w:tc>
          <w:tcPr>
            <w:tcW w:w="1315" w:type="dxa"/>
            <w:tcBorders>
              <w:top w:val="nil"/>
              <w:left w:val="nil"/>
              <w:bottom w:val="single" w:sz="8" w:space="0" w:color="auto"/>
              <w:right w:val="nil"/>
            </w:tcBorders>
            <w:shd w:val="clear" w:color="auto" w:fill="auto"/>
            <w:vAlign w:val="center"/>
            <w:hideMark/>
          </w:tcPr>
          <w:p w14:paraId="2D03814E" w14:textId="77777777" w:rsidR="00EE4DE3" w:rsidRPr="004A69E4" w:rsidRDefault="00EE4DE3" w:rsidP="00163269">
            <w:pPr>
              <w:pStyle w:val="P1"/>
              <w:jc w:val="both"/>
              <w:rPr>
                <w:rFonts w:ascii="Times New Roman" w:hAnsi="Times New Roman"/>
                <w:bCs/>
                <w:i/>
                <w:iCs/>
                <w:sz w:val="20"/>
              </w:rPr>
            </w:pPr>
            <w:proofErr w:type="spellStart"/>
            <w:r w:rsidRPr="004A69E4">
              <w:rPr>
                <w:rFonts w:ascii="Times New Roman" w:hAnsi="Times New Roman"/>
                <w:bCs/>
                <w:i/>
                <w:iCs/>
                <w:sz w:val="20"/>
              </w:rPr>
              <w:t>δ</w:t>
            </w:r>
            <w:r w:rsidRPr="004A69E4">
              <w:rPr>
                <w:rFonts w:ascii="Times New Roman" w:hAnsi="Times New Roman"/>
                <w:bCs/>
                <w:iCs/>
                <w:sz w:val="20"/>
                <w:vertAlign w:val="subscript"/>
              </w:rPr>
              <w:t>C</w:t>
            </w:r>
            <w:proofErr w:type="spellEnd"/>
          </w:p>
        </w:tc>
      </w:tr>
      <w:tr w:rsidR="00A33F69" w:rsidRPr="004A69E4" w14:paraId="5E400561" w14:textId="77777777" w:rsidTr="008449E4">
        <w:trPr>
          <w:trHeight w:val="244"/>
        </w:trPr>
        <w:tc>
          <w:tcPr>
            <w:tcW w:w="1612" w:type="dxa"/>
            <w:tcBorders>
              <w:top w:val="nil"/>
              <w:left w:val="nil"/>
              <w:bottom w:val="nil"/>
              <w:right w:val="nil"/>
            </w:tcBorders>
            <w:shd w:val="clear" w:color="auto" w:fill="auto"/>
            <w:vAlign w:val="center"/>
            <w:hideMark/>
          </w:tcPr>
          <w:p w14:paraId="3FFC0E9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w:t>
            </w:r>
          </w:p>
        </w:tc>
        <w:tc>
          <w:tcPr>
            <w:tcW w:w="2499" w:type="dxa"/>
            <w:tcBorders>
              <w:top w:val="nil"/>
              <w:left w:val="nil"/>
              <w:bottom w:val="nil"/>
              <w:right w:val="nil"/>
            </w:tcBorders>
            <w:shd w:val="clear" w:color="auto" w:fill="auto"/>
            <w:noWrap/>
            <w:vAlign w:val="center"/>
            <w:hideMark/>
          </w:tcPr>
          <w:p w14:paraId="43C9BDE8"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2D87467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157.9</w:t>
            </w:r>
          </w:p>
        </w:tc>
        <w:tc>
          <w:tcPr>
            <w:tcW w:w="2792" w:type="dxa"/>
            <w:tcBorders>
              <w:top w:val="nil"/>
              <w:left w:val="nil"/>
              <w:bottom w:val="nil"/>
              <w:right w:val="nil"/>
            </w:tcBorders>
            <w:shd w:val="clear" w:color="auto" w:fill="auto"/>
            <w:vAlign w:val="center"/>
            <w:hideMark/>
          </w:tcPr>
          <w:p w14:paraId="39A66319"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noWrap/>
            <w:vAlign w:val="center"/>
            <w:hideMark/>
          </w:tcPr>
          <w:p w14:paraId="3F348E3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157.6</w:t>
            </w:r>
          </w:p>
        </w:tc>
      </w:tr>
      <w:tr w:rsidR="00A33F69" w:rsidRPr="004A69E4" w14:paraId="45414689" w14:textId="77777777" w:rsidTr="008449E4">
        <w:trPr>
          <w:trHeight w:val="244"/>
        </w:trPr>
        <w:tc>
          <w:tcPr>
            <w:tcW w:w="1612" w:type="dxa"/>
            <w:tcBorders>
              <w:top w:val="nil"/>
              <w:left w:val="nil"/>
              <w:bottom w:val="nil"/>
              <w:right w:val="nil"/>
            </w:tcBorders>
            <w:shd w:val="clear" w:color="auto" w:fill="auto"/>
            <w:vAlign w:val="center"/>
            <w:hideMark/>
          </w:tcPr>
          <w:p w14:paraId="591B45A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w:t>
            </w:r>
          </w:p>
        </w:tc>
        <w:tc>
          <w:tcPr>
            <w:tcW w:w="2499" w:type="dxa"/>
            <w:tcBorders>
              <w:top w:val="nil"/>
              <w:left w:val="nil"/>
              <w:bottom w:val="nil"/>
              <w:right w:val="nil"/>
            </w:tcBorders>
            <w:shd w:val="clear" w:color="auto" w:fill="auto"/>
            <w:noWrap/>
            <w:vAlign w:val="center"/>
            <w:hideMark/>
          </w:tcPr>
          <w:p w14:paraId="064D368D"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5B3268E2"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133.7</w:t>
            </w:r>
          </w:p>
        </w:tc>
        <w:tc>
          <w:tcPr>
            <w:tcW w:w="2792" w:type="dxa"/>
            <w:tcBorders>
              <w:top w:val="nil"/>
              <w:left w:val="nil"/>
              <w:bottom w:val="nil"/>
              <w:right w:val="nil"/>
            </w:tcBorders>
            <w:shd w:val="clear" w:color="auto" w:fill="auto"/>
            <w:vAlign w:val="center"/>
            <w:hideMark/>
          </w:tcPr>
          <w:p w14:paraId="37EE7FA4"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53A392B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133.8</w:t>
            </w:r>
          </w:p>
        </w:tc>
      </w:tr>
      <w:tr w:rsidR="00A33F69" w:rsidRPr="004A69E4" w14:paraId="229E4C02" w14:textId="77777777" w:rsidTr="008449E4">
        <w:trPr>
          <w:trHeight w:val="244"/>
        </w:trPr>
        <w:tc>
          <w:tcPr>
            <w:tcW w:w="1612" w:type="dxa"/>
            <w:tcBorders>
              <w:top w:val="nil"/>
              <w:left w:val="nil"/>
              <w:bottom w:val="nil"/>
              <w:right w:val="nil"/>
            </w:tcBorders>
            <w:shd w:val="clear" w:color="auto" w:fill="auto"/>
            <w:vAlign w:val="center"/>
            <w:hideMark/>
          </w:tcPr>
          <w:p w14:paraId="743BC27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w:t>
            </w:r>
          </w:p>
        </w:tc>
        <w:tc>
          <w:tcPr>
            <w:tcW w:w="2499" w:type="dxa"/>
            <w:tcBorders>
              <w:top w:val="nil"/>
              <w:left w:val="nil"/>
              <w:bottom w:val="nil"/>
              <w:right w:val="nil"/>
            </w:tcBorders>
            <w:shd w:val="clear" w:color="auto" w:fill="auto"/>
            <w:noWrap/>
            <w:vAlign w:val="center"/>
            <w:hideMark/>
          </w:tcPr>
          <w:p w14:paraId="33A15BFA"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5052579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161.6</w:t>
            </w:r>
          </w:p>
        </w:tc>
        <w:tc>
          <w:tcPr>
            <w:tcW w:w="2792" w:type="dxa"/>
            <w:tcBorders>
              <w:top w:val="nil"/>
              <w:left w:val="nil"/>
              <w:bottom w:val="nil"/>
              <w:right w:val="nil"/>
            </w:tcBorders>
            <w:shd w:val="clear" w:color="auto" w:fill="auto"/>
            <w:vAlign w:val="center"/>
            <w:hideMark/>
          </w:tcPr>
          <w:p w14:paraId="01F6360A"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5D83C15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161.6</w:t>
            </w:r>
          </w:p>
        </w:tc>
      </w:tr>
      <w:tr w:rsidR="00A33F69" w:rsidRPr="004A69E4" w14:paraId="7D0E5B20" w14:textId="77777777" w:rsidTr="008449E4">
        <w:trPr>
          <w:trHeight w:val="244"/>
        </w:trPr>
        <w:tc>
          <w:tcPr>
            <w:tcW w:w="1612" w:type="dxa"/>
            <w:tcBorders>
              <w:top w:val="nil"/>
              <w:left w:val="nil"/>
              <w:bottom w:val="nil"/>
              <w:right w:val="nil"/>
            </w:tcBorders>
            <w:shd w:val="clear" w:color="auto" w:fill="auto"/>
            <w:vAlign w:val="center"/>
            <w:hideMark/>
          </w:tcPr>
          <w:p w14:paraId="2DD6A1D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w:t>
            </w:r>
          </w:p>
        </w:tc>
        <w:tc>
          <w:tcPr>
            <w:tcW w:w="2499" w:type="dxa"/>
            <w:tcBorders>
              <w:top w:val="nil"/>
              <w:left w:val="nil"/>
              <w:bottom w:val="nil"/>
              <w:right w:val="nil"/>
            </w:tcBorders>
            <w:shd w:val="clear" w:color="auto" w:fill="auto"/>
            <w:noWrap/>
            <w:vAlign w:val="center"/>
            <w:hideMark/>
          </w:tcPr>
          <w:p w14:paraId="1E0ADED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6.11 d (2.0)</w:t>
            </w:r>
          </w:p>
        </w:tc>
        <w:tc>
          <w:tcPr>
            <w:tcW w:w="1559" w:type="dxa"/>
            <w:tcBorders>
              <w:top w:val="nil"/>
              <w:left w:val="nil"/>
              <w:bottom w:val="nil"/>
              <w:right w:val="nil"/>
            </w:tcBorders>
            <w:shd w:val="clear" w:color="auto" w:fill="auto"/>
            <w:noWrap/>
            <w:vAlign w:val="center"/>
            <w:hideMark/>
          </w:tcPr>
          <w:p w14:paraId="22149B8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98.5</w:t>
            </w:r>
          </w:p>
        </w:tc>
        <w:tc>
          <w:tcPr>
            <w:tcW w:w="2792" w:type="dxa"/>
            <w:tcBorders>
              <w:top w:val="nil"/>
              <w:left w:val="nil"/>
              <w:bottom w:val="nil"/>
              <w:right w:val="nil"/>
            </w:tcBorders>
            <w:shd w:val="clear" w:color="auto" w:fill="auto"/>
            <w:vAlign w:val="center"/>
            <w:hideMark/>
          </w:tcPr>
          <w:p w14:paraId="0B9E67D4"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6.11 d (2.0)</w:t>
            </w:r>
          </w:p>
        </w:tc>
        <w:tc>
          <w:tcPr>
            <w:tcW w:w="1315" w:type="dxa"/>
            <w:tcBorders>
              <w:top w:val="nil"/>
              <w:left w:val="nil"/>
              <w:bottom w:val="nil"/>
              <w:right w:val="nil"/>
            </w:tcBorders>
            <w:shd w:val="clear" w:color="auto" w:fill="auto"/>
            <w:vAlign w:val="center"/>
            <w:hideMark/>
          </w:tcPr>
          <w:p w14:paraId="5701D9D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98.4</w:t>
            </w:r>
          </w:p>
        </w:tc>
      </w:tr>
      <w:tr w:rsidR="00A33F69" w:rsidRPr="004A69E4" w14:paraId="2C6595AA" w14:textId="77777777" w:rsidTr="008449E4">
        <w:trPr>
          <w:trHeight w:val="244"/>
        </w:trPr>
        <w:tc>
          <w:tcPr>
            <w:tcW w:w="1612" w:type="dxa"/>
            <w:tcBorders>
              <w:top w:val="nil"/>
              <w:left w:val="nil"/>
              <w:bottom w:val="nil"/>
              <w:right w:val="nil"/>
            </w:tcBorders>
            <w:shd w:val="clear" w:color="auto" w:fill="auto"/>
            <w:vAlign w:val="center"/>
            <w:hideMark/>
          </w:tcPr>
          <w:p w14:paraId="2ACAD4E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w:t>
            </w:r>
          </w:p>
        </w:tc>
        <w:tc>
          <w:tcPr>
            <w:tcW w:w="2499" w:type="dxa"/>
            <w:tcBorders>
              <w:top w:val="nil"/>
              <w:left w:val="nil"/>
              <w:bottom w:val="nil"/>
              <w:right w:val="nil"/>
            </w:tcBorders>
            <w:shd w:val="clear" w:color="auto" w:fill="auto"/>
            <w:noWrap/>
            <w:vAlign w:val="center"/>
            <w:hideMark/>
          </w:tcPr>
          <w:p w14:paraId="4256B2E8"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131A33F8"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164.8</w:t>
            </w:r>
          </w:p>
        </w:tc>
        <w:tc>
          <w:tcPr>
            <w:tcW w:w="2792" w:type="dxa"/>
            <w:tcBorders>
              <w:top w:val="nil"/>
              <w:left w:val="nil"/>
              <w:bottom w:val="nil"/>
              <w:right w:val="nil"/>
            </w:tcBorders>
            <w:shd w:val="clear" w:color="auto" w:fill="auto"/>
            <w:vAlign w:val="center"/>
            <w:hideMark/>
          </w:tcPr>
          <w:p w14:paraId="6F4861B8"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46D9CBA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164.8</w:t>
            </w:r>
          </w:p>
        </w:tc>
      </w:tr>
      <w:tr w:rsidR="00A33F69" w:rsidRPr="004A69E4" w14:paraId="066517EE" w14:textId="77777777" w:rsidTr="008449E4">
        <w:trPr>
          <w:trHeight w:val="244"/>
        </w:trPr>
        <w:tc>
          <w:tcPr>
            <w:tcW w:w="1612" w:type="dxa"/>
            <w:tcBorders>
              <w:top w:val="nil"/>
              <w:left w:val="nil"/>
              <w:bottom w:val="nil"/>
              <w:right w:val="nil"/>
            </w:tcBorders>
            <w:shd w:val="clear" w:color="auto" w:fill="auto"/>
            <w:vAlign w:val="center"/>
            <w:hideMark/>
          </w:tcPr>
          <w:p w14:paraId="502B5AB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8</w:t>
            </w:r>
          </w:p>
        </w:tc>
        <w:tc>
          <w:tcPr>
            <w:tcW w:w="2499" w:type="dxa"/>
            <w:tcBorders>
              <w:top w:val="nil"/>
              <w:left w:val="nil"/>
              <w:bottom w:val="nil"/>
              <w:right w:val="nil"/>
            </w:tcBorders>
            <w:shd w:val="clear" w:color="auto" w:fill="auto"/>
            <w:noWrap/>
            <w:vAlign w:val="center"/>
            <w:hideMark/>
          </w:tcPr>
          <w:p w14:paraId="2A452FD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6.31 d (2.0)</w:t>
            </w:r>
          </w:p>
        </w:tc>
        <w:tc>
          <w:tcPr>
            <w:tcW w:w="1559" w:type="dxa"/>
            <w:tcBorders>
              <w:top w:val="nil"/>
              <w:left w:val="nil"/>
              <w:bottom w:val="nil"/>
              <w:right w:val="nil"/>
            </w:tcBorders>
            <w:shd w:val="clear" w:color="auto" w:fill="auto"/>
            <w:noWrap/>
            <w:vAlign w:val="center"/>
            <w:hideMark/>
          </w:tcPr>
          <w:p w14:paraId="3B4A59B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93.3</w:t>
            </w:r>
          </w:p>
        </w:tc>
        <w:tc>
          <w:tcPr>
            <w:tcW w:w="2792" w:type="dxa"/>
            <w:tcBorders>
              <w:top w:val="nil"/>
              <w:left w:val="nil"/>
              <w:bottom w:val="nil"/>
              <w:right w:val="nil"/>
            </w:tcBorders>
            <w:shd w:val="clear" w:color="auto" w:fill="auto"/>
            <w:vAlign w:val="center"/>
            <w:hideMark/>
          </w:tcPr>
          <w:p w14:paraId="2E60F4A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6.31 d (2.0)</w:t>
            </w:r>
          </w:p>
        </w:tc>
        <w:tc>
          <w:tcPr>
            <w:tcW w:w="1315" w:type="dxa"/>
            <w:tcBorders>
              <w:top w:val="nil"/>
              <w:left w:val="nil"/>
              <w:bottom w:val="nil"/>
              <w:right w:val="nil"/>
            </w:tcBorders>
            <w:shd w:val="clear" w:color="auto" w:fill="auto"/>
            <w:vAlign w:val="center"/>
            <w:hideMark/>
          </w:tcPr>
          <w:p w14:paraId="5895D04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93.2</w:t>
            </w:r>
          </w:p>
        </w:tc>
      </w:tr>
      <w:tr w:rsidR="00A33F69" w:rsidRPr="004A69E4" w14:paraId="6B7C5C19" w14:textId="77777777" w:rsidTr="008449E4">
        <w:trPr>
          <w:trHeight w:val="244"/>
        </w:trPr>
        <w:tc>
          <w:tcPr>
            <w:tcW w:w="1612" w:type="dxa"/>
            <w:tcBorders>
              <w:top w:val="nil"/>
              <w:left w:val="nil"/>
              <w:bottom w:val="nil"/>
              <w:right w:val="nil"/>
            </w:tcBorders>
            <w:shd w:val="clear" w:color="auto" w:fill="auto"/>
            <w:vAlign w:val="center"/>
            <w:hideMark/>
          </w:tcPr>
          <w:p w14:paraId="6F53C5E6"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9</w:t>
            </w:r>
          </w:p>
        </w:tc>
        <w:tc>
          <w:tcPr>
            <w:tcW w:w="2499" w:type="dxa"/>
            <w:tcBorders>
              <w:top w:val="nil"/>
              <w:left w:val="nil"/>
              <w:bottom w:val="nil"/>
              <w:right w:val="nil"/>
            </w:tcBorders>
            <w:shd w:val="clear" w:color="auto" w:fill="auto"/>
            <w:noWrap/>
            <w:vAlign w:val="center"/>
            <w:hideMark/>
          </w:tcPr>
          <w:p w14:paraId="7BDBEA7C"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3EBF807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157.1</w:t>
            </w:r>
          </w:p>
        </w:tc>
        <w:tc>
          <w:tcPr>
            <w:tcW w:w="2792" w:type="dxa"/>
            <w:tcBorders>
              <w:top w:val="nil"/>
              <w:left w:val="nil"/>
              <w:bottom w:val="nil"/>
              <w:right w:val="nil"/>
            </w:tcBorders>
            <w:shd w:val="clear" w:color="auto" w:fill="auto"/>
            <w:vAlign w:val="center"/>
            <w:hideMark/>
          </w:tcPr>
          <w:p w14:paraId="53B06B50"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3211AF3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157.1</w:t>
            </w:r>
          </w:p>
        </w:tc>
      </w:tr>
      <w:tr w:rsidR="00A33F69" w:rsidRPr="004A69E4" w14:paraId="46934433" w14:textId="77777777" w:rsidTr="008449E4">
        <w:trPr>
          <w:trHeight w:val="244"/>
        </w:trPr>
        <w:tc>
          <w:tcPr>
            <w:tcW w:w="1612" w:type="dxa"/>
            <w:tcBorders>
              <w:top w:val="nil"/>
              <w:left w:val="nil"/>
              <w:bottom w:val="nil"/>
              <w:right w:val="nil"/>
            </w:tcBorders>
            <w:shd w:val="clear" w:color="auto" w:fill="auto"/>
            <w:vAlign w:val="center"/>
            <w:hideMark/>
          </w:tcPr>
          <w:p w14:paraId="1CE619FA"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10</w:t>
            </w:r>
          </w:p>
        </w:tc>
        <w:tc>
          <w:tcPr>
            <w:tcW w:w="2499" w:type="dxa"/>
            <w:tcBorders>
              <w:top w:val="nil"/>
              <w:left w:val="nil"/>
              <w:bottom w:val="nil"/>
              <w:right w:val="nil"/>
            </w:tcBorders>
            <w:shd w:val="clear" w:color="auto" w:fill="auto"/>
            <w:noWrap/>
            <w:vAlign w:val="center"/>
            <w:hideMark/>
          </w:tcPr>
          <w:p w14:paraId="427F5F11"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2B6EE17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104.1</w:t>
            </w:r>
          </w:p>
        </w:tc>
        <w:tc>
          <w:tcPr>
            <w:tcW w:w="2792" w:type="dxa"/>
            <w:tcBorders>
              <w:top w:val="nil"/>
              <w:left w:val="nil"/>
              <w:bottom w:val="nil"/>
              <w:right w:val="nil"/>
            </w:tcBorders>
            <w:shd w:val="clear" w:color="auto" w:fill="auto"/>
            <w:vAlign w:val="center"/>
            <w:hideMark/>
          </w:tcPr>
          <w:p w14:paraId="57CBBD30"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3E25AE0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104.2</w:t>
            </w:r>
          </w:p>
        </w:tc>
      </w:tr>
      <w:tr w:rsidR="00A33F69" w:rsidRPr="004A69E4" w14:paraId="4214CF9D" w14:textId="77777777" w:rsidTr="008449E4">
        <w:trPr>
          <w:trHeight w:val="244"/>
        </w:trPr>
        <w:tc>
          <w:tcPr>
            <w:tcW w:w="1612" w:type="dxa"/>
            <w:tcBorders>
              <w:top w:val="nil"/>
              <w:left w:val="nil"/>
              <w:bottom w:val="nil"/>
              <w:right w:val="nil"/>
            </w:tcBorders>
            <w:shd w:val="clear" w:color="auto" w:fill="auto"/>
            <w:vAlign w:val="center"/>
            <w:hideMark/>
          </w:tcPr>
          <w:p w14:paraId="1AAC2EB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w:t>
            </w:r>
          </w:p>
        </w:tc>
        <w:tc>
          <w:tcPr>
            <w:tcW w:w="2499" w:type="dxa"/>
            <w:tcBorders>
              <w:top w:val="nil"/>
              <w:left w:val="nil"/>
              <w:bottom w:val="nil"/>
              <w:right w:val="nil"/>
            </w:tcBorders>
            <w:shd w:val="clear" w:color="auto" w:fill="auto"/>
            <w:noWrap/>
            <w:vAlign w:val="center"/>
            <w:hideMark/>
          </w:tcPr>
          <w:p w14:paraId="5A883828"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36DF3A0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121.3</w:t>
            </w:r>
          </w:p>
        </w:tc>
        <w:tc>
          <w:tcPr>
            <w:tcW w:w="2792" w:type="dxa"/>
            <w:tcBorders>
              <w:top w:val="nil"/>
              <w:left w:val="nil"/>
              <w:bottom w:val="nil"/>
              <w:right w:val="nil"/>
            </w:tcBorders>
            <w:shd w:val="clear" w:color="auto" w:fill="auto"/>
            <w:vAlign w:val="center"/>
            <w:hideMark/>
          </w:tcPr>
          <w:p w14:paraId="2CC24D81"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3524065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121.3</w:t>
            </w:r>
          </w:p>
        </w:tc>
      </w:tr>
      <w:tr w:rsidR="00A33F69" w:rsidRPr="004A69E4" w14:paraId="11E86465" w14:textId="77777777" w:rsidTr="008449E4">
        <w:trPr>
          <w:trHeight w:val="244"/>
        </w:trPr>
        <w:tc>
          <w:tcPr>
            <w:tcW w:w="1612" w:type="dxa"/>
            <w:tcBorders>
              <w:top w:val="nil"/>
              <w:left w:val="nil"/>
              <w:bottom w:val="nil"/>
              <w:right w:val="nil"/>
            </w:tcBorders>
            <w:shd w:val="clear" w:color="auto" w:fill="auto"/>
            <w:vAlign w:val="center"/>
            <w:hideMark/>
          </w:tcPr>
          <w:p w14:paraId="336D8BD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w:t>
            </w:r>
          </w:p>
        </w:tc>
        <w:tc>
          <w:tcPr>
            <w:tcW w:w="2499" w:type="dxa"/>
            <w:tcBorders>
              <w:top w:val="nil"/>
              <w:left w:val="nil"/>
              <w:bottom w:val="nil"/>
              <w:right w:val="nil"/>
            </w:tcBorders>
            <w:shd w:val="clear" w:color="auto" w:fill="auto"/>
            <w:noWrap/>
            <w:vAlign w:val="center"/>
            <w:hideMark/>
          </w:tcPr>
          <w:p w14:paraId="0C9B37E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7.94 d (9.0)</w:t>
            </w:r>
          </w:p>
        </w:tc>
        <w:tc>
          <w:tcPr>
            <w:tcW w:w="1559" w:type="dxa"/>
            <w:tcBorders>
              <w:top w:val="nil"/>
              <w:left w:val="nil"/>
              <w:bottom w:val="nil"/>
              <w:right w:val="nil"/>
            </w:tcBorders>
            <w:shd w:val="clear" w:color="auto" w:fill="auto"/>
            <w:noWrap/>
            <w:vAlign w:val="center"/>
            <w:hideMark/>
          </w:tcPr>
          <w:p w14:paraId="39BBC57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130.8</w:t>
            </w:r>
          </w:p>
        </w:tc>
        <w:tc>
          <w:tcPr>
            <w:tcW w:w="2792" w:type="dxa"/>
            <w:tcBorders>
              <w:top w:val="nil"/>
              <w:left w:val="nil"/>
              <w:bottom w:val="nil"/>
              <w:right w:val="nil"/>
            </w:tcBorders>
            <w:shd w:val="clear" w:color="auto" w:fill="auto"/>
            <w:vAlign w:val="center"/>
            <w:hideMark/>
          </w:tcPr>
          <w:p w14:paraId="73929947"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7.93 d (9.0)</w:t>
            </w:r>
          </w:p>
        </w:tc>
        <w:tc>
          <w:tcPr>
            <w:tcW w:w="1315" w:type="dxa"/>
            <w:tcBorders>
              <w:top w:val="nil"/>
              <w:left w:val="nil"/>
              <w:bottom w:val="nil"/>
              <w:right w:val="nil"/>
            </w:tcBorders>
            <w:shd w:val="clear" w:color="auto" w:fill="auto"/>
            <w:vAlign w:val="center"/>
            <w:hideMark/>
          </w:tcPr>
          <w:p w14:paraId="5A0F2417"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130.8</w:t>
            </w:r>
          </w:p>
        </w:tc>
      </w:tr>
      <w:tr w:rsidR="00A33F69" w:rsidRPr="004A69E4" w14:paraId="783115C7" w14:textId="77777777" w:rsidTr="008449E4">
        <w:trPr>
          <w:trHeight w:val="244"/>
        </w:trPr>
        <w:tc>
          <w:tcPr>
            <w:tcW w:w="1612" w:type="dxa"/>
            <w:tcBorders>
              <w:top w:val="nil"/>
              <w:left w:val="nil"/>
              <w:bottom w:val="nil"/>
              <w:right w:val="nil"/>
            </w:tcBorders>
            <w:shd w:val="clear" w:color="auto" w:fill="auto"/>
            <w:vAlign w:val="center"/>
            <w:hideMark/>
          </w:tcPr>
          <w:p w14:paraId="1B60289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w:t>
            </w:r>
          </w:p>
        </w:tc>
        <w:tc>
          <w:tcPr>
            <w:tcW w:w="2499" w:type="dxa"/>
            <w:tcBorders>
              <w:top w:val="nil"/>
              <w:left w:val="nil"/>
              <w:bottom w:val="nil"/>
              <w:right w:val="nil"/>
            </w:tcBorders>
            <w:shd w:val="clear" w:color="auto" w:fill="auto"/>
            <w:noWrap/>
            <w:vAlign w:val="center"/>
            <w:hideMark/>
          </w:tcPr>
          <w:p w14:paraId="53022802"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6.77 d (9.0)</w:t>
            </w:r>
          </w:p>
        </w:tc>
        <w:tc>
          <w:tcPr>
            <w:tcW w:w="1559" w:type="dxa"/>
            <w:tcBorders>
              <w:top w:val="nil"/>
              <w:left w:val="nil"/>
              <w:bottom w:val="nil"/>
              <w:right w:val="nil"/>
            </w:tcBorders>
            <w:shd w:val="clear" w:color="auto" w:fill="auto"/>
            <w:noWrap/>
            <w:vAlign w:val="center"/>
            <w:hideMark/>
          </w:tcPr>
          <w:p w14:paraId="14C5B7E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114.6</w:t>
            </w:r>
          </w:p>
        </w:tc>
        <w:tc>
          <w:tcPr>
            <w:tcW w:w="2792" w:type="dxa"/>
            <w:tcBorders>
              <w:top w:val="nil"/>
              <w:left w:val="nil"/>
              <w:bottom w:val="nil"/>
              <w:right w:val="nil"/>
            </w:tcBorders>
            <w:shd w:val="clear" w:color="auto" w:fill="auto"/>
            <w:vAlign w:val="center"/>
            <w:hideMark/>
          </w:tcPr>
          <w:p w14:paraId="002E123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6.78 d (9.0)</w:t>
            </w:r>
          </w:p>
        </w:tc>
        <w:tc>
          <w:tcPr>
            <w:tcW w:w="1315" w:type="dxa"/>
            <w:tcBorders>
              <w:top w:val="nil"/>
              <w:left w:val="nil"/>
              <w:bottom w:val="nil"/>
              <w:right w:val="nil"/>
            </w:tcBorders>
            <w:shd w:val="clear" w:color="auto" w:fill="auto"/>
            <w:vAlign w:val="center"/>
            <w:hideMark/>
          </w:tcPr>
          <w:p w14:paraId="027C5E0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114.5</w:t>
            </w:r>
          </w:p>
        </w:tc>
      </w:tr>
      <w:tr w:rsidR="00A33F69" w:rsidRPr="004A69E4" w14:paraId="7F8026E6" w14:textId="77777777" w:rsidTr="008449E4">
        <w:trPr>
          <w:trHeight w:val="244"/>
        </w:trPr>
        <w:tc>
          <w:tcPr>
            <w:tcW w:w="1612" w:type="dxa"/>
            <w:tcBorders>
              <w:top w:val="nil"/>
              <w:left w:val="nil"/>
              <w:bottom w:val="nil"/>
              <w:right w:val="nil"/>
            </w:tcBorders>
            <w:shd w:val="clear" w:color="auto" w:fill="auto"/>
            <w:vAlign w:val="center"/>
            <w:hideMark/>
          </w:tcPr>
          <w:p w14:paraId="0E1D6194"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w:t>
            </w:r>
          </w:p>
        </w:tc>
        <w:tc>
          <w:tcPr>
            <w:tcW w:w="2499" w:type="dxa"/>
            <w:tcBorders>
              <w:top w:val="nil"/>
              <w:left w:val="nil"/>
              <w:bottom w:val="nil"/>
              <w:right w:val="nil"/>
            </w:tcBorders>
            <w:shd w:val="clear" w:color="auto" w:fill="auto"/>
            <w:noWrap/>
            <w:vAlign w:val="center"/>
            <w:hideMark/>
          </w:tcPr>
          <w:p w14:paraId="18352CC8"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4B03A91B"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160.1</w:t>
            </w:r>
          </w:p>
        </w:tc>
        <w:tc>
          <w:tcPr>
            <w:tcW w:w="2792" w:type="dxa"/>
            <w:tcBorders>
              <w:top w:val="nil"/>
              <w:left w:val="nil"/>
              <w:bottom w:val="nil"/>
              <w:right w:val="nil"/>
            </w:tcBorders>
            <w:shd w:val="clear" w:color="auto" w:fill="auto"/>
            <w:vAlign w:val="center"/>
            <w:hideMark/>
          </w:tcPr>
          <w:p w14:paraId="667B5057"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hideMark/>
          </w:tcPr>
          <w:p w14:paraId="23C60A26"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160.1</w:t>
            </w:r>
          </w:p>
        </w:tc>
      </w:tr>
      <w:tr w:rsidR="00A33F69" w:rsidRPr="004A69E4" w14:paraId="35274FBD" w14:textId="77777777" w:rsidTr="008449E4">
        <w:trPr>
          <w:trHeight w:val="244"/>
        </w:trPr>
        <w:tc>
          <w:tcPr>
            <w:tcW w:w="1612" w:type="dxa"/>
            <w:tcBorders>
              <w:top w:val="nil"/>
              <w:left w:val="nil"/>
              <w:bottom w:val="nil"/>
              <w:right w:val="nil"/>
            </w:tcBorders>
            <w:shd w:val="clear" w:color="auto" w:fill="auto"/>
            <w:vAlign w:val="center"/>
            <w:hideMark/>
          </w:tcPr>
          <w:p w14:paraId="7261304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w:t>
            </w:r>
          </w:p>
        </w:tc>
        <w:tc>
          <w:tcPr>
            <w:tcW w:w="2499" w:type="dxa"/>
            <w:tcBorders>
              <w:top w:val="nil"/>
              <w:left w:val="nil"/>
              <w:bottom w:val="nil"/>
              <w:right w:val="nil"/>
            </w:tcBorders>
            <w:shd w:val="clear" w:color="auto" w:fill="auto"/>
            <w:noWrap/>
            <w:vAlign w:val="center"/>
            <w:hideMark/>
          </w:tcPr>
          <w:p w14:paraId="1584FA45"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6.77 d (9.0)</w:t>
            </w:r>
          </w:p>
        </w:tc>
        <w:tc>
          <w:tcPr>
            <w:tcW w:w="1559" w:type="dxa"/>
            <w:tcBorders>
              <w:top w:val="nil"/>
              <w:left w:val="nil"/>
              <w:bottom w:val="nil"/>
              <w:right w:val="nil"/>
            </w:tcBorders>
            <w:shd w:val="clear" w:color="auto" w:fill="auto"/>
            <w:noWrap/>
            <w:vAlign w:val="center"/>
            <w:hideMark/>
          </w:tcPr>
          <w:p w14:paraId="2981D5A7"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114.6</w:t>
            </w:r>
          </w:p>
        </w:tc>
        <w:tc>
          <w:tcPr>
            <w:tcW w:w="2792" w:type="dxa"/>
            <w:tcBorders>
              <w:top w:val="nil"/>
              <w:left w:val="nil"/>
              <w:bottom w:val="nil"/>
              <w:right w:val="nil"/>
            </w:tcBorders>
            <w:shd w:val="clear" w:color="auto" w:fill="auto"/>
            <w:vAlign w:val="center"/>
            <w:hideMark/>
          </w:tcPr>
          <w:p w14:paraId="74EE1E1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6.78 d (9.0)</w:t>
            </w:r>
          </w:p>
        </w:tc>
        <w:tc>
          <w:tcPr>
            <w:tcW w:w="1315" w:type="dxa"/>
            <w:tcBorders>
              <w:top w:val="nil"/>
              <w:left w:val="nil"/>
              <w:bottom w:val="nil"/>
              <w:right w:val="nil"/>
            </w:tcBorders>
            <w:shd w:val="clear" w:color="auto" w:fill="auto"/>
            <w:vAlign w:val="center"/>
            <w:hideMark/>
          </w:tcPr>
          <w:p w14:paraId="6E04471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114.5</w:t>
            </w:r>
          </w:p>
        </w:tc>
      </w:tr>
      <w:tr w:rsidR="00A33F69" w:rsidRPr="004A69E4" w14:paraId="433013F2" w14:textId="77777777" w:rsidTr="008449E4">
        <w:trPr>
          <w:trHeight w:val="244"/>
        </w:trPr>
        <w:tc>
          <w:tcPr>
            <w:tcW w:w="1612" w:type="dxa"/>
            <w:tcBorders>
              <w:top w:val="nil"/>
              <w:left w:val="nil"/>
              <w:bottom w:val="nil"/>
              <w:right w:val="nil"/>
            </w:tcBorders>
            <w:shd w:val="clear" w:color="auto" w:fill="auto"/>
            <w:vAlign w:val="center"/>
            <w:hideMark/>
          </w:tcPr>
          <w:p w14:paraId="402AC32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w:t>
            </w:r>
          </w:p>
        </w:tc>
        <w:tc>
          <w:tcPr>
            <w:tcW w:w="2499" w:type="dxa"/>
            <w:tcBorders>
              <w:top w:val="nil"/>
              <w:left w:val="nil"/>
              <w:bottom w:val="nil"/>
              <w:right w:val="nil"/>
            </w:tcBorders>
            <w:shd w:val="clear" w:color="auto" w:fill="auto"/>
            <w:noWrap/>
            <w:vAlign w:val="center"/>
            <w:hideMark/>
          </w:tcPr>
          <w:p w14:paraId="438E740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7.94 d (9.0)</w:t>
            </w:r>
          </w:p>
        </w:tc>
        <w:tc>
          <w:tcPr>
            <w:tcW w:w="1559" w:type="dxa"/>
            <w:tcBorders>
              <w:top w:val="nil"/>
              <w:left w:val="nil"/>
              <w:bottom w:val="nil"/>
              <w:right w:val="nil"/>
            </w:tcBorders>
            <w:shd w:val="clear" w:color="auto" w:fill="auto"/>
            <w:noWrap/>
            <w:vAlign w:val="center"/>
            <w:hideMark/>
          </w:tcPr>
          <w:p w14:paraId="4B072DB4"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130.8</w:t>
            </w:r>
          </w:p>
        </w:tc>
        <w:tc>
          <w:tcPr>
            <w:tcW w:w="2792" w:type="dxa"/>
            <w:tcBorders>
              <w:top w:val="nil"/>
              <w:left w:val="nil"/>
              <w:bottom w:val="nil"/>
              <w:right w:val="nil"/>
            </w:tcBorders>
            <w:shd w:val="clear" w:color="auto" w:fill="auto"/>
            <w:vAlign w:val="center"/>
            <w:hideMark/>
          </w:tcPr>
          <w:p w14:paraId="6D712C74"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7.93 d (9.0)</w:t>
            </w:r>
          </w:p>
        </w:tc>
        <w:tc>
          <w:tcPr>
            <w:tcW w:w="1315" w:type="dxa"/>
            <w:tcBorders>
              <w:top w:val="nil"/>
              <w:left w:val="nil"/>
              <w:bottom w:val="nil"/>
              <w:right w:val="nil"/>
            </w:tcBorders>
            <w:shd w:val="clear" w:color="auto" w:fill="auto"/>
            <w:vAlign w:val="center"/>
            <w:hideMark/>
          </w:tcPr>
          <w:p w14:paraId="29C344B8"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130.8</w:t>
            </w:r>
          </w:p>
        </w:tc>
      </w:tr>
      <w:tr w:rsidR="00A33F69" w:rsidRPr="004A69E4" w14:paraId="0937CF15" w14:textId="77777777" w:rsidTr="008449E4">
        <w:trPr>
          <w:trHeight w:val="244"/>
        </w:trPr>
        <w:tc>
          <w:tcPr>
            <w:tcW w:w="1612" w:type="dxa"/>
            <w:tcBorders>
              <w:top w:val="nil"/>
              <w:left w:val="nil"/>
              <w:bottom w:val="nil"/>
              <w:right w:val="nil"/>
            </w:tcBorders>
            <w:shd w:val="clear" w:color="auto" w:fill="auto"/>
            <w:vAlign w:val="center"/>
            <w:hideMark/>
          </w:tcPr>
          <w:p w14:paraId="267A013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w:t>
            </w:r>
          </w:p>
        </w:tc>
        <w:tc>
          <w:tcPr>
            <w:tcW w:w="2499" w:type="dxa"/>
            <w:tcBorders>
              <w:top w:val="nil"/>
              <w:left w:val="nil"/>
              <w:bottom w:val="nil"/>
              <w:right w:val="nil"/>
            </w:tcBorders>
            <w:shd w:val="clear" w:color="auto" w:fill="auto"/>
            <w:noWrap/>
            <w:vAlign w:val="center"/>
            <w:hideMark/>
          </w:tcPr>
          <w:p w14:paraId="318E17D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5.08 d (7.5)</w:t>
            </w:r>
          </w:p>
        </w:tc>
        <w:tc>
          <w:tcPr>
            <w:tcW w:w="1559" w:type="dxa"/>
            <w:tcBorders>
              <w:top w:val="nil"/>
              <w:left w:val="nil"/>
              <w:bottom w:val="nil"/>
              <w:right w:val="nil"/>
            </w:tcBorders>
            <w:shd w:val="clear" w:color="auto" w:fill="auto"/>
            <w:noWrap/>
            <w:vAlign w:val="center"/>
            <w:hideMark/>
          </w:tcPr>
          <w:p w14:paraId="3336548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102.6</w:t>
            </w:r>
          </w:p>
        </w:tc>
        <w:tc>
          <w:tcPr>
            <w:tcW w:w="2792" w:type="dxa"/>
            <w:tcBorders>
              <w:top w:val="nil"/>
              <w:left w:val="nil"/>
              <w:bottom w:val="nil"/>
              <w:right w:val="nil"/>
            </w:tcBorders>
            <w:shd w:val="clear" w:color="auto" w:fill="auto"/>
            <w:vAlign w:val="center"/>
            <w:hideMark/>
          </w:tcPr>
          <w:p w14:paraId="465661D7"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5.09 d (7.5)</w:t>
            </w:r>
          </w:p>
        </w:tc>
        <w:tc>
          <w:tcPr>
            <w:tcW w:w="1315" w:type="dxa"/>
            <w:tcBorders>
              <w:top w:val="nil"/>
              <w:left w:val="nil"/>
              <w:bottom w:val="nil"/>
              <w:right w:val="nil"/>
            </w:tcBorders>
            <w:shd w:val="clear" w:color="auto" w:fill="auto"/>
            <w:vAlign w:val="center"/>
            <w:hideMark/>
          </w:tcPr>
          <w:p w14:paraId="7AF44CEB"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102.5</w:t>
            </w:r>
          </w:p>
        </w:tc>
      </w:tr>
      <w:tr w:rsidR="00A33F69" w:rsidRPr="004A69E4" w14:paraId="6D165B3D" w14:textId="77777777" w:rsidTr="008449E4">
        <w:trPr>
          <w:trHeight w:val="244"/>
        </w:trPr>
        <w:tc>
          <w:tcPr>
            <w:tcW w:w="1612" w:type="dxa"/>
            <w:tcBorders>
              <w:top w:val="nil"/>
              <w:left w:val="nil"/>
              <w:bottom w:val="nil"/>
              <w:right w:val="nil"/>
            </w:tcBorders>
            <w:shd w:val="clear" w:color="auto" w:fill="auto"/>
            <w:vAlign w:val="center"/>
            <w:hideMark/>
          </w:tcPr>
          <w:p w14:paraId="3D1007E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w:t>
            </w:r>
          </w:p>
        </w:tc>
        <w:tc>
          <w:tcPr>
            <w:tcW w:w="2499" w:type="dxa"/>
            <w:tcBorders>
              <w:top w:val="nil"/>
              <w:left w:val="nil"/>
              <w:bottom w:val="nil"/>
              <w:right w:val="nil"/>
            </w:tcBorders>
            <w:shd w:val="clear" w:color="auto" w:fill="auto"/>
            <w:noWrap/>
            <w:vAlign w:val="center"/>
            <w:hideMark/>
          </w:tcPr>
          <w:p w14:paraId="2B0C40B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3.34 m</w:t>
            </w:r>
          </w:p>
        </w:tc>
        <w:tc>
          <w:tcPr>
            <w:tcW w:w="1559" w:type="dxa"/>
            <w:tcBorders>
              <w:top w:val="nil"/>
              <w:left w:val="nil"/>
              <w:bottom w:val="nil"/>
              <w:right w:val="nil"/>
            </w:tcBorders>
            <w:shd w:val="clear" w:color="auto" w:fill="auto"/>
            <w:noWrap/>
            <w:vAlign w:val="center"/>
            <w:hideMark/>
          </w:tcPr>
          <w:p w14:paraId="101BD333"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74.1</w:t>
            </w:r>
          </w:p>
        </w:tc>
        <w:tc>
          <w:tcPr>
            <w:tcW w:w="2792" w:type="dxa"/>
            <w:tcBorders>
              <w:top w:val="nil"/>
              <w:left w:val="nil"/>
              <w:bottom w:val="nil"/>
              <w:right w:val="nil"/>
            </w:tcBorders>
            <w:shd w:val="clear" w:color="auto" w:fill="auto"/>
            <w:vAlign w:val="center"/>
            <w:hideMark/>
          </w:tcPr>
          <w:p w14:paraId="168204C7"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3.33 m</w:t>
            </w:r>
          </w:p>
        </w:tc>
        <w:tc>
          <w:tcPr>
            <w:tcW w:w="1315" w:type="dxa"/>
            <w:tcBorders>
              <w:top w:val="nil"/>
              <w:left w:val="nil"/>
              <w:bottom w:val="nil"/>
              <w:right w:val="nil"/>
            </w:tcBorders>
            <w:shd w:val="clear" w:color="auto" w:fill="auto"/>
            <w:vAlign w:val="center"/>
            <w:hideMark/>
          </w:tcPr>
          <w:p w14:paraId="14FDF114"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74.1</w:t>
            </w:r>
          </w:p>
        </w:tc>
      </w:tr>
      <w:tr w:rsidR="00A33F69" w:rsidRPr="004A69E4" w14:paraId="65DFF1DA" w14:textId="77777777" w:rsidTr="008449E4">
        <w:trPr>
          <w:trHeight w:val="244"/>
        </w:trPr>
        <w:tc>
          <w:tcPr>
            <w:tcW w:w="1612" w:type="dxa"/>
            <w:tcBorders>
              <w:top w:val="nil"/>
              <w:left w:val="nil"/>
              <w:bottom w:val="nil"/>
              <w:right w:val="nil"/>
            </w:tcBorders>
            <w:shd w:val="clear" w:color="auto" w:fill="auto"/>
            <w:vAlign w:val="center"/>
            <w:hideMark/>
          </w:tcPr>
          <w:p w14:paraId="0DB71E3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w:t>
            </w:r>
          </w:p>
        </w:tc>
        <w:tc>
          <w:tcPr>
            <w:tcW w:w="2499" w:type="dxa"/>
            <w:tcBorders>
              <w:top w:val="nil"/>
              <w:left w:val="nil"/>
              <w:bottom w:val="nil"/>
              <w:right w:val="nil"/>
            </w:tcBorders>
            <w:shd w:val="clear" w:color="auto" w:fill="auto"/>
            <w:noWrap/>
            <w:vAlign w:val="center"/>
            <w:hideMark/>
          </w:tcPr>
          <w:p w14:paraId="450FAD0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3.31 m</w:t>
            </w:r>
          </w:p>
        </w:tc>
        <w:tc>
          <w:tcPr>
            <w:tcW w:w="1559" w:type="dxa"/>
            <w:tcBorders>
              <w:top w:val="nil"/>
              <w:left w:val="nil"/>
              <w:bottom w:val="nil"/>
              <w:right w:val="nil"/>
            </w:tcBorders>
            <w:shd w:val="clear" w:color="auto" w:fill="auto"/>
            <w:noWrap/>
            <w:vAlign w:val="center"/>
            <w:hideMark/>
          </w:tcPr>
          <w:p w14:paraId="056CC49A"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76.4</w:t>
            </w:r>
          </w:p>
        </w:tc>
        <w:tc>
          <w:tcPr>
            <w:tcW w:w="2792" w:type="dxa"/>
            <w:tcBorders>
              <w:top w:val="nil"/>
              <w:left w:val="nil"/>
              <w:bottom w:val="nil"/>
              <w:right w:val="nil"/>
            </w:tcBorders>
            <w:shd w:val="clear" w:color="auto" w:fill="auto"/>
            <w:vAlign w:val="center"/>
            <w:hideMark/>
          </w:tcPr>
          <w:p w14:paraId="38BEF52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3.32 m</w:t>
            </w:r>
          </w:p>
        </w:tc>
        <w:tc>
          <w:tcPr>
            <w:tcW w:w="1315" w:type="dxa"/>
            <w:tcBorders>
              <w:top w:val="nil"/>
              <w:left w:val="nil"/>
              <w:bottom w:val="nil"/>
              <w:right w:val="nil"/>
            </w:tcBorders>
            <w:shd w:val="clear" w:color="auto" w:fill="auto"/>
            <w:vAlign w:val="center"/>
            <w:hideMark/>
          </w:tcPr>
          <w:p w14:paraId="10CEBAC6"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76.4</w:t>
            </w:r>
          </w:p>
        </w:tc>
      </w:tr>
      <w:tr w:rsidR="00A33F69" w:rsidRPr="004A69E4" w14:paraId="405A9C54" w14:textId="77777777" w:rsidTr="008449E4">
        <w:trPr>
          <w:trHeight w:val="244"/>
        </w:trPr>
        <w:tc>
          <w:tcPr>
            <w:tcW w:w="1612" w:type="dxa"/>
            <w:tcBorders>
              <w:top w:val="nil"/>
              <w:left w:val="nil"/>
              <w:bottom w:val="nil"/>
              <w:right w:val="nil"/>
            </w:tcBorders>
            <w:shd w:val="clear" w:color="auto" w:fill="auto"/>
            <w:vAlign w:val="center"/>
            <w:hideMark/>
          </w:tcPr>
          <w:p w14:paraId="5B4E33A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w:t>
            </w:r>
          </w:p>
        </w:tc>
        <w:tc>
          <w:tcPr>
            <w:tcW w:w="2499" w:type="dxa"/>
            <w:tcBorders>
              <w:top w:val="nil"/>
              <w:left w:val="nil"/>
              <w:bottom w:val="nil"/>
              <w:right w:val="nil"/>
            </w:tcBorders>
            <w:shd w:val="clear" w:color="auto" w:fill="auto"/>
            <w:noWrap/>
            <w:vAlign w:val="center"/>
            <w:hideMark/>
          </w:tcPr>
          <w:p w14:paraId="62215AD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3.18 m</w:t>
            </w:r>
          </w:p>
        </w:tc>
        <w:tc>
          <w:tcPr>
            <w:tcW w:w="1559" w:type="dxa"/>
            <w:tcBorders>
              <w:top w:val="nil"/>
              <w:left w:val="nil"/>
              <w:bottom w:val="nil"/>
              <w:right w:val="nil"/>
            </w:tcBorders>
            <w:shd w:val="clear" w:color="auto" w:fill="auto"/>
            <w:noWrap/>
            <w:vAlign w:val="center"/>
            <w:hideMark/>
          </w:tcPr>
          <w:p w14:paraId="34A813D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69.9</w:t>
            </w:r>
          </w:p>
        </w:tc>
        <w:tc>
          <w:tcPr>
            <w:tcW w:w="2792" w:type="dxa"/>
            <w:tcBorders>
              <w:top w:val="nil"/>
              <w:left w:val="nil"/>
              <w:bottom w:val="nil"/>
              <w:right w:val="nil"/>
            </w:tcBorders>
            <w:shd w:val="clear" w:color="auto" w:fill="auto"/>
            <w:vAlign w:val="center"/>
            <w:hideMark/>
          </w:tcPr>
          <w:p w14:paraId="2F0E48D2"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3.20 m</w:t>
            </w:r>
          </w:p>
        </w:tc>
        <w:tc>
          <w:tcPr>
            <w:tcW w:w="1315" w:type="dxa"/>
            <w:tcBorders>
              <w:top w:val="nil"/>
              <w:left w:val="nil"/>
              <w:bottom w:val="nil"/>
              <w:right w:val="nil"/>
            </w:tcBorders>
            <w:shd w:val="clear" w:color="auto" w:fill="auto"/>
            <w:vAlign w:val="center"/>
            <w:hideMark/>
          </w:tcPr>
          <w:p w14:paraId="520C63B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69.7</w:t>
            </w:r>
          </w:p>
        </w:tc>
      </w:tr>
      <w:tr w:rsidR="00A33F69" w:rsidRPr="004A69E4" w14:paraId="2023B94F" w14:textId="77777777" w:rsidTr="008449E4">
        <w:trPr>
          <w:trHeight w:val="244"/>
        </w:trPr>
        <w:tc>
          <w:tcPr>
            <w:tcW w:w="1612" w:type="dxa"/>
            <w:tcBorders>
              <w:top w:val="nil"/>
              <w:left w:val="nil"/>
              <w:bottom w:val="nil"/>
              <w:right w:val="nil"/>
            </w:tcBorders>
            <w:shd w:val="clear" w:color="auto" w:fill="auto"/>
            <w:vAlign w:val="center"/>
            <w:hideMark/>
          </w:tcPr>
          <w:p w14:paraId="6F2C207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w:t>
            </w:r>
          </w:p>
        </w:tc>
        <w:tc>
          <w:tcPr>
            <w:tcW w:w="2499" w:type="dxa"/>
            <w:tcBorders>
              <w:top w:val="nil"/>
              <w:left w:val="nil"/>
              <w:bottom w:val="nil"/>
              <w:right w:val="nil"/>
            </w:tcBorders>
            <w:shd w:val="clear" w:color="auto" w:fill="auto"/>
            <w:noWrap/>
            <w:vAlign w:val="center"/>
            <w:hideMark/>
          </w:tcPr>
          <w:p w14:paraId="0AE6B99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3.27 m</w:t>
            </w:r>
          </w:p>
        </w:tc>
        <w:tc>
          <w:tcPr>
            <w:tcW w:w="1559" w:type="dxa"/>
            <w:tcBorders>
              <w:top w:val="nil"/>
              <w:left w:val="nil"/>
              <w:bottom w:val="nil"/>
              <w:right w:val="nil"/>
            </w:tcBorders>
            <w:shd w:val="clear" w:color="auto" w:fill="auto"/>
            <w:noWrap/>
            <w:vAlign w:val="center"/>
            <w:hideMark/>
          </w:tcPr>
          <w:p w14:paraId="506BBF62"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74.1</w:t>
            </w:r>
          </w:p>
        </w:tc>
        <w:tc>
          <w:tcPr>
            <w:tcW w:w="2792" w:type="dxa"/>
            <w:tcBorders>
              <w:top w:val="nil"/>
              <w:left w:val="nil"/>
              <w:bottom w:val="nil"/>
              <w:right w:val="nil"/>
            </w:tcBorders>
            <w:shd w:val="clear" w:color="auto" w:fill="auto"/>
            <w:vAlign w:val="center"/>
            <w:hideMark/>
          </w:tcPr>
          <w:p w14:paraId="5099FC66"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3.29 m</w:t>
            </w:r>
          </w:p>
        </w:tc>
        <w:tc>
          <w:tcPr>
            <w:tcW w:w="1315" w:type="dxa"/>
            <w:tcBorders>
              <w:top w:val="nil"/>
              <w:left w:val="nil"/>
              <w:bottom w:val="nil"/>
              <w:right w:val="nil"/>
            </w:tcBorders>
            <w:shd w:val="clear" w:color="auto" w:fill="auto"/>
            <w:vAlign w:val="center"/>
            <w:hideMark/>
          </w:tcPr>
          <w:p w14:paraId="3E74C12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73.9</w:t>
            </w:r>
          </w:p>
        </w:tc>
      </w:tr>
      <w:tr w:rsidR="00A33F69" w:rsidRPr="004A69E4" w14:paraId="25EC026E" w14:textId="77777777" w:rsidTr="008449E4">
        <w:trPr>
          <w:trHeight w:val="244"/>
        </w:trPr>
        <w:tc>
          <w:tcPr>
            <w:tcW w:w="1612" w:type="dxa"/>
            <w:tcBorders>
              <w:top w:val="nil"/>
              <w:left w:val="nil"/>
              <w:bottom w:val="nil"/>
              <w:right w:val="nil"/>
            </w:tcBorders>
            <w:shd w:val="clear" w:color="auto" w:fill="auto"/>
            <w:vAlign w:val="center"/>
            <w:hideMark/>
          </w:tcPr>
          <w:p w14:paraId="1588DD0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6''a</w:t>
            </w:r>
          </w:p>
        </w:tc>
        <w:tc>
          <w:tcPr>
            <w:tcW w:w="2499" w:type="dxa"/>
            <w:tcBorders>
              <w:top w:val="nil"/>
              <w:left w:val="nil"/>
              <w:bottom w:val="nil"/>
              <w:right w:val="nil"/>
            </w:tcBorders>
            <w:shd w:val="clear" w:color="auto" w:fill="auto"/>
            <w:noWrap/>
            <w:vAlign w:val="center"/>
            <w:hideMark/>
          </w:tcPr>
          <w:p w14:paraId="3E92FF8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4.10 dd (11.5, 2.0)</w:t>
            </w:r>
          </w:p>
        </w:tc>
        <w:tc>
          <w:tcPr>
            <w:tcW w:w="1559" w:type="dxa"/>
            <w:tcBorders>
              <w:top w:val="nil"/>
              <w:left w:val="nil"/>
              <w:bottom w:val="nil"/>
              <w:right w:val="nil"/>
            </w:tcBorders>
            <w:shd w:val="clear" w:color="auto" w:fill="auto"/>
            <w:noWrap/>
            <w:vAlign w:val="center"/>
            <w:hideMark/>
          </w:tcPr>
          <w:p w14:paraId="286280B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62.9</w:t>
            </w:r>
          </w:p>
        </w:tc>
        <w:tc>
          <w:tcPr>
            <w:tcW w:w="2792" w:type="dxa"/>
            <w:tcBorders>
              <w:top w:val="nil"/>
              <w:left w:val="nil"/>
              <w:bottom w:val="nil"/>
              <w:right w:val="nil"/>
            </w:tcBorders>
            <w:shd w:val="clear" w:color="auto" w:fill="auto"/>
            <w:vAlign w:val="center"/>
            <w:hideMark/>
          </w:tcPr>
          <w:p w14:paraId="65EFD02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4.17 dd (11.5, 2.0)</w:t>
            </w:r>
          </w:p>
        </w:tc>
        <w:tc>
          <w:tcPr>
            <w:tcW w:w="1315" w:type="dxa"/>
            <w:tcBorders>
              <w:top w:val="nil"/>
              <w:left w:val="nil"/>
              <w:bottom w:val="nil"/>
              <w:right w:val="nil"/>
            </w:tcBorders>
            <w:shd w:val="clear" w:color="auto" w:fill="auto"/>
            <w:vAlign w:val="center"/>
            <w:hideMark/>
          </w:tcPr>
          <w:p w14:paraId="3C12524C"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63.3</w:t>
            </w:r>
          </w:p>
        </w:tc>
      </w:tr>
      <w:tr w:rsidR="00A33F69" w:rsidRPr="004A69E4" w14:paraId="723DE820" w14:textId="77777777" w:rsidTr="008449E4">
        <w:trPr>
          <w:trHeight w:val="244"/>
        </w:trPr>
        <w:tc>
          <w:tcPr>
            <w:tcW w:w="1612" w:type="dxa"/>
            <w:tcBorders>
              <w:top w:val="nil"/>
              <w:left w:val="nil"/>
              <w:bottom w:val="nil"/>
              <w:right w:val="nil"/>
            </w:tcBorders>
            <w:shd w:val="clear" w:color="auto" w:fill="auto"/>
            <w:vAlign w:val="center"/>
            <w:hideMark/>
          </w:tcPr>
          <w:p w14:paraId="6A26011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6''b</w:t>
            </w:r>
          </w:p>
        </w:tc>
        <w:tc>
          <w:tcPr>
            <w:tcW w:w="2499" w:type="dxa"/>
            <w:tcBorders>
              <w:top w:val="nil"/>
              <w:left w:val="nil"/>
              <w:bottom w:val="nil"/>
              <w:right w:val="nil"/>
            </w:tcBorders>
            <w:shd w:val="clear" w:color="auto" w:fill="auto"/>
            <w:noWrap/>
            <w:vAlign w:val="center"/>
            <w:hideMark/>
          </w:tcPr>
          <w:p w14:paraId="4F05967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3.98 dd (11.5, 6.0)</w:t>
            </w:r>
          </w:p>
        </w:tc>
        <w:tc>
          <w:tcPr>
            <w:tcW w:w="1559" w:type="dxa"/>
            <w:tcBorders>
              <w:top w:val="nil"/>
              <w:left w:val="nil"/>
              <w:bottom w:val="nil"/>
              <w:right w:val="nil"/>
            </w:tcBorders>
            <w:shd w:val="clear" w:color="auto" w:fill="auto"/>
            <w:noWrap/>
            <w:vAlign w:val="center"/>
            <w:hideMark/>
          </w:tcPr>
          <w:p w14:paraId="246B3B43" w14:textId="77777777" w:rsidR="00EE4DE3" w:rsidRPr="004A69E4" w:rsidRDefault="00EE4DE3" w:rsidP="00163269">
            <w:pPr>
              <w:pStyle w:val="P1"/>
              <w:jc w:val="both"/>
              <w:rPr>
                <w:rFonts w:ascii="Times New Roman" w:hAnsi="Times New Roman"/>
                <w:bCs/>
                <w:iCs/>
                <w:sz w:val="20"/>
              </w:rPr>
            </w:pPr>
          </w:p>
        </w:tc>
        <w:tc>
          <w:tcPr>
            <w:tcW w:w="2792" w:type="dxa"/>
            <w:tcBorders>
              <w:top w:val="nil"/>
              <w:left w:val="nil"/>
              <w:bottom w:val="nil"/>
              <w:right w:val="nil"/>
            </w:tcBorders>
            <w:shd w:val="clear" w:color="auto" w:fill="auto"/>
            <w:noWrap/>
            <w:vAlign w:val="center"/>
            <w:hideMark/>
          </w:tcPr>
          <w:p w14:paraId="40CD4AD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4.02 dd (11.5, 6.0)</w:t>
            </w:r>
          </w:p>
        </w:tc>
        <w:tc>
          <w:tcPr>
            <w:tcW w:w="1315" w:type="dxa"/>
            <w:tcBorders>
              <w:top w:val="nil"/>
              <w:left w:val="nil"/>
              <w:bottom w:val="nil"/>
              <w:right w:val="nil"/>
            </w:tcBorders>
            <w:shd w:val="clear" w:color="auto" w:fill="auto"/>
            <w:noWrap/>
            <w:vAlign w:val="center"/>
            <w:hideMark/>
          </w:tcPr>
          <w:p w14:paraId="1EBDCBBE" w14:textId="77777777" w:rsidR="00EE4DE3" w:rsidRPr="004A69E4" w:rsidRDefault="00EE4DE3" w:rsidP="00163269">
            <w:pPr>
              <w:pStyle w:val="P1"/>
              <w:jc w:val="both"/>
              <w:rPr>
                <w:rFonts w:ascii="Times New Roman" w:hAnsi="Times New Roman"/>
                <w:bCs/>
                <w:iCs/>
                <w:sz w:val="20"/>
              </w:rPr>
            </w:pPr>
          </w:p>
        </w:tc>
      </w:tr>
      <w:tr w:rsidR="00A33F69" w:rsidRPr="004A69E4" w14:paraId="60B4F808" w14:textId="77777777" w:rsidTr="008449E4">
        <w:trPr>
          <w:trHeight w:val="244"/>
        </w:trPr>
        <w:tc>
          <w:tcPr>
            <w:tcW w:w="1612" w:type="dxa"/>
            <w:tcBorders>
              <w:top w:val="nil"/>
              <w:left w:val="nil"/>
              <w:bottom w:val="nil"/>
              <w:right w:val="nil"/>
            </w:tcBorders>
            <w:shd w:val="clear" w:color="auto" w:fill="auto"/>
            <w:vAlign w:val="center"/>
            <w:hideMark/>
          </w:tcPr>
          <w:p w14:paraId="4BFF04F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w:t>
            </w:r>
          </w:p>
        </w:tc>
        <w:tc>
          <w:tcPr>
            <w:tcW w:w="2499" w:type="dxa"/>
            <w:tcBorders>
              <w:top w:val="nil"/>
              <w:left w:val="nil"/>
              <w:bottom w:val="nil"/>
              <w:right w:val="nil"/>
            </w:tcBorders>
            <w:shd w:val="clear" w:color="auto" w:fill="auto"/>
            <w:noWrap/>
            <w:vAlign w:val="center"/>
            <w:hideMark/>
          </w:tcPr>
          <w:p w14:paraId="116F575F"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bottom w:val="nil"/>
              <w:right w:val="nil"/>
            </w:tcBorders>
            <w:shd w:val="clear" w:color="auto" w:fill="auto"/>
            <w:noWrap/>
            <w:vAlign w:val="center"/>
            <w:hideMark/>
          </w:tcPr>
          <w:p w14:paraId="77779BD8"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172.1</w:t>
            </w:r>
          </w:p>
        </w:tc>
        <w:tc>
          <w:tcPr>
            <w:tcW w:w="2792" w:type="dxa"/>
            <w:tcBorders>
              <w:top w:val="nil"/>
              <w:left w:val="nil"/>
              <w:bottom w:val="nil"/>
              <w:right w:val="nil"/>
            </w:tcBorders>
            <w:shd w:val="clear" w:color="auto" w:fill="auto"/>
            <w:noWrap/>
            <w:vAlign w:val="center"/>
            <w:hideMark/>
          </w:tcPr>
          <w:p w14:paraId="42A2A07C"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noWrap/>
            <w:vAlign w:val="center"/>
            <w:hideMark/>
          </w:tcPr>
          <w:p w14:paraId="73F387F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166.5</w:t>
            </w:r>
          </w:p>
        </w:tc>
      </w:tr>
      <w:tr w:rsidR="00A33F69" w:rsidRPr="004A69E4" w14:paraId="69AD53E9" w14:textId="77777777" w:rsidTr="008449E4">
        <w:trPr>
          <w:trHeight w:val="244"/>
        </w:trPr>
        <w:tc>
          <w:tcPr>
            <w:tcW w:w="1612" w:type="dxa"/>
            <w:tcBorders>
              <w:top w:val="nil"/>
              <w:left w:val="nil"/>
              <w:bottom w:val="nil"/>
              <w:right w:val="nil"/>
            </w:tcBorders>
            <w:shd w:val="clear" w:color="auto" w:fill="auto"/>
            <w:vAlign w:val="center"/>
            <w:hideMark/>
          </w:tcPr>
          <w:p w14:paraId="199C465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w:t>
            </w:r>
          </w:p>
        </w:tc>
        <w:tc>
          <w:tcPr>
            <w:tcW w:w="2499" w:type="dxa"/>
            <w:tcBorders>
              <w:top w:val="nil"/>
              <w:left w:val="nil"/>
              <w:bottom w:val="nil"/>
              <w:right w:val="nil"/>
            </w:tcBorders>
            <w:shd w:val="clear" w:color="auto" w:fill="auto"/>
            <w:noWrap/>
            <w:vAlign w:val="center"/>
            <w:hideMark/>
          </w:tcPr>
          <w:p w14:paraId="1B424B20"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2.32 overlap</w:t>
            </w:r>
          </w:p>
        </w:tc>
        <w:tc>
          <w:tcPr>
            <w:tcW w:w="1559" w:type="dxa"/>
            <w:tcBorders>
              <w:top w:val="nil"/>
              <w:left w:val="nil"/>
              <w:bottom w:val="nil"/>
              <w:right w:val="nil"/>
            </w:tcBorders>
            <w:shd w:val="clear" w:color="auto" w:fill="auto"/>
            <w:noWrap/>
            <w:vAlign w:val="center"/>
            <w:hideMark/>
          </w:tcPr>
          <w:p w14:paraId="5948B8DB"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28.5</w:t>
            </w:r>
          </w:p>
        </w:tc>
        <w:tc>
          <w:tcPr>
            <w:tcW w:w="2792" w:type="dxa"/>
            <w:tcBorders>
              <w:top w:val="nil"/>
              <w:left w:val="nil"/>
              <w:bottom w:val="nil"/>
              <w:right w:val="nil"/>
            </w:tcBorders>
            <w:shd w:val="clear" w:color="auto" w:fill="auto"/>
            <w:vAlign w:val="center"/>
            <w:hideMark/>
          </w:tcPr>
          <w:p w14:paraId="55E8862B"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3.17 m</w:t>
            </w:r>
          </w:p>
        </w:tc>
        <w:tc>
          <w:tcPr>
            <w:tcW w:w="1315" w:type="dxa"/>
            <w:tcBorders>
              <w:top w:val="nil"/>
              <w:left w:val="nil"/>
              <w:bottom w:val="nil"/>
              <w:right w:val="nil"/>
            </w:tcBorders>
            <w:shd w:val="clear" w:color="auto" w:fill="auto"/>
            <w:vAlign w:val="center"/>
            <w:hideMark/>
          </w:tcPr>
          <w:p w14:paraId="54700CF1"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47.7</w:t>
            </w:r>
          </w:p>
        </w:tc>
      </w:tr>
      <w:tr w:rsidR="00A33F69" w:rsidRPr="004A69E4" w14:paraId="204D17FC" w14:textId="77777777" w:rsidTr="008449E4">
        <w:trPr>
          <w:trHeight w:val="244"/>
        </w:trPr>
        <w:tc>
          <w:tcPr>
            <w:tcW w:w="1612" w:type="dxa"/>
            <w:tcBorders>
              <w:top w:val="nil"/>
              <w:left w:val="nil"/>
              <w:bottom w:val="nil"/>
              <w:right w:val="nil"/>
            </w:tcBorders>
            <w:shd w:val="clear" w:color="auto" w:fill="auto"/>
            <w:vAlign w:val="center"/>
          </w:tcPr>
          <w:p w14:paraId="39791418"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w:t>
            </w:r>
          </w:p>
        </w:tc>
        <w:tc>
          <w:tcPr>
            <w:tcW w:w="2499" w:type="dxa"/>
            <w:tcBorders>
              <w:top w:val="nil"/>
              <w:left w:val="nil"/>
              <w:bottom w:val="nil"/>
              <w:right w:val="nil"/>
            </w:tcBorders>
            <w:shd w:val="clear" w:color="auto" w:fill="auto"/>
            <w:noWrap/>
            <w:vAlign w:val="center"/>
          </w:tcPr>
          <w:p w14:paraId="7504BF9F"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2.26 overlap</w:t>
            </w:r>
          </w:p>
        </w:tc>
        <w:tc>
          <w:tcPr>
            <w:tcW w:w="1559" w:type="dxa"/>
            <w:tcBorders>
              <w:top w:val="nil"/>
              <w:left w:val="nil"/>
              <w:bottom w:val="nil"/>
              <w:right w:val="nil"/>
            </w:tcBorders>
            <w:shd w:val="clear" w:color="auto" w:fill="auto"/>
            <w:noWrap/>
            <w:vAlign w:val="center"/>
          </w:tcPr>
          <w:p w14:paraId="52382DF9"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27.6</w:t>
            </w:r>
          </w:p>
        </w:tc>
        <w:tc>
          <w:tcPr>
            <w:tcW w:w="2792" w:type="dxa"/>
            <w:tcBorders>
              <w:top w:val="nil"/>
              <w:left w:val="nil"/>
              <w:bottom w:val="nil"/>
              <w:right w:val="nil"/>
            </w:tcBorders>
            <w:shd w:val="clear" w:color="auto" w:fill="auto"/>
            <w:vAlign w:val="center"/>
          </w:tcPr>
          <w:p w14:paraId="504882FF"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bottom w:val="nil"/>
              <w:right w:val="nil"/>
            </w:tcBorders>
            <w:shd w:val="clear" w:color="auto" w:fill="auto"/>
            <w:vAlign w:val="center"/>
          </w:tcPr>
          <w:p w14:paraId="08D64CC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167.1</w:t>
            </w:r>
          </w:p>
        </w:tc>
      </w:tr>
      <w:tr w:rsidR="00A33F69" w:rsidRPr="004A69E4" w14:paraId="6EF2B3CF" w14:textId="77777777" w:rsidTr="008449E4">
        <w:trPr>
          <w:trHeight w:val="244"/>
        </w:trPr>
        <w:tc>
          <w:tcPr>
            <w:tcW w:w="1612" w:type="dxa"/>
            <w:tcBorders>
              <w:top w:val="nil"/>
              <w:left w:val="nil"/>
              <w:right w:val="nil"/>
            </w:tcBorders>
            <w:shd w:val="clear" w:color="auto" w:fill="auto"/>
            <w:vAlign w:val="center"/>
            <w:hideMark/>
          </w:tcPr>
          <w:p w14:paraId="489DEB46"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4'''</w:t>
            </w:r>
          </w:p>
        </w:tc>
        <w:tc>
          <w:tcPr>
            <w:tcW w:w="2499" w:type="dxa"/>
            <w:tcBorders>
              <w:top w:val="nil"/>
              <w:left w:val="nil"/>
              <w:right w:val="nil"/>
            </w:tcBorders>
            <w:shd w:val="clear" w:color="auto" w:fill="auto"/>
            <w:vAlign w:val="center"/>
            <w:hideMark/>
          </w:tcPr>
          <w:p w14:paraId="6D57B644" w14:textId="77777777" w:rsidR="00EE4DE3" w:rsidRPr="004A69E4" w:rsidRDefault="00EE4DE3" w:rsidP="00163269">
            <w:pPr>
              <w:pStyle w:val="P1"/>
              <w:jc w:val="both"/>
              <w:rPr>
                <w:rFonts w:ascii="Times New Roman" w:hAnsi="Times New Roman"/>
                <w:bCs/>
                <w:iCs/>
                <w:sz w:val="20"/>
              </w:rPr>
            </w:pPr>
          </w:p>
        </w:tc>
        <w:tc>
          <w:tcPr>
            <w:tcW w:w="1559" w:type="dxa"/>
            <w:tcBorders>
              <w:top w:val="nil"/>
              <w:left w:val="nil"/>
              <w:right w:val="nil"/>
            </w:tcBorders>
            <w:shd w:val="clear" w:color="auto" w:fill="auto"/>
            <w:noWrap/>
            <w:vAlign w:val="center"/>
            <w:hideMark/>
          </w:tcPr>
          <w:p w14:paraId="58F846B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173.0</w:t>
            </w:r>
          </w:p>
        </w:tc>
        <w:tc>
          <w:tcPr>
            <w:tcW w:w="2792" w:type="dxa"/>
            <w:tcBorders>
              <w:top w:val="nil"/>
              <w:left w:val="nil"/>
              <w:right w:val="nil"/>
            </w:tcBorders>
            <w:shd w:val="clear" w:color="auto" w:fill="auto"/>
            <w:vAlign w:val="center"/>
            <w:hideMark/>
          </w:tcPr>
          <w:p w14:paraId="47BE9A33" w14:textId="77777777" w:rsidR="00EE4DE3" w:rsidRPr="004A69E4" w:rsidRDefault="00EE4DE3" w:rsidP="00163269">
            <w:pPr>
              <w:pStyle w:val="P1"/>
              <w:jc w:val="both"/>
              <w:rPr>
                <w:rFonts w:ascii="Times New Roman" w:hAnsi="Times New Roman"/>
                <w:bCs/>
                <w:iCs/>
                <w:sz w:val="20"/>
              </w:rPr>
            </w:pPr>
          </w:p>
        </w:tc>
        <w:tc>
          <w:tcPr>
            <w:tcW w:w="1315" w:type="dxa"/>
            <w:tcBorders>
              <w:top w:val="nil"/>
              <w:left w:val="nil"/>
              <w:right w:val="nil"/>
            </w:tcBorders>
            <w:shd w:val="clear" w:color="auto" w:fill="auto"/>
            <w:vAlign w:val="center"/>
            <w:hideMark/>
          </w:tcPr>
          <w:p w14:paraId="762E72B0" w14:textId="77777777" w:rsidR="00EE4DE3" w:rsidRPr="004A69E4" w:rsidRDefault="00EE4DE3" w:rsidP="00163269">
            <w:pPr>
              <w:pStyle w:val="P1"/>
              <w:jc w:val="both"/>
              <w:rPr>
                <w:rFonts w:ascii="Times New Roman" w:hAnsi="Times New Roman"/>
                <w:bCs/>
                <w:iCs/>
                <w:sz w:val="20"/>
              </w:rPr>
            </w:pPr>
          </w:p>
        </w:tc>
      </w:tr>
      <w:tr w:rsidR="00A33F69" w:rsidRPr="004A69E4" w14:paraId="06A5C237" w14:textId="77777777" w:rsidTr="008449E4">
        <w:trPr>
          <w:trHeight w:val="244"/>
        </w:trPr>
        <w:tc>
          <w:tcPr>
            <w:tcW w:w="1612" w:type="dxa"/>
            <w:tcBorders>
              <w:top w:val="nil"/>
              <w:left w:val="nil"/>
              <w:bottom w:val="single" w:sz="4" w:space="0" w:color="auto"/>
              <w:right w:val="nil"/>
            </w:tcBorders>
            <w:shd w:val="clear" w:color="auto" w:fill="auto"/>
            <w:vAlign w:val="center"/>
            <w:hideMark/>
          </w:tcPr>
          <w:p w14:paraId="6FE8FF5D"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OCH</w:t>
            </w:r>
            <w:r w:rsidRPr="004A69E4">
              <w:rPr>
                <w:rFonts w:ascii="Times New Roman" w:hAnsi="Times New Roman"/>
                <w:bCs/>
                <w:iCs/>
                <w:sz w:val="20"/>
                <w:vertAlign w:val="subscript"/>
              </w:rPr>
              <w:t>3</w:t>
            </w:r>
          </w:p>
        </w:tc>
        <w:tc>
          <w:tcPr>
            <w:tcW w:w="2499" w:type="dxa"/>
            <w:tcBorders>
              <w:top w:val="nil"/>
              <w:left w:val="nil"/>
              <w:bottom w:val="single" w:sz="4" w:space="0" w:color="auto"/>
              <w:right w:val="nil"/>
            </w:tcBorders>
            <w:shd w:val="clear" w:color="auto" w:fill="auto"/>
            <w:vAlign w:val="center"/>
            <w:hideMark/>
          </w:tcPr>
          <w:p w14:paraId="589973AB"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3.53 s</w:t>
            </w:r>
          </w:p>
        </w:tc>
        <w:tc>
          <w:tcPr>
            <w:tcW w:w="1559" w:type="dxa"/>
            <w:tcBorders>
              <w:top w:val="nil"/>
              <w:left w:val="nil"/>
              <w:bottom w:val="single" w:sz="4" w:space="0" w:color="auto"/>
              <w:right w:val="nil"/>
            </w:tcBorders>
            <w:shd w:val="clear" w:color="auto" w:fill="auto"/>
            <w:noWrap/>
            <w:vAlign w:val="center"/>
            <w:hideMark/>
          </w:tcPr>
          <w:p w14:paraId="11F73BB8"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50.7</w:t>
            </w:r>
          </w:p>
        </w:tc>
        <w:tc>
          <w:tcPr>
            <w:tcW w:w="2792" w:type="dxa"/>
            <w:tcBorders>
              <w:top w:val="nil"/>
              <w:left w:val="nil"/>
              <w:bottom w:val="single" w:sz="4" w:space="0" w:color="auto"/>
              <w:right w:val="nil"/>
            </w:tcBorders>
            <w:shd w:val="clear" w:color="auto" w:fill="auto"/>
            <w:vAlign w:val="center"/>
            <w:hideMark/>
          </w:tcPr>
          <w:p w14:paraId="54BAB817"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3.53 s</w:t>
            </w:r>
          </w:p>
        </w:tc>
        <w:tc>
          <w:tcPr>
            <w:tcW w:w="1315" w:type="dxa"/>
            <w:tcBorders>
              <w:top w:val="nil"/>
              <w:left w:val="nil"/>
              <w:bottom w:val="single" w:sz="4" w:space="0" w:color="auto"/>
              <w:right w:val="nil"/>
            </w:tcBorders>
            <w:shd w:val="clear" w:color="auto" w:fill="auto"/>
            <w:vAlign w:val="center"/>
            <w:hideMark/>
          </w:tcPr>
          <w:p w14:paraId="1A3537AE" w14:textId="77777777" w:rsidR="00EE4DE3" w:rsidRPr="004A69E4" w:rsidRDefault="00EE4DE3" w:rsidP="00163269">
            <w:pPr>
              <w:pStyle w:val="P1"/>
              <w:jc w:val="both"/>
              <w:rPr>
                <w:rFonts w:ascii="Times New Roman" w:hAnsi="Times New Roman"/>
                <w:bCs/>
                <w:iCs/>
                <w:sz w:val="20"/>
              </w:rPr>
            </w:pPr>
            <w:r w:rsidRPr="004A69E4">
              <w:rPr>
                <w:rFonts w:ascii="Times New Roman" w:hAnsi="Times New Roman"/>
                <w:bCs/>
                <w:iCs/>
                <w:sz w:val="20"/>
              </w:rPr>
              <w:t>50.7</w:t>
            </w:r>
          </w:p>
        </w:tc>
      </w:tr>
    </w:tbl>
    <w:p w14:paraId="3EFF0CAC" w14:textId="20186DB5" w:rsidR="00EE4DE3" w:rsidRPr="004A69E4" w:rsidRDefault="00EE4DE3" w:rsidP="00C57138">
      <w:pPr>
        <w:pStyle w:val="P1"/>
        <w:spacing w:line="360" w:lineRule="auto"/>
        <w:jc w:val="both"/>
        <w:rPr>
          <w:rFonts w:ascii="Times New Roman" w:hAnsi="Times New Roman"/>
          <w:bCs/>
          <w:iCs/>
          <w:sz w:val="20"/>
          <w:lang w:val="de-DE"/>
        </w:rPr>
      </w:pPr>
      <w:r w:rsidRPr="004A69E4">
        <w:rPr>
          <w:rFonts w:ascii="Times New Roman" w:hAnsi="Times New Roman"/>
          <w:bCs/>
          <w:iCs/>
          <w:sz w:val="20"/>
          <w:vertAlign w:val="superscript"/>
          <w:lang w:val="de-DE"/>
        </w:rPr>
        <w:t>a</w:t>
      </w:r>
      <w:r w:rsidRPr="004A69E4">
        <w:rPr>
          <w:rFonts w:ascii="Times New Roman" w:hAnsi="Times New Roman"/>
          <w:bCs/>
          <w:i/>
          <w:iCs/>
          <w:sz w:val="20"/>
          <w:lang w:val="de-DE"/>
        </w:rPr>
        <w:t>J</w:t>
      </w:r>
      <w:r w:rsidRPr="004A69E4">
        <w:rPr>
          <w:rFonts w:ascii="Times New Roman" w:hAnsi="Times New Roman"/>
          <w:bCs/>
          <w:iCs/>
          <w:sz w:val="20"/>
          <w:lang w:val="de-DE"/>
        </w:rPr>
        <w:t xml:space="preserve"> values are in parentheses and shown in Hz; </w:t>
      </w:r>
      <w:r w:rsidRPr="004A69E4">
        <w:rPr>
          <w:rFonts w:ascii="Times New Roman" w:hAnsi="Times New Roman"/>
          <w:bCs/>
          <w:iCs/>
          <w:sz w:val="20"/>
          <w:vertAlign w:val="superscript"/>
          <w:lang w:val="de-DE"/>
        </w:rPr>
        <w:t>13</w:t>
      </w:r>
      <w:r w:rsidRPr="004A69E4">
        <w:rPr>
          <w:rFonts w:ascii="Times New Roman" w:hAnsi="Times New Roman"/>
          <w:bCs/>
          <w:iCs/>
          <w:sz w:val="20"/>
          <w:lang w:val="de-DE"/>
        </w:rPr>
        <w:t>C NMR assignments are based on HSQC and HMBC experiments.</w:t>
      </w:r>
    </w:p>
    <w:p w14:paraId="66BC3354" w14:textId="77777777" w:rsidR="00EE4DE3" w:rsidRPr="004A69E4" w:rsidRDefault="00EE4DE3" w:rsidP="00B57FC6">
      <w:pPr>
        <w:pStyle w:val="P1"/>
        <w:jc w:val="both"/>
        <w:rPr>
          <w:rFonts w:ascii="Times New Roman" w:hAnsi="Times New Roman"/>
          <w:bCs/>
          <w:i/>
          <w:sz w:val="20"/>
          <w:lang w:val="de-DE"/>
        </w:rPr>
      </w:pPr>
    </w:p>
    <w:p w14:paraId="2D9458C0" w14:textId="77777777" w:rsidR="009E322E" w:rsidRPr="004A69E4" w:rsidRDefault="009E322E">
      <w:pPr>
        <w:rPr>
          <w:bCs/>
          <w:i/>
          <w:sz w:val="20"/>
        </w:rPr>
      </w:pPr>
      <w:r w:rsidRPr="004A69E4">
        <w:rPr>
          <w:bCs/>
          <w:i/>
          <w:sz w:val="20"/>
        </w:rPr>
        <w:br w:type="page"/>
      </w:r>
    </w:p>
    <w:p w14:paraId="1C91CB7F" w14:textId="416DD515" w:rsidR="00B57FC6" w:rsidRPr="004A69E4" w:rsidRDefault="00A64FDD" w:rsidP="00270CFC">
      <w:pPr>
        <w:pStyle w:val="P1"/>
        <w:spacing w:line="360" w:lineRule="auto"/>
        <w:jc w:val="both"/>
        <w:rPr>
          <w:rFonts w:ascii="Times New Roman" w:hAnsi="Times New Roman"/>
          <w:i/>
          <w:sz w:val="20"/>
        </w:rPr>
      </w:pPr>
      <w:r w:rsidRPr="004A69E4">
        <w:rPr>
          <w:rFonts w:ascii="Times New Roman" w:hAnsi="Times New Roman"/>
          <w:bCs/>
          <w:i/>
          <w:sz w:val="20"/>
          <w:lang w:val="de-DE"/>
        </w:rPr>
        <w:lastRenderedPageBreak/>
        <w:t xml:space="preserve">Acid hydrolysis and absolute configuration determination of the sugar moieties of </w:t>
      </w:r>
      <w:r w:rsidRPr="004A69E4">
        <w:rPr>
          <w:rFonts w:ascii="Times New Roman" w:hAnsi="Times New Roman"/>
          <w:b/>
          <w:bCs/>
          <w:i/>
          <w:sz w:val="20"/>
          <w:lang w:val="de-DE"/>
        </w:rPr>
        <w:t>M-1</w:t>
      </w:r>
      <w:r w:rsidRPr="004A69E4">
        <w:rPr>
          <w:rFonts w:ascii="Times New Roman" w:hAnsi="Times New Roman"/>
          <w:bCs/>
          <w:i/>
          <w:sz w:val="20"/>
          <w:lang w:val="de-DE"/>
        </w:rPr>
        <w:t xml:space="preserve"> and </w:t>
      </w:r>
      <w:r w:rsidRPr="004A69E4">
        <w:rPr>
          <w:rFonts w:ascii="Times New Roman" w:hAnsi="Times New Roman"/>
          <w:b/>
          <w:bCs/>
          <w:i/>
          <w:sz w:val="20"/>
          <w:lang w:val="de-DE"/>
        </w:rPr>
        <w:t>M-2</w:t>
      </w:r>
    </w:p>
    <w:p w14:paraId="203885B4" w14:textId="0A59B0AA" w:rsidR="00B57FC6" w:rsidRPr="004A69E4" w:rsidRDefault="00A64FDD" w:rsidP="00270CFC">
      <w:pPr>
        <w:pStyle w:val="P1"/>
        <w:spacing w:line="360" w:lineRule="auto"/>
        <w:jc w:val="both"/>
        <w:rPr>
          <w:rFonts w:ascii="Times New Roman" w:hAnsi="Times New Roman"/>
          <w:bCs/>
          <w:iCs/>
          <w:sz w:val="20"/>
          <w:lang w:val="de-DE"/>
        </w:rPr>
      </w:pPr>
      <w:r w:rsidRPr="004A69E4">
        <w:rPr>
          <w:rFonts w:ascii="Times New Roman" w:hAnsi="Times New Roman"/>
          <w:bCs/>
          <w:iCs/>
          <w:sz w:val="20"/>
          <w:lang w:val="de-DE"/>
        </w:rPr>
        <w:t xml:space="preserve">The absolute configuration of the sugar moieties of </w:t>
      </w:r>
      <w:r w:rsidRPr="004A69E4">
        <w:rPr>
          <w:rFonts w:ascii="Times New Roman" w:hAnsi="Times New Roman"/>
          <w:b/>
          <w:bCs/>
          <w:iCs/>
          <w:sz w:val="20"/>
          <w:lang w:val="de-DE"/>
        </w:rPr>
        <w:t>M-1</w:t>
      </w:r>
      <w:r w:rsidRPr="004A69E4">
        <w:rPr>
          <w:rFonts w:ascii="Times New Roman" w:hAnsi="Times New Roman"/>
          <w:bCs/>
          <w:iCs/>
          <w:sz w:val="20"/>
          <w:lang w:val="de-DE"/>
        </w:rPr>
        <w:t xml:space="preserve"> and </w:t>
      </w:r>
      <w:r w:rsidRPr="004A69E4">
        <w:rPr>
          <w:rFonts w:ascii="Times New Roman" w:hAnsi="Times New Roman"/>
          <w:b/>
          <w:bCs/>
          <w:iCs/>
          <w:sz w:val="20"/>
          <w:lang w:val="de-DE"/>
        </w:rPr>
        <w:t xml:space="preserve">M-2 </w:t>
      </w:r>
      <w:r w:rsidRPr="004A69E4">
        <w:rPr>
          <w:rFonts w:ascii="Times New Roman" w:hAnsi="Times New Roman"/>
          <w:bCs/>
          <w:iCs/>
          <w:sz w:val="20"/>
          <w:lang w:val="de-DE"/>
        </w:rPr>
        <w:t>was determined using a modified HPLC-UV-based method.</w:t>
      </w:r>
      <w:r w:rsidRPr="004A69E4">
        <w:rPr>
          <w:rFonts w:ascii="Times New Roman" w:hAnsi="Times New Roman"/>
          <w:bCs/>
          <w:iCs/>
          <w:sz w:val="20"/>
          <w:lang w:val="de-DE"/>
        </w:rPr>
        <w:fldChar w:fldCharType="begin" w:fldLock="1"/>
      </w:r>
      <w:r w:rsidR="00724290" w:rsidRPr="004A69E4">
        <w:rPr>
          <w:rFonts w:ascii="Times New Roman" w:hAnsi="Times New Roman"/>
          <w:bCs/>
          <w:iCs/>
          <w:sz w:val="20"/>
          <w:lang w:val="de-DE"/>
        </w:rPr>
        <w:instrText>ADDIN CSL_CITATION {"citationItems":[{"id":"ITEM-1","itemData":{"DOI":"10.1021/ACS.JNATPROD.9B01120","ISSN":"1520-6025","PMID":"32118424","abstract":"Opuntia humifusa, known as the eastern prickly pear cactus and locally called \"Cheonnyuncho\" in Korea, is cultivated widely on Jeju Island, Korea. Phytochemical analysis of the methanolic extract of the cladodes of O. humifusa, for which previous research is relatively limited, was performed under the guidance of LC/MS-based analysis. As a result, one new megastigmane (1) and four new megastigmane glucosides (2-5) were isolated along with 18 known compounds (6-23). The structures of the new compounds were established by 1D and 2D NMR and HRESIMS, and their absolute configurations were established by chemical reactions, quantum chemical electronic circular dichroism calculations, and DP4+ analysis using the gauge-including atomic orbital NMR chemical shift calculations as well as the application of Snatzke's method. The isolated compounds (1-23) were tested for NO production inhibition in lipopolysaccharide (LPS)-induced RAW 264.7 cells to investigate their anti-inflammatory effects. Compounds 10 and 11 exhibited significant inhibitory effects on LPS-induced NO production in a dose-dependent manner. The potential mechanistic pathway of 10 and 11 was also investigated using Western blotting, indicating that compounds 10 and 11 inhibit NO through iNOS expression.","author":[{"dropping-particle":"","family":"Jo","given":"Mun Seok","non-dropping-particle":"","parse-names":false,"suffix":""},{"dropping-particle":"","family":"Lee","given":"Seoyoung","non-dropping-particle":"","parse-names":false,"suffix":""},{"dropping-particle":"","family":"Yu","given":"Jae Sik","non-dropping-particle":"","parse-names":false,"suffix":""},{"dropping-particle":"","family":"Baek","given":"Su Cheol","non-dropping-particle":"","parse-names":false,"suffix":""},{"dropping-particle":"","family":"Cho","given":"Young Chang","non-dropping-particle":"","parse-names":false,"suffix":""},{"dropping-particle":"","family":"Kim","given":"Ki Hyun","non-dropping-particle":"","parse-names":false,"suffix":""}],"container-title":"Journal of natural products","id":"ITEM-1","issue":"3","issued":{"date-parts":[["2020","3","27"]]},"page":"684-692","publisher":"J Nat Prod","title":"Megastigmane Derivatives from the Cladodes of Opuntia humifusa and Their Nitric Oxide Inhibitory Activities in Macrophages","type":"article-journal","volume":"83"},"uris":["http://www.mendeley.com/documents/?uuid=cdf074b4-0878-3357-8235-2d72f38d46ad"]},{"id":"ITEM-2","itemData":{"DOI":"10.1248/CPB.55.899","ISSN":"0009-2363","PMID":"17541189","abstract":"One-pot reactions of aldoses with L-cysteine methyl ester and o-tolyl isothiocyanate yielded methyl 2-(polyhydroxyalkyl)-3-(o-tolylthiocarbamoyl)- thiazolidine-4(R)-carboxylates. Direct HPLC analysis of the reaction mixture and UV detection at 250 nm discriminated D- and L-enantiomers of aldoses. The reaction was applied to the determination of absolute configuration the sugar residues of an aroma precursor. © 2007 Pharmaceutical Society of Japan.","author":[{"dropping-particle":"","family":"Tanaka","given":"Takashi","non-dropping-particle":"","parse-names":false,"suffix":""},{"dropping-particle":"","family":"Nakashima","given":"Tatsuya","non-dropping-particle":"","parse-names":false,"suffix":""},{"dropping-particle":"","family":"Ueda","given":"Toshihisa","non-dropping-particle":"","parse-names":false,"suffix":""},{"dropping-particle":"","family":"Tomii","given":"Kenji","non-dropping-particle":"","parse-names":false,"suffix":""},{"dropping-particle":"","family":"Kouno","given":"Isao","non-dropping-particle":"","parse-names":false,"suffix":""}],"container-title":"Chemical &amp; pharmaceutical bulletin","id":"ITEM-2","issue":"6","issued":{"date-parts":[["2007","6"]]},"page":"899-901","publisher":"Chem Pharm Bull (Tokyo)","title":"Facile discrimination of aldose enantiomers by reversed-phase HPLC","type":"article-journal","volume":"55"},"uris":["http://www.mendeley.com/documents/?uuid=d8a89860-af1c-3689-9325-31792a77cd09"]}],"mendeley":{"formattedCitation":"[1, 2]","plainTextFormattedCitation":"[1, 2]","previouslyFormattedCitation":"[1, 2]"},"properties":{"noteIndex":0},"schema":"https://github.com/citation-style-language/schema/raw/master/csl-citation.json"}</w:instrText>
      </w:r>
      <w:r w:rsidRPr="004A69E4">
        <w:rPr>
          <w:rFonts w:ascii="Times New Roman" w:hAnsi="Times New Roman"/>
          <w:bCs/>
          <w:iCs/>
          <w:sz w:val="20"/>
          <w:lang w:val="de-DE"/>
        </w:rPr>
        <w:fldChar w:fldCharType="separate"/>
      </w:r>
      <w:r w:rsidR="00724290" w:rsidRPr="004A69E4">
        <w:rPr>
          <w:rFonts w:ascii="Times New Roman" w:hAnsi="Times New Roman"/>
          <w:bCs/>
          <w:iCs/>
          <w:noProof/>
          <w:sz w:val="20"/>
          <w:lang w:val="de-DE"/>
        </w:rPr>
        <w:t>[1, 2]</w:t>
      </w:r>
      <w:r w:rsidRPr="004A69E4">
        <w:rPr>
          <w:rFonts w:ascii="Times New Roman" w:hAnsi="Times New Roman"/>
          <w:bCs/>
          <w:iCs/>
          <w:sz w:val="20"/>
        </w:rPr>
        <w:fldChar w:fldCharType="end"/>
      </w:r>
      <w:r w:rsidRPr="004A69E4">
        <w:rPr>
          <w:rFonts w:ascii="Times New Roman" w:hAnsi="Times New Roman"/>
          <w:bCs/>
          <w:iCs/>
          <w:sz w:val="20"/>
          <w:lang w:val="de-DE"/>
        </w:rPr>
        <w:t xml:space="preserve"> Compounds</w:t>
      </w:r>
      <w:r w:rsidRPr="004A69E4">
        <w:rPr>
          <w:rFonts w:ascii="Times New Roman" w:hAnsi="Times New Roman"/>
          <w:b/>
          <w:bCs/>
          <w:iCs/>
          <w:sz w:val="20"/>
          <w:lang w:val="de-DE"/>
        </w:rPr>
        <w:t xml:space="preserve"> M-1</w:t>
      </w:r>
      <w:r w:rsidRPr="004A69E4">
        <w:rPr>
          <w:rFonts w:ascii="Times New Roman" w:hAnsi="Times New Roman"/>
          <w:bCs/>
          <w:iCs/>
          <w:sz w:val="20"/>
          <w:lang w:val="de-DE"/>
        </w:rPr>
        <w:t xml:space="preserve"> and </w:t>
      </w:r>
      <w:r w:rsidRPr="004A69E4">
        <w:rPr>
          <w:rFonts w:ascii="Times New Roman" w:hAnsi="Times New Roman"/>
          <w:b/>
          <w:bCs/>
          <w:iCs/>
          <w:sz w:val="20"/>
          <w:lang w:val="de-DE"/>
        </w:rPr>
        <w:t xml:space="preserve">M-2 </w:t>
      </w:r>
      <w:r w:rsidRPr="004A69E4">
        <w:rPr>
          <w:rFonts w:ascii="Times New Roman" w:hAnsi="Times New Roman"/>
          <w:bCs/>
          <w:iCs/>
          <w:sz w:val="20"/>
          <w:lang w:val="de-DE"/>
        </w:rPr>
        <w:t xml:space="preserve">(each 0.3 mg) were hydrolyzed in the presence of 1 N HCl at 80 °C for 2 h, and EtOAc was used for the extraction. The aqueous layer was neutralized by repeated evaporation under vacuum and dissolved in anhydrous pyridine (0.5 mL) with the addition of L-cysteine methyl ester hydrochloride (1.0 mg). After the reaction mixture was heated at 60 °C for 1 h, </w:t>
      </w:r>
      <w:r w:rsidRPr="004A69E4">
        <w:rPr>
          <w:rFonts w:ascii="Times New Roman" w:hAnsi="Times New Roman"/>
          <w:bCs/>
          <w:i/>
          <w:iCs/>
          <w:sz w:val="20"/>
          <w:lang w:val="de-DE"/>
        </w:rPr>
        <w:t>O</w:t>
      </w:r>
      <w:r w:rsidRPr="004A69E4">
        <w:rPr>
          <w:rFonts w:ascii="Times New Roman" w:hAnsi="Times New Roman"/>
          <w:bCs/>
          <w:iCs/>
          <w:sz w:val="20"/>
          <w:lang w:val="de-DE"/>
        </w:rPr>
        <w:t>-tolyl isothiocyanate (50 μL) was added, and the mixture was maintained at 60 °C for 1 h. The reaction product was evaporated using a vacuum evaporator and dissolved in methanol. Next, the dissolved reaction product was diretly analyzed by LC/MS [100% MeOH → 80% MeOH/H</w:t>
      </w:r>
      <w:r w:rsidRPr="004A69E4">
        <w:rPr>
          <w:rFonts w:ascii="Times New Roman" w:hAnsi="Times New Roman"/>
          <w:bCs/>
          <w:iCs/>
          <w:sz w:val="20"/>
          <w:vertAlign w:val="subscript"/>
          <w:lang w:val="de-DE"/>
        </w:rPr>
        <w:t>2</w:t>
      </w:r>
      <w:r w:rsidRPr="004A69E4">
        <w:rPr>
          <w:rFonts w:ascii="Times New Roman" w:hAnsi="Times New Roman"/>
          <w:bCs/>
          <w:iCs/>
          <w:sz w:val="20"/>
          <w:lang w:val="de-DE"/>
        </w:rPr>
        <w:t>O (0</w:t>
      </w:r>
      <w:r w:rsidRPr="004A69E4">
        <w:rPr>
          <w:rFonts w:ascii="Times New Roman" w:hAnsi="Times New Roman"/>
          <w:b/>
          <w:bCs/>
          <w:iCs/>
          <w:sz w:val="20"/>
          <w:lang w:val="de-DE"/>
        </w:rPr>
        <w:t>–</w:t>
      </w:r>
      <w:r w:rsidRPr="004A69E4">
        <w:rPr>
          <w:rFonts w:ascii="Times New Roman" w:hAnsi="Times New Roman"/>
          <w:bCs/>
          <w:iCs/>
          <w:sz w:val="20"/>
          <w:lang w:val="de-DE"/>
        </w:rPr>
        <w:t>30 min) gradient solvent system, 100% MeOH (31–41 min), 0% MeOH (42–52 min), and a flow rate of 0.3 mL/min] using an analytical Kinetex C</w:t>
      </w:r>
      <w:r w:rsidRPr="004A69E4">
        <w:rPr>
          <w:rFonts w:ascii="Times New Roman" w:hAnsi="Times New Roman"/>
          <w:bCs/>
          <w:iCs/>
          <w:sz w:val="20"/>
          <w:vertAlign w:val="subscript"/>
          <w:lang w:val="de-DE"/>
        </w:rPr>
        <w:t>18</w:t>
      </w:r>
      <w:r w:rsidRPr="004A69E4">
        <w:rPr>
          <w:rFonts w:ascii="Times New Roman" w:hAnsi="Times New Roman"/>
          <w:bCs/>
          <w:iCs/>
          <w:sz w:val="20"/>
          <w:lang w:val="de-DE"/>
        </w:rPr>
        <w:t xml:space="preserve"> 100 Å column (100 mm × 2.1 mm i.d., 5 μm). The sugar moieties in the compounds (</w:t>
      </w:r>
      <w:r w:rsidRPr="004A69E4">
        <w:rPr>
          <w:rFonts w:ascii="Times New Roman" w:hAnsi="Times New Roman"/>
          <w:b/>
          <w:bCs/>
          <w:iCs/>
          <w:sz w:val="20"/>
          <w:lang w:val="de-DE"/>
        </w:rPr>
        <w:t>M-1</w:t>
      </w:r>
      <w:r w:rsidRPr="004A69E4">
        <w:rPr>
          <w:rFonts w:ascii="Times New Roman" w:hAnsi="Times New Roman"/>
          <w:bCs/>
          <w:iCs/>
          <w:sz w:val="20"/>
          <w:lang w:val="de-DE"/>
        </w:rPr>
        <w:t xml:space="preserve"> and </w:t>
      </w:r>
      <w:r w:rsidRPr="004A69E4">
        <w:rPr>
          <w:rFonts w:ascii="Times New Roman" w:hAnsi="Times New Roman"/>
          <w:b/>
          <w:bCs/>
          <w:iCs/>
          <w:sz w:val="20"/>
          <w:lang w:val="de-DE"/>
        </w:rPr>
        <w:t>M-2</w:t>
      </w:r>
      <w:r w:rsidRPr="004A69E4">
        <w:rPr>
          <w:rFonts w:ascii="Times New Roman" w:hAnsi="Times New Roman"/>
          <w:bCs/>
          <w:iCs/>
          <w:sz w:val="20"/>
          <w:lang w:val="de-DE"/>
        </w:rPr>
        <w:t xml:space="preserve">) were identified as D-glucose based on a comparison with the retention time of an authentic sample (D-glucose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 19.3 min).</w:t>
      </w:r>
    </w:p>
    <w:p w14:paraId="669D3C39" w14:textId="77777777" w:rsidR="00071AF9" w:rsidRPr="004A69E4" w:rsidRDefault="00071AF9" w:rsidP="00071AF9">
      <w:pPr>
        <w:pStyle w:val="P1"/>
        <w:spacing w:line="360" w:lineRule="auto"/>
        <w:jc w:val="both"/>
        <w:rPr>
          <w:rFonts w:ascii="Times New Roman" w:hAnsi="Times New Roman"/>
          <w:b/>
          <w:i/>
          <w:sz w:val="20"/>
          <w:lang w:val="de-DE"/>
        </w:rPr>
      </w:pPr>
    </w:p>
    <w:p w14:paraId="20227463" w14:textId="7B6180F5" w:rsidR="00071AF9" w:rsidRPr="004A69E4" w:rsidRDefault="00071AF9" w:rsidP="00071AF9">
      <w:pPr>
        <w:pStyle w:val="P1"/>
        <w:spacing w:line="360" w:lineRule="auto"/>
        <w:jc w:val="both"/>
        <w:rPr>
          <w:rFonts w:ascii="Times New Roman" w:hAnsi="Times New Roman"/>
          <w:bCs/>
          <w:i/>
          <w:sz w:val="20"/>
          <w:lang w:val="de-DE"/>
        </w:rPr>
      </w:pPr>
      <w:r w:rsidRPr="004A69E4">
        <w:rPr>
          <w:rFonts w:ascii="Times New Roman" w:hAnsi="Times New Roman"/>
          <w:bCs/>
          <w:i/>
          <w:sz w:val="20"/>
          <w:lang w:val="de-DE"/>
        </w:rPr>
        <w:t>SARS-CoV-2 Plaque Formation Assay</w:t>
      </w:r>
    </w:p>
    <w:p w14:paraId="64D7BF0C" w14:textId="77777777" w:rsidR="00071AF9" w:rsidRPr="004A69E4" w:rsidRDefault="00071AF9" w:rsidP="00071AF9">
      <w:pPr>
        <w:pStyle w:val="P1"/>
        <w:spacing w:line="360" w:lineRule="auto"/>
        <w:jc w:val="both"/>
        <w:rPr>
          <w:rFonts w:ascii="Times New Roman" w:hAnsi="Times New Roman"/>
          <w:sz w:val="20"/>
          <w:lang w:val="de-DE"/>
        </w:rPr>
      </w:pPr>
      <w:r w:rsidRPr="004A69E4">
        <w:rPr>
          <w:rFonts w:ascii="Times New Roman" w:hAnsi="Times New Roman"/>
          <w:sz w:val="20"/>
          <w:lang w:val="de-DE"/>
        </w:rPr>
        <w:t xml:space="preserve">Live SARS-CoV-2 tests were conducted in Biosafety Level 3 (BSL3) approved facilities by personnel who had received training in handling BSL3 infectious agents while adhering to standardized safety and decontamination procedures. Calu-3 cells were plated at 5 × 105 cells/well in 6-well plates in Dulbecco’s-Modified Eagle Medium (DMEM, Thermo Fisher Scientific, Waltham, MA, USA) supplemented with 10% FBS (Thermo Fisher Scientific, Waltham, MA, USA). Twenty-four hours later, cells were treated with </w:t>
      </w:r>
      <w:r w:rsidRPr="004A69E4">
        <w:rPr>
          <w:rFonts w:ascii="Times New Roman" w:hAnsi="Times New Roman"/>
          <w:b/>
          <w:sz w:val="20"/>
          <w:lang w:val="de-DE"/>
        </w:rPr>
        <w:t>K-4</w:t>
      </w:r>
      <w:r w:rsidRPr="004A69E4">
        <w:rPr>
          <w:rFonts w:ascii="Times New Roman" w:hAnsi="Times New Roman"/>
          <w:sz w:val="20"/>
          <w:lang w:val="de-DE"/>
        </w:rPr>
        <w:t xml:space="preserve"> or </w:t>
      </w:r>
      <w:r w:rsidRPr="004A69E4">
        <w:rPr>
          <w:rFonts w:ascii="Times New Roman" w:hAnsi="Times New Roman"/>
          <w:b/>
          <w:sz w:val="20"/>
          <w:lang w:val="de-DE"/>
        </w:rPr>
        <w:t xml:space="preserve">M-4 </w:t>
      </w:r>
      <w:r w:rsidRPr="004A69E4">
        <w:rPr>
          <w:rFonts w:ascii="Times New Roman" w:hAnsi="Times New Roman"/>
          <w:sz w:val="20"/>
          <w:lang w:val="de-DE"/>
        </w:rPr>
        <w:t>for 4 hours before to infection, and then incubated with a virus suspension at a multiplicity of infection (MOI) of 0.001 for 1 hour of SARS-CoV-2 Omicron. Supernatants were removed after 1 hour of incubation at 37°C and each well received 3 mL of 1% agarose overlay (Sigma Aldrich, St. Louis, MO, USA) dissolved in complete medium. Alternatively, Calu-3 cells were cotreated for 1 hour with chemicals and a viral solution comprising 0.001 MOI in a total volume of 500 μL complete media. The agarose overlay was added as previously mentioned after the supernatants were discarded. Cells were fixed using 4% formaldehyde/PBS solution for 10 minutes after 3 days, and then stained for 1 hour with 0.1% crystal violet (Sigma Aldrich, St. Louis, MO, USA) in 70% methanol. The plaques were counted under a microscope and photographed using the EVOS M5000 Imaging System (Thermo Fisher Scientific Inc., Waltham, MA, USA).</w:t>
      </w:r>
    </w:p>
    <w:p w14:paraId="43C91B55" w14:textId="77777777" w:rsidR="00071AF9" w:rsidRPr="004A69E4" w:rsidRDefault="00071AF9" w:rsidP="00071AF9">
      <w:pPr>
        <w:pStyle w:val="P1"/>
        <w:spacing w:line="360" w:lineRule="auto"/>
        <w:jc w:val="both"/>
        <w:rPr>
          <w:rFonts w:ascii="Times New Roman" w:hAnsi="Times New Roman"/>
          <w:sz w:val="20"/>
          <w:lang w:val="de-DE"/>
        </w:rPr>
      </w:pPr>
    </w:p>
    <w:p w14:paraId="152A5BE8" w14:textId="77777777" w:rsidR="00071AF9" w:rsidRPr="004A69E4" w:rsidRDefault="00071AF9" w:rsidP="00071AF9">
      <w:pPr>
        <w:pStyle w:val="P1"/>
        <w:spacing w:line="360" w:lineRule="auto"/>
        <w:jc w:val="both"/>
        <w:rPr>
          <w:rFonts w:ascii="Times New Roman" w:hAnsi="Times New Roman"/>
          <w:bCs/>
          <w:i/>
          <w:sz w:val="20"/>
          <w:lang w:val="de-DE"/>
        </w:rPr>
      </w:pPr>
      <w:r w:rsidRPr="004A69E4">
        <w:rPr>
          <w:rFonts w:ascii="Times New Roman" w:hAnsi="Times New Roman"/>
          <w:bCs/>
          <w:i/>
          <w:sz w:val="20"/>
          <w:lang w:val="de-DE"/>
        </w:rPr>
        <w:t>Transcriptomic Analysis</w:t>
      </w:r>
    </w:p>
    <w:p w14:paraId="5EE508B9" w14:textId="5673BCA4" w:rsidR="00724290" w:rsidRPr="004A69E4" w:rsidRDefault="00724290" w:rsidP="00724290">
      <w:pPr>
        <w:pStyle w:val="P1"/>
        <w:spacing w:line="360" w:lineRule="auto"/>
        <w:jc w:val="both"/>
        <w:rPr>
          <w:rFonts w:ascii="Times New Roman" w:hAnsi="Times New Roman"/>
          <w:sz w:val="20"/>
          <w:lang w:val="de-DE"/>
        </w:rPr>
      </w:pPr>
      <w:r w:rsidRPr="004A69E4">
        <w:rPr>
          <w:rFonts w:ascii="Times New Roman" w:hAnsi="Times New Roman"/>
          <w:sz w:val="20"/>
          <w:lang w:val="de-DE"/>
        </w:rPr>
        <w:t xml:space="preserve">Raw sequence reads produced by the sequencer were cleaned using Trim Galore version 0.6.5. The cleaned reads were aligned on human reference genome (GRCh38.p13) and quantified using Subread version 2.0.3 </w:t>
      </w:r>
      <w:r w:rsidRPr="004A69E4">
        <w:rPr>
          <w:rFonts w:ascii="Times New Roman" w:hAnsi="Times New Roman"/>
          <w:sz w:val="20"/>
          <w:lang w:val="de-DE"/>
        </w:rPr>
        <w:fldChar w:fldCharType="begin" w:fldLock="1"/>
      </w:r>
      <w:r w:rsidRPr="004A69E4">
        <w:rPr>
          <w:rFonts w:ascii="Times New Roman" w:hAnsi="Times New Roman"/>
          <w:sz w:val="20"/>
          <w:lang w:val="de-DE"/>
        </w:rPr>
        <w:instrText>ADDIN CSL_CITATION {"citationItems":[{"id":"ITEM-1","itemData":{"DOI":"10.1093/NAR/GKT214","ISSN":"1362-4962","PMID":"23558742","abstract":"Read alignment is an ongoing challenge for the analysis of data from sequencing technologies. This article proposes an elegantly simple multi-seed strategy, called seed-and-vote, for mapping reads to a reference genome. The new strategy chooses the mapped genomic location for the read directly from the seeds. It uses a relatively large number of short seeds (called subreads) extracted from each read and allows all the seeds to vote on the optimal location. When the read length is &lt;160 bp, overlapping subreads are used. More conventional alignment algorithms are then used to fill in detailed mismatch and indel information between the subreads that make up the winning voting block. The strategy is fast because the overall genomic location has already been chosen before the detailed alignment is done. It is sensitive because no individual subread is required to map exactly, nor are individual subreads constrained to map close by other subreads. It is accurate because the final location must be supported by several different subreads. The strategy extends easily to find exon junctions, by locating reads that contain sets of subreads mapping to different exons of the same gene. It scales up efficiently for longer reads. © 2013 The Author(s) 2013.","author":[{"dropping-particle":"","family":"Liao","given":"Yang","non-dropping-particle":"","parse-names":false,"suffix":""},{"dropping-particle":"","family":"Smyth","given":"Gordon K.","non-dropping-particle":"","parse-names":false,"suffix":""},{"dropping-particle":"","family":"Shi","given":"Wei","non-dropping-particle":"","parse-names":false,"suffix":""}],"container-title":"Nucleic acids research","id":"ITEM-1","issue":"10","issued":{"date-parts":[["2013","5"]]},"publisher":"Nucleic Acids Res","title":"The Subread aligner: fast, accurate and scalable read mapping by seed-and-vote","type":"article-journal","volume":"41"},"uris":["http://www.mendeley.com/documents/?uuid=d19e384a-ba6b-3be5-8577-80836e71f6db"]}],"mendeley":{"formattedCitation":"[3]","plainTextFormattedCitation":"[3]","previouslyFormattedCitation":"[3]"},"properties":{"noteIndex":0},"schema":"https://github.com/citation-style-language/schema/raw/master/csl-citation.json"}</w:instrText>
      </w:r>
      <w:r w:rsidRPr="004A69E4">
        <w:rPr>
          <w:rFonts w:ascii="Times New Roman" w:hAnsi="Times New Roman"/>
          <w:sz w:val="20"/>
          <w:lang w:val="de-DE"/>
        </w:rPr>
        <w:fldChar w:fldCharType="separate"/>
      </w:r>
      <w:r w:rsidRPr="004A69E4">
        <w:rPr>
          <w:rFonts w:ascii="Times New Roman" w:hAnsi="Times New Roman"/>
          <w:noProof/>
          <w:sz w:val="20"/>
          <w:lang w:val="de-DE"/>
        </w:rPr>
        <w:t>[3]</w:t>
      </w:r>
      <w:r w:rsidRPr="004A69E4">
        <w:rPr>
          <w:rFonts w:ascii="Times New Roman" w:hAnsi="Times New Roman"/>
          <w:sz w:val="20"/>
          <w:lang w:val="de-DE"/>
        </w:rPr>
        <w:fldChar w:fldCharType="end"/>
      </w:r>
      <w:r w:rsidRPr="004A69E4">
        <w:rPr>
          <w:rFonts w:ascii="Times New Roman" w:hAnsi="Times New Roman"/>
          <w:sz w:val="20"/>
          <w:lang w:val="de-DE"/>
        </w:rPr>
        <w:t xml:space="preserve">. Differentially expressed genes (DEGs) were identified using DESeq2 version 1.36.0 </w:t>
      </w:r>
      <w:r w:rsidRPr="004A69E4">
        <w:rPr>
          <w:rFonts w:ascii="Times New Roman" w:hAnsi="Times New Roman"/>
          <w:sz w:val="20"/>
          <w:lang w:val="de-DE"/>
        </w:rPr>
        <w:fldChar w:fldCharType="begin" w:fldLock="1"/>
      </w:r>
      <w:r w:rsidRPr="004A69E4">
        <w:rPr>
          <w:rFonts w:ascii="Times New Roman" w:hAnsi="Times New Roman"/>
          <w:sz w:val="20"/>
          <w:lang w:val="de-DE"/>
        </w:rPr>
        <w:instrText>ADDIN CSL_CITATION {"citationItems":[{"id":"ITEM-1","itemData":{"DOI":"10.1186/S13059-014-0550-8/FIGURES/9","ISSN":"1474760X","PMID":"25516281","abstract":"In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http://www.bioconductor.org/packages/release/bioc/html/DESeq2.html.","author":[{"dropping-particle":"","family":"Love","given":"Michael I.","non-dropping-particle":"","parse-names":false,"suffix":""},{"dropping-particle":"","family":"Huber","given":"Wolfgang","non-dropping-particle":"","parse-names":false,"suffix":""},{"dropping-particle":"","family":"Anders","given":"Simon","non-dropping-particle":"","parse-names":false,"suffix":""}],"container-title":"Genome Biology","id":"ITEM-1","issue":"12","issued":{"date-parts":[["2014","12","5"]]},"page":"1-21","publisher":"BioMed Central Ltd.","title":"Moderated estimation of fold change and dispersion for RNA-seq data with DESeq2","type":"article-journal","volume":"15"},"uris":["http://www.mendeley.com/documents/?uuid=236bb22c-791b-3240-b0e3-b0a4c2dc3059"]}],"mendeley":{"formattedCitation":"[4]","plainTextFormattedCitation":"[4]","previouslyFormattedCitation":"[4]"},"properties":{"noteIndex":0},"schema":"https://github.com/citation-style-language/schema/raw/master/csl-citation.json"}</w:instrText>
      </w:r>
      <w:r w:rsidRPr="004A69E4">
        <w:rPr>
          <w:rFonts w:ascii="Times New Roman" w:hAnsi="Times New Roman"/>
          <w:sz w:val="20"/>
          <w:lang w:val="de-DE"/>
        </w:rPr>
        <w:fldChar w:fldCharType="separate"/>
      </w:r>
      <w:r w:rsidRPr="004A69E4">
        <w:rPr>
          <w:rFonts w:ascii="Times New Roman" w:hAnsi="Times New Roman"/>
          <w:noProof/>
          <w:sz w:val="20"/>
          <w:lang w:val="de-DE"/>
        </w:rPr>
        <w:t>[4]</w:t>
      </w:r>
      <w:r w:rsidRPr="004A69E4">
        <w:rPr>
          <w:rFonts w:ascii="Times New Roman" w:hAnsi="Times New Roman"/>
          <w:sz w:val="20"/>
          <w:lang w:val="de-DE"/>
        </w:rPr>
        <w:fldChar w:fldCharType="end"/>
      </w:r>
      <w:r w:rsidRPr="004A69E4">
        <w:rPr>
          <w:rFonts w:ascii="Times New Roman" w:hAnsi="Times New Roman"/>
          <w:sz w:val="20"/>
          <w:lang w:val="de-DE"/>
        </w:rPr>
        <w:t xml:space="preserve"> with the P-value &lt; 0.05 and | Log2(Fold change) | &gt; 2 threshold for significance. Gene ontology (GO), disease ontology (DO), and Kyoto Encyclopedia of Genes and Genomes (KEGG) pathway enriched on significant DEGs were accessed using clusterProfiler version 4.4.4 </w:t>
      </w:r>
      <w:r w:rsidRPr="004A69E4">
        <w:rPr>
          <w:rFonts w:ascii="Times New Roman" w:hAnsi="Times New Roman"/>
          <w:sz w:val="20"/>
          <w:lang w:val="de-DE"/>
        </w:rPr>
        <w:fldChar w:fldCharType="begin" w:fldLock="1"/>
      </w:r>
      <w:r w:rsidRPr="004A69E4">
        <w:rPr>
          <w:rFonts w:ascii="Times New Roman" w:hAnsi="Times New Roman"/>
          <w:sz w:val="20"/>
          <w:lang w:val="de-DE"/>
        </w:rPr>
        <w:instrText>ADDIN CSL_CITATION {"citationItems":[{"id":"ITEM-1","itemData":{"DOI":"10.1016/J.XINN.2021.100141","ISSN":"2666-6758","PMID":"34557778","abstract":"Functional enrichment analysis is pivotal for interpreting high-throughput omics data in life science. It is crucial for this type of tool to use the latest annotation databases for as many organisms as possible. To meet these requirements, we present here an updated version of our popular Bioconductor package, clusterProfiler 4.0. This package has been enhanced considerably compared with its original version published 9 years ago. The new version provides a universal interface for functional enrichment analysis in thousands of organisms based on internally supported ontologies and pathways as well as annotation data provided by users or derived from online databases. It also extends the dplyr and ggplot2 packages to offer tidy interfaces for data operation and visualization. Other new features include gene set enrichment analysis and comparison of enrichment results from multiple gene lists. We anticipate that clusterProfiler 4.0 will be applied to a wide range of scenarios across diverse organisms.","author":[{"dropping-particle":"","family":"Wu","given":"Tianzhi","non-dropping-particle":"","parse-names":false,"suffix":""},{"dropping-particle":"","family":"Hu","given":"Erqiang","non-dropping-particle":"","parse-names":false,"suffix":""},{"dropping-particle":"","family":"Xu","given":"Shuangbin","non-dropping-particle":"","parse-names":false,"suffix":""},{"dropping-particle":"","family":"Chen","given":"Meijun","non-dropping-particle":"","parse-names":false,"suffix":""},{"dropping-particle":"","family":"Guo","given":"Pingfan","non-dropping-particle":"","parse-names":false,"suffix":""},{"dropping-particle":"","family":"Dai","given":"Zehan","non-dropping-particle":"","parse-names":false,"suffix":""},{"dropping-particle":"","family":"Feng","given":"Tingze","non-dropping-particle":"","parse-names":false,"suffix":""},{"dropping-particle":"","family":"Zhou","given":"Lang","non-dropping-particle":"","parse-names":false,"suffix":""},{"dropping-particle":"","family":"Tang","given":"Wenli","non-dropping-particle":"","parse-names":false,"suffix":""},{"dropping-particle":"","family":"Zhan","given":"Li","non-dropping-particle":"","parse-names":false,"suffix":""},{"dropping-particle":"","family":"Fu","given":"Xiaocong","non-dropping-particle":"","parse-names":false,"suffix":""},{"dropping-particle":"","family":"Liu","given":"Shanshan","non-dropping-particle":"","parse-names":false,"suffix":""},{"dropping-particle":"","family":"Bo","given":"Xiaochen","non-dropping-particle":"","parse-names":false,"suffix":""},{"dropping-particle":"","family":"Yu","given":"Guangchuang","non-dropping-particle":"","parse-names":false,"suffix":""}],"container-title":"Innovation (Cambridge (Mass.))","id":"ITEM-1","issue":"3","issued":{"date-parts":[["2021","8","28"]]},"publisher":"Innovation (Camb)","title":"clusterProfiler 4.0: A universal enrichment tool for interpreting omics data","type":"article-journal","volume":"2"},"uris":["http://www.mendeley.com/documents/?uuid=30c04b8a-45b5-37e5-9e1c-f1871718037f"]}],"mendeley":{"formattedCitation":"[5]","plainTextFormattedCitation":"[5]","previouslyFormattedCitation":"[5]"},"properties":{"noteIndex":0},"schema":"https://github.com/citation-style-language/schema/raw/master/csl-citation.json"}</w:instrText>
      </w:r>
      <w:r w:rsidRPr="004A69E4">
        <w:rPr>
          <w:rFonts w:ascii="Times New Roman" w:hAnsi="Times New Roman"/>
          <w:sz w:val="20"/>
          <w:lang w:val="de-DE"/>
        </w:rPr>
        <w:fldChar w:fldCharType="separate"/>
      </w:r>
      <w:r w:rsidRPr="004A69E4">
        <w:rPr>
          <w:rFonts w:ascii="Times New Roman" w:hAnsi="Times New Roman"/>
          <w:noProof/>
          <w:sz w:val="20"/>
          <w:lang w:val="de-DE"/>
        </w:rPr>
        <w:t>[5]</w:t>
      </w:r>
      <w:r w:rsidRPr="004A69E4">
        <w:rPr>
          <w:rFonts w:ascii="Times New Roman" w:hAnsi="Times New Roman"/>
          <w:sz w:val="20"/>
          <w:lang w:val="de-DE"/>
        </w:rPr>
        <w:fldChar w:fldCharType="end"/>
      </w:r>
      <w:r w:rsidRPr="004A69E4">
        <w:rPr>
          <w:rFonts w:ascii="Times New Roman" w:hAnsi="Times New Roman"/>
          <w:sz w:val="20"/>
          <w:lang w:val="de-DE"/>
        </w:rPr>
        <w:t xml:space="preserve">. The KEGG pathway map colored by fold change of DEGs were generated using Pathview version 1.36.1 </w:t>
      </w:r>
      <w:r w:rsidRPr="004A69E4">
        <w:rPr>
          <w:rFonts w:ascii="Times New Roman" w:hAnsi="Times New Roman"/>
          <w:sz w:val="20"/>
          <w:lang w:val="de-DE"/>
        </w:rPr>
        <w:fldChar w:fldCharType="begin" w:fldLock="1"/>
      </w:r>
      <w:r w:rsidRPr="004A69E4">
        <w:rPr>
          <w:rFonts w:ascii="Times New Roman" w:hAnsi="Times New Roman"/>
          <w:sz w:val="20"/>
          <w:lang w:val="de-DE"/>
        </w:rPr>
        <w:instrText>ADDIN CSL_CITATION {"citationItems":[{"id":"ITEM-1","itemData":{"DOI":"10.1093/BIOINFORMATICS/BTT285","ISSN":"1367-4811","PMID":"23740750","abstract":"Pathview is a novel tool set for pathway-based data integration and visualization. It maps and renders user data on relevant pathway graphs. Users only need to supply their data and specify the target pathway. Pathview automatically downloads the pathway graph data, parses the data file, maps and integrates user data onto the pathway and renders pathway graphs with the mapped data. Although built as a stand-alone program, Pathview may seamlessly integrate with pathway and functional analysis tools for large-scale and fully automated analysis pipelines. © 2013 The Author 2013. Published by Oxford University Press. All rights reserved.","author":[{"dropping-particle":"","family":"Luo","given":"Weijun","non-dropping-particle":"","parse-names":false,"suffix":""},{"dropping-particle":"","family":"Brouwer","given":"Cory","non-dropping-particle":"","parse-names":false,"suffix":""}],"container-title":"Bioinformatics (Oxford, England)","id":"ITEM-1","issue":"14","issued":{"date-parts":[["2013","7","15"]]},"page":"1830-1831","publisher":"Bioinformatics","title":"Pathview: an R/Bioconductor package for pathway-based data integration and visualization","type":"article-journal","volume":"29"},"uris":["http://www.mendeley.com/documents/?uuid=04113fc3-c84e-31be-97f0-f346f221d7ee"]}],"mendeley":{"formattedCitation":"[6]","plainTextFormattedCitation":"[6]","previouslyFormattedCitation":"[6]"},"properties":{"noteIndex":0},"schema":"https://github.com/citation-style-language/schema/raw/master/csl-citation.json"}</w:instrText>
      </w:r>
      <w:r w:rsidRPr="004A69E4">
        <w:rPr>
          <w:rFonts w:ascii="Times New Roman" w:hAnsi="Times New Roman"/>
          <w:sz w:val="20"/>
          <w:lang w:val="de-DE"/>
        </w:rPr>
        <w:fldChar w:fldCharType="separate"/>
      </w:r>
      <w:r w:rsidRPr="004A69E4">
        <w:rPr>
          <w:rFonts w:ascii="Times New Roman" w:hAnsi="Times New Roman"/>
          <w:noProof/>
          <w:sz w:val="20"/>
          <w:lang w:val="de-DE"/>
        </w:rPr>
        <w:t>[6]</w:t>
      </w:r>
      <w:r w:rsidRPr="004A69E4">
        <w:rPr>
          <w:rFonts w:ascii="Times New Roman" w:hAnsi="Times New Roman"/>
          <w:sz w:val="20"/>
          <w:lang w:val="de-DE"/>
        </w:rPr>
        <w:fldChar w:fldCharType="end"/>
      </w:r>
      <w:r w:rsidRPr="004A69E4">
        <w:rPr>
          <w:rFonts w:ascii="Times New Roman" w:hAnsi="Times New Roman"/>
          <w:sz w:val="20"/>
          <w:lang w:val="de-DE"/>
        </w:rPr>
        <w:t xml:space="preserve">. Enrichment scores of each sample on gene sets and cell markers were calculated using GSVA version 1.44.5 </w:t>
      </w:r>
      <w:r w:rsidRPr="004A69E4">
        <w:rPr>
          <w:rFonts w:ascii="Times New Roman" w:hAnsi="Times New Roman"/>
          <w:sz w:val="20"/>
          <w:lang w:val="de-DE"/>
        </w:rPr>
        <w:fldChar w:fldCharType="begin" w:fldLock="1"/>
      </w:r>
      <w:r w:rsidRPr="004A69E4">
        <w:rPr>
          <w:rFonts w:ascii="Times New Roman" w:hAnsi="Times New Roman"/>
          <w:sz w:val="20"/>
          <w:lang w:val="de-DE"/>
        </w:rPr>
        <w:instrText>ADDIN CSL_CITATION {"citationItems":[{"id":"ITEM-1","itemData":{"DOI":"10.1186/1471-2105-14-7/FIGURES/7","ISSN":"14712105","PMID":"23323831","abstract":"Background: Gene set enrichment (GSE) analysis is a popular framework for condensing information from gene expression profiles into a pathway or signature summary. The strengths of this approach over single gene analysis include noise and dimension reduction, as well as greater biological interpretability. As molecular profiling experiments move beyond simple case-control studies, robust and flexible GSE methodologies are needed that can model pathway activity within highly heterogeneous data sets. Results: To address this challenge, we introduce Gene Set Variation Analysis (GSVA), a GSE method that estimates variation of pathway activity over a sample population in an unsupervised manner. We demonstrate the robustness of GSVA in a comparison with current state of the art sample-wise enrichment methods. Further, we provide examples of its utility in differential pathway activity and survival analysis. Lastly, we show how GSVA works analogously with data from both microarray and RNA-seq experiments. Conclusions: GSVA provides increased power to detect subtle pathway activity changes over a sample population in comparison to corresponding methods. While GSE methods are generally regarded as end points of a bioinformatic analysis, GSVA constitutes a starting point to build pathway-centric models of biology. Moreover, GSVA contributes to the current need of GSE methods for RNA-seq data. GSVA is an open source software package for R which forms part of the Bioconductor project and can be downloaded at http://www.bioconductor.org. © 2013 Hänzelmann et al.; licensee BioMed Central Ltd.","author":[{"dropping-particle":"","family":"Hänzelmann","given":"Sonja","non-dropping-particle":"","parse-names":false,"suffix":""},{"dropping-particle":"","family":"Castelo","given":"Robert","non-dropping-particle":"","parse-names":false,"suffix":""},{"dropping-particle":"","family":"Guinney","given":"Justin","non-dropping-particle":"","parse-names":false,"suffix":""}],"container-title":"BMC Bioinformatics","id":"ITEM-1","issue":"1","issued":{"date-parts":[["2013","1","16"]]},"page":"1-15","publisher":"BioMed Central","title":"GSVA: Gene set variation analysis for microarray and RNA-Seq data","type":"article-journal","volume":"14"},"uris":["http://www.mendeley.com/documents/?uuid=ad5cfce4-4d96-3f52-a776-7c0160d1cb19"]}],"mendeley":{"formattedCitation":"[7]","plainTextFormattedCitation":"[7]"},"properties":{"noteIndex":0},"schema":"https://github.com/citation-style-language/schema/raw/master/csl-citation.json"}</w:instrText>
      </w:r>
      <w:r w:rsidRPr="004A69E4">
        <w:rPr>
          <w:rFonts w:ascii="Times New Roman" w:hAnsi="Times New Roman"/>
          <w:sz w:val="20"/>
          <w:lang w:val="de-DE"/>
        </w:rPr>
        <w:fldChar w:fldCharType="separate"/>
      </w:r>
      <w:r w:rsidRPr="004A69E4">
        <w:rPr>
          <w:rFonts w:ascii="Times New Roman" w:hAnsi="Times New Roman"/>
          <w:noProof/>
          <w:sz w:val="20"/>
          <w:lang w:val="de-DE"/>
        </w:rPr>
        <w:t>[7]</w:t>
      </w:r>
      <w:r w:rsidRPr="004A69E4">
        <w:rPr>
          <w:rFonts w:ascii="Times New Roman" w:hAnsi="Times New Roman"/>
          <w:sz w:val="20"/>
          <w:lang w:val="de-DE"/>
        </w:rPr>
        <w:fldChar w:fldCharType="end"/>
      </w:r>
      <w:r w:rsidRPr="004A69E4">
        <w:rPr>
          <w:rFonts w:ascii="Times New Roman" w:hAnsi="Times New Roman"/>
          <w:sz w:val="20"/>
          <w:lang w:val="de-DE"/>
        </w:rPr>
        <w:t>. Volcano plots, bar plots, box plots, dot plots and heatmaps were generated using ggplot2 (version 3.4.0) and ComplexHeatmap (version 2.13.1). All statistical analysis and visualizations were performed under R (version 4.2.2) and R studio (Build 576) envelopment.</w:t>
      </w:r>
    </w:p>
    <w:p w14:paraId="7331DE91" w14:textId="77777777" w:rsidR="00BB42CF" w:rsidRPr="004A69E4" w:rsidRDefault="00BB42CF" w:rsidP="00071AF9">
      <w:pPr>
        <w:pStyle w:val="P1"/>
        <w:spacing w:line="360" w:lineRule="auto"/>
        <w:jc w:val="both"/>
        <w:rPr>
          <w:rFonts w:ascii="Times New Roman" w:hAnsi="Times New Roman"/>
          <w:sz w:val="20"/>
          <w:lang w:val="de-DE"/>
        </w:rPr>
      </w:pPr>
    </w:p>
    <w:p w14:paraId="299DA728" w14:textId="77777777" w:rsidR="00071AF9" w:rsidRPr="004A69E4" w:rsidRDefault="00071AF9" w:rsidP="00270CFC">
      <w:pPr>
        <w:pStyle w:val="P1"/>
        <w:spacing w:line="360" w:lineRule="auto"/>
        <w:jc w:val="both"/>
        <w:rPr>
          <w:rFonts w:ascii="Times New Roman" w:hAnsi="Times New Roman"/>
          <w:bCs/>
          <w:iCs/>
          <w:sz w:val="20"/>
          <w:lang w:val="de-DE"/>
        </w:rPr>
      </w:pPr>
    </w:p>
    <w:p w14:paraId="388F4304" w14:textId="6B0AB9F5" w:rsidR="00044550" w:rsidRPr="004A69E4" w:rsidRDefault="00044550" w:rsidP="00270CFC">
      <w:pPr>
        <w:pStyle w:val="P1"/>
        <w:spacing w:line="360" w:lineRule="auto"/>
        <w:jc w:val="both"/>
        <w:rPr>
          <w:rFonts w:ascii="Times New Roman" w:hAnsi="Times New Roman"/>
          <w:bCs/>
          <w:iCs/>
          <w:sz w:val="20"/>
          <w:lang w:val="de-DE"/>
        </w:rPr>
      </w:pPr>
    </w:p>
    <w:p w14:paraId="6BF2CB9C" w14:textId="77777777" w:rsidR="00044550" w:rsidRPr="004A69E4" w:rsidRDefault="00044550">
      <w:pPr>
        <w:rPr>
          <w:sz w:val="20"/>
        </w:rPr>
      </w:pPr>
      <w:r w:rsidRPr="004A69E4">
        <w:rPr>
          <w:sz w:val="20"/>
        </w:rPr>
        <w:br w:type="page"/>
      </w:r>
    </w:p>
    <w:p w14:paraId="158CCD1D" w14:textId="3308F5B3" w:rsidR="00044550" w:rsidRPr="004A69E4" w:rsidRDefault="00044550" w:rsidP="00270CFC">
      <w:pPr>
        <w:pStyle w:val="P1"/>
        <w:spacing w:line="360" w:lineRule="auto"/>
        <w:jc w:val="both"/>
        <w:rPr>
          <w:rFonts w:ascii="Times New Roman" w:hAnsi="Times New Roman"/>
          <w:b/>
          <w:bCs/>
          <w:i/>
          <w:sz w:val="20"/>
          <w:lang w:val="de-DE"/>
        </w:rPr>
      </w:pPr>
      <w:r w:rsidRPr="004A69E4">
        <w:rPr>
          <w:rFonts w:ascii="Times New Roman" w:hAnsi="Times New Roman"/>
          <w:b/>
          <w:bCs/>
          <w:i/>
          <w:sz w:val="20"/>
          <w:lang w:val="de-DE"/>
        </w:rPr>
        <w:lastRenderedPageBreak/>
        <w:t>Natural Products Library Selection and Structure Characterization</w:t>
      </w:r>
    </w:p>
    <w:p w14:paraId="70E760C8" w14:textId="0FC3F6AD" w:rsidR="00291EBD" w:rsidRPr="004A69E4" w:rsidRDefault="00291EBD" w:rsidP="00291EBD">
      <w:pPr>
        <w:pStyle w:val="P1"/>
        <w:spacing w:line="360" w:lineRule="auto"/>
        <w:jc w:val="both"/>
        <w:rPr>
          <w:rFonts w:ascii="Times New Roman" w:hAnsi="Times New Roman"/>
          <w:bCs/>
          <w:iCs/>
          <w:sz w:val="20"/>
        </w:rPr>
      </w:pPr>
      <w:r w:rsidRPr="004A69E4">
        <w:rPr>
          <w:rFonts w:ascii="Times New Roman" w:hAnsi="Times New Roman"/>
          <w:bCs/>
          <w:sz w:val="20"/>
        </w:rPr>
        <w:t xml:space="preserve">We initiated our study to discover potential flavonoids as </w:t>
      </w:r>
      <w:r w:rsidRPr="004A69E4">
        <w:rPr>
          <w:rFonts w:ascii="Times New Roman" w:hAnsi="Times New Roman"/>
          <w:sz w:val="20"/>
          <w:lang w:bidi="en-US"/>
        </w:rPr>
        <w:t xml:space="preserve">anti-SARS-CoV-2 </w:t>
      </w:r>
      <w:r w:rsidRPr="004A69E4">
        <w:rPr>
          <w:rFonts w:ascii="Times New Roman" w:hAnsi="Times New Roman"/>
          <w:bCs/>
          <w:sz w:val="20"/>
        </w:rPr>
        <w:t xml:space="preserve">natural products from our collection of dozens of plants and microorganism-derived extracts assembled through continuous research projects investigating bioactive natural products from diverse natural sources. The LC/MS-based analyses of our extract library, including Global Natural Product Social Molecular Network (GNPS) </w:t>
      </w:r>
      <w:r w:rsidRPr="004A69E4">
        <w:rPr>
          <w:rFonts w:ascii="Times New Roman" w:hAnsi="Times New Roman"/>
          <w:bCs/>
          <w:sz w:val="20"/>
          <w:lang w:val="en-GB"/>
        </w:rPr>
        <w:t>analysis</w:t>
      </w:r>
      <w:r w:rsidRPr="004A69E4">
        <w:rPr>
          <w:rFonts w:ascii="Times New Roman" w:hAnsi="Times New Roman"/>
          <w:sz w:val="20"/>
        </w:rPr>
        <w:t xml:space="preserve"> </w:t>
      </w:r>
      <w:r w:rsidRPr="004A69E4">
        <w:rPr>
          <w:rFonts w:ascii="Times New Roman" w:hAnsi="Times New Roman"/>
          <w:bCs/>
          <w:sz w:val="20"/>
          <w:lang w:val="en-GB"/>
        </w:rPr>
        <w:t>in combination with our in-house UV library database, revealed that the MeOH extract of b</w:t>
      </w:r>
      <w:r w:rsidRPr="004A69E4">
        <w:rPr>
          <w:rFonts w:ascii="Times New Roman" w:hAnsi="Times New Roman"/>
          <w:bCs/>
          <w:sz w:val="20"/>
        </w:rPr>
        <w:t xml:space="preserve">lack ginger, </w:t>
      </w:r>
      <w:r w:rsidRPr="004A69E4">
        <w:rPr>
          <w:rFonts w:ascii="Times New Roman" w:hAnsi="Times New Roman"/>
          <w:bCs/>
          <w:i/>
          <w:iCs/>
          <w:sz w:val="20"/>
        </w:rPr>
        <w:t>Kaempferia parviflora</w:t>
      </w:r>
      <w:r w:rsidRPr="004A69E4">
        <w:rPr>
          <w:rFonts w:ascii="Times New Roman" w:hAnsi="Times New Roman"/>
          <w:bCs/>
          <w:sz w:val="20"/>
          <w:lang w:val="en-GB"/>
        </w:rPr>
        <w:t xml:space="preserve"> </w:t>
      </w:r>
      <w:r w:rsidRPr="004A69E4">
        <w:rPr>
          <w:rFonts w:ascii="Times New Roman" w:hAnsi="Times New Roman"/>
          <w:bCs/>
          <w:sz w:val="20"/>
        </w:rPr>
        <w:t xml:space="preserve">rhizomes, </w:t>
      </w:r>
      <w:r w:rsidRPr="004A69E4">
        <w:rPr>
          <w:rFonts w:ascii="Times New Roman" w:hAnsi="Times New Roman"/>
          <w:bCs/>
          <w:sz w:val="20"/>
          <w:lang w:val="en-GB"/>
        </w:rPr>
        <w:t>and</w:t>
      </w:r>
      <w:r w:rsidRPr="004A69E4">
        <w:rPr>
          <w:rFonts w:ascii="Times New Roman" w:hAnsi="Times New Roman"/>
          <w:sz w:val="20"/>
          <w:lang w:bidi="en-US"/>
        </w:rPr>
        <w:t xml:space="preserve"> the EtOH extract of</w:t>
      </w:r>
      <w:r w:rsidRPr="004A69E4">
        <w:rPr>
          <w:rFonts w:ascii="Times New Roman" w:hAnsi="Times New Roman"/>
          <w:bCs/>
          <w:sz w:val="20"/>
          <w:lang w:val="en-GB"/>
        </w:rPr>
        <w:t xml:space="preserve"> mulberry (</w:t>
      </w:r>
      <w:r w:rsidRPr="004A69E4">
        <w:rPr>
          <w:rFonts w:ascii="Times New Roman" w:hAnsi="Times New Roman"/>
          <w:bCs/>
          <w:i/>
          <w:iCs/>
          <w:sz w:val="20"/>
          <w:lang w:val="en-GB"/>
        </w:rPr>
        <w:t>Morus alba</w:t>
      </w:r>
      <w:r w:rsidRPr="004A69E4">
        <w:rPr>
          <w:rFonts w:ascii="Times New Roman" w:hAnsi="Times New Roman"/>
          <w:bCs/>
          <w:sz w:val="20"/>
          <w:lang w:val="en-GB"/>
        </w:rPr>
        <w:t xml:space="preserve">) fruit were promising samples rich in flavonoids. </w:t>
      </w:r>
      <w:r w:rsidRPr="004A69E4">
        <w:rPr>
          <w:rFonts w:ascii="Times New Roman" w:hAnsi="Times New Roman"/>
          <w:bCs/>
          <w:i/>
          <w:iCs/>
          <w:sz w:val="20"/>
        </w:rPr>
        <w:t>K. parviflora</w:t>
      </w:r>
      <w:r w:rsidRPr="004A69E4">
        <w:rPr>
          <w:rFonts w:ascii="Times New Roman" w:hAnsi="Times New Roman"/>
          <w:bCs/>
          <w:sz w:val="20"/>
        </w:rPr>
        <w:t xml:space="preserve">, also known as Thai ginseng, is a medicinal plant belonging to the family </w:t>
      </w:r>
      <w:proofErr w:type="spellStart"/>
      <w:r w:rsidRPr="004A69E4">
        <w:rPr>
          <w:rFonts w:ascii="Times New Roman" w:hAnsi="Times New Roman"/>
          <w:bCs/>
          <w:sz w:val="20"/>
        </w:rPr>
        <w:t>Zingiberaceae</w:t>
      </w:r>
      <w:proofErr w:type="spellEnd"/>
      <w:r w:rsidRPr="004A69E4">
        <w:rPr>
          <w:rFonts w:ascii="Times New Roman" w:hAnsi="Times New Roman"/>
          <w:bCs/>
          <w:sz w:val="20"/>
        </w:rPr>
        <w:t xml:space="preserve"> and is native to northern and northeastern Thailand, where its rhizomes are popular as a commercial health-promoting herb. It has been used in traditional medicine to treat various diseases, including ulcers, gout, allergy, abscesses, and osteoarthritis.</w:t>
      </w:r>
      <w:r w:rsidRPr="004A69E4">
        <w:rPr>
          <w:rFonts w:ascii="Times New Roman" w:hAnsi="Times New Roman"/>
          <w:bCs/>
          <w:sz w:val="20"/>
        </w:rPr>
        <w:fldChar w:fldCharType="begin" w:fldLock="1"/>
      </w:r>
      <w:r w:rsidR="00724290" w:rsidRPr="004A69E4">
        <w:rPr>
          <w:rFonts w:ascii="Times New Roman" w:hAnsi="Times New Roman"/>
          <w:bCs/>
          <w:sz w:val="20"/>
        </w:rPr>
        <w:instrText>ADDIN CSL_CITATION {"citationItems":[{"id":"ITEM-1","itemData":{"DOI":"10.1177/2156587216669628","ISSN":"2156-5899","PMID":"27694558","abstract":"Kaempferia parviflora (Krachaidum) is a medicinal plant in the family Zingiberaceae. Its rhizome has been used as folk medicine for many centuries. A number of pharmacological studies of Krachaidum had claimed benefits for various ailments. Therefore, this study aimed to systematically search and summarize the clinical evidences of Krachaidum in all identified indications. Of 683 records identified, 7 studies were included. From current clinical trials, Krachaidum showed positive benefits but remained inconclusive since small studies were included. Even though results found that Krachaidum significantly increased hand grip strength and enhanced sexual erotic stimuli, these were based on only 2 studies and 1 study, respectively. With regard to harmful effects, we found no adverse events reported even when Krachaidum 1.35 g/day was used. Therefore, future studies of Krachaidum are needed with regards to both safety and efficacy outcomes.","author":[{"dropping-particle":"","family":"Saokaew","given":"Surasak","non-dropping-particle":"","parse-names":false,"suffix":""},{"dropping-particle":"","family":"Wilairat","given":"Preyanate","non-dropping-particle":"","parse-names":false,"suffix":""},{"dropping-particle":"","family":"Raktanyakan","given":"Paranya","non-dropping-particle":"","parse-names":false,"suffix":""},{"dropping-particle":"","family":"Dilokthornsakul","given":"Piyameth","non-dropping-particle":"","parse-names":false,"suffix":""},{"dropping-particle":"","family":"Dhippayom","given":"Teerapon","non-dropping-particle":"","parse-names":false,"suffix":""},{"dropping-particle":"","family":"Kongkaew","given":"Chuenjid","non-dropping-particle":"","parse-names":false,"suffix":""},{"dropping-particle":"","family":"Sruamsiri","given":"Rosarin","non-dropping-particle":"","parse-names":false,"suffix":""},{"dropping-particle":"","family":"Chuthaputti","given":"Anchalee","non-dropping-particle":"","parse-names":false,"suffix":""},{"dropping-particle":"","family":"Chaiyakunapruk","given":"Nathorn","non-dropping-particle":"","parse-names":false,"suffix":""}],"container-title":"Journal of evidence-based complementary &amp; alternative medicine","id":"ITEM-1","issue":"3","issued":{"date-parts":[["2017","7","1"]]},"page":"413-428","publisher":"J Evid Based Complementary Altern Med","title":"Clinical Effects of Krachaidum ( Kaempferia parviflora): A Systematic Review","type":"article-journal","volume":"22"},"uris":["http://www.mendeley.com/documents/?uuid=08b75d38-beb5-39e2-8d06-b9c44d6b2d0a"]},{"id":"ITEM-2","itemData":{"DOI":"10.1016/J.HELIYON.2016.E00115","ISSN":"2405-8440","PMID":"27441286","abstract":"We previously reported that polymethoxyflavones (PMFs) in black ginger (Kaempferia parviflora) extract (KPE) increased energy production by activating AMP-activated protein kinase (AMPK) in C2C12 myoblasts. We herein evaluated the effects of KPE on physical fitness performance and muscular endurance in mice. Male mice were orally administered KPE for 4 weeks, and then forced swimming test, open-field test, inclined plane test, and wire hanging test were performed. KPE significantly increased the swimming time, motility after swimming, and grip strength. IL-6 and TNF-α mRNA expression levels were decreased in the soleus muscle, whereas peroxisome proliferator-activated receptor γ coactivator (PGC)-1α and glycogen synthase mRNA expression levels, mitochondrial number, and glycogen content were increased. These results were in agreement with those obtained for KPE and PMFs in C2C12. Therefore, the activation of AMPK by PMFs may be one of the mechanisms by which KPE improves physical fitness performance and muscular endurance.","author":[{"dropping-particle":"","family":"Toda","given":"Kazuya","non-dropping-particle":"","parse-names":false,"suffix":""},{"dropping-particle":"","family":"Hitoe","given":"Shoketsu","non-dropping-particle":"","parse-names":false,"suffix":""},{"dropping-particle":"","family":"Takeda","given":"Shogo","non-dropping-particle":"","parse-names":false,"suffix":""},{"dropping-particle":"","family":"Shimoda","given":"Hiroshi","non-dropping-particle":"","parse-names":false,"suffix":""}],"container-title":"Heliyon","id":"ITEM-2","issue":"5","issued":{"date-parts":[["2016","5","1"]]},"publisher":"Heliyon","title":"Black ginger extract increases physical fitness performance and muscular endurance by improving inflammation and energy metabolism","type":"article-journal","volume":"2"},"uris":["http://www.mendeley.com/documents/?uuid=eb080d60-6451-3e47-9be9-384cf9a437d0"]}],"mendeley":{"formattedCitation":"[8, 9]","plainTextFormattedCitation":"[8, 9]","previouslyFormattedCitation":"[7, 8]"},"properties":{"noteIndex":0},"schema":"https://github.com/citation-style-language/schema/raw/master/csl-citation.json"}</w:instrText>
      </w:r>
      <w:r w:rsidRPr="004A69E4">
        <w:rPr>
          <w:rFonts w:ascii="Times New Roman" w:hAnsi="Times New Roman"/>
          <w:bCs/>
          <w:sz w:val="20"/>
        </w:rPr>
        <w:fldChar w:fldCharType="separate"/>
      </w:r>
      <w:r w:rsidR="00724290" w:rsidRPr="004A69E4">
        <w:rPr>
          <w:rFonts w:ascii="Times New Roman" w:hAnsi="Times New Roman"/>
          <w:bCs/>
          <w:noProof/>
          <w:sz w:val="20"/>
        </w:rPr>
        <w:t>[8, 9]</w:t>
      </w:r>
      <w:r w:rsidRPr="004A69E4">
        <w:rPr>
          <w:rFonts w:ascii="Times New Roman" w:hAnsi="Times New Roman"/>
          <w:sz w:val="20"/>
        </w:rPr>
        <w:fldChar w:fldCharType="end"/>
      </w:r>
      <w:r w:rsidRPr="004A69E4">
        <w:rPr>
          <w:rFonts w:ascii="Times New Roman" w:hAnsi="Times New Roman"/>
          <w:bCs/>
          <w:sz w:val="20"/>
        </w:rPr>
        <w:t xml:space="preserve"> The rhizome of </w:t>
      </w:r>
      <w:r w:rsidRPr="004A69E4">
        <w:rPr>
          <w:rFonts w:ascii="Times New Roman" w:hAnsi="Times New Roman"/>
          <w:bCs/>
          <w:i/>
          <w:iCs/>
          <w:sz w:val="20"/>
        </w:rPr>
        <w:t>K. parviflora</w:t>
      </w:r>
      <w:r w:rsidRPr="004A69E4">
        <w:rPr>
          <w:rFonts w:ascii="Times New Roman" w:hAnsi="Times New Roman"/>
          <w:bCs/>
          <w:sz w:val="20"/>
        </w:rPr>
        <w:t xml:space="preserve"> reportedly has valuable pharmacological effects, including anticancer, antimicrobial, anti-inflammatory, antiallergic, antioxidative, aphrodisiac, neuroprotective, vascular relaxation, and cardioprotective activities,</w:t>
      </w:r>
      <w:r w:rsidRPr="004A69E4">
        <w:rPr>
          <w:rFonts w:ascii="Times New Roman" w:hAnsi="Times New Roman"/>
          <w:bCs/>
          <w:sz w:val="20"/>
        </w:rPr>
        <w:fldChar w:fldCharType="begin" w:fldLock="1"/>
      </w:r>
      <w:r w:rsidR="00724290" w:rsidRPr="004A69E4">
        <w:rPr>
          <w:rFonts w:ascii="Times New Roman" w:hAnsi="Times New Roman"/>
          <w:bCs/>
          <w:sz w:val="20"/>
        </w:rPr>
        <w:instrText>ADDIN CSL_CITATION {"citationItems":[{"id":"ITEM-1","itemData":{"DOI":"10.1155/2018/4057456","ISSN":"1741-427X","PMID":"30643531","abstract":"Kaempferia parviflora (KP), a health-promoting herb, has been traditionally used for treating a variety of diseases. Pharmacological studies have claimed the various benefits from KP and its main effective methoxyflavones, including cellular metabolism-regulating activity, anticancer activity, vascular relaxation and cardioprotective activity, sexual enhancing activity, neuroprotective activity, antiallergic, anti-inflammatory, and antioxidative activity, antiosteoarthritis activity, antimicroorganism activity, and transdermal permeable activity. These might be associated with increased mitochondrial functions and activated cGMP-NO signaling pathway. However, the underlying molecular mechanisms of KP and its methoxyflavones are still under investigation. The clinical applications of KP and its methoxyflavones may be limited due to their low bioavailability. But promising strategies are on the way. This review will comprehensively discuss the biological activities of KP and its methoxyflavones.","author":[{"dropping-particle":"","family":"Chen","given":"Dalin","non-dropping-particle":"","parse-names":false,"suffix":""},{"dropping-particle":"","family":"Li","given":"Hongliang","non-dropping-particle":"","parse-names":false,"suffix":""},{"dropping-particle":"","family":"Li","given":"Wen","non-dropping-particle":"","parse-names":false,"suffix":""},{"dropping-particle":"","family":"Feng","given":"Shuo","non-dropping-particle":"","parse-names":false,"suffix":""},{"dropping-particle":"","family":"Deng","given":"Dingsen","non-dropping-particle":"","parse-names":false,"suffix":""}],"container-title":"Evidence-based complementary and alternative medicine : eCAM","id":"ITEM-1","issued":{"date-parts":[["2018"]]},"publisher":"Evid Based Complement Alternat Med","title":"Kaempferia parviflora and Its Methoxyflavones: Chemistry and Biological Activities","type":"article-journal","volume":"2018"},"uris":["http://www.mendeley.com/documents/?uuid=df4a05c0-aa10-3fab-82f4-7c2d620fe264"]}],"mendeley":{"formattedCitation":"[10]","plainTextFormattedCitation":"[10]","previouslyFormattedCitation":"[9]"},"properties":{"noteIndex":0},"schema":"https://github.com/citation-style-language/schema/raw/master/csl-citation.json"}</w:instrText>
      </w:r>
      <w:r w:rsidRPr="004A69E4">
        <w:rPr>
          <w:rFonts w:ascii="Times New Roman" w:hAnsi="Times New Roman"/>
          <w:bCs/>
          <w:sz w:val="20"/>
        </w:rPr>
        <w:fldChar w:fldCharType="separate"/>
      </w:r>
      <w:r w:rsidR="00724290" w:rsidRPr="004A69E4">
        <w:rPr>
          <w:rFonts w:ascii="Times New Roman" w:hAnsi="Times New Roman"/>
          <w:bCs/>
          <w:noProof/>
          <w:sz w:val="20"/>
        </w:rPr>
        <w:t>[10]</w:t>
      </w:r>
      <w:r w:rsidRPr="004A69E4">
        <w:rPr>
          <w:rFonts w:ascii="Times New Roman" w:hAnsi="Times New Roman"/>
          <w:sz w:val="20"/>
        </w:rPr>
        <w:fldChar w:fldCharType="end"/>
      </w:r>
      <w:r w:rsidRPr="004A69E4">
        <w:rPr>
          <w:rFonts w:ascii="Times New Roman" w:hAnsi="Times New Roman"/>
          <w:bCs/>
          <w:sz w:val="20"/>
        </w:rPr>
        <w:t xml:space="preserve"> which has allowed thorough investigation of the bioactive phytochemicals of </w:t>
      </w:r>
      <w:r w:rsidRPr="004A69E4">
        <w:rPr>
          <w:rFonts w:ascii="Times New Roman" w:hAnsi="Times New Roman"/>
          <w:bCs/>
          <w:i/>
          <w:iCs/>
          <w:sz w:val="20"/>
        </w:rPr>
        <w:t>K. parviflora</w:t>
      </w:r>
      <w:r w:rsidRPr="004A69E4">
        <w:rPr>
          <w:rFonts w:ascii="Times New Roman" w:hAnsi="Times New Roman"/>
          <w:bCs/>
          <w:sz w:val="20"/>
        </w:rPr>
        <w:fldChar w:fldCharType="begin" w:fldLock="1"/>
      </w:r>
      <w:r w:rsidR="00724290" w:rsidRPr="004A69E4">
        <w:rPr>
          <w:rFonts w:ascii="Times New Roman" w:hAnsi="Times New Roman"/>
          <w:bCs/>
          <w:sz w:val="20"/>
        </w:rPr>
        <w:instrText xml:space="preserve">ADDIN CSL_CITATION {"citationItems":[{"id":"ITEM-1","itemData":{"DOI":"10.1016/J.BBRC.2014.08.129","ISSN":"1090-2104","PMID":"25193704","abstract":"Osteoarthritis (OA) is a progressive joint disorder, which remains the leading cause of chronic disability </w:instrText>
      </w:r>
      <w:r w:rsidR="00724290" w:rsidRPr="004A69E4">
        <w:rPr>
          <w:rFonts w:ascii="Times New Roman" w:hAnsi="Times New Roman" w:hint="eastAsia"/>
          <w:bCs/>
          <w:sz w:val="20"/>
        </w:rPr>
        <w:instrText>in aged people. This study is the first report which demonstrates the cartilage protective effect of 5,7,3</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,4</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-tetramethoxyflavone (TMF) by decreasing the concentration of IL-1</w:instrText>
      </w:r>
      <w:r w:rsidR="00724290" w:rsidRPr="004A69E4">
        <w:rPr>
          <w:rFonts w:ascii="Times New Roman" w:hAnsi="Times New Roman" w:hint="eastAsia"/>
          <w:bCs/>
          <w:sz w:val="20"/>
        </w:rPr>
        <w:instrText>β</w:instrText>
      </w:r>
      <w:r w:rsidR="00724290" w:rsidRPr="004A69E4">
        <w:rPr>
          <w:rFonts w:ascii="Times New Roman" w:hAnsi="Times New Roman" w:hint="eastAsia"/>
          <w:bCs/>
          <w:sz w:val="20"/>
        </w:rPr>
        <w:instrText>, TNF-</w:instrText>
      </w:r>
      <w:r w:rsidR="00724290" w:rsidRPr="004A69E4">
        <w:rPr>
          <w:rFonts w:ascii="Times New Roman" w:hAnsi="Times New Roman" w:hint="eastAsia"/>
          <w:bCs/>
          <w:sz w:val="20"/>
        </w:rPr>
        <w:instrText>α</w:instrText>
      </w:r>
      <w:r w:rsidR="00724290" w:rsidRPr="004A69E4">
        <w:rPr>
          <w:rFonts w:ascii="Times New Roman" w:hAnsi="Times New Roman" w:hint="eastAsia"/>
          <w:bCs/>
          <w:sz w:val="20"/>
        </w:rPr>
        <w:instrText xml:space="preserve"> and PGE2 in the knee synovial fluid in OA rat models in vivo. In vitro</w:instrText>
      </w:r>
      <w:r w:rsidR="00724290" w:rsidRPr="004A69E4">
        <w:rPr>
          <w:rFonts w:ascii="Times New Roman" w:hAnsi="Times New Roman"/>
          <w:bCs/>
          <w:sz w:val="20"/>
        </w:rPr>
        <w:instrText>, after induced by PGE2, the apoptosis rate of chondrocytes was significantly increased. In addition, PGE2 increased the expression of cAMP/PKA signaling pathway in chondrocytes, stabilized and accumulated β-catenin, and activated the expression of β-catenin signaling pathway. These activities were counteracted by TMF dose-dependently. Collectively, TMF is a potential compound with chondroprotective activity by inhibiting both EP/cAMP/PKA signaling pathway and β-catenin signaling pathway.","author":[{"dropping-particle":"","family":"Wu","given":"Longhuo","non-dropping-particle":"","parse-names":false,"suffix":""},{"dropping-particle":"","family":"Liu","given":"Haiqing","non-dropping-particle":"","parse-names":false,"suffix":""},{"dropping-particle":"","family":"Li","given":"Linfu","non-dropping-particle":"","parse-names":false,"suffix":""},{"dropping-particle":"","family":"Liu","given":"Hai","non-dropping-particle":"","parse-names":false,"suffix":""},{"dropping-particle":"","family":"Yang","given":"Kai","non-dropping-particle":"","parse-names":false,"suffix":""},{"dropping-particle":"","family":"Liu","given":"Zhaowen","non-dropping-particle":"","parse-names":false,"suffix":""},{"dropping-particle":"","family":"Huang","given":"Hao","non-dropping-particle":"","parse-names":false,"suffix":""}],"container-title":"Biochemical and biophysical research communications","id":"ITEM-1","issue":"3","issued":{"date-parts":[["2014","9","26"]]},"page":"682-688","publisher":"Biochem Biophys Res Commun","title":"5,7,3',4'-Tetramethoxyflavone exhibits chondroprotective activity by targeting β-catenin signaling in vivo and in vitro","type":"article-journal","volume":"452"},"uris":["http://www.mendeley.com/documents/?uuid=40168354-21d4-3c09-b604-c7f2d4ec7542"]},{"id":"ITEM-2","itemData":{"DOI":"10.1016/J.PHYTOCHEM.2008.09.001","ISSN":"0031-9422","PMID":"18922550","abstract":"Three phenolic glycosides were isolated together with two known flavonol glycosides from the H2O-soluble fraction of rhizomes of Kaempferia parviflora. Their structures were determined to be rel-(5aS,10bS)-5a,10b-dihydro-1,3,5a,9-tetrahydroxy-8-methoxy-6H-benz[b]indeno[1,2-d]furan-6-one 5a-O-[??-l-rhamnopyranosyl-(1 ??? 6)-??-d-glucopyranoside] (1), its rel-5aS,10bR isomer (2), and (2R,3S,4S)-3-O-[??-l-rhamnopyranosyl-(1 ??? 6)-??-d-glucopyranosyl]-3???-O-methyl-ent-epicatechin-(2?? ??? O ??? 3,4?? ??? 4)-(5aS,10bS)-5a,10b-dihydro-1,3,5a,9-tetrahydroxy-8-methoxy-6H-benz[b]indeno[1,2-d]furan-6-one 5a-O-[??-l-rhamnopyranosyl-(1 ??? 6)-??-d-glucopyranoside] (3). The structures were elucidated on the basis of analyses of chemical and spectroscopic evidence. ?? 2008 Elsevier Ltd. All rights reserved.","author":[{"dropping-particle":"","family":"Azuma","given":"Toshiaki","non-dropping-particle":"","parse-names":false,"suffix":""},{"dropping-particle":"","family":"Tanaka","given":"Yasuo","non-dropping-particle":"","parse-names":false,"suffix":""},{"dropping-particle":"","family":"Kikuzaki","given":"Hiroe","non-dropping-particle":"","parse-names":false,"suffix":""}],"container-title":"Phytochemistry","id":"ITEM-2","issue":"15","issued":{"date-parts":[["2008","11"]]},"page":"2743-2748","publisher":"Phytochemistry","title":"Phenolic glycosides from Kaempferia parviflora","type":"article-journal","volume":"69"},"uris":["http://www.mendeley.com/documents/?uuid=8d9872f3-6e0c-338c-8a07-cc071d7646a9"]},{"id":"ITEM-3","itemData":{"DOI":"10.1016/J.PHYMED.2014.01.014","ISSN":"1618-095X","PMID":"24629599","abstract":"We previously demonstrated that ethyl acetate extracts of Kaempferia parviflora Wall. Ex Baker (KPE) improve insulin resistance in TSOD mice and showed that its components induce differentiation and adipogenesis in 3T3-L1 preadipocytes. The present study was undertaken to examine whether KPE and its isolated t</w:instrText>
      </w:r>
      <w:r w:rsidR="00724290" w:rsidRPr="004A69E4">
        <w:rPr>
          <w:rFonts w:ascii="Times New Roman" w:hAnsi="Times New Roman" w:hint="eastAsia"/>
          <w:bCs/>
          <w:sz w:val="20"/>
        </w:rPr>
        <w:instrText>welve components suppress further lipid accumulation in 3T3-L1 mature adipocytes. KPE reduced intracellular triglycerides in mature adipocytes, as did two of its components, 3,5,7,3</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,4</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-pentamethoxyflavone and 5,7,4</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 xml:space="preserve">-trimethoxyflavone. Shrinkage of lipid </w:instrText>
      </w:r>
      <w:r w:rsidR="00724290" w:rsidRPr="004A69E4">
        <w:rPr>
          <w:rFonts w:ascii="Times New Roman" w:hAnsi="Times New Roman"/>
          <w:bCs/>
          <w:sz w:val="20"/>
        </w:rPr>
        <w:instrText>droplets in mature adipocytes was observed, and mRNA expression levels of adipose tissue triglyceride lipase (ATGL) and hormone-sensitive lipase (HSL) were up-regulated by these two polymethoxyflavonoids (PMFs). Furthermore, the protein expression level of ATGL and the release level of glycerol into the cell culture medium increased. In contrast, the peroxisome proliferator-activated receptor γ (PPARγ) agonist, troglitazone, did not decrease intracellular triglycerides in mature adipocytes, and the mRNA expression level of PPARγ was not up-regulated in mature adipocytes treated with the two active PMFs. Therefore, suppression of lipid accumulation in mature adipocytes is unlikely to be enhanced by transcriptional activation of PPARγ. These results suggest that KPE and its active components enhance lipolysis in mature adipocytes by activation of ATGL and HSL independent of PPARγ transcription, thus preventing adipocyte hypertrophy. On the other hand, the full hydroxylated flavonoid quercetin did not show the suppressive effects of lipid accumulation in mature adipocyte in the same conditions. Consequently, methoxy groups in the flavones are important for the activity. © 2014 Elsevier GmbH.","author":[{"dropping-particle":"","family":"Okabe","given":"Yui","non-dropping-particle":"","parse-names":false,"suffix":""},{"dropping-particle":"","family":"Shimada","given":"Tsutomu","non-dropping-particle":"","parse-names":false,"suffix":""},{"dropping-particle":"","family":"Horikawa","given":"Takumi","non-dropping-particle":"","parse-names":false,"suffix":""},{"dropping-particle":"","family":"Kinoshita","given":"Kaoru","non-dropping-particle":"","parse-names":false,"suffix":""},{"dropping-particle":"","family":"Koyama","given":"Kiyotaka","non-dropping-particle":"","parse-names":false,"suffix":""},{"dropping-particle":"","family":"Ichinose","given":"Koji","non-dropping-particle":"","parse-names":false,"suffix":""},{"dropping-particle":"","family":"Aburada","given":"Masaki","non-dropping-particle":"","parse-names":false,"suffix":""},{"dropping-particle":"","family":"Takahashi","given":"Kunio","non-dropping-particle":"","parse-names":false,"suffix":""}],"container-title":"Phytomedicine : international journal of phytotherapy and phytopharmacology","id":"ITEM-3","issue":"6","issued":{"date-parts":[["2014","5","15"]]},"page":"800-806","publisher":"Phytomedicine","title":"Suppression of adipocyte hypertrophy by polymethoxyflavonoids isolated from Kaempferia parviflora","type":"article-journal","volume":"21"},"uris":["http://www.mendeley.com/documents/?uuid=c553cb8a-b9b3-37f7-b97e-77146dbda3e0"]}],"mendeley":{"formattedCitation":"[11–13]","plainTextFormattedCitation":"[11–13]","previouslyFormattedCitation":"[10–12]"},"properties":{"noteIndex":0},"schema":"https://github.com/citation-style-language/schema/raw/master/csl-citation.json"}</w:instrText>
      </w:r>
      <w:r w:rsidRPr="004A69E4">
        <w:rPr>
          <w:rFonts w:ascii="Times New Roman" w:hAnsi="Times New Roman"/>
          <w:bCs/>
          <w:sz w:val="20"/>
        </w:rPr>
        <w:fldChar w:fldCharType="separate"/>
      </w:r>
      <w:r w:rsidR="00724290" w:rsidRPr="004A69E4">
        <w:rPr>
          <w:rFonts w:ascii="Times New Roman" w:hAnsi="Times New Roman"/>
          <w:bCs/>
          <w:noProof/>
          <w:sz w:val="20"/>
        </w:rPr>
        <w:t>[11–13]</w:t>
      </w:r>
      <w:r w:rsidRPr="004A69E4">
        <w:rPr>
          <w:rFonts w:ascii="Times New Roman" w:hAnsi="Times New Roman"/>
          <w:sz w:val="20"/>
        </w:rPr>
        <w:fldChar w:fldCharType="end"/>
      </w:r>
      <w:r w:rsidRPr="004A69E4">
        <w:rPr>
          <w:rFonts w:ascii="Times New Roman" w:hAnsi="Times New Roman"/>
          <w:bCs/>
          <w:sz w:val="20"/>
        </w:rPr>
        <w:t xml:space="preserve">; consequently, </w:t>
      </w:r>
      <w:proofErr w:type="spellStart"/>
      <w:r w:rsidRPr="004A69E4">
        <w:rPr>
          <w:rFonts w:ascii="Times New Roman" w:hAnsi="Times New Roman"/>
          <w:bCs/>
          <w:sz w:val="20"/>
        </w:rPr>
        <w:t>methoxyflavones</w:t>
      </w:r>
      <w:proofErr w:type="spellEnd"/>
      <w:r w:rsidRPr="004A69E4">
        <w:rPr>
          <w:rFonts w:ascii="Times New Roman" w:hAnsi="Times New Roman"/>
          <w:bCs/>
          <w:sz w:val="20"/>
        </w:rPr>
        <w:t xml:space="preserve"> have been identified as the bioactive components.</w:t>
      </w:r>
      <w:r w:rsidRPr="004A69E4">
        <w:rPr>
          <w:rFonts w:ascii="Times New Roman" w:hAnsi="Times New Roman"/>
          <w:bCs/>
          <w:sz w:val="20"/>
        </w:rPr>
        <w:fldChar w:fldCharType="begin" w:fldLock="1"/>
      </w:r>
      <w:r w:rsidR="00724290" w:rsidRPr="004A69E4">
        <w:rPr>
          <w:rFonts w:ascii="Times New Roman" w:hAnsi="Times New Roman"/>
          <w:bCs/>
          <w:sz w:val="20"/>
        </w:rPr>
        <w:instrText xml:space="preserve">ADDIN CSL_CITATION {"citationItems":[{"id":"ITEM-1","itemData":{"DOI":"10.1016/J.BBRC.2014.08.129","ISSN":"1090-2104","PMID":"25193704","abstract":"Osteoarthritis (OA) is a progressive joint disorder, which remains the leading cause of chronic disability </w:instrText>
      </w:r>
      <w:r w:rsidR="00724290" w:rsidRPr="004A69E4">
        <w:rPr>
          <w:rFonts w:ascii="Times New Roman" w:hAnsi="Times New Roman" w:hint="eastAsia"/>
          <w:bCs/>
          <w:sz w:val="20"/>
        </w:rPr>
        <w:instrText>in aged people. This study is the first report which demonstrates the cartilage protective effect of 5,7,3</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,4</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-tetramethoxyflavone (TMF) by decreasing the concentration of IL-1</w:instrText>
      </w:r>
      <w:r w:rsidR="00724290" w:rsidRPr="004A69E4">
        <w:rPr>
          <w:rFonts w:ascii="Times New Roman" w:hAnsi="Times New Roman" w:hint="eastAsia"/>
          <w:bCs/>
          <w:sz w:val="20"/>
        </w:rPr>
        <w:instrText>β</w:instrText>
      </w:r>
      <w:r w:rsidR="00724290" w:rsidRPr="004A69E4">
        <w:rPr>
          <w:rFonts w:ascii="Times New Roman" w:hAnsi="Times New Roman" w:hint="eastAsia"/>
          <w:bCs/>
          <w:sz w:val="20"/>
        </w:rPr>
        <w:instrText>, TNF-</w:instrText>
      </w:r>
      <w:r w:rsidR="00724290" w:rsidRPr="004A69E4">
        <w:rPr>
          <w:rFonts w:ascii="Times New Roman" w:hAnsi="Times New Roman" w:hint="eastAsia"/>
          <w:bCs/>
          <w:sz w:val="20"/>
        </w:rPr>
        <w:instrText>α</w:instrText>
      </w:r>
      <w:r w:rsidR="00724290" w:rsidRPr="004A69E4">
        <w:rPr>
          <w:rFonts w:ascii="Times New Roman" w:hAnsi="Times New Roman" w:hint="eastAsia"/>
          <w:bCs/>
          <w:sz w:val="20"/>
        </w:rPr>
        <w:instrText xml:space="preserve"> and PGE2 in the knee synovial fluid in OA rat models in vivo. In vitro</w:instrText>
      </w:r>
      <w:r w:rsidR="00724290" w:rsidRPr="004A69E4">
        <w:rPr>
          <w:rFonts w:ascii="Times New Roman" w:hAnsi="Times New Roman"/>
          <w:bCs/>
          <w:sz w:val="20"/>
        </w:rPr>
        <w:instrText>, after induced by PGE2, the apoptosis rate of chondrocytes was significantly increased. In addition, PGE2 increased the expression of cAMP/PKA signaling pathway in chondrocytes, stabilized and accumulated β-catenin, and activated the expression of β-catenin signaling pathway. These activities were counteracted by TMF dose-dependently. Collectively, TMF is a potential compound with chondroprotective activity by inhibiting both EP/cAMP/PKA signaling pathway and β-catenin signaling pathway.","author":[{"dropping-particle":"","family":"Wu","given":"Longhuo","non-dropping-particle":"","parse-names":false,"suffix":""},{"dropping-particle":"","family":"Liu","given":"Haiqing","non-dropping-particle":"","parse-names":false,"suffix":""},{"dropping-particle":"","family":"Li","given":"Linfu","non-dropping-particle":"","parse-names":false,"suffix":""},{"dropping-particle":"","family":"Liu","given":"Hai","non-dropping-particle":"","parse-names":false,"suffix":""},{"dropping-particle":"","family":"Yang","given":"Kai","non-dropping-particle":"","parse-names":false,"suffix":""},{"dropping-particle":"","family":"Liu","given":"Zhaowen","non-dropping-particle":"","parse-names":false,"suffix":""},{"dropping-particle":"","family":"Huang","given":"Hao","non-dropping-particle":"","parse-names":false,"suffix":""}],"container-title":"Biochemical and biophysical research communications","id":"ITEM-1","issue":"3","issued":{"date-parts":[["2014","9","26"]]},"page":"682-688","publisher":"Biochem Biophys Res Commun","title":"5,7,3',4'-Tetramethoxyflavone exhibits chondroprotective activity by targeting β-catenin signaling in vivo and in vitro","type":"article-journal","volume":"452"},"uris":["http://www.mendeley.com/documents/?uuid=40168354-21d4-3c09-b604-c7f2d4ec7542"]},{"id":"ITEM-2","itemData":{"DOI":"10.1016/J.PHYTOCHEM.2008.09.001","ISSN":"0031-9422","PMID":"18922550","abstract":"Three phenolic glycosides were isolated together with two known flavonol glycosides from the H2O-soluble fraction of rhizomes of Kaempferia parviflora. Their structures were determined to be rel-(5aS,10bS)-5a,10b-dihydro-1,3,5a,9-tetrahydroxy-8-methoxy-6H-benz[b]indeno[1,2-d]furan-6-one 5a-O-[??-l-rhamnopyranosyl-(1 ??? 6)-??-d-glucopyranoside] (1), its rel-5aS,10bR isomer (2), and (2R,3S,4S)-3-O-[??-l-rhamnopyranosyl-(1 ??? 6)-??-d-glucopyranosyl]-3???-O-methyl-ent-epicatechin-(2?? ??? O ??? 3,4?? ??? 4)-(5aS,10bS)-5a,10b-dihydro-1,3,5a,9-tetrahydroxy-8-methoxy-6H-benz[b]indeno[1,2-d]furan-6-one 5a-O-[??-l-rhamnopyranosyl-(1 ??? 6)-??-d-glucopyranoside] (3). The structures were elucidated on the basis of analyses of chemical and spectroscopic evidence. ?? 2008 Elsevier Ltd. All rights reserved.","author":[{"dropping-particle":"","family":"Azuma","given":"Toshiaki","non-dropping-particle":"","parse-names":false,"suffix":""},{"dropping-particle":"","family":"Tanaka","given":"Yasuo","non-dropping-particle":"","parse-names":false,"suffix":""},{"dropping-particle":"","family":"Kikuzaki","given":"Hiroe","non-dropping-particle":"","parse-names":false,"suffix":""}],"container-title":"Phytochemistry","id":"ITEM-2","issue":"15","issued":{"date-parts":[["2008","11"]]},"page":"2743-2748","publisher":"Phytochemistry","title":"Phenolic glycosides from Kaempferia parviflora","type":"article-journal","volume":"69"},"uris":["http://www.mendeley.com/documents/?uuid=8d9872f3-6e0c-338c-8a07-cc071d7646a9"]},{"id":"ITEM-3","itemData":{"DOI":"10.1016/J.PHYMED.2014.01.014","ISSN":"1618-095X","PMID":"24629599","abstract":"We previously demonstrated that ethyl acetate extracts of Kaempferia parviflora Wall. Ex Baker (KPE) improve insulin resistance in TSOD mice and showed that its components induce differentiation and adipogenesis in 3T3-L1 preadipocytes. The present study was undertaken to examine whether KPE and its isolated t</w:instrText>
      </w:r>
      <w:r w:rsidR="00724290" w:rsidRPr="004A69E4">
        <w:rPr>
          <w:rFonts w:ascii="Times New Roman" w:hAnsi="Times New Roman" w:hint="eastAsia"/>
          <w:bCs/>
          <w:sz w:val="20"/>
        </w:rPr>
        <w:instrText>welve components suppress further lipid accumulation in 3T3-L1 mature adipocytes. KPE reduced intracellular triglycerides in mature adipocytes, as did two of its components, 3,5,7,3</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,4</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-pentamethoxyflavone and 5,7,4</w:instrText>
      </w:r>
      <w:r w:rsidR="00724290" w:rsidRPr="004A69E4">
        <w:rPr>
          <w:rFonts w:ascii="Times New Roman" w:hAnsi="Times New Roman" w:hint="eastAsia"/>
          <w:bCs/>
          <w:sz w:val="20"/>
        </w:rPr>
        <w:instrText>′</w:instrText>
      </w:r>
      <w:r w:rsidR="00724290" w:rsidRPr="004A69E4">
        <w:rPr>
          <w:rFonts w:ascii="Times New Roman" w:hAnsi="Times New Roman" w:hint="eastAsia"/>
          <w:bCs/>
          <w:sz w:val="20"/>
        </w:rPr>
        <w:instrText xml:space="preserve">-trimethoxyflavone. Shrinkage of lipid </w:instrText>
      </w:r>
      <w:r w:rsidR="00724290" w:rsidRPr="004A69E4">
        <w:rPr>
          <w:rFonts w:ascii="Times New Roman" w:hAnsi="Times New Roman"/>
          <w:bCs/>
          <w:sz w:val="20"/>
        </w:rPr>
        <w:instrText>droplets in mature adipocytes was observed, and mRNA expression levels of adipose tissue triglyceride lipase (ATGL) and hormone-sensitive lipase (HSL) were up-regulated by these two polymethoxyflavonoids (PMFs). Furthermore, the protein expression level of ATGL and the release level of glycerol into the cell culture medium increased. In contrast, the peroxisome proliferator-activated receptor γ (PPARγ) agonist, troglitazone, did not decrease intracellular triglycerides in mature adipocytes, and the mRNA expression level of PPARγ was not up-regulated in mature adipocytes treated with the two active PMFs. Therefore, suppression of lipid accumulation in mature adipocytes is unlikely to be enhanced by transcriptional activation of PPARγ. These results suggest that KPE and its active components enhance lipolysis in mature adipocytes by activation of ATGL and HSL independent of PPARγ transcription, thus preventing adipocyte hypertrophy. On the other hand, the full hydroxylated flavonoid quercetin did not show the suppressive effects of lipid accumulation in mature adipocyte in the same conditions. Consequently, methoxy groups in the flavones are important for the activity. © 2014 Elsevier GmbH.","author":[{"dropping-particle":"","family":"Okabe","given":"Yui","non-dropping-particle":"","parse-names":false,"suffix":""},{"dropping-particle":"","family":"Shimada","given":"Tsutomu","non-dropping-particle":"","parse-names":false,"suffix":""},{"dropping-particle":"","family":"Horikawa","given":"Takumi","non-dropping-particle":"","parse-names":false,"suffix":""},{"dropping-particle":"","family":"Kinoshita","given":"Kaoru","non-dropping-particle":"","parse-names":false,"suffix":""},{"dropping-particle":"","family":"Koyama","given":"Kiyotaka","non-dropping-particle":"","parse-names":false,"suffix":""},{"dropping-particle":"","family":"Ichinose","given":"Koji","non-dropping-particle":"","parse-names":false,"suffix":""},{"dropping-particle":"","family":"Aburada","given":"Masaki","non-dropping-particle":"","parse-names":false,"suffix":""},{"dropping-particle":"","family":"Takahashi","given":"Kunio","non-dropping-particle":"","parse-names":false,"suffix":""}],"container-title":"Phytomedicine : international journal of phytotherapy and phytopharmacology","id":"ITEM-3","issue":"6","issued":{"date-parts":[["2014","5","15"]]},"page":"800-806","publisher":"Phytomedicine","title":"Suppression of adipocyte hypertrophy by polymethoxyflavonoids isolated from Kaempferia parviflora","type":"article-journal","volume":"21"},"uris":["http://www.mendeley.com/documents/?uuid=c553cb8a-b9b3-37f7-b97e-77146dbda3e0"]}],"mendeley":{"formattedCitation":"[11–13]","plainTextFormattedCitation":"[11–13]","previouslyFormattedCitation":"[10–12]"},"properties":{"noteIndex":0},"schema":"https://github.com/citation-style-language/schema/raw/master/csl-citation.json"}</w:instrText>
      </w:r>
      <w:r w:rsidRPr="004A69E4">
        <w:rPr>
          <w:rFonts w:ascii="Times New Roman" w:hAnsi="Times New Roman"/>
          <w:bCs/>
          <w:sz w:val="20"/>
        </w:rPr>
        <w:fldChar w:fldCharType="separate"/>
      </w:r>
      <w:r w:rsidR="00724290" w:rsidRPr="004A69E4">
        <w:rPr>
          <w:rFonts w:ascii="Times New Roman" w:hAnsi="Times New Roman"/>
          <w:bCs/>
          <w:noProof/>
          <w:sz w:val="20"/>
        </w:rPr>
        <w:t>[11–13]</w:t>
      </w:r>
      <w:r w:rsidRPr="004A69E4">
        <w:rPr>
          <w:rFonts w:ascii="Times New Roman" w:hAnsi="Times New Roman"/>
          <w:sz w:val="20"/>
        </w:rPr>
        <w:fldChar w:fldCharType="end"/>
      </w:r>
      <w:r w:rsidRPr="004A69E4">
        <w:rPr>
          <w:rFonts w:ascii="Times New Roman" w:hAnsi="Times New Roman"/>
          <w:bCs/>
          <w:iCs/>
          <w:sz w:val="20"/>
        </w:rPr>
        <w:t xml:space="preserve"> Mulberry (</w:t>
      </w:r>
      <w:r w:rsidRPr="004A69E4">
        <w:rPr>
          <w:rFonts w:ascii="Times New Roman" w:hAnsi="Times New Roman"/>
          <w:bCs/>
          <w:i/>
          <w:iCs/>
          <w:sz w:val="20"/>
        </w:rPr>
        <w:t>M. alba</w:t>
      </w:r>
      <w:r w:rsidRPr="004A69E4">
        <w:rPr>
          <w:rFonts w:ascii="Times New Roman" w:hAnsi="Times New Roman"/>
          <w:bCs/>
          <w:iCs/>
          <w:sz w:val="20"/>
        </w:rPr>
        <w:t>) is famous worldwide for its berries and is an essential food for silkworms (</w:t>
      </w:r>
      <w:r w:rsidRPr="004A69E4">
        <w:rPr>
          <w:rFonts w:ascii="Times New Roman" w:hAnsi="Times New Roman"/>
          <w:bCs/>
          <w:i/>
          <w:iCs/>
          <w:sz w:val="20"/>
        </w:rPr>
        <w:t>Bombyx mori</w:t>
      </w:r>
      <w:r w:rsidRPr="004A69E4">
        <w:rPr>
          <w:rFonts w:ascii="Times New Roman" w:hAnsi="Times New Roman"/>
          <w:bCs/>
          <w:iCs/>
          <w:sz w:val="20"/>
        </w:rPr>
        <w:t xml:space="preserve"> L.). It has been widely cultivated in many countries, especially in Asia. Its fruit has a long history of use as an edible fruit and in traditional medicine.</w:t>
      </w:r>
      <w:r w:rsidRPr="004A69E4">
        <w:rPr>
          <w:rFonts w:ascii="Times New Roman" w:hAnsi="Times New Roman"/>
          <w:bCs/>
          <w:iCs/>
          <w:sz w:val="20"/>
        </w:rPr>
        <w:fldChar w:fldCharType="begin" w:fldLock="1"/>
      </w:r>
      <w:r w:rsidR="00724290" w:rsidRPr="004A69E4">
        <w:rPr>
          <w:rFonts w:ascii="Times New Roman" w:hAnsi="Times New Roman"/>
          <w:bCs/>
          <w:iCs/>
          <w:sz w:val="20"/>
        </w:rPr>
        <w:instrText>ADDIN CSL_CITATION {"citationItems":[{"id":"ITEM-1","itemData":{"DOI":"10.1023/A:1003066613099","ISSN":"1573-5060","abstract":"A line × tester analysis was carried out in mulberry (Morus spp.) to determine the genetic interaction in the expression of vari</w:instrText>
      </w:r>
      <w:r w:rsidR="00724290" w:rsidRPr="004A69E4">
        <w:rPr>
          <w:rFonts w:ascii="Times New Roman" w:hAnsi="Times New Roman" w:hint="eastAsia"/>
          <w:bCs/>
          <w:iCs/>
          <w:sz w:val="20"/>
        </w:rPr>
        <w:instrText>ous quantitative characters including leaf yield. Eight clonal varieties were selected, 3 of them were designated as lines (</w:instrText>
      </w:r>
      <w:r w:rsidR="00724290" w:rsidRPr="004A69E4">
        <w:rPr>
          <w:rFonts w:ascii="Times New Roman" w:hAnsi="Times New Roman" w:hint="eastAsia"/>
          <w:bCs/>
          <w:iCs/>
          <w:sz w:val="20"/>
        </w:rPr>
        <w:instrText>♀</w:instrText>
      </w:r>
      <w:r w:rsidR="00724290" w:rsidRPr="004A69E4">
        <w:rPr>
          <w:rFonts w:ascii="Times New Roman" w:hAnsi="Times New Roman" w:hint="eastAsia"/>
          <w:bCs/>
          <w:iCs/>
          <w:sz w:val="20"/>
        </w:rPr>
        <w:instrText>) viz. Berhampore-1, China white and MS-5 and 5 of them were called as testers (</w:instrText>
      </w:r>
      <w:r w:rsidR="00724290" w:rsidRPr="004A69E4">
        <w:rPr>
          <w:rFonts w:ascii="Times New Roman" w:hAnsi="Times New Roman" w:hint="eastAsia"/>
          <w:bCs/>
          <w:iCs/>
          <w:sz w:val="20"/>
        </w:rPr>
        <w:instrText>♂</w:instrText>
      </w:r>
      <w:r w:rsidR="00724290" w:rsidRPr="004A69E4">
        <w:rPr>
          <w:rFonts w:ascii="Times New Roman" w:hAnsi="Times New Roman" w:hint="eastAsia"/>
          <w:bCs/>
          <w:iCs/>
          <w:sz w:val="20"/>
        </w:rPr>
        <w:instrText>) viz. Mandalaya, Kosen, Assamjati, MS-1 and Kajl</w:instrText>
      </w:r>
      <w:r w:rsidR="00724290" w:rsidRPr="004A69E4">
        <w:rPr>
          <w:rFonts w:ascii="Times New Roman" w:hAnsi="Times New Roman"/>
          <w:bCs/>
          <w:iCs/>
          <w:sz w:val="20"/>
        </w:rPr>
        <w:instrText>i. Combining ability studies were conducted on these parents along with their F1 hybrids for the variables laminar index, growth rate, weight of 100 dry leaves, number of primary branches per plant, plant height, nodal distance, leaf-twig ratio, aerial biomass, moisture content, moisture retention capacity and leaf yield. Broad genetic variability was observed among the genotypes. The ratio of General Combining Ability (GCA) and Specific Combining Ability (SCA) indicated the predominance of non-additive genes in mulberry. While China white (female) and MS-1 (male) were the best general combiners among the parents, Berhampore-1 × Kajli was the best cross for leaf yield. Results suggest that selective crossing followed by proper screening may be the best approach for breeding of high yielding varieties in mulberry.","author":[{"dropping-particle":"","family":"Vijayan","given":"K.","non-dropping-particle":"","parse-names":false,"suffix":""},{"dropping-particle":"","family":"Chauhan","given":"S.","non-dropping-particle":"","parse-names":false,"suffix":""},{"dropping-particle":"","family":"Das","given":"N. K.","non-dropping-particle":"","parse-names":false,"suffix":""},{"dropping-particle":"","family":"Chakraborti","given":"S. P.","non-dropping-particle":"","parse-names":false,"suffix":""},{"dropping-particle":"","family":"Roy","given":"B. N.","non-dropping-particle":"","parse-names":false,"suffix":""}],"container-title":"Euphytica","id":"ITEM-1","issue":"1","issued":{"date-parts":[["1997"]]},"page":"47-52","publisher":"Springer","title":"Leaf yield component combining abilities in mulberry (Morus spp.)","type":"article-journal","volume":"98"},"uris":["http://www.mendeley.com/documents/?uuid=20213365-1422-3044-9840-616ce9d3298a"]}],"mendeley":{"formattedCitation":"[14]","plainTextFormattedCitation":"[14]","previouslyFormattedCitation":"[13]"},"properties":{"noteIndex":0},"schema":"https://github.com/citation-style-language/schema/raw/master/csl-citation.json"}</w:instrText>
      </w:r>
      <w:r w:rsidRPr="004A69E4">
        <w:rPr>
          <w:rFonts w:ascii="Times New Roman" w:hAnsi="Times New Roman"/>
          <w:bCs/>
          <w:iCs/>
          <w:sz w:val="20"/>
        </w:rPr>
        <w:fldChar w:fldCharType="separate"/>
      </w:r>
      <w:r w:rsidR="00724290" w:rsidRPr="004A69E4">
        <w:rPr>
          <w:rFonts w:ascii="Times New Roman" w:hAnsi="Times New Roman"/>
          <w:bCs/>
          <w:iCs/>
          <w:noProof/>
          <w:sz w:val="20"/>
        </w:rPr>
        <w:t>[14]</w:t>
      </w:r>
      <w:r w:rsidRPr="004A69E4">
        <w:rPr>
          <w:rFonts w:ascii="Times New Roman" w:hAnsi="Times New Roman"/>
          <w:sz w:val="20"/>
        </w:rPr>
        <w:fldChar w:fldCharType="end"/>
      </w:r>
      <w:r w:rsidRPr="004A69E4">
        <w:rPr>
          <w:rFonts w:ascii="Times New Roman" w:hAnsi="Times New Roman"/>
          <w:bCs/>
          <w:iCs/>
          <w:sz w:val="20"/>
        </w:rPr>
        <w:t xml:space="preserve"> The fruits of mulberry are also internationally used in pies, tarts, wines, jams, smoothies, and tisanes. Several previous phytochemical studies on mulberry fruits have identified bioactive secondary metabolites of </w:t>
      </w:r>
      <w:r w:rsidRPr="004A69E4">
        <w:rPr>
          <w:rFonts w:ascii="Times New Roman" w:hAnsi="Times New Roman"/>
          <w:bCs/>
          <w:i/>
          <w:iCs/>
          <w:sz w:val="20"/>
        </w:rPr>
        <w:t>M. alba</w:t>
      </w:r>
      <w:r w:rsidRPr="004A69E4">
        <w:rPr>
          <w:rFonts w:ascii="Times New Roman" w:hAnsi="Times New Roman"/>
          <w:bCs/>
          <w:iCs/>
          <w:sz w:val="20"/>
        </w:rPr>
        <w:t xml:space="preserve"> fruits, including flavonoids, anthocyanins, and triterpenoids.</w:t>
      </w:r>
      <w:r w:rsidRPr="004A69E4">
        <w:rPr>
          <w:rFonts w:ascii="Times New Roman" w:hAnsi="Times New Roman"/>
          <w:bCs/>
          <w:iCs/>
          <w:sz w:val="20"/>
        </w:rPr>
        <w:fldChar w:fldCharType="begin" w:fldLock="1"/>
      </w:r>
      <w:r w:rsidR="00724290" w:rsidRPr="004A69E4">
        <w:rPr>
          <w:rFonts w:ascii="Times New Roman" w:hAnsi="Times New Roman"/>
          <w:bCs/>
          <w:iCs/>
          <w:sz w:val="20"/>
        </w:rPr>
        <w:instrText>ADDIN CSL_CITATION {"citationItems":[{"id":"ITEM-1","itemData":{"DOI":"10.1016/J.FOODRES.2005.03.014","ISSN":"0963-9969","abstract":"Two compounds important in giving the colour of fruits and vegetables were studied in different species. Anthocyanin and carotenoids were analysed in several varieties of sour cherry, tomato and apricot by HPLC methods. From the three species studied pigment composition of apricots was most variable between varieties while in other species primarily the content of pigments changed. In sour cherry three varieties contained anthocyanins in extremely high concentrations (Zafír, Csengõdi and Meteor cultivars). In tomatoes, lower concentration of lycopene was determined in table varieties grown in green house than processing varieties grown on open field. In apricots, Royal, Ceglédi óriás and Gönci Magyar were the richest varieties in carotenoid content. The weather of years has a dominant role in formation of colorants of plant species. There is evidence that difference in the weather between years was an important factor affecting anthocyanin and carotenoid composition and content. © 2005 Elsevier Ltd. All rights reserved.","author":[{"dropping-particle":"","family":"Sass-Kiss","given":"A.","non-dropping-particle":"","parse-names":false,"suffix":""},{"dropping-particle":"","family":"Kiss","given":"J.","non-dropping-particle":"","parse-names":false,"suffix":""},{"dropping-particle":"","family":"Milotay","given":"P.","non-dropping-particle":"","parse-names":false,"suffix":""},{"dropping-particle":"","family":"Kerek","given":"M. M.","non-dropping-particle":"","parse-names":false,"suffix":""},{"dropping-particle":"","family":"Toth-Markus","given":"M.","non-dropping-particle":"","parse-names":false,"suffix":""}],"container-title":"Food Research International","id":"ITEM-1","issue":"8-9","issued":{"date-parts":[["2005","10","1"]]},"page":"1023-1029","publisher":"Elsevier","title":"Differences in anthocyanin and carotenoid content of fruits and vegetables","type":"article-journal","volume":"38"},"uris":["http://www.mendeley.com/documents/?uuid=eaccd5fa-75f7-3f92-94b0-22ed78872566"]},{"id":"ITEM-2","itemData":{"DOI":"10.1021/ACS.JAFC.5B03221","ISSN":"1520-5118","PMID":"26343778","abstract":"Mulberry (Morus alba L.) is used in traditional Chinese medicine and is the sole food source of the silkworm. Here, 21 cDNAs encoding phenylpropanoid biosynthetic genes and 21 cDNAs encoding triterpene biosynthetic genes were isolated from mulberry. The expression levels of genes involved in these biosynthetic pathways and the accumulation of rutin, betulin, and betulinic acid, important secondary metabolites, were investigated in different plant organs. Most phenylpropanoid and triterpene biosynthetic genes were highly expressed in leaves and/or fruit, and most genes were downregulated during fruit ripening. The accumulation of rutin was more than fivefold higher in leaves than in other organs, and higher levels of betulin and betulinic acid were found in roots and leaves than in fruit. By comparing the contents of these compounds with gene expression levels, we speculate that MaUGT78D1 and MaLUS play important regulatory roles in the rutin and betulin biosynthetic pathways.","author":[{"dropping-particle":"","family":"Zhao","given":"Shicheng","non-dropping-particle":"","parse-names":false,"suffix":""},{"dropping-particle":"","family":"Park","given":"Chang Ha","non-dropping-particle":"","parse-names":false,"suffix":""},{"dropping-particle":"","family":"Li","given":"Xiaohua","non-dropping-particle":"","parse-names":false,"suffix":""},{"dropping-particle":"","family":"Kim","given":"Yeon Bok","non-dropping-particle":"","parse-names":false,"suffix":""},{"dropping-particle":"","family":"Yang","given":"Jingli","non-dropping-particle":"","parse-names":false,"suffix":""},{"dropping-particle":"","family":"Sung","given":"Gyoo Byung","non-dropping-particle":"","parse-names":false,"suffix":""},{"dropping-particle":"Il","family":"Park","given":"Nam","non-dropping-particle":"","parse-names":false,"suffix":""},{"dropping-particle":"","family":"Kim","given":"Soonok","non-dropping-particle":"","parse-names":false,"suffix":""},{"dropping-particle":"","family":"Park","given":"Sang Un","non-dropping-particle":"","parse-names":false,"suffix":""}],"container-title":"Journal of agricultural and food chemistry","id":"ITEM-2","issue":"38","issued":{"date-parts":[["2015","9","30"]]},"page":"8622-8630","publisher":"J Agric Food Chem","title":"Accumulation of Rutin and Betulinic Acid and Expression of Phenylpropanoid and Triterpenoid Biosynthetic Genes in Mulberry (Morus alba L.)","type":"article-journal","volume":"63"},"uris":["http://www.mendeley.com/documents/?uuid=ff6fc983-8aea-38f5-8139-428e90fc9cb9"]},{"id":"ITEM-3","itemData":{"DOI":"10.1021/ACS.JAFC.6B01461","ISSN":"1520-5118","PMID":"27115720","abstract":"Mulberry, the fruit of Morus alba L.; is known as an edible fruit and commonly used in Chinese medicines as a warming agent and as a sedative, tonic, laxative, odontalgic, expectorant, anthelmintic, and emetic. Systemic investigation of the chemical constituents of M. alba fruits led to the identification of a novel oxolane derivative, (R</w:instrText>
      </w:r>
      <w:r w:rsidR="00724290" w:rsidRPr="004A69E4">
        <w:rPr>
          <w:rFonts w:ascii="Cambria Math" w:hAnsi="Cambria Math" w:cs="Cambria Math"/>
          <w:bCs/>
          <w:iCs/>
          <w:sz w:val="20"/>
        </w:rPr>
        <w:instrText>∗</w:instrText>
      </w:r>
      <w:r w:rsidR="00724290" w:rsidRPr="004A69E4">
        <w:rPr>
          <w:rFonts w:ascii="Times New Roman" w:hAnsi="Times New Roman"/>
          <w:bCs/>
          <w:iCs/>
          <w:sz w:val="20"/>
        </w:rPr>
        <w:instrText>)-2-((2S</w:instrText>
      </w:r>
      <w:r w:rsidR="00724290" w:rsidRPr="004A69E4">
        <w:rPr>
          <w:rFonts w:ascii="Cambria Math" w:hAnsi="Cambria Math" w:cs="Cambria Math"/>
          <w:bCs/>
          <w:iCs/>
          <w:sz w:val="20"/>
        </w:rPr>
        <w:instrText>∗</w:instrText>
      </w:r>
      <w:r w:rsidR="00724290" w:rsidRPr="004A69E4">
        <w:rPr>
          <w:rFonts w:ascii="Times New Roman" w:hAnsi="Times New Roman"/>
          <w:bCs/>
          <w:iCs/>
          <w:sz w:val="20"/>
        </w:rPr>
        <w:instrText>,3R</w:instrText>
      </w:r>
      <w:r w:rsidR="00724290" w:rsidRPr="004A69E4">
        <w:rPr>
          <w:rFonts w:ascii="Cambria Math" w:hAnsi="Cambria Math" w:cs="Cambria Math"/>
          <w:bCs/>
          <w:iCs/>
          <w:sz w:val="20"/>
        </w:rPr>
        <w:instrText>∗</w:instrText>
      </w:r>
      <w:r w:rsidR="00724290" w:rsidRPr="004A69E4">
        <w:rPr>
          <w:rFonts w:ascii="Times New Roman" w:hAnsi="Times New Roman"/>
          <w:bCs/>
          <w:iCs/>
          <w:sz w:val="20"/>
        </w:rPr>
        <w:instrText>)-tetrahydro-2-hydroxy-2-methylfuran-3-yl)propanoic acid (1), namely, odisolane, along with five known heterocyclic compounds (2-6). The structure of the new compound was elucidated on the basis of HR-MS, 1D and 2D NMR (1H-1H COSY, HSQC, HMBC, and NOESY) data analysis. Compound 1 has a novel skeleton that consists of 8 carbon units with an oxolane ring, which until now has never been identified in natural products. The isolated compounds were subjected to several activity tests to verify their biological function. Among them, compounds 1, 3, and 5 significantly inhibited cord formation in HUVECs. The action mechanism of compound 3, which had the strongest antiangiogenic activity, was mediated by decreasing VEGF, p-Akt, and p-ERK protein expression. These results suggest that compounds isolated from M. alba fruits might be beneficial in antiangiogenesis therapy for cancer treatment.","author":[{"dropping-particle":"","family":"Lee","given":"Seoung Rak","non-dropping-particle":"","parse-names":false,"suffix":""},{"dropping-particle":"","family":"Park","given":"Jun Yeon","non-dropping-particle":"","parse-names":false,"suffix":""},{"dropping-particle":"","family":"Yu","given":"Jae Sik","non-dropping-particle":"","parse-names":false,"suffix":""},{"dropping-particle":"","family":"Lee","given":"Sung Ok","non-dropping-particle":"","parse-names":false,"suffix":""},{"dropping-particle":"","family":"Ryu","given":"Ja Young","non-dropping-particle":"","parse-names":false,"suffix":""},{"dropping-particle":"","family":"Choi","given":"Sang Zin","non-dropping-particle":"","parse-names":false,"suffix":""},{"dropping-particle":"","family":"Kang","given":"Ki Sung","non-dropping-particle":"","parse-names":false,"suffix":""},{"dropping-particle":"","family":"Yamabe","given":"Noriko","non-dropping-particle":"","parse-names":false,"suffix":""},{"dropping-particle":"","family":"Kim","given":"Ki Hyun","non-dropping-particle":"","parse-names":false,"suffix":""}],"container-title":"Journal of agricultural and food chemistry","id":"ITEM-3","issue":"19","issued":{"date-parts":[["2016","5","18"]]},"page":"3804-3809","publisher":"J Agric Food Chem","title":"Odisolane, a Novel Oxolane Derivative, and Antiangiogenic Constituents from the Fruits of Mulberry (Morus alba L.)","type":"article-journal","volume":"64"},"uris":["http://www.mendeley.com/documents/?uuid=13f77b8e-7f8d-3978-829e-95d4ad90b4d6"]},{"id":"ITEM-4","itemData":{"DOI":"10.1111/j.1365-2621.2006.tb12382.x","ISSN":"00221147","abstract":"Extracts of mulberry fruits (Morus sp.) were prepared from 8 cultivars harvested at 4 stages of maturity, and their radical-scavenging activity, anthocyanin content, and total phenolic content were measured. The radical-scavenging activity was evaluated by a spectrophotometric assay using the 1,1-diphenyl-2-picrylhydrazyl radical (DPPHasterisk inside a circle sign) in a 96-well microplate. Mulberry fruit extracts exhibited the DPPHasterisk inside a circle sign-scavenging activities, ranging from 2.5 to 20.3 μmol-Trolox equiv/g-FW. Their activities were variable during maturation, and the highest activity was observed in the fully mature mulberry fruit in all cultivars. Anthocyania was scarcely present in the immature mulberry fruits; however, its content increased as the fruit matured in all cultivars. On the other hand, all immature mulberry fruits contained non-anthocyanin phenolic compound. An on-line high-performance liquid chromatography (HPLC) method for the detection of DPPHasterisk inside a circle sign-scavenging compounds revealed the difference in predominant radical scavengers between the immature and fully mature stages in the Miran 5 cultivar. Four major radical scavengers in the Miran 5 cultivar were assigned to 2 caffeoylquinic acids (chlorogenic acid and its isomer) and 2 anthocyanins (cyanidin 3-glucoside and cyanidin 3-rutinoside) in the immature and fully mature stages, respectively, by LC-ESI-MS/MS analysis. The change in the content of 4 compounds in mulberry fruits during maturation demonstrated that the most likely contributors to the DPPHasterisk inside a circle sign-scavenging activity were caffeoylquinic acids in the immature mulberry and anthocyanins in the mature and fully mature mulberry. © 2006 Institute of Food Technologists.","author":[{"dropping-particle":"","family":"Oki","given":"Tomoyuki","non-dropping-particle":"","parse-names":false,"suffix":""},{"dropping-particle":"","family":"Kobayashi","given":"Mio","non-dropping-particle":"","parse-names":false,"suffix":""},{"dropping-particle":"","family":"Nakamura","given":"Taeko","non-dropping-particle":"","parse-names":false,"suffix":""},{"dropping-particle":"","family":"Okuyama","given":"Akiko","non-dropping-particle":"","parse-names":false,"suffix":""},{"dropping-particle":"","family":"Masuda","given":"Mami","non-dropping-particle":"","parse-names":false,"suffix":""},{"dropping-particle":"","family":"Shiratsuchi","given":"Hideki","non-dropping-particle":"","parse-names":false,"suffix":""},{"dropping-particle":"","family":"Suda","given":"Ikuo","non-dropping-particle":"","parse-names":false,"suffix":""}],"container-title":"Journal of Food Science","id":"ITEM-4","issue":"1","issued":{"date-parts":[["2006"]]},"title":"Changes in radical-scavenging activity and components of mulberry fruit during maturation","type":"article-journal","volume":"71"},"uris":["http://www.mendeley.com/documents/?uuid=fad3c789-f285-48ab-b580-8c39066dcd26"]},{"id":"ITEM-5","itemData":{"DOI":"10.1016/J.BMCL.2015.04.045","ISSN":"1464-3405","PMID":"25935644","abstract":"Abstract The leaves of Morus alba (Moraceae) have been traditionally used for the treatment of metabolic diseases including diabetes and hyperlipidemia. Thus, inhibitory effect of M. alba leaves on pancreatic lipase and their active constituents were investigated in this study. Twenty phenolic compounds including ten flavonoids, eight benzofurans, one stilbene and one chalcones were isolated from the leaves of M. alba. Among the isolated compounds, morachalcone A (20) exerted strong pancreatic lipase inhibition with IC50 value of 6.2 μM. Other phenolic compounds containing a prenyl group showed moderate pancreatic lipase inhibition with IC50 value of &lt;50 μM. Next, extraction conditions with maximum pancreatic lipase inhibition and phenolic content were optimized using response surface methodology with three-level-three-factor Box-Behnken design. Our results suggested the optimized extraction condition for maximum pancreatic lipase inhibition and phenolic content as ethanol concentration of 74.9%; temperature 57.4°C and sample/solvent ratio, 1/10. The pancreatic lipase inhibition and total phenolic content under optimized condition were found to be 58.5% and 26.2 μg GAE (gallic acid equivalent)/mg extract, respectively, which were well matched with the predicted value.","author":[{"dropping-particle":"","family":"Jeong","given":"Ji Yeon","non-dropping-particle":"","parse-names":false,"suffix":""},{"dropping-particle":"","family":"Jo","given":"Yang Hee","non-dropping-particle":"","parse-names":false,"suffix":""},{"dropping-particle":"","family":"Kim","given":"Seon Beom","non-dropping-particle":"","parse-names":false,"suffix":""},{"dropping-particle":"","family":"Liu","given":"Qing","non-dropping-particle":"","parse-names":false,"suffix":""},{"dropping-particle":"","family":"Lee","given":"Jin Woo","non-dropping-particle":"","parse-names":false,"suffix":""},{"dropping-particle":"","family":"Mo","given":"Eun Jin","non-dropping-particle":"","parse-names":false,"suffix":""},{"dropping-particle":"","family":"Lee","given":"Ki Yong","non-dropping-particle":"","parse-names":false,"suffix":""},{"dropping-particle":"","family":"Hwang","given":"Bang Yeon","non-dropping-particle":"","parse-names":false,"suffix":""},{"dropping-particle":"","family":"Lee","given":"Mi Kyeong","non-dropping-particle":"","parse-names":false,"suffix":""}],"container-title":"Bioorganic &amp; medicinal chemistry letters","id":"ITEM-5","issue":"11","issued":{"date-parts":[["2015","6","1"]]},"page":"2269-2274","publisher":"Bioorg Med Chem Lett","title":"Pancreatic lipase inhibitory constituents from Morus alba leaves and optimization for extraction conditions","type":"article-journal","volume":"25"},"uris":["http://www.mendeley.com/documents/?uuid=2fdf5894-f184-3f5d-9c71-b74b546b3c8e"]}],"mendeley":{"formattedCitation":"[15–19]","plainTextFormattedCitation":"[15–19]","previouslyFormattedCitation":"[14–18]"},"properties":{"noteIndex":0},"schema":"https://github.com/citation-style-language/schema/raw/master/csl-citation.json"}</w:instrText>
      </w:r>
      <w:r w:rsidRPr="004A69E4">
        <w:rPr>
          <w:rFonts w:ascii="Times New Roman" w:hAnsi="Times New Roman"/>
          <w:bCs/>
          <w:iCs/>
          <w:sz w:val="20"/>
        </w:rPr>
        <w:fldChar w:fldCharType="separate"/>
      </w:r>
      <w:r w:rsidR="00724290" w:rsidRPr="004A69E4">
        <w:rPr>
          <w:rFonts w:ascii="Times New Roman" w:hAnsi="Times New Roman"/>
          <w:bCs/>
          <w:iCs/>
          <w:noProof/>
          <w:sz w:val="20"/>
        </w:rPr>
        <w:t>[15–19]</w:t>
      </w:r>
      <w:r w:rsidRPr="004A69E4">
        <w:rPr>
          <w:rFonts w:ascii="Times New Roman" w:hAnsi="Times New Roman"/>
          <w:sz w:val="20"/>
        </w:rPr>
        <w:fldChar w:fldCharType="end"/>
      </w:r>
    </w:p>
    <w:p w14:paraId="7778C36D" w14:textId="7584CD4E" w:rsidR="00291EBD" w:rsidRPr="004A69E4" w:rsidRDefault="00291EBD" w:rsidP="00291EBD">
      <w:pPr>
        <w:pStyle w:val="P1"/>
        <w:spacing w:line="360" w:lineRule="auto"/>
        <w:jc w:val="both"/>
        <w:rPr>
          <w:rFonts w:ascii="Times New Roman" w:hAnsi="Times New Roman"/>
          <w:bCs/>
          <w:sz w:val="20"/>
          <w:lang w:val="de-DE"/>
        </w:rPr>
      </w:pPr>
      <w:r w:rsidRPr="004A69E4">
        <w:rPr>
          <w:rFonts w:ascii="Times New Roman" w:hAnsi="Times New Roman"/>
          <w:bCs/>
          <w:sz w:val="20"/>
          <w:lang w:val="de-DE"/>
        </w:rPr>
        <w:t xml:space="preserve">The MeOH extract of </w:t>
      </w:r>
      <w:r w:rsidRPr="004A69E4">
        <w:rPr>
          <w:rFonts w:ascii="Times New Roman" w:hAnsi="Times New Roman"/>
          <w:bCs/>
          <w:i/>
          <w:iCs/>
          <w:sz w:val="20"/>
          <w:lang w:val="de-DE"/>
        </w:rPr>
        <w:t>K. parviflora</w:t>
      </w:r>
      <w:r w:rsidRPr="004A69E4">
        <w:rPr>
          <w:rFonts w:ascii="Times New Roman" w:hAnsi="Times New Roman"/>
          <w:bCs/>
          <w:sz w:val="20"/>
          <w:lang w:val="de-DE"/>
        </w:rPr>
        <w:t xml:space="preserve"> rhizomes was sequentially subjected to solvent partitioning with four organic solvents, namely hexane, dichloromethane, ethyl acetate, and </w:t>
      </w:r>
      <w:r w:rsidRPr="004A69E4">
        <w:rPr>
          <w:rFonts w:ascii="Times New Roman" w:hAnsi="Times New Roman"/>
          <w:bCs/>
          <w:i/>
          <w:sz w:val="20"/>
          <w:lang w:val="de-DE"/>
        </w:rPr>
        <w:t>n</w:t>
      </w:r>
      <w:r w:rsidRPr="004A69E4">
        <w:rPr>
          <w:rFonts w:ascii="Times New Roman" w:hAnsi="Times New Roman"/>
          <w:bCs/>
          <w:sz w:val="20"/>
          <w:lang w:val="de-DE"/>
        </w:rPr>
        <w:t xml:space="preserve">-butanol, yielding four fractions. The LC-MS-based analysis of each fraction was conducted using an in-house UV library database, which verified that the </w:t>
      </w:r>
      <w:r w:rsidRPr="004A69E4">
        <w:rPr>
          <w:rFonts w:ascii="Times New Roman" w:hAnsi="Times New Roman"/>
          <w:bCs/>
          <w:iCs/>
          <w:sz w:val="20"/>
          <w:lang w:val="de-DE"/>
        </w:rPr>
        <w:t>hexane</w:t>
      </w:r>
      <w:r w:rsidRPr="004A69E4">
        <w:rPr>
          <w:rFonts w:ascii="Times New Roman" w:hAnsi="Times New Roman"/>
          <w:bCs/>
          <w:sz w:val="20"/>
          <w:lang w:val="de-DE"/>
        </w:rPr>
        <w:t xml:space="preserve">-soluble fraction was rich in flavonoids. Phytochemical investigation of the </w:t>
      </w:r>
      <w:r w:rsidRPr="004A69E4">
        <w:rPr>
          <w:rFonts w:ascii="Times New Roman" w:hAnsi="Times New Roman"/>
          <w:bCs/>
          <w:iCs/>
          <w:sz w:val="20"/>
          <w:lang w:val="de-DE"/>
        </w:rPr>
        <w:t>hexane</w:t>
      </w:r>
      <w:r w:rsidRPr="004A69E4">
        <w:rPr>
          <w:rFonts w:ascii="Times New Roman" w:hAnsi="Times New Roman"/>
          <w:bCs/>
          <w:sz w:val="20"/>
          <w:lang w:val="de-DE"/>
        </w:rPr>
        <w:t>-soluble fraction using repeated column chromatography and semi-preparative high-performance liquid chromatography (HPLC) separation led to the isolation of 12 methoxyflavones (</w:t>
      </w:r>
      <w:r w:rsidRPr="004A69E4">
        <w:rPr>
          <w:rFonts w:ascii="Times New Roman" w:hAnsi="Times New Roman"/>
          <w:b/>
          <w:sz w:val="20"/>
          <w:lang w:val="de-DE"/>
        </w:rPr>
        <w:t>K-1 – K-12</w:t>
      </w:r>
      <w:r w:rsidRPr="004A69E4">
        <w:rPr>
          <w:rFonts w:ascii="Times New Roman" w:hAnsi="Times New Roman"/>
          <w:bCs/>
          <w:sz w:val="20"/>
          <w:lang w:val="de-DE"/>
        </w:rPr>
        <w:t>) (Figure 1). The isolated methoxyflavones were structurally characterized as 5-hydroxy-7-methoxyflavone (</w:t>
      </w:r>
      <w:r w:rsidRPr="004A69E4">
        <w:rPr>
          <w:rFonts w:ascii="Times New Roman" w:hAnsi="Times New Roman"/>
          <w:b/>
          <w:sz w:val="20"/>
          <w:lang w:val="de-DE"/>
        </w:rPr>
        <w:t>K-1</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{"citationItems":[{"id":"ITEM-1","itemData":{"DOI":"10.1007/BF02976690","ISSN":"0253-6269","PMID":"12785729","abstract":"5,7-Dihydroxyflavones and their O-methylated flavone analogs were prepared and evaluated their anti-inflammatory ac</w:instrText>
      </w:r>
      <w:r w:rsidR="00724290" w:rsidRPr="004A69E4">
        <w:rPr>
          <w:rFonts w:ascii="Times New Roman" w:hAnsi="Times New Roman" w:hint="eastAsia"/>
          <w:bCs/>
          <w:sz w:val="20"/>
          <w:lang w:val="de-DE"/>
        </w:rPr>
        <w:instrText>tivity to decipher the structure-activity relationships. Most of the analogs were achieved from 2,4,6-trihydroxyacetophenone in 4 steps. 5,7-Dihydroxy-4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-methoxyflavone (4c) and 7-hydroxy-4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,5-dimethoxyflavone(6c) were prepared following a different synth</w:instrText>
      </w:r>
      <w:r w:rsidR="00724290" w:rsidRPr="004A69E4">
        <w:rPr>
          <w:rFonts w:ascii="Times New Roman" w:hAnsi="Times New Roman"/>
          <w:bCs/>
          <w:sz w:val="20"/>
          <w:lang w:val="de-DE"/>
        </w:rPr>
        <w:instrText>etic pathway. Among the synthetic flavones tested, 5-hydroxy-7-methoxyflavone analogs (3a-3e) showed moderate inhibitory activities of PGE2 production from LPS-induced RAW 264.7 cells.","author":[{"dropping-particle":"","family":"Tran","given":"Thanh Dao","non-dropping-particle":"","parse-names":false,"suffix":""},{"dropping-particle":"","family":"Yeon","given":"Sook Chi","non-dropping-particle":"","parse-names":false,"suffix":""},{"dropping-particle":"","family":"Kim","given":"Jeongsoo","non-dropping-particle":"","parse-names":false,"suffix":""},{"dropping-particle":"","family":"Hyun","given":"Pyo Kim","non-dropping-particle":"","parse-names":false,"suffix":""},{"dropping-particle":"","family":"Kim","given":"Sanghee","non-dropping-particle":"","parse-names":false,"suffix":""},{"dropping-particle":"","family":"Park","given":"Haeil","non-dropping-particle":"","parse-names":false,"suffix":""}],"container-title":"Archives of pharmacal research","id":"ITEM-1","issue":"5","issued":{"date-parts":[["2003","5","31"]]},"page":"345-350","publisher":"Arch Pharm Res","title":"Synthesis and PGE2 inhibitory activity of 5,7-dihydroxyflavones and their O-methylated flavone analogs","type":"article-journal","volume":"26"},"uris":["http://www.mendeley.com/documents/?uuid=18c79e3f-949b-387e-b3c8-3d56832d9a43"]}],"mendeley":{"formattedCitation":"[20]","plainTextFormattedCitation":"[20]","previouslyFormattedCitation":"[19]"},"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[20]</w:t>
      </w:r>
      <w:r w:rsidRPr="004A69E4">
        <w:rPr>
          <w:rFonts w:ascii="Times New Roman" w:hAnsi="Times New Roman"/>
          <w:sz w:val="20"/>
        </w:rPr>
        <w:fldChar w:fldCharType="end"/>
      </w:r>
      <w:r w:rsidRPr="004A69E4">
        <w:rPr>
          <w:rFonts w:ascii="Times New Roman" w:hAnsi="Times New Roman"/>
          <w:bCs/>
          <w:sz w:val="20"/>
          <w:vertAlign w:val="superscript"/>
          <w:lang w:val="de-DE"/>
        </w:rPr>
        <w:t xml:space="preserve"> </w:t>
      </w:r>
      <w:r w:rsidRPr="004A69E4">
        <w:rPr>
          <w:rFonts w:ascii="Times New Roman" w:hAnsi="Times New Roman"/>
          <w:bCs/>
          <w:sz w:val="20"/>
          <w:lang w:val="de-DE"/>
        </w:rPr>
        <w:t>3,7-dimethoxy-5-hydroxyflavone</w:t>
      </w:r>
      <w:r w:rsidRPr="004A69E4">
        <w:rPr>
          <w:rFonts w:ascii="Times New Roman" w:hAnsi="Times New Roman"/>
          <w:bCs/>
          <w:sz w:val="20"/>
          <w:vertAlign w:val="superscript"/>
          <w:lang w:val="de-DE"/>
        </w:rPr>
        <w:t xml:space="preserve"> </w:t>
      </w:r>
      <w:r w:rsidRPr="004A69E4">
        <w:rPr>
          <w:rFonts w:ascii="Times New Roman" w:hAnsi="Times New Roman"/>
          <w:bCs/>
          <w:sz w:val="20"/>
          <w:lang w:val="de-DE"/>
        </w:rPr>
        <w:t>(</w:t>
      </w:r>
      <w:r w:rsidRPr="004A69E4">
        <w:rPr>
          <w:rFonts w:ascii="Times New Roman" w:hAnsi="Times New Roman"/>
          <w:b/>
          <w:sz w:val="20"/>
          <w:lang w:val="de-DE"/>
        </w:rPr>
        <w:t>K-2</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{"citationItems":[{"id":"ITEM-1","itemData":{"DOI":"10.1021/NP100014J","ISSN":"1520-6025","PMID":"20704331","abstract":"Bioassay-guided fractionation led to the isolation of six new tetrahydroflavanones, cryptochinones A-F (1-6), from the neutral CHCl 3 fraction of Cryptocarya chinensis leaves, together with 14 known compounds (7-20). The structures of these new compounds were determined through spectroscopic analyses, including 2D-NMR, MS, CD, and X-ray crystallographic analysis. Among the isolates, infectocaryone (7) showed cytotoxic activities with IC50 values of 11.0 and 3.7 μM against NCI-H460 and SF-268 cell lines, respectively, and cryptocaryanone A (9) showed cytotoxic activities with IC50 values of 5.1, 4.3, and 5.0 μM against MCF-7, NCI-H460, and SF-268 cell lines, respectively. © 2010 The American Chemical Society and American Society of Pharmacognosy.","author":[{"dropping-particle":"","family":"Chou","given":"Tsung Hsien","non-dropping-particle":"","parse-names":false,"suffix":""},{"dropping-particle":"","family":"Chen","given":"Jih Jung","non-dropping-particle":"","parse-names":false,"suffix":""},{"dropping-particle":"","family":"Lee","given":"Shiow Ju","non-dropping-particle":"","parse-names":false,"suffix":""},{"dropping-particle":"","family":"Chiang","given":"Michael Y.","non-dropping-particle":"","parse-names":false,"suffix":""},{"dropping-particle":"","family":"Yang","given":"Cheng Wei","non-dropping-particle":"","parse-names":false,"suffix":""},{"dropping-particle":"","family":"Chen","given":"Ih Sheng","non-dropping-particle":"","parse-names":false,"suffix":""}],"container-title":"Journal of natural products","id":"ITEM-1","issue":"9","issued":{"date-parts":[["2010","9","24"]]},"page":"1470-1475","publisher":"J Nat Prod","title":"Cytotoxic flavonoids from the leaves of Cryptocarya chinensis","type":"article-journal","volume":"73"},"uris":["http://www.mendeley.com/documents/?uuid=a1f2671d-8f23-312b-b28b-e7d1f676c85c"]}],"mendeley":{"formattedCitation":"[21]","plainTextFormattedCitation":"[21]","previouslyFormattedCitation":"[20]"},"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[21]</w:t>
      </w:r>
      <w:r w:rsidRPr="004A69E4">
        <w:rPr>
          <w:rFonts w:ascii="Times New Roman" w:hAnsi="Times New Roman"/>
          <w:sz w:val="20"/>
        </w:rPr>
        <w:fldChar w:fldCharType="end"/>
      </w:r>
      <w:r w:rsidRPr="004A69E4">
        <w:rPr>
          <w:rFonts w:ascii="Times New Roman" w:hAnsi="Times New Roman"/>
          <w:bCs/>
          <w:sz w:val="20"/>
          <w:lang w:val="de-DE"/>
        </w:rPr>
        <w:t xml:space="preserve"> 5,7,4′-trimethoxyflavone (</w:t>
      </w:r>
      <w:r w:rsidRPr="004A69E4">
        <w:rPr>
          <w:rFonts w:ascii="Times New Roman" w:hAnsi="Times New Roman"/>
          <w:b/>
          <w:bCs/>
          <w:sz w:val="20"/>
          <w:lang w:val="de-DE"/>
        </w:rPr>
        <w:t>K-3</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{"citationItems":[{"id":"ITEM-1","itemData":{"DOI":"10.1007/BF02976690","ISSN":"0253-6269","PMID":"12785729","abstract":"5,7-Dihydroxyflavones and their O-methylated flavone analogs were prepared and evaluated their anti-inflammatory ac</w:instrText>
      </w:r>
      <w:r w:rsidR="00724290" w:rsidRPr="004A69E4">
        <w:rPr>
          <w:rFonts w:ascii="Times New Roman" w:hAnsi="Times New Roman" w:hint="eastAsia"/>
          <w:bCs/>
          <w:sz w:val="20"/>
          <w:lang w:val="de-DE"/>
        </w:rPr>
        <w:instrText>tivity to decipher the structure-activity relationships. Most of the analogs were achieved from 2,4,6-trihydroxyacetophenone in 4 steps. 5,7-Dihydroxy-4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-methoxyflavone (4c) and 7-hydroxy-4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,5-dimethoxyflavone(6c) were prepared following a different synth</w:instrText>
      </w:r>
      <w:r w:rsidR="00724290" w:rsidRPr="004A69E4">
        <w:rPr>
          <w:rFonts w:ascii="Times New Roman" w:hAnsi="Times New Roman"/>
          <w:bCs/>
          <w:sz w:val="20"/>
          <w:lang w:val="de-DE"/>
        </w:rPr>
        <w:instrText>etic pathway. Among the synthetic flavones tested, 5-hydroxy-7-methoxyflavone analogs (3a-3e) showed moderate inhibitory activities of PGE2 production from LPS-induced RAW 264.7 cells.","author":[{"dropping-particle":"","family":"Tran","given":"Thanh Dao","non-dropping-particle":"","parse-names":false,"suffix":""},{"dropping-particle":"","family":"Yeon","given":"Sook Chi","non-dropping-particle":"","parse-names":false,"suffix":""},{"dropping-particle":"","family":"Kim","given":"Jeongsoo","non-dropping-particle":"","parse-names":false,"suffix":""},{"dropping-particle":"","family":"Hyun","given":"Pyo Kim","non-dropping-particle":"","parse-names":false,"suffix":""},{"dropping-particle":"","family":"Kim","given":"Sanghee","non-dropping-particle":"","parse-names":false,"suffix":""},{"dropping-particle":"","family":"Park","given":"Haeil","non-dropping-particle":"","parse-names":false,"suffix":""}],"container-title":"Archives of pharmacal research","id":"ITEM-1","issue":"5","issued":{"date-parts":[["2003","5","31"]]},"page":"345-350","publisher":"Arch Pharm Res","title":"Synthesis and PGE2 inhibitory activity of 5,7-dihydroxyflavones and their O-methylated flavone analogs","type":"article-journal","volume":"26"},"uris":["http://www.mendeley.com/documents/?uuid=18c79e3f-949b-387e-b3c8-3d56832d9a43"]}],"mendeley":{"formattedCitation":"[20]","plainTextFormattedCitation":"[20]","previouslyFormattedCitation":"[19]"},"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[20]</w:t>
      </w:r>
      <w:r w:rsidRPr="004A69E4">
        <w:rPr>
          <w:rFonts w:ascii="Times New Roman" w:hAnsi="Times New Roman"/>
          <w:sz w:val="20"/>
        </w:rPr>
        <w:fldChar w:fldCharType="end"/>
      </w:r>
      <w:r w:rsidRPr="004A69E4">
        <w:rPr>
          <w:rFonts w:ascii="Times New Roman" w:hAnsi="Times New Roman"/>
          <w:bCs/>
          <w:sz w:val="20"/>
          <w:lang w:val="de-DE"/>
        </w:rPr>
        <w:t xml:space="preserve"> 5-hydroxy-3,7,3′,4′-tetramethoxyflavone (</w:t>
      </w:r>
      <w:r w:rsidRPr="004A69E4">
        <w:rPr>
          <w:rFonts w:ascii="Times New Roman" w:hAnsi="Times New Roman"/>
          <w:b/>
          <w:bCs/>
          <w:sz w:val="20"/>
          <w:lang w:val="de-DE"/>
        </w:rPr>
        <w:t>K-4</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{"citationItems":[{"id":"ITEM-1","itemData":{"DOI":"10.1002/MRC.2510","ISSN":"1097-458X","PMID":"19728327","abstract":"Alkylated hydroxyflavothiones, namely flavothione, 5-hydroxyflavothione, 5,7-dihydroxyflavothione (chrysinthione), 7-</w:instrText>
      </w:r>
      <w:r w:rsidR="00724290" w:rsidRPr="004A69E4">
        <w:rPr>
          <w:rFonts w:ascii="Times New Roman" w:hAnsi="Times New Roman" w:hint="eastAsia"/>
          <w:bCs/>
          <w:sz w:val="20"/>
          <w:lang w:val="de-DE"/>
        </w:rPr>
        <w:instrText>dodecyloxy-5-hydroxyflavothione, 7-butyloxy-5-hydroxyflavothione, 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,3,4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,7-tetramethoxy-5- hydroxyflavothione, 3,3</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,7-tetramethoxy-5-hydroxyflavothione, 7-butyloxy-4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,5-dihydroxyflavothione and 7-butyloxy-4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 hydroxyflavanonethione have been synthes</w:instrText>
      </w:r>
      <w:r w:rsidR="00724290" w:rsidRPr="004A69E4">
        <w:rPr>
          <w:rFonts w:ascii="Times New Roman" w:hAnsi="Times New Roman"/>
          <w:bCs/>
          <w:sz w:val="20"/>
          <w:lang w:val="de-DE"/>
        </w:rPr>
        <w:instrText>ized from the corresponding hydroxyflavones in two steps, alkylation of the non-hydrogen-bonded hydroxyl groups by bromoalkanes or dimethyl sulfate followedby conversion of the carbonyl group to a thione using Lawesson's Reagent undermicrowave irradiation</w:instrText>
      </w:r>
      <w:r w:rsidR="00724290" w:rsidRPr="004A69E4">
        <w:rPr>
          <w:rFonts w:ascii="Times New Roman" w:hAnsi="Times New Roman" w:hint="eastAsia"/>
          <w:bCs/>
          <w:sz w:val="20"/>
          <w:lang w:val="de-DE"/>
        </w:rPr>
        <w:instrText xml:space="preserve"> and solvent-free conditions. Part of the alkylated flavanone, 7-butyloxy-4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 dihydroxyflavanone, was oxidized during the treatment with Lawesson's reagent to yield a second product 7-butyloxy-4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,5-dihydroxyflavothione in addition to the target product butyloxy-4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,5-hydroxyflavanonethione. Deuterium isotope effects on 13C chemical shifts have been measured in hydroxyflavones, isoflavones, flavanones and the thio analogs. Formal four-bond deuterium isotope effects on 13C chemical shifts, n</w:instrText>
      </w:r>
      <w:r w:rsidR="00724290" w:rsidRPr="004A69E4">
        <w:rPr>
          <w:rFonts w:ascii="Times New Roman" w:hAnsi="Times New Roman" w:hint="eastAsia"/>
          <w:bCs/>
          <w:sz w:val="20"/>
          <w:lang w:val="de-DE"/>
        </w:rPr>
        <w:instrText>Δ</w:instrText>
      </w:r>
      <w:r w:rsidR="00724290" w:rsidRPr="004A69E4">
        <w:rPr>
          <w:rFonts w:ascii="Times New Roman" w:hAnsi="Times New Roman" w:hint="eastAsia"/>
          <w:bCs/>
          <w:sz w:val="20"/>
          <w:lang w:val="de-DE"/>
        </w:rPr>
        <w:instrText>C= S(OD) are v</w:instrText>
      </w:r>
      <w:r w:rsidR="00724290" w:rsidRPr="004A69E4">
        <w:rPr>
          <w:rFonts w:ascii="Times New Roman" w:hAnsi="Times New Roman"/>
          <w:bCs/>
          <w:sz w:val="20"/>
          <w:lang w:val="de-DE"/>
        </w:rPr>
        <w:instrText>ery sensitive to variations in structures and substitution patterns. Density functional theory (DFT) calculations are carried out to obtain geometries. Correlations relating distances around the hydrogen bond system to the deuterium isotope effects on 13C chemical shifts are discussed. 13C chemical shifts are calculated by DFT methods. Effects of thiocarbonyl anisotropies are suggested. © 2009 John Wiley &amp; Sons, Ltd.","author":[{"dropping-particle":"","family":"Nguyen","given":"Tuyen Kim Pham","non-dropping-particle":"","parse-names":false,"suffix":""},{"dropping-particle":"","family":"Nguyen","given":"Kim Phi Phung","non-dropping-particle":"","parse-names":false,"suffix":""},{"dropping-particle":"","family":"Kamounah","given":"Fadhil S.","non-dropping-particle":"","parse-names":false,"suffix":""},{"dropping-particle":"","family":"Zhang","given":"Wei","non-dropping-particle":"","parse-names":false,"suffix":""},{"dropping-particle":"","family":"Hansen","given":"Poul Erik","non-dropping-particle":"","parse-names":false,"suffix":""}],"container-title":"Magnetic resonance in chemistry : MRC","id":"ITEM-1","issue":"12","issued":{"date-parts":[["2009","12"]]},"page":"1043-1054","publisher":"Magn Reson Chem","title":"NMR of a series of novel hydroxyflavothiones","type":"article-journal","volume":"47"},"uris":["http://www.mendeley.com/documents/?uuid=8c24fb5c-5ff1-3c9f-90e1-cadaeb2161a0"]}],"mendeley":{"formattedCitation":"[22]","plainTextFormattedCitation":"[22]","previouslyFormattedCitation":"[21]"},"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[22]</w:t>
      </w:r>
      <w:r w:rsidRPr="004A69E4">
        <w:rPr>
          <w:rFonts w:ascii="Times New Roman" w:hAnsi="Times New Roman"/>
          <w:sz w:val="20"/>
        </w:rPr>
        <w:fldChar w:fldCharType="end"/>
      </w:r>
      <w:r w:rsidRPr="004A69E4">
        <w:rPr>
          <w:rFonts w:ascii="Times New Roman" w:hAnsi="Times New Roman"/>
          <w:bCs/>
          <w:sz w:val="20"/>
          <w:lang w:val="de-DE"/>
        </w:rPr>
        <w:t xml:space="preserve"> </w:t>
      </w:r>
      <w:r w:rsidRPr="004A69E4">
        <w:rPr>
          <w:rFonts w:ascii="Times New Roman" w:hAnsi="Times New Roman"/>
          <w:bCs/>
          <w:i/>
          <w:iCs/>
          <w:sz w:val="20"/>
          <w:lang w:val="de-DE"/>
        </w:rPr>
        <w:t>trans</w:t>
      </w:r>
      <w:r w:rsidRPr="004A69E4">
        <w:rPr>
          <w:rFonts w:ascii="Times New Roman" w:hAnsi="Times New Roman"/>
          <w:bCs/>
          <w:sz w:val="20"/>
          <w:lang w:val="de-DE"/>
        </w:rPr>
        <w:t>-3-hydroxy-5,7-dimethoxyflavanone (</w:t>
      </w:r>
      <w:r w:rsidRPr="004A69E4">
        <w:rPr>
          <w:rFonts w:ascii="Times New Roman" w:hAnsi="Times New Roman"/>
          <w:b/>
          <w:bCs/>
          <w:sz w:val="20"/>
          <w:lang w:val="de-DE"/>
        </w:rPr>
        <w:t>K-5</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{"citationItems":[{"id":"ITEM-1","itemData":{"DOI":"10.1007/S10600-015-1313-9","ISSN":"1573-8388","abstract":"Five known isoflavonoids (6–8, 11, 16), one flavonoid (14), four hydroxybenzoic acids (1–4), and a new 7-O-β-D-glucopyranoside</w:instrText>
      </w:r>
      <w:r w:rsidR="00724290" w:rsidRPr="004A69E4">
        <w:rPr>
          <w:rFonts w:ascii="Times New Roman" w:hAnsi="Times New Roman" w:hint="eastAsia"/>
          <w:bCs/>
          <w:sz w:val="20"/>
          <w:lang w:val="de-DE"/>
        </w:rPr>
        <w:instrText xml:space="preserve"> of 5,7-dihydroxy-2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,6-dimethoxyisoflavone (5) were isolated from Iris pseudacorus roots and identified. The polyphenol contents in stems and roots of this plant were determined. The effect of 6, 8, 9, 11, 15, and 16 on the growth of colonies of HT-29 hum</w:instrText>
      </w:r>
      <w:r w:rsidR="00724290" w:rsidRPr="004A69E4">
        <w:rPr>
          <w:rFonts w:ascii="Times New Roman" w:hAnsi="Times New Roman"/>
          <w:bCs/>
          <w:sz w:val="20"/>
          <w:lang w:val="de-DE"/>
        </w:rPr>
        <w:instrText>an colon carcinoma cells was studied. It was shown that trans-3-hydroxy-5,7-dimethoxyflavanone (9) exhibited pronounced inhibition of tumor-cell colony formation at a dose of 25 μM.","author":[{"dropping-particle":"V.","family":"Tarbeeva","given":"D.","non-dropping-particle":"","parse-names":false,"suffix":""},{"dropping-particle":"","family":"Fedoreev","given":"S. A.","non-dropping-particle":"","parse-names":false,"suffix":""},{"dropping-particle":"V.","family":"Veselova","given":"M.","non-dropping-particle":"","parse-names":false,"suffix":""},{"dropping-particle":"","family":"Kalinovskii","given":"A. I.","non-dropping-particle":"","parse-names":false,"suffix":""},{"dropping-particle":"","family":"Gorovoi","given":"P. G.","non-dropping-particle":"","parse-names":false,"suffix":""},{"dropping-particle":"","family":"Vishchuk","given":"O. S.","non-dropping-particle":"","parse-names":false,"suffix":""},{"dropping-particle":"","family":"Ermakova","given":"S. P.","non-dropping-particle":"","parse-names":false,"suffix":""},{"dropping-particle":"","family":"Zadorozhnyi","given":"P. A.","non-dropping-particle":"","parse-names":false,"suffix":""}],"container-title":"Chemistry of Natural Compounds 2015 51:3","id":"ITEM-1","issue":"3","issued":{"date-parts":[["2015","6","2"]]},"page":"451-455","publisher":"Springer","title":"Polyphenolic Metabolites from Iris pseudacorus Roots","type":"article-journal","volume":"51"},"uris":["http://www.mendeley.com/documents/?uuid=d4cc44f3-4435-337f-bd9f-82a16e47512f"]}],"mendeley":{"formattedCitation":"[23]","plainTextFormattedCitation":"[23]","previouslyFormattedCitation":"[22]"},"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[23]</w:t>
      </w:r>
      <w:r w:rsidRPr="004A69E4">
        <w:rPr>
          <w:rFonts w:ascii="Times New Roman" w:hAnsi="Times New Roman"/>
          <w:sz w:val="20"/>
        </w:rPr>
        <w:fldChar w:fldCharType="end"/>
      </w:r>
      <w:r w:rsidRPr="004A69E4">
        <w:rPr>
          <w:rFonts w:ascii="Times New Roman" w:hAnsi="Times New Roman"/>
          <w:bCs/>
          <w:sz w:val="20"/>
          <w:lang w:val="de-DE"/>
        </w:rPr>
        <w:t xml:space="preserve"> 5,7-dimethoxyflavanone (</w:t>
      </w:r>
      <w:r w:rsidRPr="004A69E4">
        <w:rPr>
          <w:rFonts w:ascii="Times New Roman" w:hAnsi="Times New Roman"/>
          <w:b/>
          <w:bCs/>
          <w:sz w:val="20"/>
          <w:lang w:val="de-DE"/>
        </w:rPr>
        <w:t>K-6</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{"citationItems":[{"id":"ITEM-1","itemData":{"DOI":"10.1021/OL2004148","ISSN":"1523-7052","PMID":"21413690","abstract":"An efficient synthesis of bioactive chiral flavanones (1) was achieved through the αh-catalyzed asymmetric 1,4-addition of arylboronic acid to chromone. The reaction in toluene proceeded smoothly at room temperature in the presence of 0.5% Rh catalyst with electron-poor chiral diphosphine MeO-F 12-BIPHEP. In this reaction, the 1,2-addition to (S)-1 frequently occurred to yield (2S,4α)-2,4-diaryl-4-chromanol as a byproduct, which could be reduced by changing the reaction solvent to CH2C 12 to deactivate the Rh catalyst (3% required). © 2011 American Chemical Society.","author":[{"dropping-particle":"","family":"Korenaga","given":"Toshinobu","non-dropping-particle":"","parse-names":false,"suffix":""},{"dropping-particle":"","family":"Hayashi","given":"Keigo","non-dropping-particle":"","parse-names":false,"suffix":""},{"dropping-particle":"","family":"Akaki","given":"Yusuke","non-dropping-particle":"","parse-names":false,"suffix":""},{"dropping-particle":"","family":"Maenishi","given":"Ryota","non-dropping-particle":"","parse-names":false,"suffix":""},{"dropping-particle":"","family":"Sakai","given":"Takashi","non-dropping-particle":"","parse-names":false,"suffix":""}],"container-title":"Organic letters","id":"ITEM-1","issue":"8","issued":{"date-parts":[["2011","4","15"]]},"page":"2022-2025","publisher":"Org Lett","title":"Highly enantioselective and efficient synthesis of flavanones including pinostrobin through the rhodium-catalyzed asymmetric 1,4-addition","type":"article-journal","volume":"13"},"uris":["http://www.mendeley.com/documents/?uuid=99dbc2c4-0102-3ac5-aa79-fba2864c331c"]}],"mendeley":{"formattedCitation":"[24]","plainTextFormattedCitation":"[24]","previouslyFormattedCitation":"[23]"},"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[24]</w:t>
      </w:r>
      <w:r w:rsidRPr="004A69E4">
        <w:rPr>
          <w:rFonts w:ascii="Times New Roman" w:hAnsi="Times New Roman"/>
          <w:sz w:val="20"/>
        </w:rPr>
        <w:fldChar w:fldCharType="end"/>
      </w:r>
      <w:r w:rsidRPr="004A69E4">
        <w:rPr>
          <w:rFonts w:ascii="Times New Roman" w:hAnsi="Times New Roman"/>
          <w:bCs/>
          <w:sz w:val="20"/>
          <w:lang w:val="de-DE"/>
        </w:rPr>
        <w:t xml:space="preserve"> 7,4′-dimethylapigenin (</w:t>
      </w:r>
      <w:r w:rsidRPr="004A69E4">
        <w:rPr>
          <w:rFonts w:ascii="Times New Roman" w:hAnsi="Times New Roman"/>
          <w:b/>
          <w:bCs/>
          <w:sz w:val="20"/>
          <w:lang w:val="de-DE"/>
        </w:rPr>
        <w:t>K-7</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{"citationItems":[{"id":"ITEM-1","itemData":{"DOI":"10.1007/BF02976690","ISSN":"0253-6269","PMID":"12785729","abstract":"5,7-Dihydroxyflavones and their O-methylated flavone analogs were prepared and evaluated their anti-inflammatory ac</w:instrText>
      </w:r>
      <w:r w:rsidR="00724290" w:rsidRPr="004A69E4">
        <w:rPr>
          <w:rFonts w:ascii="Times New Roman" w:hAnsi="Times New Roman" w:hint="eastAsia"/>
          <w:bCs/>
          <w:sz w:val="20"/>
          <w:lang w:val="de-DE"/>
        </w:rPr>
        <w:instrText>tivity to decipher the structure-activity relationships. Most of the analogs were achieved from 2,4,6-trihydroxyacetophenone in 4 steps. 5,7-Dihydroxy-4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-methoxyflavone (4c) and 7-hydroxy-4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,5-dimethoxyflavone(6c) were prepared following a different synth</w:instrText>
      </w:r>
      <w:r w:rsidR="00724290" w:rsidRPr="004A69E4">
        <w:rPr>
          <w:rFonts w:ascii="Times New Roman" w:hAnsi="Times New Roman"/>
          <w:bCs/>
          <w:sz w:val="20"/>
          <w:lang w:val="de-DE"/>
        </w:rPr>
        <w:instrText>etic pathway. Among the synthetic flavones tested, 5-hydroxy-7-methoxyflavone analogs (3a-3e) showed moderate inhibitory activities of PGE2 production from LPS-induced RAW 264.7 cells.","author":[{"dropping-particle":"","family":"Tran","given":"Thanh Dao","non-dropping-particle":"","parse-names":false,"suffix":""},{"dropping-particle":"","family":"Yeon","given":"Sook Chi","non-dropping-particle":"","parse-names":false,"suffix":""},{"dropping-particle":"","family":"Kim","given":"Jeongsoo","non-dropping-particle":"","parse-names":false,"suffix":""},{"dropping-particle":"","family":"Hyun","given":"Pyo Kim","non-dropping-particle":"","parse-names":false,"suffix":""},{"dropping-particle":"","family":"Kim","given":"Sanghee","non-dropping-particle":"","parse-names":false,"suffix":""},{"dropping-particle":"","family":"Park","given":"Haeil","non-dropping-particle":"","parse-names":false,"suffix":""}],"container-title":"Archives of pharmacal research","id":"ITEM-1","issue":"5","issued":{"date-parts":[["2003","5","31"]]},"page":"345-350","publisher":"Arch Pharm Res","title":"Synthesis and PGE2 inhibitory activity of 5,7-dihydroxyflavones and their O-methylated flavone analogs","type":"article-journal","volume":"26"},"uris":["http://www.mendeley.com/documents/?uuid=18c79e3f-949b-387e-b3c8-3d56832d9a43"]}],"mendeley":{"formattedCitation":"[20]","plainTextFormattedCitation":"[20]","previouslyFormattedCitation":"[19]"},"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[20]</w:t>
      </w:r>
      <w:r w:rsidRPr="004A69E4">
        <w:rPr>
          <w:rFonts w:ascii="Times New Roman" w:hAnsi="Times New Roman"/>
          <w:sz w:val="20"/>
        </w:rPr>
        <w:fldChar w:fldCharType="end"/>
      </w:r>
      <w:r w:rsidRPr="004A69E4">
        <w:rPr>
          <w:rFonts w:ascii="Times New Roman" w:hAnsi="Times New Roman"/>
          <w:bCs/>
          <w:sz w:val="20"/>
          <w:lang w:val="de-DE"/>
        </w:rPr>
        <w:t xml:space="preserve"> 5,7-dimethoxyflavone (</w:t>
      </w:r>
      <w:r w:rsidRPr="004A69E4">
        <w:rPr>
          <w:rFonts w:ascii="Times New Roman" w:hAnsi="Times New Roman"/>
          <w:b/>
          <w:bCs/>
          <w:sz w:val="20"/>
          <w:lang w:val="de-DE"/>
        </w:rPr>
        <w:t>K-8</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{"citationItems":[{"id":"ITEM-1","itemData":{"DOI":"10.1007/BF02976690","ISSN":"0253-6269","PMID":"12785729","abstract":"5,7-Dihydroxyflavones and their O-methylated flavone analogs were prepared and evaluated their anti-inflammatory ac</w:instrText>
      </w:r>
      <w:r w:rsidR="00724290" w:rsidRPr="004A69E4">
        <w:rPr>
          <w:rFonts w:ascii="Times New Roman" w:hAnsi="Times New Roman" w:hint="eastAsia"/>
          <w:bCs/>
          <w:sz w:val="20"/>
          <w:lang w:val="de-DE"/>
        </w:rPr>
        <w:instrText>tivity to decipher the structure-activity relationships. Most of the analogs were achieved from 2,4,6-trihydroxyacetophenone in 4 steps. 5,7-Dihydroxy-4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-methoxyflavone (4c) and 7-hydroxy-4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,5-dimethoxyflavone(6c) were prepared following a different synth</w:instrText>
      </w:r>
      <w:r w:rsidR="00724290" w:rsidRPr="004A69E4">
        <w:rPr>
          <w:rFonts w:ascii="Times New Roman" w:hAnsi="Times New Roman"/>
          <w:bCs/>
          <w:sz w:val="20"/>
          <w:lang w:val="de-DE"/>
        </w:rPr>
        <w:instrText>etic pathway. Among the synthetic flavones tested, 5-hydroxy-7-methoxyflavone analogs (3a-3e) showed moderate inhibitory activities of PGE2 production from LPS-induced RAW 264.7 cells.","author":[{"dropping-particle":"","family":"Tran","given":"Thanh Dao","non-dropping-particle":"","parse-names":false,"suffix":""},{"dropping-particle":"","family":"Yeon","given":"Sook Chi","non-dropping-particle":"","parse-names":false,"suffix":""},{"dropping-particle":"","family":"Kim","given":"Jeongsoo","non-dropping-particle":"","parse-names":false,"suffix":""},{"dropping-particle":"","family":"Hyun","given":"Pyo Kim","non-dropping-particle":"","parse-names":false,"suffix":""},{"dropping-particle":"","family":"Kim","given":"Sanghee","non-dropping-particle":"","parse-names":false,"suffix":""},{"dropping-particle":"","family":"Park","given":"Haeil","non-dropping-particle":"","parse-names":false,"suffix":""}],"container-title":"Archives of pharmacal research","id":"ITEM-1","issue":"5","issued":{"date-parts":[["2003","5","31"]]},"page":"345-350","publisher":"Arch Pharm Res","title":"Synthesis and PGE2 inhibitory activity of 5,7-dihydroxyflavones and their O-methylated flavone analogs","type":"article-journal","volume":"26"},"uris":["http://www.mendeley.com/documents/?uuid=18c79e3f-949b-387e-b3c8-3d56832d9a43"]}],"mendeley":{"formattedCitation":"[20]","plainTextFormattedCitation":"[20]","previouslyFormattedCitation":"[19]"},"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[20]</w:t>
      </w:r>
      <w:r w:rsidRPr="004A69E4">
        <w:rPr>
          <w:rFonts w:ascii="Times New Roman" w:hAnsi="Times New Roman"/>
          <w:sz w:val="20"/>
        </w:rPr>
        <w:fldChar w:fldCharType="end"/>
      </w:r>
      <w:r w:rsidRPr="004A69E4">
        <w:rPr>
          <w:rFonts w:ascii="Times New Roman" w:hAnsi="Times New Roman"/>
          <w:bCs/>
          <w:sz w:val="20"/>
          <w:lang w:val="de-DE"/>
        </w:rPr>
        <w:t xml:space="preserve"> 3,5,7,4′-tetramethoxyflavone (</w:t>
      </w:r>
      <w:r w:rsidRPr="004A69E4">
        <w:rPr>
          <w:rFonts w:ascii="Times New Roman" w:hAnsi="Times New Roman"/>
          <w:b/>
          <w:bCs/>
          <w:sz w:val="20"/>
          <w:lang w:val="de-DE"/>
        </w:rPr>
        <w:t>K-9</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{"citationItems":[{"id":"ITEM-1","itemData":{"DOI":"10.1016/J.FOODCHEM.2010.12.074","ISSN":"0308-8146","PMID":"25213953","abstract":"Anti-inflammation-guided fractionation and purification were used to evaluate the bioactivity and components of adlay (Coix lachryma-jobi L. var. ma-yuen Stapf) bran. Results showed that the fraction with high phenolic and flavonoid contents from the ethanol extracts of adlay bran suppressed LPS-stimulated IL-6 and TNF-α secretions in a concentration-dependent manner in RAW 264.7 cells and murine peritoneal macrophages. Fifteen compounds, including a novel aurone derivative, two chromones, one dihydrochalcone, one chalcone, four flavanones, five flavones and one isoflavone, were isolated from the active fraction. The structure of the new compound was elucidated by spectroscopic methods, including 1D and 2D NMR and MS. All of the isolates are reported for the first time from adlay except naringenin. LC/MS was also provided as an analytical platform. Our results suggest that flavonoids in adlay bran, partially at least, contribute to its anti-inflammatory effect. Thus, adlay bran may be beneficial to the health of consumers. © 2010 Elsevier Ltd. All rights reserved.","author":[{"dropping-particle":"","family":"Chen","given":"Hong Jhang","non-dropping-particle":"","parse-names":false,"suffix":""},{"dropping-particle":"","family":"Chung","given":"Cheng Pei","non-dropping-particle":"","parse-names":false,"suffix":""},{"dropping-particle":"","family":"Chiang","given":"Wenchang","non-dropping-particle":"","parse-names":false,"suffix":""},{"dropping-particle":"","family":"Lin","given":"Yun Lian","non-dropping-particle":"","parse-names":false,"suffix":""}],"container-title":"Food chemistry","id":"ITEM-1","issue":"4","issued":{"date-parts":[["2011","6","15"]]},"page":"1741-1748","publisher":"Food Chem","title":"Anti-inflammatory effects and chemical study of a flavonoid-enriched fraction from adlay bran","type":"article-journal","volume":"126"},"uris":["http://www.mendeley.com/documents/?uuid=006278c6-daab-3e36-9e31-06d6990d12e7"]}],"mendeley":{"formattedCitation":"[25]","plainTextFormattedCitation":"[25]","previouslyFormattedCitation":"[24]"},"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[25]</w:t>
      </w:r>
      <w:r w:rsidRPr="004A69E4">
        <w:rPr>
          <w:rFonts w:ascii="Times New Roman" w:hAnsi="Times New Roman"/>
          <w:sz w:val="20"/>
        </w:rPr>
        <w:fldChar w:fldCharType="end"/>
      </w:r>
      <w:r w:rsidRPr="004A69E4">
        <w:rPr>
          <w:rFonts w:ascii="Times New Roman" w:hAnsi="Times New Roman"/>
          <w:bCs/>
          <w:sz w:val="20"/>
          <w:lang w:val="de-DE"/>
        </w:rPr>
        <w:t xml:space="preserve"> (-)-pinostrobin (</w:t>
      </w:r>
      <w:r w:rsidRPr="004A69E4">
        <w:rPr>
          <w:rFonts w:ascii="Times New Roman" w:hAnsi="Times New Roman"/>
          <w:b/>
          <w:bCs/>
          <w:sz w:val="20"/>
          <w:lang w:val="de-DE"/>
        </w:rPr>
        <w:t>K-10</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{"citationItems":[{"id":"ITEM-1","itemData":{"DOI":"10.1021/NP100014J","ISSN":"1520-6025","PMID":"20704331","abstract":"Bioassay-guided fractionation led to the isolation of six new tetrahydroflavanones, cryptochinones A-F (1-6), from the neutral CHCl 3 fraction of Cryptocarya chinensis leaves, together with 14 known compounds (7-20). The structures of these new compounds were determined through spectroscopic analyses, including 2D-NMR, MS, CD, and X-ray crystallographic analysis. Among the isolates, infectocaryone (7) showed cytotoxic activities with IC50 values of 11.0 and 3.7 μM against NCI-H460 and SF-268 cell lines, respectively, and cryptocaryanone A (9) showed cytotoxic activities with IC50 values of 5.1, 4.3, and 5.0 μM against MCF-7, NCI-H460, and SF-268 cell lines, respectively. © 2010 The American Chemical Society and American Society of Pharmacognosy.","author":[{"dropping-particle":"","family":"Chou","given":"Tsung Hsien","non-dropping-particle":"","parse-names":false,"suffix":""},{"dropping-particle":"","family":"Chen","given":"Jih Jung","non-dropping-particle":"","parse-names":false,"suffix":""},{"dropping-particle":"","family":"Lee","given":"Shiow Ju","non-dropping-particle":"","parse-names":false,"suffix":""},{"dropping-particle":"","family":"Chiang","given":"Michael Y.","non-dropping-particle":"","parse-names":false,"suffix":""},{"dropping-particle":"","family":"Yang","given":"Cheng Wei","non-dropping-particle":"","parse-names":false,"suffix":""},{"dropping-particle":"","family":"Chen","given":"Ih Sheng","non-dropping-particle":"","parse-names":false,"suffix":""}],"container-title":"Journal of natural products","id":"ITEM-1","issue":"9","issued":{"date-parts":[["2010","9","24"]]},"page":"1470-1475","publisher":"J Nat Prod","title":"Cytotoxic flavonoids from the leaves of Cryptocarya chinensis","type":"article-journal","volume":"73"},"uris":["http://www.mendeley.com/documents/?uuid=773cb80e-7a51-3fb0-b644-40453904856b"]}],"mendeley":{"formattedCitation":"[21]","plainTextFormattedCitation":"[21]","previouslyFormattedCitation":"[20]"},"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[21]</w:t>
      </w:r>
      <w:r w:rsidRPr="004A69E4">
        <w:rPr>
          <w:rFonts w:ascii="Times New Roman" w:hAnsi="Times New Roman"/>
          <w:sz w:val="20"/>
        </w:rPr>
        <w:fldChar w:fldCharType="end"/>
      </w:r>
      <w:r w:rsidRPr="004A69E4">
        <w:rPr>
          <w:rFonts w:ascii="Times New Roman" w:hAnsi="Times New Roman"/>
          <w:bCs/>
          <w:sz w:val="20"/>
          <w:lang w:val="de-DE"/>
        </w:rPr>
        <w:t xml:space="preserve"> 3,7,4′-trimethylkaempferol (</w:t>
      </w:r>
      <w:r w:rsidRPr="004A69E4">
        <w:rPr>
          <w:rFonts w:ascii="Times New Roman" w:hAnsi="Times New Roman"/>
          <w:b/>
          <w:bCs/>
          <w:sz w:val="20"/>
          <w:lang w:val="de-DE"/>
        </w:rPr>
        <w:t>K-11</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{"citationItems":[{"id":"ITEM-1","itemData":{"DOI":"10.1007/BF02980078","ISSN":"0253-6269","PMID":"15180302","abstract":"Repeated column chromatography of the CHCl3-soluble fraction of Zingiber zerumbet led to the isolation and identifi</w:instrText>
      </w:r>
      <w:r w:rsidR="00724290" w:rsidRPr="004A69E4">
        <w:rPr>
          <w:rFonts w:ascii="Times New Roman" w:hAnsi="Times New Roman" w:hint="eastAsia"/>
          <w:bCs/>
          <w:sz w:val="20"/>
          <w:lang w:val="de-DE"/>
        </w:rPr>
        <w:instrText>cation of two aromatic compounds, p-hydroxybenzaldehyde (1) and vanillin (2), and six kaempferol derivatives, kaempferol-3,4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,7-O-trimethylether (3), kaempferol-3-O- methylether (4), kaempferol-3,4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-O-dimethylether (5), 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 acetylafzelin (6), kaempferol-3-O-(4-O-acetyl-</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-L-rhamnopyranoside)], 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 xml:space="preserve">- O-diacetylafzelin (7), kaempferol-3- O-(2,4-Odiacetyl- </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-L-rhamnopyranoside)], and 3</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 O-diacetylafzelin (8), kaempferol-3-O-(3,4-Odiacetyl-</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-L-rhamnopyranoside)]. The structures of 1-8 were identified by</w:instrText>
      </w:r>
      <w:r w:rsidR="00724290" w:rsidRPr="004A69E4">
        <w:rPr>
          <w:rFonts w:ascii="Times New Roman" w:hAnsi="Times New Roman"/>
          <w:bCs/>
          <w:sz w:val="20"/>
          <w:lang w:val="de-DE"/>
        </w:rPr>
        <w:instrText xml:space="preserve"> analysis of spectroscopic data as well as by comparison with published values. This is the first report on the isolation of compounds 1-3 from this plant.","author":[{"dropping-particle":"","family":"Dae","given":"Sik Jang","non-dropping-particle":"","parse-names":false,"suffix":""},{"dropping-particle":"","family":"Han","given":"Ah Reum","non-dropping-particle":"","parse-names":false,"suffix":""},{"dropping-particle":"","family":"Park","given":"Gowooni","non-dropping-particle":"","parse-names":false,"suffix":""},{"dropping-particle":"","family":"Jhon","given":"Gil Ja","non-dropping-particle":"","parse-names":false,"suffix":""},{"dropping-particle":"","family":"Seo","given":"Eun Kyoung","non-dropping-particle":"","parse-names":false,"suffix":""}],"container-title":"Archives of pharmacal research","id":"ITEM-1","issue":"4","issued":{"date-parts":[["2004","4","30"]]},"page":"386-389","publisher":"Arch Pharm Res","title":"Flavonoids and aromatic compounds from the rhizomes of Zingiber zerumbet","type":"article-journal","volume":"27"},"uris":["http://www.mendeley.com/documents/?uuid=d40d7030-2643-3a58-8e66-76999ba21c94"]}],"mendeley":{"formattedCitation":"[26]","plainTextFormattedCitation":"[26]","previouslyFormattedCitation":"[25]"},"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[26]</w:t>
      </w:r>
      <w:r w:rsidRPr="004A69E4">
        <w:rPr>
          <w:rFonts w:ascii="Times New Roman" w:hAnsi="Times New Roman"/>
          <w:sz w:val="20"/>
        </w:rPr>
        <w:fldChar w:fldCharType="end"/>
      </w:r>
      <w:r w:rsidRPr="004A69E4">
        <w:rPr>
          <w:rFonts w:ascii="Times New Roman" w:hAnsi="Times New Roman"/>
          <w:bCs/>
          <w:sz w:val="20"/>
          <w:lang w:val="de-DE"/>
        </w:rPr>
        <w:t xml:space="preserve"> and 3,5,7-trimethoxyflavone (</w:t>
      </w:r>
      <w:r w:rsidRPr="004A69E4">
        <w:rPr>
          <w:rFonts w:ascii="Times New Roman" w:hAnsi="Times New Roman"/>
          <w:b/>
          <w:bCs/>
          <w:sz w:val="20"/>
          <w:lang w:val="de-DE"/>
        </w:rPr>
        <w:t>K-12</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{"citationItems":[{"id":"ITEM-1","itemData":{"ISSN":"00317144","PMID":"16964717","abstract":"In order to identify novel lead compounds with antiviral effect, methanol and aqueous extracts of eight medicinal plants in the Zingiberaceae family were screened for inhibition of proteases from human immunodeficiency virus type 1 (HIV-1), hepatitis C virus (HCV) and human cytomegalovirus (HCMV). In general, the methanol extracts inhibited the enzymes more effectively than the aqueous extracts. HIV-1 protease was strongly inhibited by the methanol extract of Alpinia galanga. This extract also inhibited HCV and HCMV proteases, but to a lower degree. HCV protease was most efficiently inhibited by the extracts from Zingiber officinale, with little difference between the aqueous and the methanol extracts. Many of the methanol extracts inhibited HCMV protease, but the aqueous extracts showed weak inhibition. In a first endeavor to identify the active constituents, eight flavones were isolated from the black rhizomes of Kaempferia parviflora. The most effective inhibitors, 5-hydroxy-7-methoxyflavone and 5,7-dimethoxyflavone, inhibited HIV-1 protease with IC50 values of 19 μM. Moreover, 5-hydroxy-3,7-dimethoxyflavone inhibited HCV protease and HCMV protease with IC50 values of 190 and 250 μM, respectively.","author":[{"dropping-particle":"","family":"Sookkongwaree","given":"K.","non-dropping-particle":"","parse-names":false,"suffix":""},{"dropping-particle":"","family":"Geitmann","given":"M.","non-dropping-particle":"","parse-names":false,"suffix":""},{"dropping-particle":"","family":"Roengsumran","given":"S.","non-dropping-particle":"","parse-names":false,"suffix":""},{"dropping-particle":"","family":"Petsom","given":"A.","non-dropping-particle":"","parse-names":false,"suffix":""},{"dropping-particle":"","family":"Danielson","given":"U. Helena","non-dropping-particle":"","parse-names":false,"suffix":""}],"container-title":"Pharmazie","id":"ITEM-1","issue":"8","issued":{"date-parts":[["2006"]]},"page":"717-721","title":"Inhibition of viral proteases by Zingiberaceae extracts and flavones isolated from Kaempferia parviflora","type":"article-journal","volume":"61"},"uris":["http://www.mendeley.com/documents/?uuid=e1af04ef-b9ec-47fd-a706-509a600de27b"]}],"mendeley":{"formattedCitation":"[27]","plainTextFormattedCitation":"[27]","previouslyFormattedCitation":"[26]"},"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[27]</w:t>
      </w:r>
      <w:r w:rsidRPr="004A69E4">
        <w:rPr>
          <w:rFonts w:ascii="Times New Roman" w:hAnsi="Times New Roman"/>
          <w:sz w:val="20"/>
        </w:rPr>
        <w:fldChar w:fldCharType="end"/>
      </w:r>
      <w:r w:rsidRPr="004A69E4">
        <w:rPr>
          <w:rFonts w:ascii="Times New Roman" w:hAnsi="Times New Roman"/>
          <w:bCs/>
          <w:sz w:val="20"/>
          <w:lang w:val="de-DE"/>
        </w:rPr>
        <w:t xml:space="preserve"> by comparing their NMR spectroscopic data with data from previously reported studies and MS data obtained from LC-MS analyses.</w:t>
      </w:r>
    </w:p>
    <w:p w14:paraId="5703356C" w14:textId="49C19ECB" w:rsidR="00291EBD" w:rsidRPr="004A69E4" w:rsidRDefault="00291EBD" w:rsidP="00291EBD">
      <w:pPr>
        <w:pStyle w:val="P1"/>
        <w:spacing w:line="360" w:lineRule="auto"/>
        <w:jc w:val="both"/>
        <w:rPr>
          <w:rFonts w:ascii="Times New Roman" w:hAnsi="Times New Roman"/>
          <w:sz w:val="20"/>
          <w:lang w:val="de-DE"/>
        </w:rPr>
      </w:pPr>
      <w:r w:rsidRPr="004A69E4">
        <w:rPr>
          <w:rFonts w:ascii="Times New Roman" w:hAnsi="Times New Roman"/>
          <w:bCs/>
          <w:sz w:val="20"/>
          <w:lang w:val="de-DE"/>
        </w:rPr>
        <w:t xml:space="preserve">The EtOH extract of </w:t>
      </w:r>
      <w:r w:rsidRPr="004A69E4">
        <w:rPr>
          <w:rFonts w:ascii="Times New Roman" w:hAnsi="Times New Roman"/>
          <w:bCs/>
          <w:i/>
          <w:iCs/>
          <w:sz w:val="20"/>
          <w:lang w:val="de-DE"/>
        </w:rPr>
        <w:t>M. alba</w:t>
      </w:r>
      <w:r w:rsidRPr="004A69E4">
        <w:rPr>
          <w:rFonts w:ascii="Times New Roman" w:hAnsi="Times New Roman"/>
          <w:bCs/>
          <w:sz w:val="20"/>
          <w:lang w:val="de-DE"/>
        </w:rPr>
        <w:t xml:space="preserve"> fruit was subjected to solvent partitioning with four organic solvents (hexane, dichloromethane, ethyl acetate, and </w:t>
      </w:r>
      <w:r w:rsidRPr="004A69E4">
        <w:rPr>
          <w:rFonts w:ascii="Times New Roman" w:hAnsi="Times New Roman"/>
          <w:bCs/>
          <w:i/>
          <w:sz w:val="20"/>
          <w:lang w:val="de-DE"/>
        </w:rPr>
        <w:t>n</w:t>
      </w:r>
      <w:r w:rsidRPr="004A69E4">
        <w:rPr>
          <w:rFonts w:ascii="Times New Roman" w:hAnsi="Times New Roman"/>
          <w:bCs/>
          <w:sz w:val="20"/>
          <w:lang w:val="de-DE"/>
        </w:rPr>
        <w:t>-butanol), which yielded four key fractions. LC-MS-based analysis of each fraction, combined with data present in the in-house UV library database, revealed that the EtOAc-soluble fraction was rich in flavonoids. Detailed chemical analysis of the EtOAc-soluble fraction using a combination of column chromatography and semi-preparative HPLC led to the isolation of seven flavonoid glycosides (</w:t>
      </w:r>
      <w:r w:rsidRPr="004A69E4">
        <w:rPr>
          <w:rFonts w:ascii="Times New Roman" w:hAnsi="Times New Roman"/>
          <w:b/>
          <w:bCs/>
          <w:sz w:val="20"/>
          <w:lang w:val="de-DE"/>
        </w:rPr>
        <w:t>M-1 – M-7</w:t>
      </w:r>
      <w:r w:rsidRPr="004A69E4">
        <w:rPr>
          <w:rFonts w:ascii="Times New Roman" w:hAnsi="Times New Roman"/>
          <w:bCs/>
          <w:sz w:val="20"/>
          <w:lang w:val="de-DE"/>
        </w:rPr>
        <w:t xml:space="preserve">), including two new compounds, </w:t>
      </w:r>
      <w:r w:rsidRPr="004A69E4">
        <w:rPr>
          <w:rFonts w:ascii="Times New Roman" w:hAnsi="Times New Roman"/>
          <w:b/>
          <w:bCs/>
          <w:iCs/>
          <w:sz w:val="20"/>
          <w:lang w:val="de-DE"/>
        </w:rPr>
        <w:t>M-1</w:t>
      </w:r>
      <w:r w:rsidRPr="004A69E4">
        <w:rPr>
          <w:rFonts w:ascii="Times New Roman" w:hAnsi="Times New Roman"/>
          <w:bCs/>
          <w:iCs/>
          <w:sz w:val="20"/>
          <w:lang w:val="de-DE"/>
        </w:rPr>
        <w:t xml:space="preserve"> and </w:t>
      </w:r>
      <w:r w:rsidRPr="004A69E4">
        <w:rPr>
          <w:rFonts w:ascii="Times New Roman" w:hAnsi="Times New Roman"/>
          <w:b/>
          <w:bCs/>
          <w:iCs/>
          <w:sz w:val="20"/>
          <w:lang w:val="de-DE"/>
        </w:rPr>
        <w:t>M-2</w:t>
      </w:r>
      <w:r w:rsidRPr="004A69E4">
        <w:rPr>
          <w:rFonts w:ascii="Times New Roman" w:hAnsi="Times New Roman"/>
          <w:bCs/>
          <w:sz w:val="20"/>
          <w:lang w:val="de-DE"/>
        </w:rPr>
        <w:t xml:space="preserve"> (Figure 1). Compound </w:t>
      </w:r>
      <w:r w:rsidRPr="004A69E4">
        <w:rPr>
          <w:rFonts w:ascii="Times New Roman" w:hAnsi="Times New Roman"/>
          <w:b/>
          <w:bCs/>
          <w:iCs/>
          <w:sz w:val="20"/>
          <w:lang w:val="de-DE"/>
        </w:rPr>
        <w:t>M-1</w:t>
      </w:r>
      <w:r w:rsidRPr="004A69E4">
        <w:rPr>
          <w:rFonts w:ascii="Times New Roman" w:hAnsi="Times New Roman"/>
          <w:bCs/>
          <w:sz w:val="20"/>
          <w:lang w:val="de-DE"/>
        </w:rPr>
        <w:t xml:space="preserve"> was isolated as a </w:t>
      </w:r>
      <w:r w:rsidRPr="004A69E4">
        <w:rPr>
          <w:rFonts w:ascii="Times New Roman" w:hAnsi="Times New Roman"/>
          <w:bCs/>
          <w:iCs/>
          <w:sz w:val="20"/>
          <w:lang w:val="de-DE"/>
        </w:rPr>
        <w:t>yellowish, amorphous powder</w:t>
      </w:r>
      <w:r w:rsidRPr="004A69E4">
        <w:rPr>
          <w:rFonts w:ascii="Times New Roman" w:hAnsi="Times New Roman"/>
          <w:bCs/>
          <w:sz w:val="20"/>
          <w:lang w:val="de-DE"/>
        </w:rPr>
        <w:t>. Its molecular formula was determined to be C</w:t>
      </w:r>
      <w:r w:rsidRPr="004A69E4">
        <w:rPr>
          <w:rFonts w:ascii="Times New Roman" w:hAnsi="Times New Roman"/>
          <w:bCs/>
          <w:sz w:val="20"/>
          <w:vertAlign w:val="subscript"/>
          <w:lang w:val="de-DE"/>
        </w:rPr>
        <w:t>26</w:t>
      </w:r>
      <w:r w:rsidRPr="004A69E4">
        <w:rPr>
          <w:rFonts w:ascii="Times New Roman" w:hAnsi="Times New Roman"/>
          <w:bCs/>
          <w:sz w:val="20"/>
          <w:lang w:val="de-DE"/>
        </w:rPr>
        <w:t>H</w:t>
      </w:r>
      <w:r w:rsidRPr="004A69E4">
        <w:rPr>
          <w:rFonts w:ascii="Times New Roman" w:hAnsi="Times New Roman"/>
          <w:bCs/>
          <w:sz w:val="20"/>
          <w:vertAlign w:val="subscript"/>
          <w:lang w:val="de-DE"/>
        </w:rPr>
        <w:t>26</w:t>
      </w:r>
      <w:r w:rsidRPr="004A69E4">
        <w:rPr>
          <w:rFonts w:ascii="Times New Roman" w:hAnsi="Times New Roman"/>
          <w:bCs/>
          <w:sz w:val="20"/>
          <w:lang w:val="de-DE"/>
        </w:rPr>
        <w:t>O</w:t>
      </w:r>
      <w:r w:rsidRPr="004A69E4">
        <w:rPr>
          <w:rFonts w:ascii="Times New Roman" w:hAnsi="Times New Roman"/>
          <w:bCs/>
          <w:sz w:val="20"/>
          <w:vertAlign w:val="subscript"/>
          <w:lang w:val="de-DE"/>
        </w:rPr>
        <w:t>14</w:t>
      </w:r>
      <w:r w:rsidRPr="004A69E4">
        <w:rPr>
          <w:rFonts w:ascii="Times New Roman" w:hAnsi="Times New Roman"/>
          <w:bCs/>
          <w:sz w:val="20"/>
          <w:lang w:val="de-DE"/>
        </w:rPr>
        <w:t xml:space="preserve"> based on the NMR data (Table S1) and HR-ESIMS data, and it showed </w:t>
      </w:r>
      <w:r w:rsidRPr="004A69E4">
        <w:rPr>
          <w:rFonts w:ascii="Times New Roman" w:hAnsi="Times New Roman"/>
          <w:bCs/>
          <w:iCs/>
          <w:sz w:val="20"/>
          <w:lang w:val="de-DE"/>
        </w:rPr>
        <w:t xml:space="preserve">a molecular ion peak at </w:t>
      </w:r>
      <w:r w:rsidRPr="004A69E4">
        <w:rPr>
          <w:rFonts w:ascii="Times New Roman" w:hAnsi="Times New Roman"/>
          <w:bCs/>
          <w:i/>
          <w:iCs/>
          <w:sz w:val="20"/>
          <w:lang w:val="de-DE"/>
        </w:rPr>
        <w:t xml:space="preserve">m/z </w:t>
      </w:r>
      <w:r w:rsidRPr="004A69E4">
        <w:rPr>
          <w:rFonts w:ascii="Times New Roman" w:hAnsi="Times New Roman"/>
          <w:bCs/>
          <w:iCs/>
          <w:sz w:val="20"/>
          <w:lang w:val="de-DE"/>
        </w:rPr>
        <w:t>561.1248 [M-H]</w:t>
      </w:r>
      <w:r w:rsidRPr="004A69E4">
        <w:rPr>
          <w:rFonts w:ascii="Times New Roman" w:hAnsi="Times New Roman"/>
          <w:bCs/>
          <w:iCs/>
          <w:sz w:val="20"/>
          <w:vertAlign w:val="superscript"/>
          <w:lang w:val="de-DE"/>
        </w:rPr>
        <w:t>-</w:t>
      </w:r>
      <w:r w:rsidRPr="004A69E4">
        <w:rPr>
          <w:rFonts w:ascii="Times New Roman" w:hAnsi="Times New Roman"/>
          <w:bCs/>
          <w:iCs/>
          <w:sz w:val="20"/>
          <w:lang w:val="de-DE"/>
        </w:rPr>
        <w:t> (calculated for C</w:t>
      </w:r>
      <w:r w:rsidRPr="004A69E4">
        <w:rPr>
          <w:rFonts w:ascii="Times New Roman" w:hAnsi="Times New Roman"/>
          <w:bCs/>
          <w:iCs/>
          <w:sz w:val="20"/>
          <w:vertAlign w:val="subscript"/>
          <w:lang w:val="de-DE"/>
        </w:rPr>
        <w:t>26</w:t>
      </w:r>
      <w:r w:rsidRPr="004A69E4">
        <w:rPr>
          <w:rFonts w:ascii="Times New Roman" w:hAnsi="Times New Roman"/>
          <w:bCs/>
          <w:iCs/>
          <w:sz w:val="20"/>
          <w:lang w:val="de-DE"/>
        </w:rPr>
        <w:t>H</w:t>
      </w:r>
      <w:r w:rsidRPr="004A69E4">
        <w:rPr>
          <w:rFonts w:ascii="Times New Roman" w:hAnsi="Times New Roman"/>
          <w:bCs/>
          <w:iCs/>
          <w:sz w:val="20"/>
          <w:vertAlign w:val="subscript"/>
          <w:lang w:val="de-DE"/>
        </w:rPr>
        <w:t>25</w:t>
      </w:r>
      <w:r w:rsidRPr="004A69E4">
        <w:rPr>
          <w:rFonts w:ascii="Times New Roman" w:hAnsi="Times New Roman"/>
          <w:bCs/>
          <w:iCs/>
          <w:sz w:val="20"/>
          <w:lang w:val="de-DE"/>
        </w:rPr>
        <w:t>O</w:t>
      </w:r>
      <w:r w:rsidRPr="004A69E4">
        <w:rPr>
          <w:rFonts w:ascii="Times New Roman" w:hAnsi="Times New Roman"/>
          <w:bCs/>
          <w:iCs/>
          <w:sz w:val="20"/>
          <w:vertAlign w:val="subscript"/>
          <w:lang w:val="de-DE"/>
        </w:rPr>
        <w:t>14</w:t>
      </w:r>
      <w:r w:rsidRPr="004A69E4">
        <w:rPr>
          <w:rFonts w:ascii="Times New Roman" w:hAnsi="Times New Roman"/>
          <w:bCs/>
          <w:iCs/>
          <w:sz w:val="20"/>
          <w:lang w:val="de-DE"/>
        </w:rPr>
        <w:t xml:space="preserve">, 561.1244) in the negative-ion mode. The IR spectrum of 1 displayed </w:t>
      </w:r>
      <w:r w:rsidRPr="004A69E4">
        <w:rPr>
          <w:rFonts w:ascii="Times New Roman" w:hAnsi="Times New Roman"/>
          <w:bCs/>
          <w:sz w:val="20"/>
          <w:lang w:val="de-DE"/>
        </w:rPr>
        <w:t>distinctive</w:t>
      </w:r>
      <w:r w:rsidRPr="004A69E4">
        <w:rPr>
          <w:rFonts w:ascii="Times New Roman" w:hAnsi="Times New Roman"/>
          <w:bCs/>
          <w:iCs/>
          <w:sz w:val="20"/>
          <w:lang w:val="de-DE"/>
        </w:rPr>
        <w:t xml:space="preserve"> absorption bands for the hydroxy (3420 cm</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 and </w:t>
      </w:r>
      <w:r w:rsidRPr="004A69E4">
        <w:rPr>
          <w:rFonts w:ascii="Times New Roman" w:hAnsi="Times New Roman"/>
          <w:bCs/>
          <w:i/>
          <w:sz w:val="20"/>
          <w:lang w:val="de-DE"/>
        </w:rPr>
        <w:t>α,β</w:t>
      </w:r>
      <w:r w:rsidRPr="004A69E4">
        <w:rPr>
          <w:rFonts w:ascii="Times New Roman" w:hAnsi="Times New Roman"/>
          <w:bCs/>
          <w:iCs/>
          <w:sz w:val="20"/>
          <w:lang w:val="de-DE"/>
        </w:rPr>
        <w:t>-unsaturated ketone (1658 cm</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 functional units. </w:t>
      </w:r>
      <w:r w:rsidRPr="004A69E4">
        <w:rPr>
          <w:rFonts w:ascii="Times New Roman" w:hAnsi="Times New Roman"/>
          <w:bCs/>
          <w:sz w:val="20"/>
          <w:lang w:val="de-DE"/>
        </w:rPr>
        <w:t xml:space="preserve">The </w:t>
      </w:r>
      <w:r w:rsidRPr="004A69E4">
        <w:rPr>
          <w:rFonts w:ascii="Times New Roman" w:hAnsi="Times New Roman"/>
          <w:bCs/>
          <w:sz w:val="20"/>
          <w:vertAlign w:val="superscript"/>
          <w:lang w:val="de-DE"/>
        </w:rPr>
        <w:t>1</w:t>
      </w:r>
      <w:r w:rsidRPr="004A69E4">
        <w:rPr>
          <w:rFonts w:ascii="Times New Roman" w:hAnsi="Times New Roman"/>
          <w:bCs/>
          <w:sz w:val="20"/>
          <w:lang w:val="de-DE"/>
        </w:rPr>
        <w:t xml:space="preserve">H NMR data (Table S1) of </w:t>
      </w:r>
      <w:r w:rsidRPr="004A69E4">
        <w:rPr>
          <w:rFonts w:ascii="Times New Roman" w:hAnsi="Times New Roman"/>
          <w:b/>
          <w:bCs/>
          <w:iCs/>
          <w:sz w:val="20"/>
          <w:lang w:val="de-DE"/>
        </w:rPr>
        <w:t>M-1</w:t>
      </w:r>
      <w:r w:rsidRPr="004A69E4">
        <w:rPr>
          <w:rFonts w:ascii="Times New Roman" w:hAnsi="Times New Roman"/>
          <w:bCs/>
          <w:sz w:val="20"/>
          <w:lang w:val="de-DE"/>
        </w:rPr>
        <w:t xml:space="preserve"> combined with the data from the HSQC experiment showed the presence of signals for six aromatic methines at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6.11 (1H, d,</w:t>
      </w:r>
      <w:r w:rsidRPr="004A69E4">
        <w:rPr>
          <w:rFonts w:ascii="Times New Roman" w:hAnsi="Times New Roman"/>
          <w:bCs/>
          <w:i/>
          <w:iCs/>
          <w:sz w:val="20"/>
          <w:lang w:val="de-DE"/>
        </w:rPr>
        <w:t xml:space="preserve"> J</w:t>
      </w:r>
      <w:r w:rsidRPr="004A69E4">
        <w:rPr>
          <w:rFonts w:ascii="Times New Roman" w:hAnsi="Times New Roman"/>
          <w:bCs/>
          <w:sz w:val="20"/>
          <w:lang w:val="de-DE"/>
        </w:rPr>
        <w:t xml:space="preserve"> = 2.0 Hz, H-6)/</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98.5 (C-6), 6.31 (1H, d, </w:t>
      </w:r>
      <w:r w:rsidRPr="004A69E4">
        <w:rPr>
          <w:rFonts w:ascii="Times New Roman" w:hAnsi="Times New Roman"/>
          <w:bCs/>
          <w:i/>
          <w:iCs/>
          <w:sz w:val="20"/>
          <w:lang w:val="de-DE"/>
        </w:rPr>
        <w:t>J</w:t>
      </w:r>
      <w:r w:rsidRPr="004A69E4">
        <w:rPr>
          <w:rFonts w:ascii="Times New Roman" w:hAnsi="Times New Roman"/>
          <w:bCs/>
          <w:sz w:val="20"/>
          <w:lang w:val="de-DE"/>
        </w:rPr>
        <w:t xml:space="preserve"> = 2.0 Hz, H-8)/</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93.3 (C-8),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6.77 (2H, d, </w:t>
      </w:r>
      <w:r w:rsidRPr="004A69E4">
        <w:rPr>
          <w:rFonts w:ascii="Times New Roman" w:hAnsi="Times New Roman"/>
          <w:bCs/>
          <w:i/>
          <w:iCs/>
          <w:sz w:val="20"/>
          <w:lang w:val="de-DE"/>
        </w:rPr>
        <w:t>J</w:t>
      </w:r>
      <w:r w:rsidRPr="004A69E4">
        <w:rPr>
          <w:rFonts w:ascii="Times New Roman" w:hAnsi="Times New Roman"/>
          <w:bCs/>
          <w:sz w:val="20"/>
          <w:lang w:val="de-DE"/>
        </w:rPr>
        <w:t xml:space="preserve"> = 9.0 Hz, H-3′ and H-5′)/</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114.6 (C-3′ and C-5′), and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7.94 (2H, d, </w:t>
      </w:r>
      <w:r w:rsidRPr="004A69E4">
        <w:rPr>
          <w:rFonts w:ascii="Times New Roman" w:hAnsi="Times New Roman"/>
          <w:bCs/>
          <w:i/>
          <w:iCs/>
          <w:sz w:val="20"/>
          <w:lang w:val="de-DE"/>
        </w:rPr>
        <w:t>J</w:t>
      </w:r>
      <w:r w:rsidRPr="004A69E4">
        <w:rPr>
          <w:rFonts w:ascii="Times New Roman" w:hAnsi="Times New Roman"/>
          <w:bCs/>
          <w:sz w:val="20"/>
          <w:lang w:val="de-DE"/>
        </w:rPr>
        <w:t xml:space="preserve"> = 9.0 Hz, H-2′ and H-6′)/</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130.8 (C-2′ and C-6′), which indicated a typical kaempferol skeleton.</w:t>
      </w:r>
      <w:r w:rsidRPr="004A69E4">
        <w:rPr>
          <w:rFonts w:ascii="Times New Roman" w:hAnsi="Times New Roman"/>
          <w:bCs/>
          <w:sz w:val="20"/>
          <w:lang w:val="de-DE"/>
        </w:rPr>
        <w:fldChar w:fldCharType="begin" w:fldLock="1"/>
      </w:r>
      <w:r w:rsidR="00724290" w:rsidRPr="004A69E4">
        <w:rPr>
          <w:rFonts w:ascii="Times New Roman" w:hAnsi="Times New Roman" w:hint="eastAsia"/>
          <w:bCs/>
          <w:sz w:val="20"/>
          <w:lang w:val="de-DE"/>
        </w:rPr>
        <w:instrText>ADDIN CSL_CITATION {"citationItems":[{"id":"ITEM-1","itemData":{"DOI":"10.1016/S0031-9422(02)00486-7","ISSN":"0031-9422","PMID":"12482461","abstract":"Three flavonol glycosides, kaempferol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-O-malonyl)-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quercetin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-O-malonyl)-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and myricetin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-di-O-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were isolated from the petals of Clitoria ternatea cv. Double Blue, together with eleven known flavonol glycosides. Their structures were identified using UV,</w:instrText>
      </w:r>
      <w:r w:rsidR="00724290" w:rsidRPr="004A69E4">
        <w:rPr>
          <w:rFonts w:ascii="Times New Roman" w:hAnsi="Times New Roman"/>
          <w:bCs/>
          <w:sz w:val="20"/>
          <w:lang w:val="de-DE"/>
        </w:rPr>
        <w:instrText xml:space="preserve"> MS, and NMR spectroscopy. They were characterized as kaempferol and quercetin 3-(2G-rhamnosylrutinoside)s, kaempferol, quercetin, and myricetin 3-neohesperidosides, 3-rutinosides, and 3-glucosides in the same tissue. In addition, the presence of myriceti</w:instrText>
      </w:r>
      <w:r w:rsidR="00724290" w:rsidRPr="004A69E4">
        <w:rPr>
          <w:rFonts w:ascii="Times New Roman" w:hAnsi="Times New Roman" w:hint="eastAsia"/>
          <w:bCs/>
          <w:sz w:val="20"/>
          <w:lang w:val="de-DE"/>
        </w:rPr>
        <w:instrText>n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-O-malonyl)-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was inferred from LC/MS/MS data for crude petal extracts. The flavonol compounds identified in the petals of C. ternatea differed from those reported in previous studies. © 2003 Elsevier Science Ltd. All r</w:instrText>
      </w:r>
      <w:r w:rsidR="00724290" w:rsidRPr="004A69E4">
        <w:rPr>
          <w:rFonts w:ascii="Times New Roman" w:hAnsi="Times New Roman"/>
          <w:bCs/>
          <w:sz w:val="20"/>
          <w:lang w:val="de-DE"/>
        </w:rPr>
        <w:instrText>ights reserved.","author":[{"dropping-particle":"","family":"Kazuma","given":"Kohei","non-dropping-particle":"","parse-names":false,"suffix":""},{"dropping-particle":"","family":"Noda","given":"Naonobu","non-dropping-particle":"","parse-names":false,"suffix":""},{"dropping-particle":"","family":"Suzuki","given":"Masahiko","non-dropping-particle":"","parse-names":false,"suffix":""}],"container-title":"Phytochemistry","id":"ITEM-1","issue":"2","issued":{"date-parts":[["2003","1"]]},"page":"229-237","publisher":"Phytochemistry","title":"Malonylated flavonol glycosides from the petals of Clitoria ternatea","type":"article-journal","volume":"62"},"uris":["http://www.mendeley.com/documents/?uuid=d8a3aad4-1721-341d-b674-03939a43eb4f"]}],"mendeley":{"formattedCitation":"[28]","plainTextFormattedCitation":"[28]","previouslyFormattedCitation":"[27]"},"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[28]</w:t>
      </w:r>
      <w:r w:rsidRPr="004A69E4">
        <w:rPr>
          <w:rFonts w:ascii="Times New Roman" w:hAnsi="Times New Roman"/>
          <w:sz w:val="20"/>
          <w:lang w:val="de-DE"/>
        </w:rPr>
        <w:fldChar w:fldCharType="end"/>
      </w:r>
      <w:r w:rsidRPr="004A69E4">
        <w:rPr>
          <w:rFonts w:ascii="Times New Roman" w:hAnsi="Times New Roman"/>
          <w:bCs/>
          <w:sz w:val="20"/>
          <w:lang w:val="de-DE"/>
        </w:rPr>
        <w:t xml:space="preserve"> </w:t>
      </w:r>
      <w:r w:rsidRPr="004A69E4">
        <w:rPr>
          <w:rFonts w:ascii="Times New Roman" w:hAnsi="Times New Roman"/>
          <w:bCs/>
          <w:sz w:val="20"/>
          <w:lang w:val="de-DE"/>
        </w:rPr>
        <w:lastRenderedPageBreak/>
        <w:t xml:space="preserve">Furthermore, the presence of signals for a glucose moiety, including an anomeric proton/carbon at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5.08 (1H, d, </w:t>
      </w:r>
      <w:r w:rsidRPr="004A69E4">
        <w:rPr>
          <w:rFonts w:ascii="Times New Roman" w:hAnsi="Times New Roman"/>
          <w:bCs/>
          <w:i/>
          <w:iCs/>
          <w:sz w:val="20"/>
          <w:lang w:val="de-DE"/>
        </w:rPr>
        <w:t xml:space="preserve">J </w:t>
      </w:r>
      <w:r w:rsidRPr="004A69E4">
        <w:rPr>
          <w:rFonts w:ascii="Times New Roman" w:hAnsi="Times New Roman"/>
          <w:bCs/>
          <w:sz w:val="20"/>
          <w:lang w:val="de-DE"/>
        </w:rPr>
        <w:t xml:space="preserve">= 7.5 Hz, H-1′′) and </w:t>
      </w:r>
      <w:r w:rsidRPr="004A69E4">
        <w:rPr>
          <w:rFonts w:ascii="Times New Roman" w:hAnsi="Times New Roman"/>
          <w:bCs/>
          <w:i/>
          <w:sz w:val="20"/>
          <w:lang w:val="de-DE"/>
        </w:rPr>
        <w:t>δ</w:t>
      </w:r>
      <w:r w:rsidRPr="004A69E4">
        <w:rPr>
          <w:rFonts w:ascii="Times New Roman" w:hAnsi="Times New Roman"/>
          <w:bCs/>
          <w:sz w:val="20"/>
          <w:vertAlign w:val="subscript"/>
          <w:lang w:val="de-DE"/>
        </w:rPr>
        <w:t xml:space="preserve">C </w:t>
      </w:r>
      <w:r w:rsidRPr="004A69E4">
        <w:rPr>
          <w:rFonts w:ascii="Times New Roman" w:hAnsi="Times New Roman"/>
          <w:bCs/>
          <w:sz w:val="20"/>
          <w:lang w:val="de-DE"/>
        </w:rPr>
        <w:t xml:space="preserve">102.6 (C-1′′), a succinyl group at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2.32 (2H, overlap, H-2′′′)/</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28.5 (C-2′′′) and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2.26 (2H, overlap, H-3′′′)/</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27.6 (C-3′′′), as well as one methoxy group at </w:t>
      </w:r>
      <w:r w:rsidRPr="004A69E4">
        <w:rPr>
          <w:rFonts w:ascii="Times New Roman" w:hAnsi="Times New Roman"/>
          <w:bCs/>
          <w:i/>
          <w:sz w:val="20"/>
          <w:lang w:val="de-DE"/>
        </w:rPr>
        <w:t>δ</w:t>
      </w:r>
      <w:r w:rsidRPr="004A69E4">
        <w:rPr>
          <w:rFonts w:ascii="Times New Roman" w:hAnsi="Times New Roman"/>
          <w:bCs/>
          <w:sz w:val="20"/>
          <w:vertAlign w:val="subscript"/>
          <w:lang w:val="de-DE"/>
        </w:rPr>
        <w:t>H</w:t>
      </w:r>
      <w:r w:rsidRPr="004A69E4">
        <w:rPr>
          <w:rFonts w:ascii="Times New Roman" w:hAnsi="Times New Roman"/>
          <w:bCs/>
          <w:sz w:val="20"/>
          <w:lang w:val="de-DE"/>
        </w:rPr>
        <w:t xml:space="preserve"> 3.53(3H, s)/</w:t>
      </w:r>
      <w:r w:rsidRPr="004A69E4">
        <w:rPr>
          <w:rFonts w:ascii="Times New Roman" w:hAnsi="Times New Roman"/>
          <w:bCs/>
          <w:i/>
          <w:sz w:val="20"/>
          <w:lang w:val="de-DE"/>
        </w:rPr>
        <w:t>δ</w:t>
      </w:r>
      <w:r w:rsidRPr="004A69E4">
        <w:rPr>
          <w:rFonts w:ascii="Times New Roman" w:hAnsi="Times New Roman"/>
          <w:bCs/>
          <w:sz w:val="20"/>
          <w:vertAlign w:val="subscript"/>
          <w:lang w:val="de-DE"/>
        </w:rPr>
        <w:t>C</w:t>
      </w:r>
      <w:r w:rsidRPr="004A69E4">
        <w:rPr>
          <w:rFonts w:ascii="Times New Roman" w:hAnsi="Times New Roman"/>
          <w:bCs/>
          <w:sz w:val="20"/>
          <w:lang w:val="de-DE"/>
        </w:rPr>
        <w:t xml:space="preserve"> 50.7 was observed. Thorough scrutiny of the NMR spectral data suggested that the structure of </w:t>
      </w:r>
      <w:r w:rsidRPr="004A69E4">
        <w:rPr>
          <w:rFonts w:ascii="Times New Roman" w:hAnsi="Times New Roman"/>
          <w:b/>
          <w:bCs/>
          <w:iCs/>
          <w:sz w:val="20"/>
          <w:lang w:val="de-DE"/>
        </w:rPr>
        <w:t>M-1</w:t>
      </w:r>
      <w:r w:rsidRPr="004A69E4">
        <w:rPr>
          <w:rFonts w:ascii="Times New Roman" w:hAnsi="Times New Roman"/>
          <w:bCs/>
          <w:sz w:val="20"/>
          <w:lang w:val="de-DE"/>
        </w:rPr>
        <w:t xml:space="preserve"> was very similar to that of </w:t>
      </w:r>
      <w:r w:rsidRPr="004A69E4">
        <w:rPr>
          <w:rFonts w:ascii="Times New Roman" w:hAnsi="Times New Roman"/>
          <w:b/>
          <w:bCs/>
          <w:sz w:val="20"/>
          <w:lang w:val="de-DE"/>
        </w:rPr>
        <w:t>M-3</w:t>
      </w:r>
      <w:r w:rsidRPr="004A69E4">
        <w:rPr>
          <w:rFonts w:ascii="Times New Roman" w:hAnsi="Times New Roman"/>
          <w:bCs/>
          <w:sz w:val="20"/>
          <w:lang w:val="de-DE"/>
        </w:rPr>
        <w:t>, as identified in the present study</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{"citationItems":[{"id":"ITEM-1","itemData":{"DOI":"10.1016/J.ABB.2008.01.022","ISSN":"1096-0384","PMID":"18267102","abstract":"Flavonoid-rich diets are expected to decrease the risk of cardiovascular diseases. The localization and target sites of flavonoids underlying the protective mechanism in vivo have not been fully investigated because the methods for detection of flavonoids have been limited to chemical analysis such as high-performance liquid chromatography. To further understand the actions of flavonoids in vivo, we developed a novel methodology that immunochemically evaluates flavonoids using specific antibodies. Quercetin-3-glucuronide (Q3GA), a major metabolite in human plasma, was coupled with keyhole limpet hemocyanin. Alternatively, the sugar moiety of quercetin-3-glucoside (Q3G) was succinylated and then coupled with a carrier protein. Using these two immunogens, we finally obtained two monoclonal antibodies, mAb14A2 and mAb11G6, from the immunogen using Q3GA and Q3G, respectively. Competitive enzyme-linked immunosorbent assay showed the unique difference in the specificity between the two similar antibodies: mAb14A2 recognized several quercetin-3-glycosides including Q3G and rutin but mAb11G6 was highly specific to the Q3G structure. The macrophage-derived foam cells in human atherosclerotic lesions were significantly stained with mAb14A2 but scarcely with mAb11G6. These results showed that the anti-flavonoid glycoside antibodies are useful tools for evaluating their localization in tissues and that the specificities strongly depend on the immunogen design for synthesizing the hapten-protein conjugates. © 2008 Elsevier Inc. All rights reserved.","author":[{"dropping-particle":"","family":"Kawai","given":"Yoshichika","non-dropping-particle":"","parse-names":false,"suffix":""},{"dropping-particle":"","family":"Ishisaka","given":"Akari","non-dropping-particle":"","parse-names":false,"suffix":""},{"dropping-particle":"","family":"Saito","given":"Satomi","non-dropping-particle":"","parse-names":false,"suffix":""},{"dropping-particle":"","family":"Uchida","given":"Koji","non-dropping-particle":"","parse-names":false,"suffix":""},{"dropping-particle":"","family":"Shibata","given":"Noriyuki","non-dropping-particle":"","parse-names":false,"suffix":""},{"dropping-particle":"","family":"Kobayashi","given":"Makio","non-dropping-particle":"","parse-names":false,"suffix":""},{"dropping-particle":"","family":"Fukuchi","given":"Yoshiko","non-dropping-particle":"","parse-names":false,"suffix":""},{"dropping-particle":"","family":"Naito","given":"Michitaka","non-dropping-particle":"","parse-names":false,"suffix":""},{"dropping-particle":"","family":"Terao","given":"Junji","non-dropping-particle":"","parse-names":false,"suffix":""}],"container-title":"Archives of biochemistry and biophysics","id":"ITEM-1","issue":"2","issued":{"date-parts":[["2008","8","15"]]},"page":"124-132","publisher":"Arch Biochem Biophys","title":"Immunochemical detection of flavonoid glycosides: development, specificity, and application of novel monoclonal antibodies","type":"article-journal","volume":"476"},"uris":["http://www.mendeley.com/documents/?uuid=b10a4edb-1259-3784-8e80-46fa7dc04c8a"]}],"mendeley":{"formattedCitation":"[29]","plainTextFormattedCitation":"[29]","previouslyFormattedCitation":"[28]"},"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[29]</w:t>
      </w:r>
      <w:r w:rsidRPr="004A69E4">
        <w:rPr>
          <w:rFonts w:ascii="Times New Roman" w:hAnsi="Times New Roman"/>
          <w:sz w:val="20"/>
          <w:lang w:val="de-DE"/>
        </w:rPr>
        <w:fldChar w:fldCharType="end"/>
      </w:r>
      <w:r w:rsidRPr="004A69E4">
        <w:rPr>
          <w:rFonts w:ascii="Times New Roman" w:hAnsi="Times New Roman"/>
          <w:bCs/>
          <w:sz w:val="20"/>
          <w:lang w:val="de-DE"/>
        </w:rPr>
        <w:t xml:space="preserve">; however, the apparent difference between the structures of </w:t>
      </w:r>
      <w:r w:rsidRPr="004A69E4">
        <w:rPr>
          <w:rFonts w:ascii="Times New Roman" w:hAnsi="Times New Roman"/>
          <w:b/>
          <w:bCs/>
          <w:iCs/>
          <w:sz w:val="20"/>
          <w:lang w:val="de-DE"/>
        </w:rPr>
        <w:t>M-1</w:t>
      </w:r>
      <w:r w:rsidRPr="004A69E4">
        <w:rPr>
          <w:rFonts w:ascii="Times New Roman" w:hAnsi="Times New Roman"/>
          <w:bCs/>
          <w:sz w:val="20"/>
          <w:lang w:val="de-DE"/>
        </w:rPr>
        <w:t xml:space="preserve"> and </w:t>
      </w:r>
      <w:r w:rsidRPr="004A69E4">
        <w:rPr>
          <w:rFonts w:ascii="Times New Roman" w:hAnsi="Times New Roman"/>
          <w:b/>
          <w:bCs/>
          <w:sz w:val="20"/>
          <w:lang w:val="de-DE"/>
        </w:rPr>
        <w:t>M-3</w:t>
      </w:r>
      <w:r w:rsidRPr="004A69E4">
        <w:rPr>
          <w:rFonts w:ascii="Times New Roman" w:hAnsi="Times New Roman"/>
          <w:bCs/>
          <w:sz w:val="20"/>
          <w:lang w:val="de-DE"/>
        </w:rPr>
        <w:t xml:space="preserve"> was identified in the B-ring due to the discrepancy in the NMR signals corresponding to the B-ring and additional methoxy group</w:t>
      </w:r>
      <w:r w:rsidRPr="004A69E4">
        <w:rPr>
          <w:rFonts w:ascii="Times New Roman" w:hAnsi="Times New Roman"/>
          <w:bCs/>
          <w:iCs/>
          <w:sz w:val="20"/>
          <w:lang w:val="de-DE"/>
        </w:rPr>
        <w:t xml:space="preserve">s. The </w:t>
      </w:r>
      <w:r w:rsidRPr="004A69E4">
        <w:rPr>
          <w:rFonts w:ascii="Times New Roman" w:hAnsi="Times New Roman"/>
          <w:bCs/>
          <w:sz w:val="20"/>
          <w:lang w:val="de-DE"/>
        </w:rPr>
        <w:t xml:space="preserve">kaempferol skeleton and linkage positions of the glucose and succinyl units were unambiguously confirmed by </w:t>
      </w:r>
      <w:r w:rsidRPr="004A69E4">
        <w:rPr>
          <w:rFonts w:ascii="Times New Roman" w:hAnsi="Times New Roman"/>
          <w:bCs/>
          <w:iCs/>
          <w:sz w:val="20"/>
          <w:lang w:val="de-DE"/>
        </w:rPr>
        <w:t>interpretation of the key HMBC correlations and COSY correlations, as shown in Figure S1. Notably, the methoxy group at C-</w:t>
      </w:r>
      <w:r w:rsidRPr="004A69E4">
        <w:rPr>
          <w:rFonts w:ascii="Times New Roman" w:hAnsi="Times New Roman"/>
          <w:bCs/>
          <w:sz w:val="20"/>
          <w:lang w:val="de-DE"/>
        </w:rPr>
        <w:t>4′′′</w:t>
      </w:r>
      <w:r w:rsidRPr="004A69E4">
        <w:rPr>
          <w:rFonts w:ascii="Times New Roman" w:hAnsi="Times New Roman"/>
          <w:bCs/>
          <w:iCs/>
          <w:sz w:val="20"/>
          <w:lang w:val="de-DE"/>
        </w:rPr>
        <w:t xml:space="preserve"> was determined using the key HMBC correlation of OCH</w:t>
      </w:r>
      <w:r w:rsidRPr="004A69E4">
        <w:rPr>
          <w:rFonts w:ascii="Times New Roman" w:hAnsi="Times New Roman"/>
          <w:bCs/>
          <w:iCs/>
          <w:sz w:val="20"/>
          <w:vertAlign w:val="subscript"/>
          <w:lang w:val="de-DE"/>
        </w:rPr>
        <w:t>3</w:t>
      </w:r>
      <w:r w:rsidRPr="004A69E4">
        <w:rPr>
          <w:rFonts w:ascii="Times New Roman" w:hAnsi="Times New Roman"/>
          <w:bCs/>
          <w:iCs/>
          <w:sz w:val="20"/>
          <w:lang w:val="de-DE"/>
        </w:rPr>
        <w:t>/C-</w:t>
      </w:r>
      <w:r w:rsidRPr="004A69E4">
        <w:rPr>
          <w:rFonts w:ascii="Times New Roman" w:hAnsi="Times New Roman"/>
          <w:bCs/>
          <w:sz w:val="20"/>
          <w:lang w:val="de-DE"/>
        </w:rPr>
        <w:t>4′′′</w:t>
      </w:r>
      <w:r w:rsidRPr="004A69E4">
        <w:rPr>
          <w:rFonts w:ascii="Times New Roman" w:hAnsi="Times New Roman"/>
          <w:bCs/>
          <w:iCs/>
          <w:sz w:val="20"/>
          <w:lang w:val="de-DE"/>
        </w:rPr>
        <w:t xml:space="preserve"> (Figure S1). In conclusion, the structure of </w:t>
      </w:r>
      <w:r w:rsidRPr="004A69E4">
        <w:rPr>
          <w:rFonts w:ascii="Times New Roman" w:hAnsi="Times New Roman"/>
          <w:b/>
          <w:bCs/>
          <w:iCs/>
          <w:sz w:val="20"/>
          <w:lang w:val="de-DE"/>
        </w:rPr>
        <w:t>M-1</w:t>
      </w:r>
      <w:r w:rsidRPr="004A69E4">
        <w:rPr>
          <w:rFonts w:ascii="Times New Roman" w:hAnsi="Times New Roman"/>
          <w:bCs/>
          <w:iCs/>
          <w:sz w:val="20"/>
          <w:lang w:val="de-DE"/>
        </w:rPr>
        <w:t xml:space="preserve"> was determined to be kaempferol-3-</w:t>
      </w:r>
      <w:r w:rsidRPr="004A69E4">
        <w:rPr>
          <w:rFonts w:ascii="Times New Roman" w:hAnsi="Times New Roman"/>
          <w:bCs/>
          <w:i/>
          <w:iCs/>
          <w:sz w:val="20"/>
          <w:lang w:val="de-DE"/>
        </w:rPr>
        <w:t>O</w:t>
      </w:r>
      <w:r w:rsidRPr="004A69E4">
        <w:rPr>
          <w:rFonts w:ascii="Times New Roman" w:hAnsi="Times New Roman"/>
          <w:bCs/>
          <w:iCs/>
          <w:sz w:val="20"/>
          <w:lang w:val="de-DE"/>
        </w:rPr>
        <w:t xml:space="preserve">-glucoside 6 ‘’-succinate methyl ester. </w:t>
      </w:r>
      <w:bookmarkStart w:id="3" w:name="_Hlk91531214"/>
      <w:r w:rsidRPr="004A69E4">
        <w:rPr>
          <w:rFonts w:ascii="Times New Roman" w:hAnsi="Times New Roman"/>
          <w:bCs/>
          <w:iCs/>
          <w:sz w:val="20"/>
          <w:lang w:val="de-DE"/>
        </w:rPr>
        <w:t xml:space="preserve">Compound </w:t>
      </w:r>
      <w:r w:rsidRPr="004A69E4">
        <w:rPr>
          <w:rFonts w:ascii="Times New Roman" w:hAnsi="Times New Roman"/>
          <w:b/>
          <w:bCs/>
          <w:iCs/>
          <w:sz w:val="20"/>
          <w:lang w:val="de-DE"/>
        </w:rPr>
        <w:t>M-2</w:t>
      </w:r>
      <w:r w:rsidRPr="004A69E4">
        <w:rPr>
          <w:rFonts w:ascii="Times New Roman" w:hAnsi="Times New Roman"/>
          <w:bCs/>
          <w:iCs/>
          <w:sz w:val="20"/>
          <w:lang w:val="de-DE"/>
        </w:rPr>
        <w:t>, obtained as a yellowish amorphous powder, possessed the molecular formula C</w:t>
      </w:r>
      <w:r w:rsidRPr="004A69E4">
        <w:rPr>
          <w:rFonts w:ascii="Times New Roman" w:hAnsi="Times New Roman"/>
          <w:bCs/>
          <w:iCs/>
          <w:sz w:val="20"/>
          <w:vertAlign w:val="subscript"/>
          <w:lang w:val="de-DE"/>
        </w:rPr>
        <w:t>25</w:t>
      </w:r>
      <w:r w:rsidRPr="004A69E4">
        <w:rPr>
          <w:rFonts w:ascii="Times New Roman" w:hAnsi="Times New Roman"/>
          <w:bCs/>
          <w:iCs/>
          <w:sz w:val="20"/>
          <w:lang w:val="de-DE"/>
        </w:rPr>
        <w:t>H</w:t>
      </w:r>
      <w:r w:rsidRPr="004A69E4">
        <w:rPr>
          <w:rFonts w:ascii="Times New Roman" w:hAnsi="Times New Roman"/>
          <w:bCs/>
          <w:iCs/>
          <w:sz w:val="20"/>
          <w:vertAlign w:val="subscript"/>
          <w:lang w:val="de-DE"/>
        </w:rPr>
        <w:t>24</w:t>
      </w:r>
      <w:r w:rsidRPr="004A69E4">
        <w:rPr>
          <w:rFonts w:ascii="Times New Roman" w:hAnsi="Times New Roman"/>
          <w:bCs/>
          <w:iCs/>
          <w:sz w:val="20"/>
          <w:lang w:val="de-DE"/>
        </w:rPr>
        <w:t>O</w:t>
      </w:r>
      <w:r w:rsidRPr="004A69E4">
        <w:rPr>
          <w:rFonts w:ascii="Times New Roman" w:hAnsi="Times New Roman"/>
          <w:bCs/>
          <w:iCs/>
          <w:sz w:val="20"/>
          <w:vertAlign w:val="subscript"/>
          <w:lang w:val="de-DE"/>
        </w:rPr>
        <w:t>14</w:t>
      </w:r>
      <w:r w:rsidRPr="004A69E4">
        <w:rPr>
          <w:rFonts w:ascii="Times New Roman" w:hAnsi="Times New Roman"/>
          <w:bCs/>
          <w:iCs/>
          <w:sz w:val="20"/>
          <w:lang w:val="de-DE"/>
        </w:rPr>
        <w:t xml:space="preserve"> as determined by the negative-ion mode HR-ESI-MS data at </w:t>
      </w:r>
      <w:r w:rsidRPr="004A69E4">
        <w:rPr>
          <w:rFonts w:ascii="Times New Roman" w:hAnsi="Times New Roman"/>
          <w:bCs/>
          <w:i/>
          <w:iCs/>
          <w:sz w:val="20"/>
          <w:lang w:val="de-DE"/>
        </w:rPr>
        <w:t>m</w:t>
      </w:r>
      <w:r w:rsidRPr="004A69E4">
        <w:rPr>
          <w:rFonts w:ascii="Times New Roman" w:hAnsi="Times New Roman"/>
          <w:bCs/>
          <w:iCs/>
          <w:sz w:val="20"/>
          <w:lang w:val="de-DE"/>
        </w:rPr>
        <w:t>/</w:t>
      </w:r>
      <w:r w:rsidRPr="004A69E4">
        <w:rPr>
          <w:rFonts w:ascii="Times New Roman" w:hAnsi="Times New Roman"/>
          <w:bCs/>
          <w:i/>
          <w:iCs/>
          <w:sz w:val="20"/>
          <w:lang w:val="de-DE"/>
        </w:rPr>
        <w:t>z</w:t>
      </w:r>
      <w:r w:rsidRPr="004A69E4">
        <w:rPr>
          <w:rFonts w:ascii="Times New Roman" w:hAnsi="Times New Roman"/>
          <w:bCs/>
          <w:iCs/>
          <w:sz w:val="20"/>
          <w:lang w:val="de-DE"/>
        </w:rPr>
        <w:t xml:space="preserve"> 547.1093 [M-H]</w:t>
      </w:r>
      <w:r w:rsidRPr="004A69E4">
        <w:rPr>
          <w:rFonts w:ascii="Times New Roman" w:hAnsi="Times New Roman"/>
          <w:bCs/>
          <w:iCs/>
          <w:sz w:val="20"/>
          <w:vertAlign w:val="superscript"/>
          <w:lang w:val="de-DE"/>
        </w:rPr>
        <w:t>-</w:t>
      </w:r>
      <w:r w:rsidRPr="004A69E4">
        <w:rPr>
          <w:rFonts w:ascii="Times New Roman" w:hAnsi="Times New Roman"/>
          <w:bCs/>
          <w:iCs/>
          <w:sz w:val="20"/>
          <w:lang w:val="de-DE"/>
        </w:rPr>
        <w:t> (calculated for C</w:t>
      </w:r>
      <w:r w:rsidRPr="004A69E4">
        <w:rPr>
          <w:rFonts w:ascii="Times New Roman" w:hAnsi="Times New Roman"/>
          <w:bCs/>
          <w:iCs/>
          <w:sz w:val="20"/>
          <w:vertAlign w:val="subscript"/>
          <w:lang w:val="de-DE"/>
        </w:rPr>
        <w:t>25</w:t>
      </w:r>
      <w:r w:rsidRPr="004A69E4">
        <w:rPr>
          <w:rFonts w:ascii="Times New Roman" w:hAnsi="Times New Roman"/>
          <w:bCs/>
          <w:iCs/>
          <w:sz w:val="20"/>
          <w:lang w:val="de-DE"/>
        </w:rPr>
        <w:t>H</w:t>
      </w:r>
      <w:r w:rsidRPr="004A69E4">
        <w:rPr>
          <w:rFonts w:ascii="Times New Roman" w:hAnsi="Times New Roman"/>
          <w:bCs/>
          <w:iCs/>
          <w:sz w:val="20"/>
          <w:vertAlign w:val="subscript"/>
          <w:lang w:val="de-DE"/>
        </w:rPr>
        <w:t>23</w:t>
      </w:r>
      <w:r w:rsidRPr="004A69E4">
        <w:rPr>
          <w:rFonts w:ascii="Times New Roman" w:hAnsi="Times New Roman"/>
          <w:bCs/>
          <w:iCs/>
          <w:sz w:val="20"/>
          <w:lang w:val="de-DE"/>
        </w:rPr>
        <w:t>O</w:t>
      </w:r>
      <w:r w:rsidRPr="004A69E4">
        <w:rPr>
          <w:rFonts w:ascii="Times New Roman" w:hAnsi="Times New Roman"/>
          <w:bCs/>
          <w:iCs/>
          <w:sz w:val="20"/>
          <w:vertAlign w:val="subscript"/>
          <w:lang w:val="de-DE"/>
        </w:rPr>
        <w:t>14</w:t>
      </w:r>
      <w:r w:rsidRPr="004A69E4">
        <w:rPr>
          <w:rFonts w:ascii="Times New Roman" w:hAnsi="Times New Roman"/>
          <w:bCs/>
          <w:iCs/>
          <w:sz w:val="20"/>
          <w:lang w:val="de-DE"/>
        </w:rPr>
        <w:t xml:space="preserve">, 547.1088) and NMR data (Table S1). The </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H and </w:t>
      </w:r>
      <w:r w:rsidRPr="004A69E4">
        <w:rPr>
          <w:rFonts w:ascii="Times New Roman" w:hAnsi="Times New Roman"/>
          <w:bCs/>
          <w:iCs/>
          <w:sz w:val="20"/>
          <w:vertAlign w:val="superscript"/>
          <w:lang w:val="de-DE"/>
        </w:rPr>
        <w:t>13</w:t>
      </w:r>
      <w:r w:rsidRPr="004A69E4">
        <w:rPr>
          <w:rFonts w:ascii="Times New Roman" w:hAnsi="Times New Roman"/>
          <w:bCs/>
          <w:iCs/>
          <w:sz w:val="20"/>
          <w:lang w:val="de-DE"/>
        </w:rPr>
        <w:t xml:space="preserve">C NMR spectra of </w:t>
      </w:r>
      <w:r w:rsidRPr="004A69E4">
        <w:rPr>
          <w:rFonts w:ascii="Times New Roman" w:hAnsi="Times New Roman"/>
          <w:b/>
          <w:bCs/>
          <w:iCs/>
          <w:sz w:val="20"/>
          <w:lang w:val="de-DE"/>
        </w:rPr>
        <w:t>M-2</w:t>
      </w:r>
      <w:r w:rsidRPr="004A69E4">
        <w:rPr>
          <w:rFonts w:ascii="Times New Roman" w:hAnsi="Times New Roman"/>
          <w:bCs/>
          <w:iCs/>
          <w:sz w:val="20"/>
          <w:lang w:val="de-DE"/>
        </w:rPr>
        <w:t xml:space="preserve"> (Table S1), combined with HSQC and HMBC experiments,</w:t>
      </w:r>
      <w:bookmarkEnd w:id="3"/>
      <w:r w:rsidRPr="004A69E4">
        <w:rPr>
          <w:rFonts w:ascii="Times New Roman" w:hAnsi="Times New Roman"/>
          <w:bCs/>
          <w:iCs/>
          <w:sz w:val="20"/>
          <w:lang w:val="de-DE"/>
        </w:rPr>
        <w:t xml:space="preserve"> closely resembled those of </w:t>
      </w:r>
      <w:r w:rsidRPr="004A69E4">
        <w:rPr>
          <w:rFonts w:ascii="Times New Roman" w:hAnsi="Times New Roman"/>
          <w:b/>
          <w:bCs/>
          <w:iCs/>
          <w:sz w:val="20"/>
          <w:lang w:val="de-DE"/>
        </w:rPr>
        <w:t>M-1</w:t>
      </w:r>
      <w:r w:rsidRPr="004A69E4">
        <w:rPr>
          <w:rFonts w:ascii="Times New Roman" w:hAnsi="Times New Roman"/>
          <w:bCs/>
          <w:iCs/>
          <w:sz w:val="20"/>
          <w:lang w:val="de-DE"/>
        </w:rPr>
        <w:t xml:space="preserve">. The only minor difference in their chemical shifts was at the level of the side chain; the succinate methyl ester in compound </w:t>
      </w:r>
      <w:r w:rsidRPr="004A69E4">
        <w:rPr>
          <w:rFonts w:ascii="Times New Roman" w:hAnsi="Times New Roman"/>
          <w:b/>
          <w:bCs/>
          <w:iCs/>
          <w:sz w:val="20"/>
          <w:lang w:val="de-DE"/>
        </w:rPr>
        <w:t>M-1</w:t>
      </w:r>
      <w:r w:rsidRPr="004A69E4">
        <w:rPr>
          <w:rFonts w:ascii="Times New Roman" w:hAnsi="Times New Roman"/>
          <w:bCs/>
          <w:iCs/>
          <w:sz w:val="20"/>
          <w:lang w:val="de-DE"/>
        </w:rPr>
        <w:t xml:space="preserve"> was replaced by the malonate methyl ester in compound </w:t>
      </w:r>
      <w:r w:rsidRPr="004A69E4">
        <w:rPr>
          <w:rFonts w:ascii="Times New Roman" w:hAnsi="Times New Roman"/>
          <w:b/>
          <w:bCs/>
          <w:iCs/>
          <w:sz w:val="20"/>
          <w:lang w:val="de-DE"/>
        </w:rPr>
        <w:t>M-2</w:t>
      </w:r>
      <w:r w:rsidRPr="004A69E4">
        <w:rPr>
          <w:rFonts w:ascii="Times New Roman" w:hAnsi="Times New Roman"/>
          <w:bCs/>
          <w:iCs/>
          <w:sz w:val="20"/>
          <w:lang w:val="de-DE"/>
        </w:rPr>
        <w:t xml:space="preserve">. The complete structure of </w:t>
      </w:r>
      <w:r w:rsidRPr="004A69E4">
        <w:rPr>
          <w:rFonts w:ascii="Times New Roman" w:hAnsi="Times New Roman"/>
          <w:b/>
          <w:bCs/>
          <w:iCs/>
          <w:sz w:val="20"/>
          <w:lang w:val="de-DE"/>
        </w:rPr>
        <w:t>M-2</w:t>
      </w:r>
      <w:r w:rsidRPr="004A69E4">
        <w:rPr>
          <w:rFonts w:ascii="Times New Roman" w:hAnsi="Times New Roman"/>
          <w:bCs/>
          <w:iCs/>
          <w:sz w:val="20"/>
          <w:lang w:val="de-DE"/>
        </w:rPr>
        <w:t xml:space="preserve"> was further determined using 2D NMR analysis (</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H-</w:t>
      </w:r>
      <w:r w:rsidRPr="004A69E4">
        <w:rPr>
          <w:rFonts w:ascii="Times New Roman" w:hAnsi="Times New Roman"/>
          <w:bCs/>
          <w:iCs/>
          <w:sz w:val="20"/>
          <w:vertAlign w:val="superscript"/>
          <w:lang w:val="de-DE"/>
        </w:rPr>
        <w:t>1</w:t>
      </w:r>
      <w:r w:rsidRPr="004A69E4">
        <w:rPr>
          <w:rFonts w:ascii="Times New Roman" w:hAnsi="Times New Roman"/>
          <w:bCs/>
          <w:iCs/>
          <w:sz w:val="20"/>
          <w:lang w:val="de-DE"/>
        </w:rPr>
        <w:t xml:space="preserve">H COSY and HMBC) (Figure S1). Accordingly, </w:t>
      </w:r>
      <w:r w:rsidRPr="004A69E4">
        <w:rPr>
          <w:rFonts w:ascii="Times New Roman" w:hAnsi="Times New Roman"/>
          <w:b/>
          <w:bCs/>
          <w:iCs/>
          <w:sz w:val="20"/>
          <w:lang w:val="de-DE"/>
        </w:rPr>
        <w:t>M-2</w:t>
      </w:r>
      <w:r w:rsidRPr="004A69E4">
        <w:rPr>
          <w:rFonts w:ascii="Times New Roman" w:hAnsi="Times New Roman"/>
          <w:bCs/>
          <w:iCs/>
          <w:sz w:val="20"/>
          <w:lang w:val="de-DE"/>
        </w:rPr>
        <w:t xml:space="preserve"> was characterized as kaempferol-3-</w:t>
      </w:r>
      <w:r w:rsidRPr="004A69E4">
        <w:rPr>
          <w:rFonts w:ascii="Times New Roman" w:hAnsi="Times New Roman"/>
          <w:bCs/>
          <w:i/>
          <w:iCs/>
          <w:sz w:val="20"/>
          <w:lang w:val="de-DE"/>
        </w:rPr>
        <w:t>O</w:t>
      </w:r>
      <w:r w:rsidRPr="004A69E4">
        <w:rPr>
          <w:rFonts w:ascii="Times New Roman" w:hAnsi="Times New Roman"/>
          <w:bCs/>
          <w:iCs/>
          <w:sz w:val="20"/>
          <w:lang w:val="de-DE"/>
        </w:rPr>
        <w:t xml:space="preserve">-glucoside 6"-malonate methyl ester. Finally, the absolute configuration of the glucose moiety in </w:t>
      </w:r>
      <w:r w:rsidRPr="004A69E4">
        <w:rPr>
          <w:rFonts w:ascii="Times New Roman" w:hAnsi="Times New Roman"/>
          <w:b/>
          <w:bCs/>
          <w:iCs/>
          <w:sz w:val="20"/>
          <w:lang w:val="de-DE"/>
        </w:rPr>
        <w:t>M-1</w:t>
      </w:r>
      <w:r w:rsidRPr="004A69E4">
        <w:rPr>
          <w:rFonts w:ascii="Times New Roman" w:hAnsi="Times New Roman"/>
          <w:bCs/>
          <w:iCs/>
          <w:sz w:val="20"/>
          <w:lang w:val="de-DE"/>
        </w:rPr>
        <w:t xml:space="preserve"> and </w:t>
      </w:r>
      <w:r w:rsidRPr="004A69E4">
        <w:rPr>
          <w:rFonts w:ascii="Times New Roman" w:hAnsi="Times New Roman"/>
          <w:b/>
          <w:bCs/>
          <w:iCs/>
          <w:sz w:val="20"/>
          <w:lang w:val="de-DE"/>
        </w:rPr>
        <w:t>M-2</w:t>
      </w:r>
      <w:r w:rsidRPr="004A69E4">
        <w:rPr>
          <w:rFonts w:ascii="Times New Roman" w:hAnsi="Times New Roman"/>
          <w:bCs/>
          <w:sz w:val="20"/>
          <w:lang w:val="de-DE"/>
        </w:rPr>
        <w:t xml:space="preserve"> </w:t>
      </w:r>
      <w:r w:rsidRPr="004A69E4">
        <w:rPr>
          <w:rFonts w:ascii="Times New Roman" w:hAnsi="Times New Roman"/>
          <w:bCs/>
          <w:iCs/>
          <w:sz w:val="20"/>
          <w:lang w:val="de-DE"/>
        </w:rPr>
        <w:t xml:space="preserve">was determined by acid hydrolysis, which resulted in the production of glucopyranose. The </w:t>
      </w:r>
      <w:r w:rsidRPr="004A69E4">
        <w:rPr>
          <w:rFonts w:ascii="Times New Roman" w:hAnsi="Times New Roman"/>
          <w:bCs/>
          <w:i/>
          <w:iCs/>
          <w:sz w:val="20"/>
          <w:lang w:val="de-DE"/>
        </w:rPr>
        <w:t>β</w:t>
      </w:r>
      <w:r w:rsidRPr="004A69E4">
        <w:rPr>
          <w:rFonts w:ascii="Times New Roman" w:hAnsi="Times New Roman"/>
          <w:bCs/>
          <w:iCs/>
          <w:sz w:val="20"/>
          <w:lang w:val="de-DE"/>
        </w:rPr>
        <w:t>-D-glucopyranose was determined by comparing the retention time (</w:t>
      </w:r>
      <w:r w:rsidRPr="004A69E4">
        <w:rPr>
          <w:rFonts w:ascii="Times New Roman" w:hAnsi="Times New Roman"/>
          <w:bCs/>
          <w:i/>
          <w:iCs/>
          <w:sz w:val="20"/>
          <w:lang w:val="de-DE"/>
        </w:rPr>
        <w:t>t</w:t>
      </w:r>
      <w:r w:rsidRPr="004A69E4">
        <w:rPr>
          <w:rFonts w:ascii="Times New Roman" w:hAnsi="Times New Roman"/>
          <w:bCs/>
          <w:iCs/>
          <w:sz w:val="20"/>
          <w:vertAlign w:val="subscript"/>
          <w:lang w:val="de-DE"/>
        </w:rPr>
        <w:t>R</w:t>
      </w:r>
      <w:r w:rsidRPr="004A69E4">
        <w:rPr>
          <w:rFonts w:ascii="Times New Roman" w:hAnsi="Times New Roman"/>
          <w:bCs/>
          <w:iCs/>
          <w:sz w:val="20"/>
          <w:lang w:val="de-DE"/>
        </w:rPr>
        <w:t xml:space="preserve"> 19.3 min) of its thiocarbamoyl-thiazolidine derivative with that of the standard sample of D-glucopyranose by LC-MS analysis and the coupling constant (</w:t>
      </w:r>
      <w:r w:rsidRPr="004A69E4">
        <w:rPr>
          <w:rFonts w:ascii="Times New Roman" w:hAnsi="Times New Roman"/>
          <w:bCs/>
          <w:i/>
          <w:iCs/>
          <w:sz w:val="20"/>
          <w:lang w:val="de-DE"/>
        </w:rPr>
        <w:t>J</w:t>
      </w:r>
      <w:r w:rsidRPr="004A69E4">
        <w:rPr>
          <w:rFonts w:ascii="Times New Roman" w:hAnsi="Times New Roman"/>
          <w:bCs/>
          <w:iCs/>
          <w:sz w:val="20"/>
          <w:lang w:val="de-DE"/>
        </w:rPr>
        <w:t xml:space="preserve"> = 7.5 Hz) of the anomeric proton signal, indicative of the </w:t>
      </w:r>
      <w:r w:rsidRPr="004A69E4">
        <w:rPr>
          <w:rFonts w:ascii="Times New Roman" w:hAnsi="Times New Roman"/>
          <w:bCs/>
          <w:i/>
          <w:iCs/>
          <w:sz w:val="20"/>
          <w:lang w:val="de-DE"/>
        </w:rPr>
        <w:t>β</w:t>
      </w:r>
      <w:r w:rsidRPr="004A69E4">
        <w:rPr>
          <w:rFonts w:ascii="Times New Roman" w:hAnsi="Times New Roman"/>
          <w:bCs/>
          <w:iCs/>
          <w:sz w:val="20"/>
          <w:lang w:val="de-DE"/>
        </w:rPr>
        <w:t>-form for glucose.</w:t>
      </w:r>
      <w:r w:rsidRPr="004A69E4">
        <w:rPr>
          <w:rFonts w:ascii="Times New Roman" w:hAnsi="Times New Roman"/>
          <w:bCs/>
          <w:iCs/>
          <w:sz w:val="20"/>
          <w:lang w:val="de-DE"/>
        </w:rPr>
        <w:fldChar w:fldCharType="begin" w:fldLock="1"/>
      </w:r>
      <w:r w:rsidR="00724290" w:rsidRPr="004A69E4">
        <w:rPr>
          <w:rFonts w:ascii="Times New Roman" w:hAnsi="Times New Roman"/>
          <w:bCs/>
          <w:iCs/>
          <w:sz w:val="20"/>
          <w:lang w:val="de-DE"/>
        </w:rPr>
        <w:instrText>ADDIN CSL_CITATION {"citationItems":[{"id":"ITEM-1","itemData":{"DOI":"10.3390/BIOMEDICINES9010091","ISSN":"2227-9059","PMID":"33477919","abstract":"Safflower (Carthamus tinctorius) is an annual herb belonging to the Compositae family; it has a history of use as a food colorant, dye, and medicine in oriental countries. LC-MS-UV-based chemical analysis of extract of the florets of C. tinctorius led to the isolation of two new C10-polyacetylene glycosides, (8Z)-decaene-4,6-diyne-1,10-diol-1-O-β-D-glucopyranoside (1) and (8S)-deca-4,6-diyne1,8-diol-1-O-β-D-glucopyranoside (2), together with five known analogs (3–7). The structures of the new compounds were determined by using 1D and 2D NMR spectroscopic data and HR-MS data, as well as chemical transformations. Of compounds 1–7, compounds 2, 3, and 4 inhibited the adipogenesis of 3T3-L1 preadipocytes, whereas compounds 1 and 6 promoted adipogenesis. Compounds 2, 3, and 4 also prevented lipid accumulation through the suppression of the expression of lipogenic genes and the increase of the expression of lipolytic genes. Moreover, compounds 3 and 4 activated AMPK, which is known to facilitate lipid metabolism. Our findings provide a mechanistic rationale for the use of safflower-derived polyacetylene glycosides as potential therapeutic agents against obesity.","author":[{"dropping-particle":"","family":"Baek","given":"Su Cheol","non-dropping-particle":"","parse-names":false,"suffix":""},{"dropping-particle":"","family":"Yi","given":"Sang Ah","non-dropping-particle":"","parse-names":false,"suffix":""},{"dropping-particle":"","family":"Lee","given":"Bum Soo","non-dropping-particle":"","parse-names":false,"suffix":""},{"dropping-particle":"","family":"Yu","given":"Jae Sik","non-dropping-particle":"","parse-names":false,"suffix":""},{"dropping-particle":"","family":"Kim","given":"Jin Chul","non-dropping-particle":"","parse-names":false,"suffix":""},{"dropping-particle":"","family":"Pang","given":"Changhyun","non-dropping-particle":"","parse-names":false,"suffix":""},{"dropping-particle":"","family":"Jang","given":"Tae Su","non-dropping-particle":"","parse-names":false,"suffix":""},{"dropping-particle":"","family":"Lee","given":"Jaecheol","non-dropping-particle":"","parse-names":false,"suffix":""},{"dropping-particle":"","family":"Kim","given":"Ki Hyun","non-dropping-particle":"","parse-names":false,"suffix":""}],"container-title":"Biomedicines","id":"ITEM-1","issue":"1","issued":{"date-parts":[["2021"]]},"page":"1-12","publisher":"Biomedicines","title":"Anti-Adipogenic Polyacetylene Glycosides from the Florets of Safflower ( Carthamus tinctorius)","type":"article-journal","volume":"9"},"uris":["http://www.mendeley.com/documents/?uuid=ad15a927-d13e-3be7-9aa6-d49e94056816"]}],"mendeley":{"formattedCitation":"[30]","plainTextFormattedCitation":"[30]","previouslyFormattedCitation":"[29]"},"properties":{"noteIndex":0},"schema":"https://github.com/citation-style-language/schema/raw/master/csl-citation.json"}</w:instrText>
      </w:r>
      <w:r w:rsidRPr="004A69E4">
        <w:rPr>
          <w:rFonts w:ascii="Times New Roman" w:hAnsi="Times New Roman"/>
          <w:bCs/>
          <w:iCs/>
          <w:sz w:val="20"/>
          <w:lang w:val="de-DE"/>
        </w:rPr>
        <w:fldChar w:fldCharType="separate"/>
      </w:r>
      <w:r w:rsidR="00724290" w:rsidRPr="004A69E4">
        <w:rPr>
          <w:rFonts w:ascii="Times New Roman" w:hAnsi="Times New Roman"/>
          <w:bCs/>
          <w:iCs/>
          <w:noProof/>
          <w:sz w:val="20"/>
          <w:lang w:val="de-DE"/>
        </w:rPr>
        <w:t>[30]</w:t>
      </w:r>
      <w:r w:rsidRPr="004A69E4">
        <w:rPr>
          <w:rFonts w:ascii="Times New Roman" w:hAnsi="Times New Roman"/>
          <w:sz w:val="20"/>
          <w:lang w:val="de-DE"/>
        </w:rPr>
        <w:fldChar w:fldCharType="end"/>
      </w:r>
      <w:r w:rsidRPr="004A69E4">
        <w:rPr>
          <w:rFonts w:ascii="Times New Roman" w:hAnsi="Times New Roman"/>
          <w:bCs/>
          <w:iCs/>
          <w:sz w:val="20"/>
          <w:lang w:val="de-DE"/>
        </w:rPr>
        <w:t xml:space="preserve"> </w:t>
      </w:r>
      <w:r w:rsidRPr="004A69E4">
        <w:rPr>
          <w:rFonts w:ascii="Times New Roman" w:hAnsi="Times New Roman"/>
          <w:bCs/>
          <w:sz w:val="20"/>
          <w:lang w:val="de-DE"/>
        </w:rPr>
        <w:t>The other isolated flavonoid glycosides were identified as 6’-succinyl quercetin-3-glucoside (</w:t>
      </w:r>
      <w:r w:rsidRPr="004A69E4">
        <w:rPr>
          <w:rFonts w:ascii="Times New Roman" w:hAnsi="Times New Roman"/>
          <w:b/>
          <w:bCs/>
          <w:sz w:val="20"/>
          <w:lang w:val="de-DE"/>
        </w:rPr>
        <w:t>M-3</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{"citationItems":[{"id":"ITEM-1","itemData":{"DOI":"10.1016/J.ABB.2008.01.022","ISSN":"1096-0384","PMID":"18267102","abstract":"Flavonoid-rich diets are expected to decrease the risk of cardiovascular diseases. The localization and target sites of flavonoids underlying the protective mechanism in vivo have not been fully investigated because the methods for detection of flavonoids have been limited to chemical analysis such as high-performance liquid chromatography. To further understand the actions of flavonoids in vivo, we developed a novel methodology that immunochemically evaluates flavonoids using specific antibodies. Quercetin-3-glucuronide (Q3GA), a major metabolite in human plasma, was coupled with keyhole limpet hemocyanin. Alternatively, the sugar moiety of quercetin-3-glucoside (Q3G) was succinylated and then coupled with a carrier protein. Using these two immunogens, we finally obtained two monoclonal antibodies, mAb14A2 and mAb11G6, from the immunogen using Q3GA and Q3G, respectively. Competitive enzyme-linked immunosorbent assay showed the unique difference in the specificity between the two similar antibodies: mAb14A2 recognized several quercetin-3-glycosides including Q3G and rutin but mAb11G6 was highly specific to the Q3G structure. The macrophage-derived foam cells in human atherosclerotic lesions were significantly stained with mAb14A2 but scarcely with mAb11G6. These results showed that the anti-flavonoid glycoside antibodies are useful tools for evaluating their localization in tissues and that the specificities strongly depend on the immunogen design for synthesizing the hapten-protein conjugates. © 2008 Elsevier Inc. All rights reserved.","author":[{"dropping-particle":"","family":"Kawai","given":"Yoshichika","non-dropping-particle":"","parse-names":false,"suffix":""},{"dropping-particle":"","family":"Ishisaka","given":"Akari","non-dropping-particle":"","parse-names":false,"suffix":""},{"dropping-particle":"","family":"Saito","given":"Satomi","non-dropping-particle":"","parse-names":false,"suffix":""},{"dropping-particle":"","family":"Uchida","given":"Koji","non-dropping-particle":"","parse-names":false,"suffix":""},{"dropping-particle":"","family":"Shibata","given":"Noriyuki","non-dropping-particle":"","parse-names":false,"suffix":""},{"dropping-particle":"","family":"Kobayashi","given":"Makio","non-dropping-particle":"","parse-names":false,"suffix":""},{"dropping-particle":"","family":"Fukuchi","given":"Yoshiko","non-dropping-particle":"","parse-names":false,"suffix":""},{"dropping-particle":"","family":"Naito","given":"Michitaka","non-dropping-particle":"","parse-names":false,"suffix":""},{"dropping-particle":"","family":"Terao","given":"Junji","non-dropping-particle":"","parse-names":false,"suffix":""}],"container-title":"Archives of biochemistry and biophysics","id":"ITEM-1","issue":"2","issued":{"date-parts":[["2008","8","15"]]},"page":"124-132","publisher":"Arch Biochem Biophys","title":"Immunochemical detection of flavonoid glycosides: development, specificity, and application of novel monoclonal antibodies","type":"article-journal","volume":"476"},"uris":["http://www.mendeley.com/documents/?uuid=b10a4edb-1259-3784-8e80-46fa7dc04c8a"]}],"mendeley":{"formattedCitation":"[29]","plainTextFormattedCitation":"[29]","previouslyFormattedCitation":"[28]"},"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[29]</w:t>
      </w:r>
      <w:r w:rsidRPr="004A69E4">
        <w:rPr>
          <w:rFonts w:ascii="Times New Roman" w:hAnsi="Times New Roman"/>
          <w:sz w:val="20"/>
          <w:lang w:val="de-DE"/>
        </w:rPr>
        <w:fldChar w:fldCharType="end"/>
      </w:r>
      <w:r w:rsidRPr="004A69E4">
        <w:rPr>
          <w:rFonts w:ascii="Times New Roman" w:hAnsi="Times New Roman"/>
          <w:bCs/>
          <w:sz w:val="20"/>
          <w:vertAlign w:val="superscript"/>
          <w:lang w:val="de-DE"/>
        </w:rPr>
        <w:t xml:space="preserve"> </w:t>
      </w:r>
      <w:r w:rsidRPr="004A69E4">
        <w:rPr>
          <w:rFonts w:ascii="Times New Roman" w:hAnsi="Times New Roman"/>
          <w:bCs/>
          <w:sz w:val="20"/>
          <w:lang w:val="de-DE"/>
        </w:rPr>
        <w:t>rutin (</w:t>
      </w:r>
      <w:r w:rsidRPr="004A69E4">
        <w:rPr>
          <w:rFonts w:ascii="Times New Roman" w:hAnsi="Times New Roman"/>
          <w:b/>
          <w:bCs/>
          <w:sz w:val="20"/>
          <w:lang w:val="de-DE"/>
        </w:rPr>
        <w:t>M-4</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{"citationItems":[{"id":"ITEM-1","itemData":{"DOI":"10.5620/EAHT.2021010","ISSN":"22336567","PMID":"34130375","abstract":"The coronavirus disease of 2019 (COVID-19) has become a global pandemic with rapid rate of transmission and fatalities worldwide. Scientists have been investigating a host of drugs that may be rechanneled to fight this malaise. Thus, in this current computational study we carried out molecular docking experiments to assess the bridging potentials of some commercial drugs such as chloroquine, hydroxychloroquine, lopinavir, ritonavir, nafamostat, camostat, famotidine, umifenovir, nitazoxanide, ivermectin, and fluvoxamine at the interface between human ACE2 and the coronavirus spike glycoprotein complex. This is aimed at ascertaining the ability of these drugs to bridge and prevent the complexing of these two proteins. The crystal structure of human ACE2 and the coronavirus spike glycoprotein complex was retrieved from protein database, while the selected drugs were retrieved from PubChem data base. The proteins and drugs were prepared for docking using Cresset Flare software. The docking was completed via AutoDock Vina module in Python Prescription software. The best hit drugs with each receptor were selected and their molecular interactions were analyzed using BIOVIA’s Discovery Studio 2020. The best hit compounds on the human ACE2 were the lopinavir (-10.1 kcal/mol), ritonavir (-8.9 kcal/mol), and nafamostat (-8.7 kcal/mol). Ivermectin, nafamostat, and camostat with binding energy values-9.0 kcal/mol,-7.8 kcal/mol, and-7.4 kcal/mol respectively were the hit drugs on the coronavirus spike glycoprotein. Nafamostat showed a dual bridging potential against ACE2 and spike glycoprotein, and could therefore be a promising lead compound in the prevention and control of this disease.","author":[{"dropping-particle":"","family":"Duru","given":"Chidi Edbert","non-dropping-particle":"","parse-names":false,"suffix":""},{"dropping-particle":"","family":"Umar","given":"Haruna Isiyaku Umar","non-dropping-particle":"","parse-names":false,"suffix":""},{"dropping-particle":"","family":"Duru","given":"Ijeoma Akunna","non-dropping-particle":"","parse-names":false,"suffix":""},{"dropping-particle":"","family":"Enenebeaku","given":"Uchechi Emmanuela","non-dropping-particle":"","parse-names":false,"suffix":""},{"dropping-particle":"","family":"Ngozi-Olehi","given":"Lynda Chioma","non-dropping-particle":"","parse-names":false,"suffix":""},{"dropping-particle":"","family":"Enyoh","given":"Christian Ebere","non-dropping-particle":"","parse-names":false,"suffix":""}],"container-title":"Environmental Analysis, Health and Toxicology","id":"ITEM-1","issue":"2","issued":{"date-parts":[["2021","6","1"]]},"publisher":"Korean Society of Environmental Health and Toxicology &amp; Korea Society for Environmental Analysis","title":"Blocking the interactions between human ACE2 and coronavirus spike glycoprotein by selected drugs: a computational perspective","type":"article-journal","volume":"36"},"uris":["http://www.mendeley.com/documents/?uuid=5409e484-f0b1-3db7-bd13-a74226d98464"]}],"mendeley":{"formattedCitation":"[31]","plainTextFormattedCitation":"[31]","previouslyFormattedCitation":"[30]"},"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[31]</w:t>
      </w:r>
      <w:r w:rsidRPr="004A69E4">
        <w:rPr>
          <w:rFonts w:ascii="Times New Roman" w:hAnsi="Times New Roman"/>
          <w:sz w:val="20"/>
          <w:lang w:val="de-DE"/>
        </w:rPr>
        <w:fldChar w:fldCharType="end"/>
      </w:r>
      <w:r w:rsidRPr="004A69E4">
        <w:rPr>
          <w:rFonts w:ascii="Times New Roman" w:hAnsi="Times New Roman"/>
          <w:bCs/>
          <w:sz w:val="20"/>
          <w:lang w:val="de-DE"/>
        </w:rPr>
        <w:t xml:space="preserve"> isoquercetin (</w:t>
      </w:r>
      <w:r w:rsidRPr="004A69E4">
        <w:rPr>
          <w:rFonts w:ascii="Times New Roman" w:hAnsi="Times New Roman"/>
          <w:b/>
          <w:bCs/>
          <w:sz w:val="20"/>
          <w:lang w:val="de-DE"/>
        </w:rPr>
        <w:t>M-5</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{"citationItems":[{"id":"ITEM-1","itemData":{"DOI":"10.5620/EAHT.2021010","ISSN":"22336567","PMID":"34130375","abstract":"The coronavirus disease of 2019 (COVID-19) has become a global pandemic with rapid rate of transmission and fatalities worldwide. Scientists have been investigating a host of drugs that may be rechanneled to fight this malaise. Thus, in this current computational study we carried out molecular docking experiments to assess the bridging potentials of some commercial drugs such as chloroquine, hydroxychloroquine, lopinavir, ritonavir, nafamostat, camostat, famotidine, umifenovir, nitazoxanide, ivermectin, and fluvoxamine at the interface between human ACE2 and the coronavirus spike glycoprotein complex. This is aimed at ascertaining the ability of these drugs to bridge and prevent the complexing of these two proteins. The crystal structure of human ACE2 and the coronavirus spike glycoprotein complex was retrieved from protein database, while the selected drugs were retrieved from PubChem data base. The proteins and drugs were prepared for docking using Cresset Flare software. The docking was completed via AutoDock Vina module in Python Prescription software. The best hit drugs with each receptor were selected and their molecular interactions were analyzed using BIOVIA’s Discovery Studio 2020. The best hit compounds on the human ACE2 were the lopinavir (-10.1 kcal/mol), ritonavir (-8.9 kcal/mol), and nafamostat (-8.7 kcal/mol). Ivermectin, nafamostat, and camostat with binding energy values-9.0 kcal/mol,-7.8 kcal/mol, and-7.4 kcal/mol respectively were the hit drugs on the coronavirus spike glycoprotein. Nafamostat showed a dual bridging potential against ACE2 and spike glycoprotein, and could therefore be a promising lead compound in the prevention and control of this disease.","author":[{"dropping-particle":"","family":"Duru","given":"Chidi Edbert","non-dropping-particle":"","parse-names":false,"suffix":""},{"dropping-particle":"","family":"Umar","given":"Haruna Isiyaku Umar","non-dropping-particle":"","parse-names":false,"suffix":""},{"dropping-particle":"","family":"Duru","given":"Ijeoma Akunna","non-dropping-particle":"","parse-names":false,"suffix":""},{"dropping-particle":"","family":"Enenebeaku","given":"Uchechi Emmanuela","non-dropping-particle":"","parse-names":false,"suffix":""},{"dropping-particle":"","family":"Ngozi-Olehi","given":"Lynda Chioma","non-dropping-particle":"","parse-names":false,"suffix":""},{"dropping-particle":"","family":"Enyoh","given":"Christian Ebere","non-dropping-particle":"","parse-names":false,"suffix":""}],"container-title":"Environmental Analysis, Health and Toxicology","id":"ITEM-1","issue":"2","issued":{"date-parts":[["2021","6","1"]]},"publisher":"Korean Society of Environmental Health and Toxicology &amp; Korea Society for Environmental Analysis","title":"Blocking the interactions between human ACE2 and coronavirus spike glycoprotein by selected drugs: a computational perspective","type":"article-journal","volume":"36"},"uris":["http://www.mendeley.com/documents/?uuid=5409e484-f0b1-3db7-bd13-a74226d98464"]}],"mendeley":{"formattedCitation":"[31]","plainTextFormattedCitation":"[31]","previouslyFormattedCitation":"[30]"},"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[31]</w:t>
      </w:r>
      <w:r w:rsidRPr="004A69E4">
        <w:rPr>
          <w:rFonts w:ascii="Times New Roman" w:hAnsi="Times New Roman"/>
          <w:sz w:val="20"/>
          <w:lang w:val="de-DE"/>
        </w:rPr>
        <w:fldChar w:fldCharType="end"/>
      </w:r>
      <w:r w:rsidRPr="004A69E4">
        <w:rPr>
          <w:rFonts w:ascii="Times New Roman" w:hAnsi="Times New Roman"/>
          <w:bCs/>
          <w:sz w:val="20"/>
          <w:lang w:val="de-DE"/>
        </w:rPr>
        <w:t xml:space="preserve"> quercetin-3-glucoside </w:t>
      </w:r>
      <w:r w:rsidRPr="004A69E4">
        <w:rPr>
          <w:rFonts w:ascii="Times New Roman" w:hAnsi="Times New Roman"/>
          <w:bCs/>
          <w:iCs/>
          <w:sz w:val="20"/>
          <w:lang w:val="de-DE"/>
        </w:rPr>
        <w:t>6"-malonate methyl ester</w:t>
      </w:r>
      <w:r w:rsidRPr="004A69E4">
        <w:rPr>
          <w:rFonts w:ascii="Times New Roman" w:hAnsi="Times New Roman"/>
          <w:bCs/>
          <w:sz w:val="20"/>
          <w:lang w:val="de-DE"/>
        </w:rPr>
        <w:t xml:space="preserve"> (</w:t>
      </w:r>
      <w:r w:rsidRPr="004A69E4">
        <w:rPr>
          <w:rFonts w:ascii="Times New Roman" w:hAnsi="Times New Roman"/>
          <w:b/>
          <w:bCs/>
          <w:sz w:val="20"/>
          <w:lang w:val="de-DE"/>
        </w:rPr>
        <w:t>M-6</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hint="eastAsia"/>
          <w:bCs/>
          <w:sz w:val="20"/>
          <w:lang w:val="de-DE"/>
        </w:rPr>
        <w:instrText>ADDIN CSL_CITATION {"citationItems":[{"id":"ITEM-1","itemData":{"DOI":"10.1002/HLCA.19930760823","ISSN":"1522-2675","abstract":"A chemo</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enzymatic approach to some 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(3</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arylprop</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enoyl) derivatives of the flavonol glucoside isoquercitrin (2a) was explored to overcome the inability to directly introduce these acyl moieties by an enzyme</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catalyzed reaction of 2a with the corresponding activated esters. This new approach was based on the regioselective introduction of a methyl malonate residue at the CH2OH of the sugar moiety by catalysis with the protease subtilisin (</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 xml:space="preserve"> 22a). The mixed diester 22a was then subjected to chemoselective hydrolysis of the methoxycarbonyl function by another enzyme, biophine esterase (</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 xml:space="preserve"> 23). Finally, the malonic monoester 23 was reacted in a Knoevenagel</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type condensation with benzaldehyde, 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hydroxybenzaldehyde, or 4</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hydroxy</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3</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methoxybenzaldehyde to afford the target 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(3</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arylprop</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enoyl) isoquercitrins 2b</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d. Copyright © 1993 Verlag GmbH &amp; Co. KGaA, Weinheim","author":[{"dr</w:instrText>
      </w:r>
      <w:r w:rsidR="00724290" w:rsidRPr="004A69E4">
        <w:rPr>
          <w:rFonts w:ascii="Times New Roman" w:hAnsi="Times New Roman"/>
          <w:bCs/>
          <w:sz w:val="20"/>
          <w:lang w:val="de-DE"/>
        </w:rPr>
        <w:instrText>opping-particle":"","family":"Danieli","given":"Bruno","non-dropping-particle":"","parse-names":false,"suffix":""},{"dropping-particle":"","family":"Bertario","given":"Andrea","non-dropping-particle":"","parse-names":false,"suffix":""},{"dropping-particle":"","family":"Carrea","given":"Giacomo","non-dropping-particle":"","parse-names":false,"suffix":""},{"dropping-particle":"","family":"Redigolo","given":"Barbara","non-dropping-particle":"","parse-names":false,"suffix":""},{"dropping-particle":"","family":"Secundo","given":"Francesco","non-dropping-particle":"","parse-names":false,"suffix":""},{"dropping-particle":"","family":"Riva","given":"Sergio","non-dropping-particle":"","parse-names":false,"suffix":""}],"container-title":"Helvetica Chimica Acta","id</w:instrText>
      </w:r>
      <w:r w:rsidR="00724290" w:rsidRPr="004A69E4">
        <w:rPr>
          <w:rFonts w:ascii="Times New Roman" w:hAnsi="Times New Roman" w:hint="eastAsia"/>
          <w:bCs/>
          <w:sz w:val="20"/>
          <w:lang w:val="de-DE"/>
        </w:rPr>
        <w:instrText>":"ITEM-1","issue":"8","issued":{"date-parts":[["1993","12","15"]]},"page":"2981-2991","publisher":"John Wiley &amp; Sons, Ltd","title":"Chemo-enzymatic Synthesis of 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-O-(3-Arylprop-2-enoyl) Derivatives of the Flavonol Glucoside Isoquercitrin","type":"articl</w:instrText>
      </w:r>
      <w:r w:rsidR="00724290" w:rsidRPr="004A69E4">
        <w:rPr>
          <w:rFonts w:ascii="Times New Roman" w:hAnsi="Times New Roman"/>
          <w:bCs/>
          <w:sz w:val="20"/>
          <w:lang w:val="de-DE"/>
        </w:rPr>
        <w:instrText>e-journal","volume":"76"},"uris":["http://www.mendeley.com/documents/?uuid=815122ab-6a13-3c78-8f3d-71129e035545"]}],"mendeley":{"formattedCitation":"[32]","plainTextFormattedCitation":"[32]","previouslyFormattedCitation":"[31]"},"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[32]</w:t>
      </w:r>
      <w:r w:rsidRPr="004A69E4">
        <w:rPr>
          <w:rFonts w:ascii="Times New Roman" w:hAnsi="Times New Roman"/>
          <w:sz w:val="20"/>
          <w:lang w:val="de-DE"/>
        </w:rPr>
        <w:fldChar w:fldCharType="end"/>
      </w:r>
      <w:r w:rsidRPr="004A69E4">
        <w:rPr>
          <w:rFonts w:ascii="Times New Roman" w:hAnsi="Times New Roman"/>
          <w:bCs/>
          <w:sz w:val="20"/>
          <w:lang w:val="de-DE"/>
        </w:rPr>
        <w:t xml:space="preserve"> and kaempferol 3-rutinoside (</w:t>
      </w:r>
      <w:r w:rsidRPr="004A69E4">
        <w:rPr>
          <w:rFonts w:ascii="Times New Roman" w:hAnsi="Times New Roman"/>
          <w:b/>
          <w:bCs/>
          <w:sz w:val="20"/>
          <w:lang w:val="de-DE"/>
        </w:rPr>
        <w:t>M-7</w:t>
      </w:r>
      <w:r w:rsidRPr="004A69E4">
        <w:rPr>
          <w:rFonts w:ascii="Times New Roman" w:hAnsi="Times New Roman"/>
          <w:bCs/>
          <w:sz w:val="20"/>
          <w:lang w:val="de-DE"/>
        </w:rPr>
        <w:t>)</w:t>
      </w:r>
      <w:r w:rsidRPr="004A69E4">
        <w:rPr>
          <w:rFonts w:ascii="Times New Roman" w:hAnsi="Times New Roman"/>
          <w:bCs/>
          <w:sz w:val="20"/>
          <w:lang w:val="de-DE"/>
        </w:rPr>
        <w:fldChar w:fldCharType="begin" w:fldLock="1"/>
      </w:r>
      <w:r w:rsidR="00724290" w:rsidRPr="004A69E4">
        <w:rPr>
          <w:rFonts w:ascii="Times New Roman" w:hAnsi="Times New Roman"/>
          <w:bCs/>
          <w:sz w:val="20"/>
          <w:lang w:val="de-DE"/>
        </w:rPr>
        <w:instrText>ADDIN CSL_CITATION {"citationItems":[{"id":"ITEM-1","itemData":{"DOI":"10.1007/BF02980079","ISSN":"0253-6269","PMID":"15180303","abstract":"The methanol extract obtained from the aerial parts of Aceriphyllum rossii (Saxifragaceae) was fractionated into ethyl acetate (EtOAc), n-BuOH and H 2O layers through solvent fractionation. Repeated silica gel column chromatography of EtOAc and n-BuOH layers afforded six flavonol glycosides. They were identified as kaempferol 3-O-β-D-glucopyranoside (astragalin, 1), q</w:instrText>
      </w:r>
      <w:r w:rsidR="00724290" w:rsidRPr="004A69E4">
        <w:rPr>
          <w:rFonts w:ascii="Times New Roman" w:hAnsi="Times New Roman" w:hint="eastAsia"/>
          <w:bCs/>
          <w:sz w:val="20"/>
          <w:lang w:val="de-DE"/>
        </w:rPr>
        <w:instrText>uercetin 3-O-</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-D-glucopyranoside (isoquercitrin, 2), kaempferol 3-O-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-L-rhamnopyranosyl (1</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-D-glucopyranoside (3), quercetin 3-O-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-L-rhamnopyranosyl (1</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-D-glucopyranoside (rutin, 4), kaempferol 3-O-[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-L-rhamnopyranosyl (1</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4)-</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-L-rhamnopyranosyl (1</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-D-glucopyranoside] (5) and quercetin 3- 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 rhamnopyranosyl (1</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4)-</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-L-rhamnopyranosyl (1</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-D- glucopyranoside] (6) on the basis of several spectral data. The antioxidant activity of the six compounds was investigated using two free radicals s</w:instrText>
      </w:r>
      <w:r w:rsidR="00724290" w:rsidRPr="004A69E4">
        <w:rPr>
          <w:rFonts w:ascii="Times New Roman" w:hAnsi="Times New Roman"/>
          <w:bCs/>
          <w:sz w:val="20"/>
          <w:lang w:val="de-DE"/>
        </w:rPr>
        <w:instrText>uch as the ABTS free radical and superoxide anion radical. Compound 1 exhibited the highest antioxidant activity in the ABTS {2,2-azinobis-(3-ethylbenzothiazoline- 6-sulfonic acid)} radical scavenging method. 100 mg/L of compound 1 was equivalent to 72.1±1.4 mg/L of vitamin C, and those of compounds 3 and 5 were equivalent to 62.7±0.5 mg/L and 54.3±1.3 mg/L of vitamin C, respectively. And in the superoxide anion radical scavenging method, compound 5 exhibited the highest activity with an IC50 value of 17.6 ± 0.3 μM. In addition, some physical and spectral data of the flavonoids were confirmed.","author":[{"dropping-particle":"","family":"Han","given":"Jae Taek","non-dropping-particle":"","parse-names":false,"suffix":""},{"dropping-particle":"","family":"Bang","given":"Myun Ho","non-dropping-particle":"","parse-names":false,"suffix":""},{"dropping-particle":"","family":"Chun","given":"Ock Kyoung","non-dropping-particle":"","parse-names":false,"suffix":""},{"dropping-particle":"","family":"Kim","given":"Dae Ok","non-dropping-particle":"","parse-names":false,"suffix":""},{"dropping-particle":"","family":"Lee","given":"Chang Yong","non-dropping-particle":"","parse-names":false,"suffix":""},{"dropping-particle":"","family":"Baek","given":"Nam In","non-dropping-particle":"","parse-names":false,"suffix":""}],"container-title":"Archives of pharmacal research","id":"ITEM-1","issue":"4","issued":{"date-parts":[["2004","4","30"]]},"page":"390-395","publisher":"Arch Pharm Res","title":"Flavonol glycosides from the aerial parts of Aceriphyllum rossii and their antioxidant activities","type":"article-journal","volume":"27"},"uris":["http://www.mendeley.com/documents/?uuid=a8005b29-bcd4-3490-a7d6-613bdde454c8"]},{"id":"ITEM-2","itemData":{"DOI":"10.1016/S0031-9422(02)00</w:instrText>
      </w:r>
      <w:r w:rsidR="00724290" w:rsidRPr="004A69E4">
        <w:rPr>
          <w:rFonts w:ascii="Times New Roman" w:hAnsi="Times New Roman" w:hint="eastAsia"/>
          <w:bCs/>
          <w:sz w:val="20"/>
          <w:lang w:val="de-DE"/>
        </w:rPr>
        <w:instrText>486-7","ISSN":"0031-9422","PMID":"12482461","abstract":"Three flavonol glycosides, kaempferol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-O-malonyl)-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quercetin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-O-malonyl)-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and myricetin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-di-O-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w:instrText>
      </w:r>
      <w:r w:rsidR="00724290" w:rsidRPr="004A69E4">
        <w:rPr>
          <w:rFonts w:ascii="Times New Roman" w:hAnsi="Times New Roman"/>
          <w:bCs/>
          <w:sz w:val="20"/>
          <w:lang w:val="de-DE"/>
        </w:rPr>
        <w:instrText>e were isolated from the petals of Clitoria ternatea cv. Double Blue, together with eleven known flavonol glycosides. Their structures were identified using UV, MS, and NMR spectroscopy. They were characterized as kaempferol and quercetin 3-(2G-rhamnosylr</w:instrText>
      </w:r>
      <w:r w:rsidR="00724290" w:rsidRPr="004A69E4">
        <w:rPr>
          <w:rFonts w:ascii="Times New Roman" w:hAnsi="Times New Roman" w:hint="eastAsia"/>
          <w:bCs/>
          <w:sz w:val="20"/>
          <w:lang w:val="de-DE"/>
        </w:rPr>
        <w:instrText>utinoside)s, kaempferol, quercetin, and myricetin 3-neohesperidosides, 3-rutinosides, and 3-glucosides in the same tissue. In addition, the presence of myricetin 3-O-(2</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w:instrText>
      </w:r>
      <w:r w:rsidR="00724290" w:rsidRPr="004A69E4">
        <w:rPr>
          <w:rFonts w:ascii="Times New Roman" w:hAnsi="Times New Roman" w:hint="eastAsia"/>
          <w:bCs/>
          <w:sz w:val="20"/>
          <w:lang w:val="de-DE"/>
        </w:rPr>
        <w:instrText>α</w:instrText>
      </w:r>
      <w:r w:rsidR="00724290" w:rsidRPr="004A69E4">
        <w:rPr>
          <w:rFonts w:ascii="Times New Roman" w:hAnsi="Times New Roman" w:hint="eastAsia"/>
          <w:bCs/>
          <w:sz w:val="20"/>
          <w:lang w:val="de-DE"/>
        </w:rPr>
        <w:instrText>-rhamnosyl-6</w:instrText>
      </w:r>
      <w:r w:rsidR="00724290" w:rsidRPr="004A69E4">
        <w:rPr>
          <w:rFonts w:ascii="Times New Roman" w:hAnsi="Times New Roman" w:hint="eastAsia"/>
          <w:bCs/>
          <w:sz w:val="20"/>
          <w:lang w:val="de-DE"/>
        </w:rPr>
        <w:instrText>″</w:instrText>
      </w:r>
      <w:r w:rsidR="00724290" w:rsidRPr="004A69E4">
        <w:rPr>
          <w:rFonts w:ascii="Times New Roman" w:hAnsi="Times New Roman" w:hint="eastAsia"/>
          <w:bCs/>
          <w:sz w:val="20"/>
          <w:lang w:val="de-DE"/>
        </w:rPr>
        <w:instrText>-O-malonyl)-</w:instrText>
      </w:r>
      <w:r w:rsidR="00724290" w:rsidRPr="004A69E4">
        <w:rPr>
          <w:rFonts w:ascii="Times New Roman" w:hAnsi="Times New Roman" w:hint="eastAsia"/>
          <w:bCs/>
          <w:sz w:val="20"/>
          <w:lang w:val="de-DE"/>
        </w:rPr>
        <w:instrText>β</w:instrText>
      </w:r>
      <w:r w:rsidR="00724290" w:rsidRPr="004A69E4">
        <w:rPr>
          <w:rFonts w:ascii="Times New Roman" w:hAnsi="Times New Roman" w:hint="eastAsia"/>
          <w:bCs/>
          <w:sz w:val="20"/>
          <w:lang w:val="de-DE"/>
        </w:rPr>
        <w:instrText>-glucoside was inferred from LC/MS/MS data for crude pet</w:instrText>
      </w:r>
      <w:r w:rsidR="00724290" w:rsidRPr="004A69E4">
        <w:rPr>
          <w:rFonts w:ascii="Times New Roman" w:hAnsi="Times New Roman"/>
          <w:bCs/>
          <w:sz w:val="20"/>
          <w:lang w:val="de-DE"/>
        </w:rPr>
        <w:instrText>al extracts. The flavonol compounds identified in the petals of C. ternatea differed from those reported in previous studies. © 2003 Elsevier Science Ltd. All rights reserved.","author":[{"dropping-particle":"","family":"Kazuma","given":"Kohei","non-dropping-particle":"","parse-names":false,"suffix":""},{"dropping-particle":"","family":"Noda","given":"Naonobu","non-dropping-particle":"","parse-names":false,"suffix":""},{"dropping-particle":"","family":"Suzuki","given":"Masahiko","non-dropping-particle":"","parse-names":false,"suffix":""}],"container-title":"Phytochemistry","id":"ITEM-2","issue":"2","issued":{"date-parts":[["2003","1"]]},"page":"229-237","publisher":"Phytochemistry","title":"Malonylated flavonol glycosides from the petals of Clitoria ternatea","type":"article-journal","volume":"62"},"uris":["http://www.mendeley.com/documents/?uuid=d8a3aad4-1721-341d-b674-03939a43eb4f"]}],"mendeley":{"formattedCitation":"[28, 33]","plainTextFormattedCitation":"[28, 33]","previouslyFormattedCitation":"[27, 32]"},"properties":{"noteIndex":0},"schema":"https://github.com/citation-style-language/schema/raw/master/csl-citation.json"}</w:instrText>
      </w:r>
      <w:r w:rsidRPr="004A69E4">
        <w:rPr>
          <w:rFonts w:ascii="Times New Roman" w:hAnsi="Times New Roman"/>
          <w:bCs/>
          <w:sz w:val="20"/>
          <w:lang w:val="de-DE"/>
        </w:rPr>
        <w:fldChar w:fldCharType="separate"/>
      </w:r>
      <w:r w:rsidR="00724290" w:rsidRPr="004A69E4">
        <w:rPr>
          <w:rFonts w:ascii="Times New Roman" w:hAnsi="Times New Roman"/>
          <w:bCs/>
          <w:noProof/>
          <w:sz w:val="20"/>
          <w:lang w:val="de-DE"/>
        </w:rPr>
        <w:t>[28, 33]</w:t>
      </w:r>
      <w:r w:rsidRPr="004A69E4">
        <w:rPr>
          <w:rFonts w:ascii="Times New Roman" w:hAnsi="Times New Roman"/>
          <w:sz w:val="20"/>
          <w:lang w:val="de-DE"/>
        </w:rPr>
        <w:fldChar w:fldCharType="end"/>
      </w:r>
      <w:r w:rsidRPr="004A69E4">
        <w:rPr>
          <w:rFonts w:ascii="Times New Roman" w:hAnsi="Times New Roman"/>
          <w:bCs/>
          <w:sz w:val="20"/>
          <w:lang w:val="de-DE"/>
        </w:rPr>
        <w:t xml:space="preserve"> by comparing their respective NMR data with previously reported data, in addition to LC-MS analysis.</w:t>
      </w:r>
    </w:p>
    <w:p w14:paraId="6B905ECD" w14:textId="67862CC4" w:rsidR="00B57FC6" w:rsidRPr="004A69E4" w:rsidRDefault="00B57FC6" w:rsidP="00270CFC">
      <w:pPr>
        <w:pStyle w:val="P1"/>
        <w:spacing w:line="360" w:lineRule="auto"/>
        <w:jc w:val="both"/>
        <w:rPr>
          <w:rFonts w:ascii="Times New Roman" w:hAnsi="Times New Roman"/>
          <w:sz w:val="20"/>
          <w:lang w:val="de-DE"/>
        </w:rPr>
      </w:pPr>
    </w:p>
    <w:p w14:paraId="2ED33177" w14:textId="723DE1F3" w:rsidR="001E3A28" w:rsidRPr="004A69E4" w:rsidRDefault="001E3A28" w:rsidP="00291EBD">
      <w:pPr>
        <w:spacing w:line="276" w:lineRule="auto"/>
        <w:jc w:val="both"/>
        <w:rPr>
          <w:b/>
          <w:bCs/>
          <w:noProof/>
          <w:sz w:val="20"/>
        </w:rPr>
      </w:pPr>
    </w:p>
    <w:p w14:paraId="4B1223CF" w14:textId="1D19455E" w:rsidR="001E3A28" w:rsidRPr="004A69E4" w:rsidRDefault="001E3A28" w:rsidP="00291EBD">
      <w:pPr>
        <w:spacing w:line="276" w:lineRule="auto"/>
        <w:jc w:val="both"/>
        <w:rPr>
          <w:b/>
          <w:bCs/>
          <w:noProof/>
          <w:sz w:val="20"/>
        </w:rPr>
      </w:pPr>
    </w:p>
    <w:p w14:paraId="6D86F1B3" w14:textId="364C4BBE" w:rsidR="001E3A28" w:rsidRPr="004A69E4" w:rsidRDefault="001E3A28" w:rsidP="00291EBD">
      <w:pPr>
        <w:spacing w:line="276" w:lineRule="auto"/>
        <w:jc w:val="both"/>
        <w:rPr>
          <w:b/>
          <w:bCs/>
          <w:noProof/>
          <w:sz w:val="20"/>
        </w:rPr>
      </w:pPr>
    </w:p>
    <w:p w14:paraId="46B7ECA6" w14:textId="618B7A7B" w:rsidR="00291EBD" w:rsidRPr="004A69E4" w:rsidRDefault="00291EBD" w:rsidP="00291EBD">
      <w:pPr>
        <w:spacing w:line="276" w:lineRule="auto"/>
        <w:jc w:val="both"/>
        <w:rPr>
          <w:bCs/>
          <w:noProof/>
          <w:sz w:val="20"/>
        </w:rPr>
      </w:pPr>
      <w:r w:rsidRPr="004A69E4">
        <w:rPr>
          <w:b/>
          <w:noProof/>
          <w:sz w:val="20"/>
          <w:lang w:val="en-US" w:eastAsia="ko-KR"/>
        </w:rPr>
        <mc:AlternateContent>
          <mc:Choice Requires="wps">
            <w:drawing>
              <wp:anchor distT="0" distB="0" distL="114300" distR="114300" simplePos="0" relativeHeight="251693056" behindDoc="0" locked="0" layoutInCell="1" allowOverlap="1" wp14:anchorId="18FE8655" wp14:editId="4898E7BA">
                <wp:simplePos x="0" y="0"/>
                <wp:positionH relativeFrom="column">
                  <wp:posOffset>1772285</wp:posOffset>
                </wp:positionH>
                <wp:positionV relativeFrom="paragraph">
                  <wp:posOffset>95250</wp:posOffset>
                </wp:positionV>
                <wp:extent cx="153035" cy="0"/>
                <wp:effectExtent l="0" t="19050" r="37465" b="19050"/>
                <wp:wrapNone/>
                <wp:docPr id="3" name="직선 연결선 3"/>
                <wp:cNvGraphicFramePr/>
                <a:graphic xmlns:a="http://schemas.openxmlformats.org/drawingml/2006/main">
                  <a:graphicData uri="http://schemas.microsoft.com/office/word/2010/wordprocessingShape">
                    <wps:wsp>
                      <wps:cNvCnPr/>
                      <wps:spPr>
                        <a:xfrm>
                          <a:off x="0" y="0"/>
                          <a:ext cx="153035" cy="0"/>
                        </a:xfrm>
                        <a:prstGeom prst="line">
                          <a:avLst/>
                        </a:prstGeom>
                        <a:ln w="28575">
                          <a:solidFill>
                            <a:srgbClr val="0E14F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2B7F20" id="직선 연결선 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5pt,7.5pt" to="151.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" strokecolor="#0e14fe" strokeweight="2.25pt">
                <v:stroke joinstyle="miter"/>
              </v:line>
            </w:pict>
          </mc:Fallback>
        </mc:AlternateContent>
      </w:r>
      <w:r w:rsidRPr="004A69E4">
        <w:rPr>
          <w:b/>
          <w:bCs/>
          <w:noProof/>
          <w:sz w:val="20"/>
        </w:rPr>
        <w:t xml:space="preserve">Figure </w:t>
      </w:r>
      <w:r w:rsidR="0036278C" w:rsidRPr="004A69E4">
        <w:rPr>
          <w:b/>
          <w:bCs/>
          <w:noProof/>
          <w:sz w:val="20"/>
        </w:rPr>
        <w:t>S1</w:t>
      </w:r>
      <w:r w:rsidRPr="004A69E4">
        <w:rPr>
          <w:b/>
          <w:bCs/>
          <w:noProof/>
          <w:sz w:val="20"/>
        </w:rPr>
        <w:t>.</w:t>
      </w:r>
      <w:r w:rsidRPr="004A69E4">
        <w:rPr>
          <w:bCs/>
          <w:noProof/>
          <w:sz w:val="20"/>
        </w:rPr>
        <w:t xml:space="preserve"> </w:t>
      </w:r>
      <w:r w:rsidRPr="004A69E4">
        <w:rPr>
          <w:sz w:val="20"/>
          <w:vertAlign w:val="superscript"/>
        </w:rPr>
        <w:t>1</w:t>
      </w:r>
      <w:r w:rsidRPr="004A69E4">
        <w:rPr>
          <w:sz w:val="20"/>
        </w:rPr>
        <w:t>H</w:t>
      </w:r>
      <w:r w:rsidRPr="004A69E4">
        <w:rPr>
          <w:bCs/>
          <w:sz w:val="20"/>
        </w:rPr>
        <w:t>−</w:t>
      </w:r>
      <w:r w:rsidRPr="004A69E4">
        <w:rPr>
          <w:sz w:val="20"/>
          <w:vertAlign w:val="superscript"/>
        </w:rPr>
        <w:t>1</w:t>
      </w:r>
      <w:r w:rsidRPr="004A69E4">
        <w:rPr>
          <w:sz w:val="20"/>
        </w:rPr>
        <w:t>H COSY (     ) and key HMBC (</w:t>
      </w:r>
      <w:r w:rsidRPr="004A69E4">
        <w:rPr>
          <w:sz w:val="20"/>
        </w:rPr>
        <w:object w:dxaOrig="505" w:dyaOrig="159" w14:anchorId="7CCFB0A0">
          <v:shape id="_x0000_i1027" type="#_x0000_t75" style="width:25.05pt;height:8.75pt" o:ole="">
            <v:imagedata r:id="rId10" o:title=""/>
          </v:shape>
          <o:OLEObject Type="Embed" ProgID="ChemDraw.Document.6.0" ShapeID="_x0000_i1027" DrawAspect="Content" ObjectID="_1736362176" r:id="rId12"/>
        </w:object>
      </w:r>
      <w:r w:rsidRPr="004A69E4">
        <w:rPr>
          <w:sz w:val="20"/>
        </w:rPr>
        <w:t xml:space="preserve">) correlations of compounds </w:t>
      </w:r>
      <w:r w:rsidRPr="004A69E4">
        <w:rPr>
          <w:b/>
          <w:bCs/>
          <w:iCs/>
          <w:sz w:val="20"/>
        </w:rPr>
        <w:t>M-1</w:t>
      </w:r>
      <w:r w:rsidRPr="004A69E4">
        <w:rPr>
          <w:iCs/>
          <w:sz w:val="20"/>
        </w:rPr>
        <w:t xml:space="preserve"> and </w:t>
      </w:r>
      <w:r w:rsidRPr="004A69E4">
        <w:rPr>
          <w:b/>
          <w:bCs/>
          <w:iCs/>
          <w:sz w:val="20"/>
        </w:rPr>
        <w:t>M-2</w:t>
      </w:r>
      <w:r w:rsidRPr="004A69E4">
        <w:rPr>
          <w:sz w:val="20"/>
        </w:rPr>
        <w:t>.</w:t>
      </w:r>
    </w:p>
    <w:p w14:paraId="435DB403" w14:textId="1E39311D" w:rsidR="00291EBD" w:rsidRPr="004A69E4" w:rsidRDefault="00000000" w:rsidP="00270CFC">
      <w:pPr>
        <w:pStyle w:val="P1"/>
        <w:spacing w:line="360" w:lineRule="auto"/>
        <w:jc w:val="both"/>
        <w:rPr>
          <w:rFonts w:ascii="Times New Roman" w:hAnsi="Times New Roman"/>
          <w:sz w:val="20"/>
          <w:lang w:val="de-DE"/>
        </w:rPr>
      </w:pPr>
      <w:r w:rsidRPr="004A69E4">
        <w:rPr>
          <w:rFonts w:ascii="Times New Roman" w:hAnsi="Times New Roman"/>
          <w:noProof/>
          <w:sz w:val="20"/>
          <w:lang w:val="de-DE"/>
        </w:rPr>
        <w:object w:dxaOrig="1440" w:dyaOrig="1440" w14:anchorId="0F596D56">
          <v:shape id="_x0000_s2051" type="#_x0000_t75" style="position:absolute;left:0;text-align:left;margin-left:87.25pt;margin-top:12pt;width:315.5pt;height:124.75pt;z-index:251694080;mso-position-horizontal-relative:text;mso-position-vertical-relative:text">
            <v:imagedata r:id="rId13" o:title=""/>
          </v:shape>
          <o:OLEObject Type="Embed" ProgID="ChemDraw.Document.6.0" ShapeID="_x0000_s2051" DrawAspect="Content" ObjectID="_1736362177" r:id="rId14"/>
        </w:object>
      </w:r>
    </w:p>
    <w:p w14:paraId="273BC6A8" w14:textId="130E149B" w:rsidR="0036278C" w:rsidRPr="004A69E4" w:rsidRDefault="0036278C" w:rsidP="00270CFC">
      <w:pPr>
        <w:pStyle w:val="P1"/>
        <w:spacing w:line="360" w:lineRule="auto"/>
        <w:jc w:val="both"/>
        <w:rPr>
          <w:rFonts w:ascii="Times New Roman" w:hAnsi="Times New Roman"/>
          <w:sz w:val="20"/>
          <w:lang w:val="de-DE"/>
        </w:rPr>
      </w:pPr>
    </w:p>
    <w:p w14:paraId="1D93D243" w14:textId="797E168F" w:rsidR="00B57FC6" w:rsidRPr="004A69E4" w:rsidRDefault="00B57FC6" w:rsidP="00270CFC">
      <w:pPr>
        <w:pStyle w:val="P1"/>
        <w:spacing w:line="360" w:lineRule="auto"/>
        <w:jc w:val="both"/>
        <w:rPr>
          <w:rFonts w:ascii="Times New Roman" w:hAnsi="Times New Roman"/>
          <w:sz w:val="14"/>
          <w:lang w:val="de-DE"/>
        </w:rPr>
      </w:pPr>
    </w:p>
    <w:p w14:paraId="5FC14BBD" w14:textId="77777777" w:rsidR="00AB4A84" w:rsidRPr="004A69E4" w:rsidRDefault="00AB4A84" w:rsidP="00270CFC">
      <w:pPr>
        <w:spacing w:line="360" w:lineRule="auto"/>
        <w:rPr>
          <w:b/>
          <w:sz w:val="10"/>
          <w:szCs w:val="14"/>
          <w:lang w:val="en-GB"/>
        </w:rPr>
      </w:pPr>
      <w:r w:rsidRPr="004A69E4">
        <w:rPr>
          <w:b/>
          <w:sz w:val="20"/>
        </w:rPr>
        <w:br w:type="page"/>
      </w:r>
    </w:p>
    <w:p w14:paraId="6FCDE781" w14:textId="77777777" w:rsidR="00AB4A84" w:rsidRPr="004A69E4" w:rsidRDefault="00AB4A84" w:rsidP="0004118D">
      <w:pPr>
        <w:pStyle w:val="SchemeCaption"/>
        <w:spacing w:before="360" w:after="120"/>
        <w:rPr>
          <w:rFonts w:ascii="Times New Roman" w:hAnsi="Times New Roman"/>
          <w:b/>
          <w:sz w:val="10"/>
        </w:rPr>
      </w:pPr>
    </w:p>
    <w:p w14:paraId="60A37E6C" w14:textId="06D33B87" w:rsidR="00A42756" w:rsidRPr="004A69E4" w:rsidRDefault="00411759" w:rsidP="0004118D">
      <w:pPr>
        <w:pStyle w:val="SchemeCaption"/>
        <w:spacing w:before="360" w:after="120"/>
        <w:rPr>
          <w:rFonts w:ascii="Times New Roman" w:hAnsi="Times New Roman"/>
          <w:sz w:val="20"/>
          <w:szCs w:val="24"/>
        </w:rPr>
      </w:pPr>
      <w:r w:rsidRPr="004A69E4">
        <w:rPr>
          <w:rFonts w:ascii="Times New Roman" w:hAnsi="Times New Roman"/>
          <w:b/>
          <w:sz w:val="20"/>
          <w:szCs w:val="24"/>
        </w:rPr>
        <w:t>Figure</w:t>
      </w:r>
      <w:r w:rsidR="00F270B6" w:rsidRPr="004A69E4">
        <w:rPr>
          <w:rFonts w:ascii="Times New Roman" w:hAnsi="Times New Roman"/>
          <w:b/>
          <w:sz w:val="20"/>
          <w:szCs w:val="24"/>
        </w:rPr>
        <w:t xml:space="preserve"> </w:t>
      </w:r>
      <w:r w:rsidR="00DE2AF0" w:rsidRPr="004A69E4">
        <w:rPr>
          <w:rFonts w:ascii="Times New Roman" w:hAnsi="Times New Roman"/>
          <w:b/>
          <w:sz w:val="20"/>
          <w:szCs w:val="24"/>
        </w:rPr>
        <w:t>S</w:t>
      </w:r>
      <w:r w:rsidR="003829F2" w:rsidRPr="004A69E4">
        <w:rPr>
          <w:rFonts w:ascii="Times New Roman" w:hAnsi="Times New Roman"/>
          <w:b/>
          <w:sz w:val="20"/>
          <w:szCs w:val="24"/>
        </w:rPr>
        <w:t>2</w:t>
      </w:r>
      <w:r w:rsidR="00A42756" w:rsidRPr="004A69E4">
        <w:rPr>
          <w:rFonts w:ascii="Times New Roman" w:hAnsi="Times New Roman"/>
          <w:b/>
          <w:sz w:val="20"/>
          <w:szCs w:val="24"/>
        </w:rPr>
        <w:t>.</w:t>
      </w:r>
      <w:r w:rsidR="00A42756" w:rsidRPr="004A69E4">
        <w:rPr>
          <w:rFonts w:ascii="Times New Roman" w:hAnsi="Times New Roman"/>
          <w:sz w:val="20"/>
          <w:szCs w:val="24"/>
        </w:rPr>
        <w:t xml:space="preserve"> </w:t>
      </w:r>
      <w:proofErr w:type="spellStart"/>
      <w:r w:rsidR="007E0CEF" w:rsidRPr="004A69E4">
        <w:rPr>
          <w:rFonts w:ascii="Times New Roman" w:hAnsi="Times New Roman"/>
          <w:sz w:val="20"/>
          <w:szCs w:val="24"/>
        </w:rPr>
        <w:t>Modeling</w:t>
      </w:r>
      <w:proofErr w:type="spellEnd"/>
      <w:r w:rsidR="007E0CEF" w:rsidRPr="004A69E4">
        <w:rPr>
          <w:rFonts w:ascii="Times New Roman" w:hAnsi="Times New Roman"/>
          <w:sz w:val="20"/>
          <w:szCs w:val="24"/>
        </w:rPr>
        <w:t xml:space="preserve"> SARS-CoV-2 infection using </w:t>
      </w:r>
      <w:proofErr w:type="spellStart"/>
      <w:r w:rsidR="007E0CEF" w:rsidRPr="004A69E4">
        <w:rPr>
          <w:rFonts w:ascii="Times New Roman" w:hAnsi="Times New Roman"/>
          <w:sz w:val="20"/>
          <w:szCs w:val="24"/>
        </w:rPr>
        <w:t>hiPSC</w:t>
      </w:r>
      <w:proofErr w:type="spellEnd"/>
      <w:r w:rsidR="007E0CEF" w:rsidRPr="004A69E4">
        <w:rPr>
          <w:rFonts w:ascii="Times New Roman" w:hAnsi="Times New Roman"/>
          <w:sz w:val="20"/>
          <w:szCs w:val="24"/>
        </w:rPr>
        <w:t xml:space="preserve"> differentiation into lung organoids</w:t>
      </w:r>
      <w:r w:rsidR="00190419" w:rsidRPr="004A69E4">
        <w:rPr>
          <w:rFonts w:ascii="Times New Roman" w:hAnsi="Times New Roman"/>
          <w:sz w:val="20"/>
          <w:szCs w:val="24"/>
        </w:rPr>
        <w:t xml:space="preserve"> (LOs)</w:t>
      </w:r>
      <w:r w:rsidR="00D77211" w:rsidRPr="004A69E4">
        <w:rPr>
          <w:rFonts w:ascii="Times New Roman" w:hAnsi="Times New Roman"/>
          <w:sz w:val="20"/>
          <w:szCs w:val="24"/>
        </w:rPr>
        <w:t xml:space="preserve"> (n = 3)</w:t>
      </w:r>
      <w:r w:rsidR="007E0CEF" w:rsidRPr="004A69E4">
        <w:rPr>
          <w:rFonts w:ascii="Times New Roman" w:hAnsi="Times New Roman"/>
          <w:sz w:val="20"/>
          <w:szCs w:val="24"/>
        </w:rPr>
        <w:t xml:space="preserve">. (A) Schematic of protocol and timeline. (B) The </w:t>
      </w:r>
      <w:proofErr w:type="spellStart"/>
      <w:r w:rsidR="007E0CEF" w:rsidRPr="004A69E4">
        <w:rPr>
          <w:rFonts w:ascii="Times New Roman" w:hAnsi="Times New Roman"/>
          <w:sz w:val="20"/>
          <w:szCs w:val="24"/>
        </w:rPr>
        <w:t>hiPSCs</w:t>
      </w:r>
      <w:proofErr w:type="spellEnd"/>
      <w:r w:rsidR="007E0CEF" w:rsidRPr="004A69E4">
        <w:rPr>
          <w:rFonts w:ascii="Times New Roman" w:hAnsi="Times New Roman"/>
          <w:sz w:val="20"/>
          <w:szCs w:val="24"/>
        </w:rPr>
        <w:t xml:space="preserve"> were positive for pluripotency markers, such as OCT4 and NANOG. (C) Phase-contrast image of lung organoids (LOs) at 36 days. (D) The expression of lung cell markers of lung organoid differentiation was estimated by real-time PCR. (E) </w:t>
      </w:r>
      <w:r w:rsidR="00BF681D" w:rsidRPr="004A69E4">
        <w:rPr>
          <w:rFonts w:ascii="Times New Roman" w:hAnsi="Times New Roman"/>
          <w:sz w:val="20"/>
          <w:szCs w:val="24"/>
        </w:rPr>
        <w:t xml:space="preserve">Immunofluorescent staining results detecting lung cell-specific markers, including </w:t>
      </w:r>
      <w:proofErr w:type="spellStart"/>
      <w:r w:rsidR="00BF681D" w:rsidRPr="004A69E4">
        <w:rPr>
          <w:rFonts w:ascii="Times New Roman" w:hAnsi="Times New Roman"/>
          <w:sz w:val="20"/>
          <w:szCs w:val="24"/>
        </w:rPr>
        <w:t>EpCAM</w:t>
      </w:r>
      <w:proofErr w:type="spellEnd"/>
      <w:r w:rsidR="00BF681D" w:rsidRPr="004A69E4">
        <w:rPr>
          <w:rFonts w:ascii="Times New Roman" w:hAnsi="Times New Roman"/>
          <w:sz w:val="20"/>
          <w:szCs w:val="24"/>
        </w:rPr>
        <w:t xml:space="preserve">, NKX2.1, SOX2, and SOX9. Scale bar: 20 </w:t>
      </w:r>
      <w:proofErr w:type="spellStart"/>
      <w:r w:rsidR="00BF681D" w:rsidRPr="004A69E4">
        <w:rPr>
          <w:rFonts w:ascii="Times New Roman" w:hAnsi="Times New Roman"/>
          <w:sz w:val="20"/>
          <w:szCs w:val="24"/>
        </w:rPr>
        <w:t>μm</w:t>
      </w:r>
      <w:proofErr w:type="spellEnd"/>
      <w:r w:rsidR="00BF681D" w:rsidRPr="004A69E4">
        <w:rPr>
          <w:rFonts w:ascii="Times New Roman" w:hAnsi="Times New Roman"/>
          <w:sz w:val="20"/>
          <w:szCs w:val="24"/>
        </w:rPr>
        <w:t>.</w:t>
      </w:r>
      <w:r w:rsidR="007E0CEF" w:rsidRPr="004A69E4">
        <w:rPr>
          <w:rFonts w:ascii="Times New Roman" w:hAnsi="Times New Roman"/>
          <w:sz w:val="20"/>
          <w:szCs w:val="24"/>
        </w:rPr>
        <w:t xml:space="preserve"> (F) Control (GFP) or SARS-CoV-2 Omicron spike-GFP PV infection in lung organoid models. Values indicate means </w:t>
      </w:r>
      <w:r w:rsidR="007E0CEF" w:rsidRPr="004A69E4">
        <w:rPr>
          <w:rFonts w:ascii="Times New Roman" w:hAnsi="Times New Roman" w:hint="eastAsia"/>
          <w:sz w:val="20"/>
          <w:szCs w:val="24"/>
        </w:rPr>
        <w:t>±</w:t>
      </w:r>
      <w:r w:rsidR="007E0CEF" w:rsidRPr="004A69E4">
        <w:rPr>
          <w:rFonts w:ascii="Times New Roman" w:hAnsi="Times New Roman"/>
          <w:sz w:val="20"/>
          <w:szCs w:val="24"/>
        </w:rPr>
        <w:t xml:space="preserve"> SEM. (n = 3, *** p &lt; 0.001, **** &lt; 0.0001 vs. control group).</w:t>
      </w:r>
    </w:p>
    <w:p w14:paraId="5160A7E6" w14:textId="2C48D5B2" w:rsidR="00747E79" w:rsidRPr="004A69E4" w:rsidRDefault="007E0CEF" w:rsidP="007E0CEF">
      <w:pPr>
        <w:jc w:val="center"/>
        <w:rPr>
          <w:sz w:val="20"/>
        </w:rPr>
      </w:pPr>
      <w:r w:rsidRPr="004A69E4">
        <w:rPr>
          <w:noProof/>
          <w:sz w:val="20"/>
          <w:lang w:val="en-US" w:eastAsia="ko-KR"/>
        </w:rPr>
        <w:drawing>
          <wp:inline distT="0" distB="0" distL="0" distR="0" wp14:anchorId="2EAE1DCE" wp14:editId="3D29FA08">
            <wp:extent cx="5155324" cy="7860394"/>
            <wp:effectExtent l="0" t="0" r="7620" b="7620"/>
            <wp:docPr id="129" name="그림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63291" cy="7872541"/>
                    </a:xfrm>
                    <a:prstGeom prst="rect">
                      <a:avLst/>
                    </a:prstGeom>
                    <a:noFill/>
                  </pic:spPr>
                </pic:pic>
              </a:graphicData>
            </a:graphic>
          </wp:inline>
        </w:drawing>
      </w:r>
    </w:p>
    <w:p w14:paraId="653441F0" w14:textId="7570CB80" w:rsidR="00747E79" w:rsidRPr="004A69E4" w:rsidRDefault="00747E79" w:rsidP="00747E79">
      <w:pPr>
        <w:jc w:val="both"/>
        <w:rPr>
          <w:sz w:val="20"/>
        </w:rPr>
      </w:pPr>
      <w:r w:rsidRPr="004A69E4">
        <w:rPr>
          <w:b/>
          <w:sz w:val="20"/>
        </w:rPr>
        <w:lastRenderedPageBreak/>
        <w:t>Figure S3</w:t>
      </w:r>
      <w:r w:rsidRPr="004A69E4">
        <w:rPr>
          <w:sz w:val="20"/>
        </w:rPr>
        <w:t xml:space="preserve">. Inhibition of SARS-CoV-2 variant infection of Calu-3 cells. (A, B) The number of plaques was significantly different in Calu-3 cells treated with </w:t>
      </w:r>
      <w:r w:rsidRPr="004A69E4">
        <w:rPr>
          <w:b/>
          <w:sz w:val="20"/>
        </w:rPr>
        <w:t>K-4</w:t>
      </w:r>
      <w:r w:rsidRPr="004A69E4">
        <w:rPr>
          <w:sz w:val="20"/>
        </w:rPr>
        <w:t xml:space="preserve"> or </w:t>
      </w:r>
      <w:r w:rsidRPr="004A69E4">
        <w:rPr>
          <w:b/>
          <w:sz w:val="20"/>
        </w:rPr>
        <w:t>M-4</w:t>
      </w:r>
      <w:r w:rsidRPr="004A69E4">
        <w:rPr>
          <w:sz w:val="20"/>
        </w:rPr>
        <w:t xml:space="preserve"> compared to DMSO before infection of SARS-CoV-2 Omicron. Infectivity was tested using compounds of </w:t>
      </w:r>
      <w:r w:rsidRPr="004A69E4">
        <w:rPr>
          <w:b/>
          <w:sz w:val="20"/>
        </w:rPr>
        <w:t>K-4</w:t>
      </w:r>
      <w:r w:rsidRPr="004A69E4">
        <w:rPr>
          <w:sz w:val="20"/>
        </w:rPr>
        <w:t xml:space="preserve"> and </w:t>
      </w:r>
      <w:r w:rsidRPr="004A69E4">
        <w:rPr>
          <w:b/>
          <w:sz w:val="20"/>
        </w:rPr>
        <w:t>M-4</w:t>
      </w:r>
      <w:r w:rsidRPr="004A69E4">
        <w:rPr>
          <w:sz w:val="20"/>
        </w:rPr>
        <w:t xml:space="preserve"> (10 µM) against the SARS-CoV-2 Delta (C, D) or Omicron (E, F) variant. Values indicate means ± SEM. (n = 3, * p &lt; 0.05, ** &lt; 0.01 vs. control group).</w:t>
      </w:r>
    </w:p>
    <w:p w14:paraId="033BE4A4" w14:textId="095E303D" w:rsidR="00747E79" w:rsidRPr="004A69E4" w:rsidRDefault="00747E79">
      <w:pPr>
        <w:rPr>
          <w:rFonts w:ascii="Arial" w:hAnsi="Arial"/>
          <w:sz w:val="20"/>
        </w:rPr>
      </w:pPr>
    </w:p>
    <w:p w14:paraId="7D6D52B9" w14:textId="287D4917" w:rsidR="00747E79" w:rsidRPr="004A69E4" w:rsidRDefault="00747E79" w:rsidP="00747E79">
      <w:pPr>
        <w:jc w:val="center"/>
        <w:rPr>
          <w:rFonts w:ascii="Arial" w:hAnsi="Arial"/>
          <w:sz w:val="20"/>
        </w:rPr>
      </w:pPr>
      <w:r w:rsidRPr="004A69E4">
        <w:rPr>
          <w:bCs/>
          <w:noProof/>
          <w:lang w:val="en-US" w:eastAsia="ko-KR"/>
        </w:rPr>
        <w:drawing>
          <wp:inline distT="0" distB="0" distL="0" distR="0" wp14:anchorId="54C05D14" wp14:editId="72BFA88C">
            <wp:extent cx="5688965" cy="4689819"/>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9981" cy="4690656"/>
                    </a:xfrm>
                    <a:prstGeom prst="rect">
                      <a:avLst/>
                    </a:prstGeom>
                    <a:noFill/>
                  </pic:spPr>
                </pic:pic>
              </a:graphicData>
            </a:graphic>
          </wp:inline>
        </w:drawing>
      </w:r>
    </w:p>
    <w:p w14:paraId="6969AFD9" w14:textId="79510363" w:rsidR="00747E79" w:rsidRPr="004A69E4" w:rsidRDefault="00747E79" w:rsidP="00C84F2D">
      <w:pPr>
        <w:jc w:val="both"/>
        <w:rPr>
          <w:rFonts w:ascii="Arial" w:hAnsi="Arial"/>
          <w:sz w:val="20"/>
        </w:rPr>
      </w:pPr>
    </w:p>
    <w:p w14:paraId="33FBD5A4" w14:textId="2D0C7373" w:rsidR="00747E79" w:rsidRPr="004A69E4" w:rsidRDefault="00747E79" w:rsidP="00C84F2D">
      <w:pPr>
        <w:jc w:val="both"/>
        <w:rPr>
          <w:rFonts w:ascii="Arial" w:hAnsi="Arial"/>
          <w:sz w:val="20"/>
        </w:rPr>
      </w:pPr>
    </w:p>
    <w:p w14:paraId="51B5CFE1" w14:textId="1EC39B20" w:rsidR="00747E79" w:rsidRPr="004A69E4" w:rsidRDefault="00747E79" w:rsidP="00C84F2D">
      <w:pPr>
        <w:jc w:val="both"/>
        <w:rPr>
          <w:rFonts w:ascii="Arial" w:hAnsi="Arial"/>
          <w:sz w:val="20"/>
        </w:rPr>
      </w:pPr>
    </w:p>
    <w:p w14:paraId="5122CB2E" w14:textId="4669756D" w:rsidR="00747E79" w:rsidRPr="004A69E4" w:rsidRDefault="00747E79" w:rsidP="00C84F2D">
      <w:pPr>
        <w:jc w:val="both"/>
        <w:rPr>
          <w:rFonts w:ascii="Arial" w:hAnsi="Arial"/>
          <w:sz w:val="20"/>
        </w:rPr>
      </w:pPr>
    </w:p>
    <w:p w14:paraId="56CABC0D" w14:textId="3CECCD3B" w:rsidR="00747E79" w:rsidRPr="004A69E4" w:rsidRDefault="00747E79" w:rsidP="00C84F2D">
      <w:pPr>
        <w:jc w:val="both"/>
        <w:rPr>
          <w:rFonts w:ascii="Arial" w:hAnsi="Arial"/>
          <w:sz w:val="20"/>
        </w:rPr>
      </w:pPr>
    </w:p>
    <w:p w14:paraId="638A222E" w14:textId="14ABFA48" w:rsidR="00747E79" w:rsidRPr="004A69E4" w:rsidRDefault="00747E79" w:rsidP="00C84F2D">
      <w:pPr>
        <w:jc w:val="both"/>
        <w:rPr>
          <w:rFonts w:ascii="Arial" w:hAnsi="Arial"/>
          <w:sz w:val="20"/>
        </w:rPr>
      </w:pPr>
    </w:p>
    <w:p w14:paraId="24AD4F2F" w14:textId="55779EB7" w:rsidR="00747E79" w:rsidRPr="004A69E4" w:rsidRDefault="00747E79" w:rsidP="00C84F2D">
      <w:pPr>
        <w:jc w:val="both"/>
        <w:rPr>
          <w:rFonts w:ascii="Arial" w:hAnsi="Arial"/>
          <w:sz w:val="20"/>
        </w:rPr>
      </w:pPr>
    </w:p>
    <w:p w14:paraId="6910B48F" w14:textId="7FC899B6" w:rsidR="00747E79" w:rsidRPr="004A69E4" w:rsidRDefault="00747E79" w:rsidP="00C84F2D">
      <w:pPr>
        <w:jc w:val="both"/>
        <w:rPr>
          <w:rFonts w:ascii="Arial" w:hAnsi="Arial"/>
          <w:sz w:val="20"/>
        </w:rPr>
      </w:pPr>
    </w:p>
    <w:p w14:paraId="4DBDE25D" w14:textId="5FD016C2" w:rsidR="00747E79" w:rsidRPr="004A69E4" w:rsidRDefault="00747E79" w:rsidP="00C84F2D">
      <w:pPr>
        <w:jc w:val="both"/>
        <w:rPr>
          <w:rFonts w:ascii="Arial" w:hAnsi="Arial"/>
          <w:sz w:val="20"/>
        </w:rPr>
      </w:pPr>
    </w:p>
    <w:p w14:paraId="4D05EC0A" w14:textId="7B71E780" w:rsidR="00747E79" w:rsidRPr="004A69E4" w:rsidRDefault="00747E79" w:rsidP="00C84F2D">
      <w:pPr>
        <w:jc w:val="both"/>
        <w:rPr>
          <w:rFonts w:ascii="Arial" w:hAnsi="Arial"/>
          <w:sz w:val="20"/>
        </w:rPr>
      </w:pPr>
    </w:p>
    <w:p w14:paraId="5BCB2085" w14:textId="77777777" w:rsidR="00747E79" w:rsidRPr="004A69E4" w:rsidRDefault="00747E79" w:rsidP="00C84F2D">
      <w:pPr>
        <w:jc w:val="both"/>
        <w:rPr>
          <w:rFonts w:ascii="Arial" w:hAnsi="Arial"/>
          <w:sz w:val="20"/>
        </w:rPr>
      </w:pPr>
    </w:p>
    <w:p w14:paraId="69DCF57E" w14:textId="6FBFE659" w:rsidR="00747E79" w:rsidRPr="004A69E4" w:rsidRDefault="00747E79" w:rsidP="00C84F2D">
      <w:pPr>
        <w:jc w:val="both"/>
        <w:rPr>
          <w:rFonts w:ascii="Arial" w:hAnsi="Arial"/>
          <w:sz w:val="20"/>
        </w:rPr>
      </w:pPr>
    </w:p>
    <w:p w14:paraId="2FF4D626" w14:textId="282FDA24" w:rsidR="00747E79" w:rsidRPr="004A69E4" w:rsidRDefault="00747E79" w:rsidP="00C84F2D">
      <w:pPr>
        <w:jc w:val="both"/>
        <w:rPr>
          <w:rFonts w:ascii="Arial" w:hAnsi="Arial"/>
          <w:sz w:val="20"/>
        </w:rPr>
      </w:pPr>
    </w:p>
    <w:p w14:paraId="4ED058F1" w14:textId="3578C647" w:rsidR="00747E79" w:rsidRPr="004A69E4" w:rsidRDefault="00747E79" w:rsidP="00C84F2D">
      <w:pPr>
        <w:jc w:val="both"/>
        <w:rPr>
          <w:rFonts w:ascii="Arial" w:hAnsi="Arial"/>
          <w:sz w:val="20"/>
        </w:rPr>
      </w:pPr>
    </w:p>
    <w:p w14:paraId="755B6DA7" w14:textId="39D6E738" w:rsidR="00747E79" w:rsidRPr="004A69E4" w:rsidRDefault="00747E79" w:rsidP="00C84F2D">
      <w:pPr>
        <w:jc w:val="both"/>
        <w:rPr>
          <w:rFonts w:ascii="Arial" w:hAnsi="Arial"/>
          <w:sz w:val="20"/>
        </w:rPr>
      </w:pPr>
    </w:p>
    <w:p w14:paraId="0471181A" w14:textId="41304E7A" w:rsidR="00747E79" w:rsidRPr="004A69E4" w:rsidRDefault="00747E79" w:rsidP="00C84F2D">
      <w:pPr>
        <w:jc w:val="both"/>
        <w:rPr>
          <w:rFonts w:ascii="Arial" w:hAnsi="Arial"/>
          <w:sz w:val="20"/>
        </w:rPr>
      </w:pPr>
    </w:p>
    <w:p w14:paraId="753F7622" w14:textId="04285075" w:rsidR="00747E79" w:rsidRPr="004A69E4" w:rsidRDefault="00747E79" w:rsidP="00C84F2D">
      <w:pPr>
        <w:jc w:val="both"/>
        <w:rPr>
          <w:rFonts w:ascii="Arial" w:hAnsi="Arial"/>
          <w:sz w:val="20"/>
        </w:rPr>
      </w:pPr>
    </w:p>
    <w:p w14:paraId="19A35280" w14:textId="0150F3E9" w:rsidR="00747E79" w:rsidRPr="004A69E4" w:rsidRDefault="00747E79" w:rsidP="00C84F2D">
      <w:pPr>
        <w:jc w:val="both"/>
        <w:rPr>
          <w:rFonts w:ascii="Arial" w:hAnsi="Arial"/>
          <w:sz w:val="20"/>
        </w:rPr>
      </w:pPr>
    </w:p>
    <w:p w14:paraId="19A9E0DA" w14:textId="676EFE29" w:rsidR="00747E79" w:rsidRPr="004A69E4" w:rsidRDefault="00747E79" w:rsidP="00C84F2D">
      <w:pPr>
        <w:jc w:val="both"/>
        <w:rPr>
          <w:rFonts w:ascii="Arial" w:hAnsi="Arial"/>
          <w:sz w:val="20"/>
        </w:rPr>
      </w:pPr>
    </w:p>
    <w:p w14:paraId="28194AA8" w14:textId="10145637" w:rsidR="00747E79" w:rsidRPr="004A69E4" w:rsidRDefault="00747E79" w:rsidP="00C84F2D">
      <w:pPr>
        <w:jc w:val="both"/>
        <w:rPr>
          <w:rFonts w:ascii="Arial" w:hAnsi="Arial"/>
          <w:sz w:val="20"/>
        </w:rPr>
      </w:pPr>
    </w:p>
    <w:p w14:paraId="773C31B3" w14:textId="24046425" w:rsidR="00747E79" w:rsidRPr="004A69E4" w:rsidRDefault="00747E79" w:rsidP="00C84F2D">
      <w:pPr>
        <w:jc w:val="both"/>
        <w:rPr>
          <w:rFonts w:ascii="Arial" w:hAnsi="Arial"/>
          <w:sz w:val="20"/>
        </w:rPr>
      </w:pPr>
    </w:p>
    <w:p w14:paraId="5782A25A" w14:textId="01CAC0F3" w:rsidR="00747E79" w:rsidRPr="004A69E4" w:rsidRDefault="00747E79" w:rsidP="00C84F2D">
      <w:pPr>
        <w:jc w:val="both"/>
        <w:rPr>
          <w:rFonts w:ascii="Arial" w:hAnsi="Arial"/>
          <w:sz w:val="20"/>
        </w:rPr>
      </w:pPr>
    </w:p>
    <w:p w14:paraId="5A58D7C2" w14:textId="796B58EC" w:rsidR="00747E79" w:rsidRPr="004A69E4" w:rsidRDefault="00747E79" w:rsidP="00747E79">
      <w:pPr>
        <w:jc w:val="center"/>
        <w:rPr>
          <w:rFonts w:ascii="Arial" w:hAnsi="Arial"/>
          <w:sz w:val="20"/>
        </w:rPr>
      </w:pPr>
    </w:p>
    <w:p w14:paraId="263F5065" w14:textId="28C62914" w:rsidR="00747E79" w:rsidRPr="004A69E4" w:rsidRDefault="00747E79" w:rsidP="00C84F2D">
      <w:pPr>
        <w:jc w:val="both"/>
        <w:rPr>
          <w:rFonts w:ascii="Arial" w:hAnsi="Arial"/>
          <w:sz w:val="20"/>
        </w:rPr>
      </w:pPr>
    </w:p>
    <w:p w14:paraId="5522ABBF" w14:textId="1E62535A" w:rsidR="00747E79" w:rsidRPr="004A69E4" w:rsidRDefault="00C84F2D" w:rsidP="00C84F2D">
      <w:pPr>
        <w:jc w:val="both"/>
        <w:rPr>
          <w:sz w:val="20"/>
        </w:rPr>
      </w:pPr>
      <w:r w:rsidRPr="004A69E4">
        <w:rPr>
          <w:b/>
          <w:sz w:val="20"/>
        </w:rPr>
        <w:lastRenderedPageBreak/>
        <w:t>Figure S4</w:t>
      </w:r>
      <w:r w:rsidRPr="004A69E4">
        <w:rPr>
          <w:sz w:val="20"/>
        </w:rPr>
        <w:t xml:space="preserve">. </w:t>
      </w:r>
      <w:r w:rsidR="00920C97" w:rsidRPr="004A69E4">
        <w:rPr>
          <w:sz w:val="20"/>
        </w:rPr>
        <w:t xml:space="preserve">The enriched gene sets </w:t>
      </w:r>
      <w:r w:rsidRPr="004A69E4">
        <w:rPr>
          <w:sz w:val="20"/>
        </w:rPr>
        <w:t>in control (GFP) or pseudovirus of SARS-CoV-2 Omicron variant infected in human L</w:t>
      </w:r>
      <w:r w:rsidR="00D77211" w:rsidRPr="004A69E4">
        <w:rPr>
          <w:sz w:val="20"/>
        </w:rPr>
        <w:t>O</w:t>
      </w:r>
      <w:r w:rsidRPr="004A69E4">
        <w:rPr>
          <w:sz w:val="20"/>
        </w:rPr>
        <w:t>s</w:t>
      </w:r>
      <w:r w:rsidR="00D77211" w:rsidRPr="004A69E4">
        <w:rPr>
          <w:sz w:val="20"/>
        </w:rPr>
        <w:t xml:space="preserve"> (n = 3)</w:t>
      </w:r>
      <w:r w:rsidRPr="004A69E4">
        <w:rPr>
          <w:sz w:val="20"/>
        </w:rPr>
        <w:t>. (</w:t>
      </w:r>
      <w:r w:rsidR="00920C97" w:rsidRPr="004A69E4">
        <w:rPr>
          <w:sz w:val="20"/>
        </w:rPr>
        <w:t>A</w:t>
      </w:r>
      <w:r w:rsidRPr="004A69E4">
        <w:rPr>
          <w:sz w:val="20"/>
        </w:rPr>
        <w:t xml:space="preserve">, </w:t>
      </w:r>
      <w:r w:rsidR="00920C97" w:rsidRPr="004A69E4">
        <w:rPr>
          <w:sz w:val="20"/>
        </w:rPr>
        <w:t>B</w:t>
      </w:r>
      <w:r w:rsidRPr="004A69E4">
        <w:rPr>
          <w:sz w:val="20"/>
        </w:rPr>
        <w:t>) The enriched gene sets of up- or downregulated genes are associated with the SARS-CoV-2-related gene set.</w:t>
      </w:r>
    </w:p>
    <w:p w14:paraId="7E51E4C2" w14:textId="3A2A1A83" w:rsidR="00747E79" w:rsidRPr="004A69E4" w:rsidRDefault="00747E79" w:rsidP="00C84F2D">
      <w:pPr>
        <w:jc w:val="both"/>
        <w:rPr>
          <w:sz w:val="20"/>
        </w:rPr>
      </w:pPr>
    </w:p>
    <w:p w14:paraId="7C47E39C" w14:textId="7283909E" w:rsidR="00747E79" w:rsidRPr="004A69E4" w:rsidRDefault="00E16FB0" w:rsidP="00C84F2D">
      <w:pPr>
        <w:jc w:val="center"/>
        <w:rPr>
          <w:rFonts w:ascii="Arial" w:hAnsi="Arial"/>
          <w:sz w:val="20"/>
        </w:rPr>
      </w:pPr>
      <w:r w:rsidRPr="004A69E4">
        <w:rPr>
          <w:rFonts w:ascii="Arial" w:hAnsi="Arial"/>
          <w:noProof/>
          <w:sz w:val="20"/>
          <w:lang w:val="en-US" w:eastAsia="ko-KR"/>
        </w:rPr>
        <w:drawing>
          <wp:inline distT="0" distB="0" distL="0" distR="0" wp14:anchorId="2CDDF162" wp14:editId="6BC6B66C">
            <wp:extent cx="6237027" cy="5608887"/>
            <wp:effectExtent l="0" t="0" r="0" b="0"/>
            <wp:docPr id="143" name="그림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4232" cy="5615367"/>
                    </a:xfrm>
                    <a:prstGeom prst="rect">
                      <a:avLst/>
                    </a:prstGeom>
                    <a:noFill/>
                  </pic:spPr>
                </pic:pic>
              </a:graphicData>
            </a:graphic>
          </wp:inline>
        </w:drawing>
      </w:r>
    </w:p>
    <w:p w14:paraId="0E599F97" w14:textId="339A06B2" w:rsidR="00C84F2D" w:rsidRPr="004A69E4" w:rsidRDefault="00C84F2D" w:rsidP="00C84F2D">
      <w:pPr>
        <w:jc w:val="both"/>
        <w:rPr>
          <w:rFonts w:ascii="Arial" w:hAnsi="Arial"/>
          <w:sz w:val="20"/>
        </w:rPr>
      </w:pPr>
    </w:p>
    <w:p w14:paraId="36FFB4F4" w14:textId="0D3E88E2" w:rsidR="00C84F2D" w:rsidRPr="004A69E4" w:rsidRDefault="00C84F2D" w:rsidP="00C84F2D">
      <w:pPr>
        <w:jc w:val="both"/>
        <w:rPr>
          <w:rFonts w:ascii="Arial" w:hAnsi="Arial"/>
          <w:sz w:val="20"/>
        </w:rPr>
      </w:pPr>
    </w:p>
    <w:p w14:paraId="33160664" w14:textId="5F81AF8A" w:rsidR="00C84F2D" w:rsidRPr="004A69E4" w:rsidRDefault="00C84F2D" w:rsidP="00C84F2D">
      <w:pPr>
        <w:jc w:val="both"/>
        <w:rPr>
          <w:rFonts w:ascii="Arial" w:hAnsi="Arial"/>
          <w:sz w:val="20"/>
        </w:rPr>
      </w:pPr>
    </w:p>
    <w:p w14:paraId="0D381D5F" w14:textId="4450C75C" w:rsidR="00C84F2D" w:rsidRPr="004A69E4" w:rsidRDefault="00C84F2D" w:rsidP="00C84F2D">
      <w:pPr>
        <w:jc w:val="both"/>
        <w:rPr>
          <w:rFonts w:ascii="Arial" w:hAnsi="Arial"/>
          <w:sz w:val="20"/>
        </w:rPr>
      </w:pPr>
    </w:p>
    <w:p w14:paraId="69FCE784" w14:textId="424AD541" w:rsidR="00C84F2D" w:rsidRPr="004A69E4" w:rsidRDefault="00C84F2D" w:rsidP="00C84F2D">
      <w:pPr>
        <w:jc w:val="both"/>
        <w:rPr>
          <w:rFonts w:ascii="Arial" w:hAnsi="Arial"/>
          <w:sz w:val="20"/>
        </w:rPr>
      </w:pPr>
    </w:p>
    <w:p w14:paraId="4BE3F947" w14:textId="15BA8CE1" w:rsidR="00C84F2D" w:rsidRPr="004A69E4" w:rsidRDefault="00C84F2D" w:rsidP="00C84F2D">
      <w:pPr>
        <w:jc w:val="both"/>
        <w:rPr>
          <w:rFonts w:ascii="Arial" w:hAnsi="Arial"/>
          <w:sz w:val="20"/>
        </w:rPr>
      </w:pPr>
    </w:p>
    <w:p w14:paraId="74213801" w14:textId="080B5618" w:rsidR="00174D72" w:rsidRPr="004A69E4" w:rsidRDefault="00174D72" w:rsidP="00C84F2D">
      <w:pPr>
        <w:jc w:val="both"/>
        <w:rPr>
          <w:rFonts w:ascii="Arial" w:hAnsi="Arial"/>
          <w:sz w:val="20"/>
        </w:rPr>
      </w:pPr>
    </w:p>
    <w:p w14:paraId="35F28E9E" w14:textId="545E1F42" w:rsidR="00174D72" w:rsidRPr="004A69E4" w:rsidRDefault="00174D72" w:rsidP="00C84F2D">
      <w:pPr>
        <w:jc w:val="both"/>
        <w:rPr>
          <w:rFonts w:ascii="Arial" w:hAnsi="Arial"/>
          <w:sz w:val="20"/>
        </w:rPr>
      </w:pPr>
    </w:p>
    <w:p w14:paraId="39E1FB1F" w14:textId="416BEDD1" w:rsidR="00174D72" w:rsidRPr="004A69E4" w:rsidRDefault="00174D72" w:rsidP="00C84F2D">
      <w:pPr>
        <w:jc w:val="both"/>
        <w:rPr>
          <w:rFonts w:ascii="Arial" w:hAnsi="Arial"/>
          <w:sz w:val="20"/>
        </w:rPr>
      </w:pPr>
    </w:p>
    <w:p w14:paraId="648F4716" w14:textId="4F789D6F" w:rsidR="00174D72" w:rsidRPr="004A69E4" w:rsidRDefault="00174D72" w:rsidP="00C84F2D">
      <w:pPr>
        <w:jc w:val="both"/>
        <w:rPr>
          <w:rFonts w:ascii="Arial" w:hAnsi="Arial"/>
          <w:sz w:val="20"/>
        </w:rPr>
      </w:pPr>
    </w:p>
    <w:p w14:paraId="613C9E43" w14:textId="1CBB0C1C" w:rsidR="00174D72" w:rsidRPr="004A69E4" w:rsidRDefault="00174D72" w:rsidP="00C84F2D">
      <w:pPr>
        <w:jc w:val="both"/>
        <w:rPr>
          <w:rFonts w:ascii="Arial" w:hAnsi="Arial"/>
          <w:sz w:val="20"/>
        </w:rPr>
      </w:pPr>
    </w:p>
    <w:p w14:paraId="4ECC604B" w14:textId="1539B8CD" w:rsidR="00174D72" w:rsidRPr="004A69E4" w:rsidRDefault="00174D72" w:rsidP="00C84F2D">
      <w:pPr>
        <w:jc w:val="both"/>
        <w:rPr>
          <w:rFonts w:ascii="Arial" w:hAnsi="Arial"/>
          <w:sz w:val="20"/>
        </w:rPr>
      </w:pPr>
    </w:p>
    <w:p w14:paraId="6273405A" w14:textId="556783C9" w:rsidR="00174D72" w:rsidRPr="004A69E4" w:rsidRDefault="00174D72" w:rsidP="00C84F2D">
      <w:pPr>
        <w:jc w:val="both"/>
        <w:rPr>
          <w:rFonts w:ascii="Arial" w:hAnsi="Arial"/>
          <w:sz w:val="20"/>
        </w:rPr>
      </w:pPr>
    </w:p>
    <w:p w14:paraId="7F37AC07" w14:textId="5C8E016C" w:rsidR="00174D72" w:rsidRPr="004A69E4" w:rsidRDefault="00174D72" w:rsidP="00C84F2D">
      <w:pPr>
        <w:jc w:val="both"/>
        <w:rPr>
          <w:rFonts w:ascii="Arial" w:hAnsi="Arial"/>
          <w:sz w:val="20"/>
        </w:rPr>
      </w:pPr>
    </w:p>
    <w:p w14:paraId="4ED97655" w14:textId="265210F9" w:rsidR="00174D72" w:rsidRPr="004A69E4" w:rsidRDefault="00174D72" w:rsidP="00C84F2D">
      <w:pPr>
        <w:jc w:val="both"/>
        <w:rPr>
          <w:rFonts w:ascii="Arial" w:hAnsi="Arial"/>
          <w:sz w:val="20"/>
        </w:rPr>
      </w:pPr>
    </w:p>
    <w:p w14:paraId="3561DD73" w14:textId="428C58C2" w:rsidR="00174D72" w:rsidRPr="004A69E4" w:rsidRDefault="00174D72" w:rsidP="00C84F2D">
      <w:pPr>
        <w:jc w:val="both"/>
        <w:rPr>
          <w:rFonts w:ascii="Arial" w:hAnsi="Arial"/>
          <w:sz w:val="20"/>
        </w:rPr>
      </w:pPr>
    </w:p>
    <w:p w14:paraId="1D35D7CE" w14:textId="206EBE3C" w:rsidR="00174D72" w:rsidRPr="004A69E4" w:rsidRDefault="00174D72" w:rsidP="00C84F2D">
      <w:pPr>
        <w:jc w:val="both"/>
        <w:rPr>
          <w:rFonts w:ascii="Arial" w:hAnsi="Arial"/>
          <w:sz w:val="20"/>
        </w:rPr>
      </w:pPr>
    </w:p>
    <w:p w14:paraId="5384CF40" w14:textId="58289653" w:rsidR="00174D72" w:rsidRPr="004A69E4" w:rsidRDefault="00174D72" w:rsidP="00C84F2D">
      <w:pPr>
        <w:jc w:val="both"/>
        <w:rPr>
          <w:rFonts w:ascii="Arial" w:hAnsi="Arial"/>
          <w:sz w:val="20"/>
        </w:rPr>
      </w:pPr>
    </w:p>
    <w:p w14:paraId="281BC7FE" w14:textId="0166989F" w:rsidR="00174D72" w:rsidRPr="004A69E4" w:rsidRDefault="00174D72" w:rsidP="00C84F2D">
      <w:pPr>
        <w:jc w:val="both"/>
        <w:rPr>
          <w:rFonts w:ascii="Arial" w:hAnsi="Arial"/>
          <w:sz w:val="20"/>
        </w:rPr>
      </w:pPr>
    </w:p>
    <w:p w14:paraId="57F9B01A" w14:textId="77777777" w:rsidR="00174D72" w:rsidRPr="004A69E4" w:rsidRDefault="00174D72" w:rsidP="00C84F2D">
      <w:pPr>
        <w:jc w:val="both"/>
        <w:rPr>
          <w:rFonts w:ascii="Arial" w:hAnsi="Arial"/>
          <w:sz w:val="20"/>
        </w:rPr>
      </w:pPr>
    </w:p>
    <w:p w14:paraId="48694C91" w14:textId="018DD320" w:rsidR="00C84F2D" w:rsidRPr="004A69E4" w:rsidRDefault="005420EA" w:rsidP="00C84F2D">
      <w:pPr>
        <w:jc w:val="both"/>
        <w:rPr>
          <w:sz w:val="20"/>
        </w:rPr>
      </w:pPr>
      <w:r w:rsidRPr="004A69E4">
        <w:rPr>
          <w:b/>
          <w:sz w:val="20"/>
        </w:rPr>
        <w:lastRenderedPageBreak/>
        <w:t>Figure S5</w:t>
      </w:r>
      <w:r w:rsidRPr="004A69E4">
        <w:rPr>
          <w:sz w:val="20"/>
        </w:rPr>
        <w:t>. Differentially expressed gene (DEG) and gene ontology (GO) analyses of transcriptome in the control (GFP) and SARS-CoV-2 Omicron variant pseudovirus-infected human LOs</w:t>
      </w:r>
      <w:r w:rsidR="00D77211" w:rsidRPr="004A69E4">
        <w:rPr>
          <w:sz w:val="20"/>
        </w:rPr>
        <w:t xml:space="preserve"> (n = 3)</w:t>
      </w:r>
      <w:r w:rsidRPr="004A69E4">
        <w:rPr>
          <w:sz w:val="20"/>
        </w:rPr>
        <w:t>. (A) Genes of significantly up- or downregulated DEGs. (B) The top 20 GO terms associated with increased or decreased DEG in LOs. (C) Gene set variation analysis (GSVA) results.</w:t>
      </w:r>
    </w:p>
    <w:p w14:paraId="02F6410C" w14:textId="7C83440D" w:rsidR="00747E79" w:rsidRPr="004A69E4" w:rsidRDefault="00747E79" w:rsidP="00C84F2D">
      <w:pPr>
        <w:jc w:val="both"/>
        <w:rPr>
          <w:rFonts w:ascii="Arial" w:hAnsi="Arial"/>
          <w:sz w:val="20"/>
        </w:rPr>
      </w:pPr>
    </w:p>
    <w:p w14:paraId="52D6A2CE" w14:textId="67E25997" w:rsidR="00747E79" w:rsidRPr="004A69E4" w:rsidRDefault="005420EA" w:rsidP="00C84F2D">
      <w:pPr>
        <w:jc w:val="both"/>
        <w:rPr>
          <w:rFonts w:ascii="Arial" w:hAnsi="Arial"/>
          <w:sz w:val="20"/>
        </w:rPr>
      </w:pPr>
      <w:r w:rsidRPr="004A69E4">
        <w:rPr>
          <w:noProof/>
          <w:lang w:val="en-US" w:eastAsia="ko-KR"/>
        </w:rPr>
        <w:drawing>
          <wp:inline distT="0" distB="0" distL="0" distR="0" wp14:anchorId="7193E87E" wp14:editId="76C6DB74">
            <wp:extent cx="6267450" cy="5556220"/>
            <wp:effectExtent l="0" t="0" r="0" b="6985"/>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82701" cy="5569740"/>
                    </a:xfrm>
                    <a:prstGeom prst="rect">
                      <a:avLst/>
                    </a:prstGeom>
                    <a:noFill/>
                  </pic:spPr>
                </pic:pic>
              </a:graphicData>
            </a:graphic>
          </wp:inline>
        </w:drawing>
      </w:r>
    </w:p>
    <w:p w14:paraId="58ADA2FC" w14:textId="785973CC" w:rsidR="00747E79" w:rsidRPr="004A69E4" w:rsidRDefault="00747E79" w:rsidP="005420EA">
      <w:pPr>
        <w:jc w:val="both"/>
        <w:rPr>
          <w:rFonts w:ascii="Arial" w:hAnsi="Arial"/>
          <w:sz w:val="20"/>
        </w:rPr>
      </w:pPr>
    </w:p>
    <w:p w14:paraId="1ABC405D" w14:textId="3D8DA2A5" w:rsidR="005420EA" w:rsidRPr="004A69E4" w:rsidRDefault="005420EA" w:rsidP="005420EA">
      <w:pPr>
        <w:jc w:val="both"/>
        <w:rPr>
          <w:rFonts w:ascii="Arial" w:hAnsi="Arial"/>
          <w:sz w:val="20"/>
        </w:rPr>
      </w:pPr>
    </w:p>
    <w:p w14:paraId="7DA55C65" w14:textId="40847DA0" w:rsidR="005420EA" w:rsidRPr="004A69E4" w:rsidRDefault="005420EA" w:rsidP="005420EA">
      <w:pPr>
        <w:jc w:val="both"/>
        <w:rPr>
          <w:rFonts w:ascii="Arial" w:hAnsi="Arial"/>
          <w:sz w:val="20"/>
        </w:rPr>
      </w:pPr>
    </w:p>
    <w:p w14:paraId="35D441AF" w14:textId="215B810B" w:rsidR="005420EA" w:rsidRPr="004A69E4" w:rsidRDefault="005420EA" w:rsidP="005420EA">
      <w:pPr>
        <w:jc w:val="both"/>
        <w:rPr>
          <w:rFonts w:ascii="Arial" w:hAnsi="Arial"/>
          <w:sz w:val="20"/>
        </w:rPr>
      </w:pPr>
    </w:p>
    <w:p w14:paraId="4E7239EB" w14:textId="25DB446E" w:rsidR="005420EA" w:rsidRPr="004A69E4" w:rsidRDefault="005420EA" w:rsidP="005420EA">
      <w:pPr>
        <w:jc w:val="both"/>
        <w:rPr>
          <w:rFonts w:ascii="Arial" w:hAnsi="Arial"/>
          <w:sz w:val="20"/>
        </w:rPr>
      </w:pPr>
    </w:p>
    <w:p w14:paraId="67DD0826" w14:textId="2FAA972B" w:rsidR="005420EA" w:rsidRPr="004A69E4" w:rsidRDefault="005420EA" w:rsidP="005420EA">
      <w:pPr>
        <w:jc w:val="both"/>
        <w:rPr>
          <w:rFonts w:ascii="Arial" w:hAnsi="Arial"/>
          <w:sz w:val="20"/>
        </w:rPr>
      </w:pPr>
    </w:p>
    <w:p w14:paraId="3E761C6C" w14:textId="004BF3BF" w:rsidR="005420EA" w:rsidRPr="004A69E4" w:rsidRDefault="005420EA" w:rsidP="005420EA">
      <w:pPr>
        <w:jc w:val="both"/>
        <w:rPr>
          <w:rFonts w:ascii="Arial" w:hAnsi="Arial"/>
          <w:sz w:val="20"/>
        </w:rPr>
      </w:pPr>
    </w:p>
    <w:p w14:paraId="7CD29883" w14:textId="40114578" w:rsidR="005420EA" w:rsidRPr="004A69E4" w:rsidRDefault="005420EA" w:rsidP="005420EA">
      <w:pPr>
        <w:jc w:val="both"/>
        <w:rPr>
          <w:rFonts w:ascii="Arial" w:hAnsi="Arial"/>
          <w:sz w:val="20"/>
        </w:rPr>
      </w:pPr>
    </w:p>
    <w:p w14:paraId="71A2E528" w14:textId="41BF2489" w:rsidR="005420EA" w:rsidRPr="004A69E4" w:rsidRDefault="005420EA" w:rsidP="005420EA">
      <w:pPr>
        <w:jc w:val="both"/>
        <w:rPr>
          <w:rFonts w:ascii="Arial" w:hAnsi="Arial"/>
          <w:sz w:val="20"/>
        </w:rPr>
      </w:pPr>
    </w:p>
    <w:p w14:paraId="5CE97083" w14:textId="7E7386AE" w:rsidR="005420EA" w:rsidRPr="004A69E4" w:rsidRDefault="005420EA" w:rsidP="005420EA">
      <w:pPr>
        <w:jc w:val="both"/>
        <w:rPr>
          <w:rFonts w:ascii="Arial" w:hAnsi="Arial"/>
          <w:sz w:val="20"/>
        </w:rPr>
      </w:pPr>
    </w:p>
    <w:p w14:paraId="3102BA5F" w14:textId="0353CCE4" w:rsidR="005420EA" w:rsidRPr="004A69E4" w:rsidRDefault="005420EA" w:rsidP="005420EA">
      <w:pPr>
        <w:jc w:val="both"/>
        <w:rPr>
          <w:rFonts w:ascii="Arial" w:hAnsi="Arial"/>
          <w:sz w:val="20"/>
        </w:rPr>
      </w:pPr>
    </w:p>
    <w:p w14:paraId="40E808B1" w14:textId="50DD0702" w:rsidR="005420EA" w:rsidRPr="004A69E4" w:rsidRDefault="005420EA" w:rsidP="005420EA">
      <w:pPr>
        <w:jc w:val="both"/>
        <w:rPr>
          <w:rFonts w:ascii="Arial" w:hAnsi="Arial"/>
          <w:sz w:val="20"/>
        </w:rPr>
      </w:pPr>
    </w:p>
    <w:p w14:paraId="4A62C053" w14:textId="3C72C265" w:rsidR="005420EA" w:rsidRPr="004A69E4" w:rsidRDefault="005420EA" w:rsidP="005420EA">
      <w:pPr>
        <w:jc w:val="both"/>
        <w:rPr>
          <w:rFonts w:ascii="Arial" w:hAnsi="Arial"/>
          <w:sz w:val="20"/>
        </w:rPr>
      </w:pPr>
    </w:p>
    <w:p w14:paraId="1998818C" w14:textId="199F5ECB" w:rsidR="005420EA" w:rsidRPr="004A69E4" w:rsidRDefault="005420EA" w:rsidP="005420EA">
      <w:pPr>
        <w:jc w:val="both"/>
        <w:rPr>
          <w:rFonts w:ascii="Arial" w:hAnsi="Arial"/>
          <w:sz w:val="20"/>
        </w:rPr>
      </w:pPr>
    </w:p>
    <w:p w14:paraId="12044992" w14:textId="08FD7A52" w:rsidR="005420EA" w:rsidRPr="004A69E4" w:rsidRDefault="005420EA" w:rsidP="005420EA">
      <w:pPr>
        <w:jc w:val="both"/>
        <w:rPr>
          <w:rFonts w:ascii="Arial" w:hAnsi="Arial"/>
          <w:sz w:val="20"/>
        </w:rPr>
      </w:pPr>
    </w:p>
    <w:p w14:paraId="7F4A5D7F" w14:textId="2E3A67AE" w:rsidR="005420EA" w:rsidRPr="004A69E4" w:rsidRDefault="005420EA" w:rsidP="005420EA">
      <w:pPr>
        <w:jc w:val="both"/>
        <w:rPr>
          <w:rFonts w:ascii="Arial" w:hAnsi="Arial"/>
          <w:sz w:val="20"/>
        </w:rPr>
      </w:pPr>
    </w:p>
    <w:p w14:paraId="11A854AE" w14:textId="65D10E12" w:rsidR="005420EA" w:rsidRPr="004A69E4" w:rsidRDefault="005420EA" w:rsidP="005420EA">
      <w:pPr>
        <w:jc w:val="both"/>
        <w:rPr>
          <w:rFonts w:ascii="Arial" w:hAnsi="Arial"/>
          <w:sz w:val="20"/>
        </w:rPr>
      </w:pPr>
    </w:p>
    <w:p w14:paraId="2015BFAD" w14:textId="77777777" w:rsidR="001E3A28" w:rsidRPr="004A69E4" w:rsidRDefault="001E3A28" w:rsidP="005420EA">
      <w:pPr>
        <w:jc w:val="both"/>
        <w:rPr>
          <w:rFonts w:ascii="Arial" w:hAnsi="Arial"/>
          <w:sz w:val="20"/>
        </w:rPr>
      </w:pPr>
    </w:p>
    <w:p w14:paraId="4ED8D8BF" w14:textId="6A03F6E3" w:rsidR="005420EA" w:rsidRPr="004A69E4" w:rsidRDefault="001E3A28" w:rsidP="005420EA">
      <w:pPr>
        <w:jc w:val="both"/>
        <w:rPr>
          <w:sz w:val="20"/>
        </w:rPr>
      </w:pPr>
      <w:bookmarkStart w:id="4" w:name="_Hlk119796199"/>
      <w:r w:rsidRPr="004A69E4">
        <w:rPr>
          <w:b/>
          <w:sz w:val="20"/>
        </w:rPr>
        <w:lastRenderedPageBreak/>
        <w:t>Figure S6</w:t>
      </w:r>
      <w:r w:rsidRPr="004A69E4">
        <w:rPr>
          <w:sz w:val="20"/>
        </w:rPr>
        <w:t>. The subtype variation analysis</w:t>
      </w:r>
      <w:r w:rsidR="00A3034C" w:rsidRPr="004A69E4">
        <w:rPr>
          <w:rFonts w:eastAsiaTheme="minorEastAsia"/>
          <w:sz w:val="20"/>
          <w:lang w:eastAsia="ko-KR"/>
        </w:rPr>
        <w:t>.</w:t>
      </w:r>
      <w:r w:rsidRPr="004A69E4">
        <w:rPr>
          <w:sz w:val="20"/>
        </w:rPr>
        <w:t xml:space="preserve"> </w:t>
      </w:r>
      <w:bookmarkEnd w:id="4"/>
      <w:r w:rsidRPr="004A69E4">
        <w:rPr>
          <w:sz w:val="20"/>
        </w:rPr>
        <w:t>Gene set variation analysis (GSVA) of PV-uninfected or infected LOs on gene sets and cell markers</w:t>
      </w:r>
      <w:r w:rsidR="00D77211" w:rsidRPr="004A69E4">
        <w:rPr>
          <w:sz w:val="20"/>
        </w:rPr>
        <w:t xml:space="preserve"> (n = 3)</w:t>
      </w:r>
      <w:r w:rsidRPr="004A69E4">
        <w:rPr>
          <w:sz w:val="20"/>
        </w:rPr>
        <w:t>.</w:t>
      </w:r>
    </w:p>
    <w:p w14:paraId="0F4E5DF2" w14:textId="7306B78B" w:rsidR="001E3A28" w:rsidRPr="004A69E4" w:rsidRDefault="001E3A28" w:rsidP="005420EA">
      <w:pPr>
        <w:jc w:val="both"/>
        <w:rPr>
          <w:sz w:val="20"/>
        </w:rPr>
      </w:pPr>
    </w:p>
    <w:p w14:paraId="63BC56F7" w14:textId="050538F1" w:rsidR="001E3A28" w:rsidRPr="004A69E4" w:rsidRDefault="00D8255D" w:rsidP="00D8255D">
      <w:pPr>
        <w:jc w:val="center"/>
        <w:rPr>
          <w:rFonts w:ascii="Arial" w:hAnsi="Arial"/>
          <w:sz w:val="20"/>
        </w:rPr>
      </w:pPr>
      <w:r w:rsidRPr="004A69E4">
        <w:rPr>
          <w:rFonts w:ascii="Arial" w:hAnsi="Arial"/>
          <w:noProof/>
          <w:sz w:val="20"/>
          <w:lang w:val="en-US" w:eastAsia="ko-KR"/>
        </w:rPr>
        <w:drawing>
          <wp:inline distT="0" distB="0" distL="0" distR="0" wp14:anchorId="140DC23D" wp14:editId="78057923">
            <wp:extent cx="5560060" cy="6352540"/>
            <wp:effectExtent l="0" t="0" r="2540" b="0"/>
            <wp:docPr id="145" name="그림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0060" cy="6352540"/>
                    </a:xfrm>
                    <a:prstGeom prst="rect">
                      <a:avLst/>
                    </a:prstGeom>
                    <a:noFill/>
                  </pic:spPr>
                </pic:pic>
              </a:graphicData>
            </a:graphic>
          </wp:inline>
        </w:drawing>
      </w:r>
    </w:p>
    <w:p w14:paraId="7A54BFCC" w14:textId="19302F04" w:rsidR="001E3A28" w:rsidRPr="004A69E4" w:rsidRDefault="001E3A28" w:rsidP="005420EA">
      <w:pPr>
        <w:jc w:val="both"/>
        <w:rPr>
          <w:rFonts w:ascii="Arial" w:hAnsi="Arial"/>
          <w:sz w:val="20"/>
        </w:rPr>
      </w:pPr>
    </w:p>
    <w:p w14:paraId="68887AE7" w14:textId="134DDF48" w:rsidR="001E3A28" w:rsidRPr="004A69E4" w:rsidRDefault="001E3A28" w:rsidP="005420EA">
      <w:pPr>
        <w:jc w:val="both"/>
        <w:rPr>
          <w:rFonts w:ascii="Arial" w:hAnsi="Arial"/>
          <w:sz w:val="20"/>
        </w:rPr>
      </w:pPr>
    </w:p>
    <w:p w14:paraId="2D7B75D8" w14:textId="56BC7907" w:rsidR="001E3A28" w:rsidRPr="004A69E4" w:rsidRDefault="001E3A28" w:rsidP="005420EA">
      <w:pPr>
        <w:jc w:val="both"/>
        <w:rPr>
          <w:rFonts w:ascii="Arial" w:hAnsi="Arial"/>
          <w:sz w:val="20"/>
        </w:rPr>
      </w:pPr>
    </w:p>
    <w:p w14:paraId="177BD2EB" w14:textId="5FA6189E" w:rsidR="001E3A28" w:rsidRPr="004A69E4" w:rsidRDefault="001E3A28" w:rsidP="005420EA">
      <w:pPr>
        <w:jc w:val="both"/>
        <w:rPr>
          <w:rFonts w:ascii="Arial" w:hAnsi="Arial"/>
          <w:sz w:val="20"/>
        </w:rPr>
      </w:pPr>
    </w:p>
    <w:p w14:paraId="020B57BE" w14:textId="62652EC6" w:rsidR="001E3A28" w:rsidRPr="004A69E4" w:rsidRDefault="001E3A28" w:rsidP="005420EA">
      <w:pPr>
        <w:jc w:val="both"/>
        <w:rPr>
          <w:rFonts w:ascii="Arial" w:hAnsi="Arial"/>
          <w:sz w:val="20"/>
        </w:rPr>
      </w:pPr>
    </w:p>
    <w:p w14:paraId="5EC045F5" w14:textId="3E221517" w:rsidR="001E3A28" w:rsidRPr="004A69E4" w:rsidRDefault="001E3A28" w:rsidP="005420EA">
      <w:pPr>
        <w:jc w:val="both"/>
        <w:rPr>
          <w:rFonts w:ascii="Arial" w:hAnsi="Arial"/>
          <w:sz w:val="20"/>
        </w:rPr>
      </w:pPr>
    </w:p>
    <w:p w14:paraId="3C8FF8BC" w14:textId="33AFD51D" w:rsidR="001E3A28" w:rsidRPr="004A69E4" w:rsidRDefault="001E3A28" w:rsidP="005420EA">
      <w:pPr>
        <w:jc w:val="both"/>
        <w:rPr>
          <w:rFonts w:ascii="Arial" w:hAnsi="Arial"/>
          <w:sz w:val="20"/>
        </w:rPr>
      </w:pPr>
    </w:p>
    <w:p w14:paraId="7B8F764C" w14:textId="2BB1383A" w:rsidR="001E3A28" w:rsidRPr="004A69E4" w:rsidRDefault="001E3A28" w:rsidP="005420EA">
      <w:pPr>
        <w:jc w:val="both"/>
        <w:rPr>
          <w:rFonts w:ascii="Arial" w:hAnsi="Arial"/>
          <w:sz w:val="20"/>
        </w:rPr>
      </w:pPr>
    </w:p>
    <w:p w14:paraId="48C6C0F7" w14:textId="736537B1" w:rsidR="001E3A28" w:rsidRPr="004A69E4" w:rsidRDefault="001E3A28" w:rsidP="005420EA">
      <w:pPr>
        <w:jc w:val="both"/>
        <w:rPr>
          <w:rFonts w:ascii="Arial" w:hAnsi="Arial"/>
          <w:sz w:val="20"/>
        </w:rPr>
      </w:pPr>
    </w:p>
    <w:p w14:paraId="0D167093" w14:textId="053EAC50" w:rsidR="001E3A28" w:rsidRPr="004A69E4" w:rsidRDefault="001E3A28" w:rsidP="005420EA">
      <w:pPr>
        <w:jc w:val="both"/>
        <w:rPr>
          <w:rFonts w:ascii="Arial" w:hAnsi="Arial"/>
          <w:sz w:val="20"/>
        </w:rPr>
      </w:pPr>
    </w:p>
    <w:p w14:paraId="50651F46" w14:textId="15E07E04" w:rsidR="001E3A28" w:rsidRPr="004A69E4" w:rsidRDefault="001E3A28" w:rsidP="005420EA">
      <w:pPr>
        <w:jc w:val="both"/>
        <w:rPr>
          <w:rFonts w:ascii="Arial" w:hAnsi="Arial"/>
          <w:sz w:val="20"/>
        </w:rPr>
      </w:pPr>
    </w:p>
    <w:p w14:paraId="604F103B" w14:textId="4A883A9E" w:rsidR="001E3A28" w:rsidRPr="004A69E4" w:rsidRDefault="001E3A28" w:rsidP="005420EA">
      <w:pPr>
        <w:jc w:val="both"/>
        <w:rPr>
          <w:rFonts w:ascii="Arial" w:hAnsi="Arial"/>
          <w:sz w:val="20"/>
        </w:rPr>
      </w:pPr>
    </w:p>
    <w:p w14:paraId="673DA8D2" w14:textId="7E4DC054" w:rsidR="001E3A28" w:rsidRPr="004A69E4" w:rsidRDefault="001E3A28" w:rsidP="005420EA">
      <w:pPr>
        <w:jc w:val="both"/>
        <w:rPr>
          <w:rFonts w:ascii="Arial" w:hAnsi="Arial"/>
          <w:sz w:val="20"/>
        </w:rPr>
      </w:pPr>
    </w:p>
    <w:p w14:paraId="07D84EA1" w14:textId="19DB9CE0" w:rsidR="001E3A28" w:rsidRPr="004A69E4" w:rsidRDefault="001E3A28" w:rsidP="005420EA">
      <w:pPr>
        <w:jc w:val="both"/>
        <w:rPr>
          <w:rFonts w:ascii="Arial" w:hAnsi="Arial"/>
          <w:sz w:val="20"/>
        </w:rPr>
      </w:pPr>
    </w:p>
    <w:p w14:paraId="191DEA7C" w14:textId="327F873B" w:rsidR="001E3A28" w:rsidRPr="004A69E4" w:rsidRDefault="001E3A28" w:rsidP="005420EA">
      <w:pPr>
        <w:jc w:val="both"/>
        <w:rPr>
          <w:rFonts w:ascii="Arial" w:hAnsi="Arial"/>
          <w:sz w:val="20"/>
        </w:rPr>
      </w:pPr>
    </w:p>
    <w:p w14:paraId="5C1A3A2C" w14:textId="302A7FB5" w:rsidR="001E3A28" w:rsidRPr="004A69E4" w:rsidRDefault="001E3A28" w:rsidP="005420EA">
      <w:pPr>
        <w:jc w:val="both"/>
        <w:rPr>
          <w:sz w:val="20"/>
        </w:rPr>
      </w:pPr>
      <w:bookmarkStart w:id="5" w:name="_Hlk119796216"/>
      <w:r w:rsidRPr="004A69E4">
        <w:rPr>
          <w:b/>
          <w:sz w:val="20"/>
        </w:rPr>
        <w:lastRenderedPageBreak/>
        <w:t>Figure S7</w:t>
      </w:r>
      <w:r w:rsidRPr="004A69E4">
        <w:rPr>
          <w:sz w:val="20"/>
        </w:rPr>
        <w:t>. Differentially expressed gene (DEG), gene ontology (GO), and gene set variation analysis (GSVA) of PV-uninfected or infected LOs on gene sets of the COVID-19 patient samples</w:t>
      </w:r>
      <w:r w:rsidR="00440F30" w:rsidRPr="004A69E4">
        <w:rPr>
          <w:sz w:val="20"/>
        </w:rPr>
        <w:t xml:space="preserve"> (n = 3)</w:t>
      </w:r>
      <w:r w:rsidRPr="004A69E4">
        <w:rPr>
          <w:sz w:val="20"/>
        </w:rPr>
        <w:t xml:space="preserve">. </w:t>
      </w:r>
      <w:bookmarkEnd w:id="5"/>
      <w:r w:rsidRPr="004A69E4">
        <w:rPr>
          <w:sz w:val="20"/>
        </w:rPr>
        <w:t>(A) Heatmap of enrichment by referring to the COVID-19 patient samples database. (B) The top-rank GO terms are associated with increased or decreased DEG in LOs. (C) Gene set variation analysis (GSVA) results.</w:t>
      </w:r>
    </w:p>
    <w:p w14:paraId="5F0BA748" w14:textId="37E68904" w:rsidR="001E3A28" w:rsidRPr="004A69E4" w:rsidRDefault="001E3A28" w:rsidP="005420EA">
      <w:pPr>
        <w:jc w:val="both"/>
        <w:rPr>
          <w:rFonts w:ascii="Arial" w:hAnsi="Arial"/>
          <w:sz w:val="20"/>
        </w:rPr>
      </w:pPr>
    </w:p>
    <w:p w14:paraId="22232F14" w14:textId="4ED59468" w:rsidR="001E3A28" w:rsidRPr="004A69E4" w:rsidRDefault="001E3A28" w:rsidP="005420EA">
      <w:pPr>
        <w:jc w:val="both"/>
        <w:rPr>
          <w:rFonts w:ascii="Arial" w:hAnsi="Arial"/>
          <w:sz w:val="20"/>
        </w:rPr>
      </w:pPr>
      <w:r w:rsidRPr="004A69E4">
        <w:rPr>
          <w:noProof/>
          <w:lang w:val="en-US" w:eastAsia="ko-KR"/>
        </w:rPr>
        <w:drawing>
          <wp:inline distT="0" distB="0" distL="0" distR="0" wp14:anchorId="361AABAC" wp14:editId="186DEA23">
            <wp:extent cx="6334655" cy="5457825"/>
            <wp:effectExtent l="0" t="0" r="9525"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57555" cy="5477555"/>
                    </a:xfrm>
                    <a:prstGeom prst="rect">
                      <a:avLst/>
                    </a:prstGeom>
                    <a:noFill/>
                  </pic:spPr>
                </pic:pic>
              </a:graphicData>
            </a:graphic>
          </wp:inline>
        </w:drawing>
      </w:r>
    </w:p>
    <w:p w14:paraId="72AB3378" w14:textId="7D3F5FF1" w:rsidR="001E3A28" w:rsidRPr="004A69E4" w:rsidRDefault="001E3A28" w:rsidP="005420EA">
      <w:pPr>
        <w:jc w:val="both"/>
        <w:rPr>
          <w:rFonts w:ascii="Arial" w:hAnsi="Arial"/>
          <w:sz w:val="20"/>
        </w:rPr>
      </w:pPr>
    </w:p>
    <w:p w14:paraId="03509033" w14:textId="38C68383" w:rsidR="001E3A28" w:rsidRPr="004A69E4" w:rsidRDefault="001E3A28" w:rsidP="005420EA">
      <w:pPr>
        <w:jc w:val="both"/>
        <w:rPr>
          <w:rFonts w:ascii="Arial" w:hAnsi="Arial"/>
          <w:sz w:val="20"/>
        </w:rPr>
      </w:pPr>
    </w:p>
    <w:p w14:paraId="32B01C3F" w14:textId="58AE5CB9" w:rsidR="001E3A28" w:rsidRPr="004A69E4" w:rsidRDefault="001E3A28" w:rsidP="005420EA">
      <w:pPr>
        <w:jc w:val="both"/>
        <w:rPr>
          <w:rFonts w:ascii="Arial" w:hAnsi="Arial"/>
          <w:sz w:val="20"/>
        </w:rPr>
      </w:pPr>
    </w:p>
    <w:p w14:paraId="34281840" w14:textId="7616621D" w:rsidR="001E3A28" w:rsidRPr="004A69E4" w:rsidRDefault="001E3A28" w:rsidP="005420EA">
      <w:pPr>
        <w:jc w:val="both"/>
        <w:rPr>
          <w:rFonts w:ascii="Arial" w:hAnsi="Arial"/>
          <w:sz w:val="20"/>
        </w:rPr>
      </w:pPr>
    </w:p>
    <w:p w14:paraId="53BEDECE" w14:textId="261123E9" w:rsidR="001E3A28" w:rsidRPr="004A69E4" w:rsidRDefault="001E3A28" w:rsidP="005420EA">
      <w:pPr>
        <w:jc w:val="both"/>
        <w:rPr>
          <w:rFonts w:ascii="Arial" w:hAnsi="Arial"/>
          <w:sz w:val="20"/>
        </w:rPr>
      </w:pPr>
    </w:p>
    <w:p w14:paraId="7A9B7603" w14:textId="42BEFEDE" w:rsidR="001E3A28" w:rsidRPr="004A69E4" w:rsidRDefault="001E3A28" w:rsidP="005420EA">
      <w:pPr>
        <w:jc w:val="both"/>
        <w:rPr>
          <w:rFonts w:ascii="Arial" w:hAnsi="Arial"/>
          <w:sz w:val="20"/>
        </w:rPr>
      </w:pPr>
    </w:p>
    <w:p w14:paraId="34445487" w14:textId="58F1A8CB" w:rsidR="001E3A28" w:rsidRPr="004A69E4" w:rsidRDefault="001E3A28" w:rsidP="005420EA">
      <w:pPr>
        <w:jc w:val="both"/>
        <w:rPr>
          <w:rFonts w:ascii="Arial" w:hAnsi="Arial"/>
          <w:sz w:val="20"/>
        </w:rPr>
      </w:pPr>
    </w:p>
    <w:p w14:paraId="49E552D4" w14:textId="7D1CD7C2" w:rsidR="001E3A28" w:rsidRPr="004A69E4" w:rsidRDefault="001E3A28" w:rsidP="005420EA">
      <w:pPr>
        <w:jc w:val="both"/>
        <w:rPr>
          <w:rFonts w:ascii="Arial" w:hAnsi="Arial"/>
          <w:sz w:val="20"/>
        </w:rPr>
      </w:pPr>
    </w:p>
    <w:p w14:paraId="568E31CD" w14:textId="73C82CB6" w:rsidR="001E3A28" w:rsidRPr="004A69E4" w:rsidRDefault="001E3A28" w:rsidP="005420EA">
      <w:pPr>
        <w:jc w:val="both"/>
        <w:rPr>
          <w:rFonts w:ascii="Arial" w:hAnsi="Arial"/>
          <w:sz w:val="20"/>
        </w:rPr>
      </w:pPr>
    </w:p>
    <w:p w14:paraId="616827B8" w14:textId="0E691653" w:rsidR="001E3A28" w:rsidRPr="004A69E4" w:rsidRDefault="001E3A28" w:rsidP="005420EA">
      <w:pPr>
        <w:jc w:val="both"/>
        <w:rPr>
          <w:rFonts w:ascii="Arial" w:hAnsi="Arial"/>
          <w:sz w:val="20"/>
        </w:rPr>
      </w:pPr>
    </w:p>
    <w:p w14:paraId="708A381B" w14:textId="73CF3D12" w:rsidR="001E3A28" w:rsidRPr="004A69E4" w:rsidRDefault="001E3A28" w:rsidP="005420EA">
      <w:pPr>
        <w:jc w:val="both"/>
        <w:rPr>
          <w:rFonts w:ascii="Arial" w:hAnsi="Arial"/>
          <w:sz w:val="20"/>
        </w:rPr>
      </w:pPr>
    </w:p>
    <w:p w14:paraId="7066D8F7" w14:textId="7A452F7B" w:rsidR="001E3A28" w:rsidRPr="004A69E4" w:rsidRDefault="001E3A28" w:rsidP="005420EA">
      <w:pPr>
        <w:jc w:val="both"/>
        <w:rPr>
          <w:rFonts w:ascii="Arial" w:hAnsi="Arial"/>
          <w:sz w:val="20"/>
        </w:rPr>
      </w:pPr>
    </w:p>
    <w:p w14:paraId="4B3B8B54" w14:textId="2D125DB9" w:rsidR="001E3A28" w:rsidRPr="004A69E4" w:rsidRDefault="001E3A28" w:rsidP="005420EA">
      <w:pPr>
        <w:jc w:val="both"/>
        <w:rPr>
          <w:rFonts w:ascii="Arial" w:hAnsi="Arial"/>
          <w:sz w:val="20"/>
        </w:rPr>
      </w:pPr>
    </w:p>
    <w:p w14:paraId="34A25D19" w14:textId="5809026F" w:rsidR="001E3A28" w:rsidRPr="004A69E4" w:rsidRDefault="001E3A28" w:rsidP="005420EA">
      <w:pPr>
        <w:jc w:val="both"/>
        <w:rPr>
          <w:rFonts w:ascii="Arial" w:hAnsi="Arial"/>
          <w:sz w:val="20"/>
        </w:rPr>
      </w:pPr>
    </w:p>
    <w:p w14:paraId="6CAF3C88" w14:textId="0167C2B0" w:rsidR="001E3A28" w:rsidRPr="004A69E4" w:rsidRDefault="001E3A28" w:rsidP="005420EA">
      <w:pPr>
        <w:jc w:val="both"/>
        <w:rPr>
          <w:rFonts w:ascii="Arial" w:hAnsi="Arial"/>
          <w:sz w:val="20"/>
        </w:rPr>
      </w:pPr>
    </w:p>
    <w:p w14:paraId="04A48EC4" w14:textId="1BB0D5BF" w:rsidR="001E3A28" w:rsidRPr="004A69E4" w:rsidRDefault="001E3A28" w:rsidP="005420EA">
      <w:pPr>
        <w:jc w:val="both"/>
        <w:rPr>
          <w:rFonts w:ascii="Arial" w:hAnsi="Arial"/>
          <w:sz w:val="20"/>
        </w:rPr>
      </w:pPr>
    </w:p>
    <w:p w14:paraId="6A04CE3C" w14:textId="0B205994" w:rsidR="001E3A28" w:rsidRPr="004A69E4" w:rsidRDefault="001E3A28" w:rsidP="005420EA">
      <w:pPr>
        <w:jc w:val="both"/>
        <w:rPr>
          <w:rFonts w:ascii="Arial" w:hAnsi="Arial"/>
          <w:sz w:val="20"/>
        </w:rPr>
      </w:pPr>
    </w:p>
    <w:p w14:paraId="7319484C" w14:textId="364391B9" w:rsidR="001E3A28" w:rsidRPr="004A69E4" w:rsidRDefault="001E3A28" w:rsidP="005420EA">
      <w:pPr>
        <w:jc w:val="both"/>
        <w:rPr>
          <w:rFonts w:ascii="Arial" w:hAnsi="Arial"/>
          <w:sz w:val="20"/>
        </w:rPr>
      </w:pPr>
    </w:p>
    <w:p w14:paraId="593A388D" w14:textId="42ACD33B" w:rsidR="001E3A28" w:rsidRPr="004A69E4" w:rsidRDefault="001E3A28" w:rsidP="001E3A28">
      <w:pPr>
        <w:jc w:val="center"/>
        <w:rPr>
          <w:rFonts w:ascii="Arial" w:hAnsi="Arial"/>
          <w:sz w:val="20"/>
        </w:rPr>
      </w:pPr>
      <w:r w:rsidRPr="004A69E4">
        <w:rPr>
          <w:bCs/>
          <w:noProof/>
          <w:lang w:val="en-US" w:eastAsia="ko-KR"/>
        </w:rPr>
        <w:lastRenderedPageBreak/>
        <w:drawing>
          <wp:inline distT="0" distB="0" distL="0" distR="0" wp14:anchorId="1A915F20" wp14:editId="55FAFDE7">
            <wp:extent cx="3848431" cy="4973953"/>
            <wp:effectExtent l="0" t="0" r="0" b="0"/>
            <wp:docPr id="47"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51666" cy="4978135"/>
                    </a:xfrm>
                    <a:prstGeom prst="rect">
                      <a:avLst/>
                    </a:prstGeom>
                    <a:noFill/>
                  </pic:spPr>
                </pic:pic>
              </a:graphicData>
            </a:graphic>
          </wp:inline>
        </w:drawing>
      </w:r>
    </w:p>
    <w:p w14:paraId="7B30502D" w14:textId="67C9119D" w:rsidR="001E3A28" w:rsidRPr="004A69E4" w:rsidRDefault="001E3A28" w:rsidP="005420EA">
      <w:pPr>
        <w:jc w:val="both"/>
        <w:rPr>
          <w:rFonts w:ascii="Arial" w:hAnsi="Arial"/>
          <w:sz w:val="20"/>
        </w:rPr>
      </w:pPr>
    </w:p>
    <w:p w14:paraId="27B5918C" w14:textId="4EB37F2E" w:rsidR="001E3A28" w:rsidRPr="004A69E4" w:rsidRDefault="001E3A28" w:rsidP="005420EA">
      <w:pPr>
        <w:jc w:val="both"/>
        <w:rPr>
          <w:rFonts w:ascii="Arial" w:hAnsi="Arial"/>
          <w:sz w:val="20"/>
        </w:rPr>
      </w:pPr>
    </w:p>
    <w:p w14:paraId="5722F15C" w14:textId="13035A32" w:rsidR="001E3A28" w:rsidRPr="004A69E4" w:rsidRDefault="001E3A28" w:rsidP="005420EA">
      <w:pPr>
        <w:jc w:val="both"/>
        <w:rPr>
          <w:rFonts w:ascii="Arial" w:hAnsi="Arial"/>
          <w:sz w:val="20"/>
        </w:rPr>
      </w:pPr>
    </w:p>
    <w:p w14:paraId="02A7E78A" w14:textId="16F9AF9C" w:rsidR="001E3A28" w:rsidRPr="004A69E4" w:rsidRDefault="001E3A28" w:rsidP="005420EA">
      <w:pPr>
        <w:jc w:val="both"/>
        <w:rPr>
          <w:rFonts w:ascii="Arial" w:hAnsi="Arial"/>
          <w:sz w:val="20"/>
        </w:rPr>
      </w:pPr>
    </w:p>
    <w:p w14:paraId="03D2BD8E" w14:textId="629E4469" w:rsidR="001E3A28" w:rsidRPr="004A69E4" w:rsidRDefault="001E3A28" w:rsidP="005420EA">
      <w:pPr>
        <w:jc w:val="both"/>
        <w:rPr>
          <w:rFonts w:ascii="Arial" w:hAnsi="Arial"/>
          <w:sz w:val="20"/>
        </w:rPr>
      </w:pPr>
    </w:p>
    <w:p w14:paraId="6CB3628F" w14:textId="0F248BB3" w:rsidR="001E3A28" w:rsidRPr="004A69E4" w:rsidRDefault="001E3A28" w:rsidP="005420EA">
      <w:pPr>
        <w:jc w:val="both"/>
        <w:rPr>
          <w:rFonts w:ascii="Arial" w:hAnsi="Arial"/>
          <w:sz w:val="20"/>
        </w:rPr>
      </w:pPr>
    </w:p>
    <w:p w14:paraId="08100F66" w14:textId="0740B94F" w:rsidR="001E3A28" w:rsidRPr="004A69E4" w:rsidRDefault="001E3A28" w:rsidP="005420EA">
      <w:pPr>
        <w:jc w:val="both"/>
        <w:rPr>
          <w:rFonts w:ascii="Arial" w:hAnsi="Arial"/>
          <w:sz w:val="20"/>
        </w:rPr>
      </w:pPr>
    </w:p>
    <w:p w14:paraId="5911B881" w14:textId="68B355E8" w:rsidR="001E3A28" w:rsidRPr="004A69E4" w:rsidRDefault="001E3A28" w:rsidP="005420EA">
      <w:pPr>
        <w:jc w:val="both"/>
        <w:rPr>
          <w:rFonts w:ascii="Arial" w:hAnsi="Arial"/>
          <w:sz w:val="20"/>
        </w:rPr>
      </w:pPr>
    </w:p>
    <w:p w14:paraId="42F3845E" w14:textId="18DDF505" w:rsidR="001E3A28" w:rsidRPr="004A69E4" w:rsidRDefault="001E3A28" w:rsidP="005420EA">
      <w:pPr>
        <w:jc w:val="both"/>
        <w:rPr>
          <w:rFonts w:ascii="Arial" w:hAnsi="Arial"/>
          <w:sz w:val="20"/>
        </w:rPr>
      </w:pPr>
    </w:p>
    <w:p w14:paraId="160D7126" w14:textId="44DBFEDC" w:rsidR="001E3A28" w:rsidRPr="004A69E4" w:rsidRDefault="001E3A28" w:rsidP="005420EA">
      <w:pPr>
        <w:jc w:val="both"/>
        <w:rPr>
          <w:rFonts w:ascii="Arial" w:hAnsi="Arial"/>
          <w:sz w:val="20"/>
        </w:rPr>
      </w:pPr>
    </w:p>
    <w:p w14:paraId="46CD1DC1" w14:textId="0AB6F60B" w:rsidR="001E3A28" w:rsidRPr="004A69E4" w:rsidRDefault="001E3A28" w:rsidP="005420EA">
      <w:pPr>
        <w:jc w:val="both"/>
        <w:rPr>
          <w:rFonts w:ascii="Arial" w:hAnsi="Arial"/>
          <w:sz w:val="20"/>
        </w:rPr>
      </w:pPr>
    </w:p>
    <w:p w14:paraId="2809ACE9" w14:textId="5C3FCD47" w:rsidR="001E3A28" w:rsidRPr="004A69E4" w:rsidRDefault="001E3A28" w:rsidP="005420EA">
      <w:pPr>
        <w:jc w:val="both"/>
        <w:rPr>
          <w:rFonts w:ascii="Arial" w:hAnsi="Arial"/>
          <w:sz w:val="20"/>
        </w:rPr>
      </w:pPr>
    </w:p>
    <w:p w14:paraId="16B2F3A3" w14:textId="7F73D03D" w:rsidR="001E3A28" w:rsidRPr="004A69E4" w:rsidRDefault="001E3A28" w:rsidP="005420EA">
      <w:pPr>
        <w:jc w:val="both"/>
        <w:rPr>
          <w:rFonts w:ascii="Arial" w:hAnsi="Arial"/>
          <w:sz w:val="20"/>
        </w:rPr>
      </w:pPr>
    </w:p>
    <w:p w14:paraId="1908B663" w14:textId="2AD34B2D" w:rsidR="001E3A28" w:rsidRPr="004A69E4" w:rsidRDefault="001E3A28" w:rsidP="005420EA">
      <w:pPr>
        <w:jc w:val="both"/>
        <w:rPr>
          <w:rFonts w:ascii="Arial" w:hAnsi="Arial"/>
          <w:sz w:val="20"/>
        </w:rPr>
      </w:pPr>
    </w:p>
    <w:p w14:paraId="06F7B59F" w14:textId="5F9867C7" w:rsidR="001E3A28" w:rsidRPr="004A69E4" w:rsidRDefault="001E3A28" w:rsidP="005420EA">
      <w:pPr>
        <w:jc w:val="both"/>
        <w:rPr>
          <w:rFonts w:ascii="Arial" w:hAnsi="Arial"/>
          <w:sz w:val="20"/>
        </w:rPr>
      </w:pPr>
    </w:p>
    <w:p w14:paraId="74D22A76" w14:textId="5505E550" w:rsidR="001E3A28" w:rsidRPr="004A69E4" w:rsidRDefault="001E3A28" w:rsidP="005420EA">
      <w:pPr>
        <w:jc w:val="both"/>
        <w:rPr>
          <w:rFonts w:ascii="Arial" w:hAnsi="Arial"/>
          <w:sz w:val="20"/>
        </w:rPr>
      </w:pPr>
    </w:p>
    <w:p w14:paraId="5E3B098C" w14:textId="3FD302EB" w:rsidR="001E3A28" w:rsidRPr="004A69E4" w:rsidRDefault="001E3A28" w:rsidP="005420EA">
      <w:pPr>
        <w:jc w:val="both"/>
        <w:rPr>
          <w:rFonts w:ascii="Arial" w:hAnsi="Arial"/>
          <w:sz w:val="20"/>
        </w:rPr>
      </w:pPr>
    </w:p>
    <w:p w14:paraId="1D23D5A1" w14:textId="3B0BEC1F" w:rsidR="001E3A28" w:rsidRPr="004A69E4" w:rsidRDefault="001E3A28" w:rsidP="005420EA">
      <w:pPr>
        <w:jc w:val="both"/>
        <w:rPr>
          <w:rFonts w:ascii="Arial" w:hAnsi="Arial"/>
          <w:sz w:val="20"/>
        </w:rPr>
      </w:pPr>
    </w:p>
    <w:p w14:paraId="536E3FBF" w14:textId="6B7AD693" w:rsidR="001E3A28" w:rsidRPr="004A69E4" w:rsidRDefault="001E3A28" w:rsidP="005420EA">
      <w:pPr>
        <w:jc w:val="both"/>
        <w:rPr>
          <w:rFonts w:ascii="Arial" w:hAnsi="Arial"/>
          <w:sz w:val="20"/>
        </w:rPr>
      </w:pPr>
    </w:p>
    <w:p w14:paraId="6286AE90" w14:textId="5CA9A7A0" w:rsidR="001E3A28" w:rsidRPr="004A69E4" w:rsidRDefault="001E3A28" w:rsidP="005420EA">
      <w:pPr>
        <w:jc w:val="both"/>
        <w:rPr>
          <w:rFonts w:ascii="Arial" w:hAnsi="Arial"/>
          <w:sz w:val="20"/>
        </w:rPr>
      </w:pPr>
    </w:p>
    <w:p w14:paraId="7390827C" w14:textId="57A173EB" w:rsidR="001E3A28" w:rsidRPr="004A69E4" w:rsidRDefault="001E3A28" w:rsidP="005420EA">
      <w:pPr>
        <w:jc w:val="both"/>
        <w:rPr>
          <w:rFonts w:ascii="Arial" w:hAnsi="Arial"/>
          <w:sz w:val="20"/>
        </w:rPr>
      </w:pPr>
    </w:p>
    <w:p w14:paraId="67E8E386" w14:textId="422F488A" w:rsidR="001E3A28" w:rsidRPr="004A69E4" w:rsidRDefault="001E3A28" w:rsidP="005420EA">
      <w:pPr>
        <w:jc w:val="both"/>
        <w:rPr>
          <w:rFonts w:ascii="Arial" w:hAnsi="Arial"/>
          <w:sz w:val="20"/>
        </w:rPr>
      </w:pPr>
    </w:p>
    <w:p w14:paraId="2AFE9D9E" w14:textId="39E69CA8" w:rsidR="001E3A28" w:rsidRPr="004A69E4" w:rsidRDefault="001E3A28" w:rsidP="005420EA">
      <w:pPr>
        <w:jc w:val="both"/>
        <w:rPr>
          <w:rFonts w:ascii="Arial" w:hAnsi="Arial"/>
          <w:sz w:val="20"/>
        </w:rPr>
      </w:pPr>
    </w:p>
    <w:p w14:paraId="5F14A5AE" w14:textId="3A954CCC" w:rsidR="001E3A28" w:rsidRPr="004A69E4" w:rsidRDefault="001E3A28" w:rsidP="005420EA">
      <w:pPr>
        <w:jc w:val="both"/>
        <w:rPr>
          <w:rFonts w:ascii="Arial" w:hAnsi="Arial"/>
          <w:sz w:val="20"/>
        </w:rPr>
      </w:pPr>
    </w:p>
    <w:p w14:paraId="0CAFF718" w14:textId="7675D7B9" w:rsidR="001E3A28" w:rsidRPr="004A69E4" w:rsidRDefault="001E3A28" w:rsidP="005420EA">
      <w:pPr>
        <w:jc w:val="both"/>
        <w:rPr>
          <w:rFonts w:ascii="Arial" w:hAnsi="Arial"/>
          <w:sz w:val="20"/>
        </w:rPr>
      </w:pPr>
    </w:p>
    <w:p w14:paraId="21E1D6BC" w14:textId="441D9177" w:rsidR="001E3A28" w:rsidRPr="004A69E4" w:rsidRDefault="001E3A28" w:rsidP="005420EA">
      <w:pPr>
        <w:jc w:val="both"/>
        <w:rPr>
          <w:rFonts w:ascii="Arial" w:hAnsi="Arial"/>
          <w:sz w:val="20"/>
        </w:rPr>
      </w:pPr>
    </w:p>
    <w:p w14:paraId="3D624EE2" w14:textId="59BAFD27" w:rsidR="001E3A28" w:rsidRPr="004A69E4" w:rsidRDefault="001E3A28" w:rsidP="005420EA">
      <w:pPr>
        <w:jc w:val="both"/>
        <w:rPr>
          <w:rFonts w:ascii="Arial" w:hAnsi="Arial"/>
          <w:sz w:val="20"/>
        </w:rPr>
      </w:pPr>
    </w:p>
    <w:p w14:paraId="758E9DDA" w14:textId="4A60695B" w:rsidR="001E3A28" w:rsidRPr="004A69E4" w:rsidRDefault="001E3A28" w:rsidP="005420EA">
      <w:pPr>
        <w:jc w:val="both"/>
        <w:rPr>
          <w:rFonts w:ascii="Arial" w:hAnsi="Arial"/>
          <w:b/>
          <w:sz w:val="20"/>
        </w:rPr>
      </w:pPr>
    </w:p>
    <w:p w14:paraId="6FB69D2D" w14:textId="6C35265F" w:rsidR="001E3A28" w:rsidRPr="004A69E4" w:rsidRDefault="0057324E" w:rsidP="005420EA">
      <w:pPr>
        <w:jc w:val="both"/>
        <w:rPr>
          <w:sz w:val="20"/>
        </w:rPr>
      </w:pPr>
      <w:bookmarkStart w:id="6" w:name="_Hlk119796226"/>
      <w:r w:rsidRPr="004A69E4">
        <w:rPr>
          <w:b/>
          <w:sz w:val="20"/>
        </w:rPr>
        <w:t>Figure S8</w:t>
      </w:r>
      <w:r w:rsidRPr="004A69E4">
        <w:rPr>
          <w:sz w:val="20"/>
        </w:rPr>
        <w:t xml:space="preserve">. </w:t>
      </w:r>
      <w:bookmarkStart w:id="7" w:name="_Hlk119793844"/>
      <w:r w:rsidRPr="004A69E4">
        <w:rPr>
          <w:sz w:val="20"/>
        </w:rPr>
        <w:t xml:space="preserve">Kyoto Encyclopedia of Genes and Genomes (KEGG) </w:t>
      </w:r>
      <w:bookmarkEnd w:id="7"/>
      <w:r w:rsidRPr="004A69E4">
        <w:rPr>
          <w:sz w:val="20"/>
        </w:rPr>
        <w:t>pathway and differentially expressed genes (DEGs)</w:t>
      </w:r>
      <w:r w:rsidR="00440F30" w:rsidRPr="004A69E4">
        <w:rPr>
          <w:sz w:val="20"/>
        </w:rPr>
        <w:t xml:space="preserve"> (n = 3)</w:t>
      </w:r>
      <w:r w:rsidR="00A3034C" w:rsidRPr="004A69E4">
        <w:rPr>
          <w:rFonts w:eastAsiaTheme="minorEastAsia"/>
          <w:sz w:val="20"/>
          <w:lang w:eastAsia="ko-KR"/>
        </w:rPr>
        <w:t>.</w:t>
      </w:r>
      <w:r w:rsidRPr="004A69E4">
        <w:rPr>
          <w:sz w:val="20"/>
        </w:rPr>
        <w:t xml:space="preserve"> </w:t>
      </w:r>
      <w:bookmarkEnd w:id="6"/>
      <w:r w:rsidRPr="004A69E4">
        <w:rPr>
          <w:sz w:val="20"/>
        </w:rPr>
        <w:t>(A) KEGG pathway of ‘Coronavirus disease - COVID-19’. (B) Heatmap for the enrichment analysis of DEGs.</w:t>
      </w:r>
    </w:p>
    <w:p w14:paraId="3957AE11" w14:textId="77777777" w:rsidR="0057324E" w:rsidRPr="004A69E4" w:rsidRDefault="0057324E" w:rsidP="005420EA">
      <w:pPr>
        <w:jc w:val="both"/>
        <w:rPr>
          <w:rFonts w:ascii="Arial" w:hAnsi="Arial"/>
          <w:sz w:val="20"/>
        </w:rPr>
      </w:pPr>
    </w:p>
    <w:p w14:paraId="52304659" w14:textId="3419FF8E" w:rsidR="001E3A28" w:rsidRPr="004A69E4" w:rsidRDefault="0057324E" w:rsidP="005420EA">
      <w:pPr>
        <w:jc w:val="both"/>
        <w:rPr>
          <w:rFonts w:ascii="Arial" w:hAnsi="Arial"/>
          <w:sz w:val="20"/>
        </w:rPr>
      </w:pPr>
      <w:r w:rsidRPr="004A69E4">
        <w:rPr>
          <w:rFonts w:ascii="Arial" w:hAnsi="Arial" w:hint="eastAsia"/>
          <w:noProof/>
          <w:sz w:val="20"/>
          <w:lang w:val="en-US" w:eastAsia="ko-KR"/>
        </w:rPr>
        <w:drawing>
          <wp:inline distT="0" distB="0" distL="0" distR="0" wp14:anchorId="64263827" wp14:editId="44613C95">
            <wp:extent cx="6371590" cy="5857875"/>
            <wp:effectExtent l="0" t="0" r="0" b="9525"/>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S8.em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71590" cy="5857875"/>
                    </a:xfrm>
                    <a:prstGeom prst="rect">
                      <a:avLst/>
                    </a:prstGeom>
                  </pic:spPr>
                </pic:pic>
              </a:graphicData>
            </a:graphic>
          </wp:inline>
        </w:drawing>
      </w:r>
    </w:p>
    <w:p w14:paraId="646DC2D9" w14:textId="6A80AC5F" w:rsidR="0057324E" w:rsidRPr="004A69E4" w:rsidRDefault="0057324E" w:rsidP="005420EA">
      <w:pPr>
        <w:jc w:val="both"/>
        <w:rPr>
          <w:rFonts w:ascii="Arial" w:hAnsi="Arial"/>
          <w:sz w:val="20"/>
        </w:rPr>
      </w:pPr>
    </w:p>
    <w:p w14:paraId="6561BACF" w14:textId="20CBDD78" w:rsidR="0057324E" w:rsidRPr="004A69E4" w:rsidRDefault="0057324E" w:rsidP="005420EA">
      <w:pPr>
        <w:jc w:val="both"/>
        <w:rPr>
          <w:rFonts w:ascii="Arial" w:hAnsi="Arial"/>
          <w:sz w:val="20"/>
        </w:rPr>
      </w:pPr>
    </w:p>
    <w:p w14:paraId="47FC1691" w14:textId="417B8CE0" w:rsidR="0057324E" w:rsidRPr="004A69E4" w:rsidRDefault="0057324E" w:rsidP="005420EA">
      <w:pPr>
        <w:jc w:val="both"/>
        <w:rPr>
          <w:rFonts w:ascii="Arial" w:hAnsi="Arial"/>
          <w:sz w:val="20"/>
        </w:rPr>
      </w:pPr>
    </w:p>
    <w:p w14:paraId="3BD85454" w14:textId="2754572A" w:rsidR="0057324E" w:rsidRPr="004A69E4" w:rsidRDefault="0057324E" w:rsidP="005420EA">
      <w:pPr>
        <w:jc w:val="both"/>
        <w:rPr>
          <w:rFonts w:ascii="Arial" w:hAnsi="Arial"/>
          <w:sz w:val="20"/>
        </w:rPr>
      </w:pPr>
    </w:p>
    <w:p w14:paraId="69A0A412" w14:textId="71CDE741" w:rsidR="0057324E" w:rsidRPr="004A69E4" w:rsidRDefault="0057324E" w:rsidP="005420EA">
      <w:pPr>
        <w:jc w:val="both"/>
        <w:rPr>
          <w:rFonts w:ascii="Arial" w:hAnsi="Arial"/>
          <w:sz w:val="20"/>
        </w:rPr>
      </w:pPr>
    </w:p>
    <w:p w14:paraId="032D96B0" w14:textId="1EDEB223" w:rsidR="0057324E" w:rsidRPr="004A69E4" w:rsidRDefault="0057324E" w:rsidP="005420EA">
      <w:pPr>
        <w:jc w:val="both"/>
        <w:rPr>
          <w:rFonts w:ascii="Arial" w:hAnsi="Arial"/>
          <w:sz w:val="20"/>
        </w:rPr>
      </w:pPr>
    </w:p>
    <w:p w14:paraId="6064BB95" w14:textId="409E17E9" w:rsidR="0057324E" w:rsidRPr="004A69E4" w:rsidRDefault="0057324E" w:rsidP="005420EA">
      <w:pPr>
        <w:jc w:val="both"/>
        <w:rPr>
          <w:rFonts w:ascii="Arial" w:hAnsi="Arial"/>
          <w:sz w:val="20"/>
        </w:rPr>
      </w:pPr>
    </w:p>
    <w:p w14:paraId="0C08154C" w14:textId="2049064D" w:rsidR="0057324E" w:rsidRPr="004A69E4" w:rsidRDefault="0057324E" w:rsidP="005420EA">
      <w:pPr>
        <w:jc w:val="both"/>
        <w:rPr>
          <w:rFonts w:ascii="Arial" w:hAnsi="Arial"/>
          <w:sz w:val="20"/>
        </w:rPr>
      </w:pPr>
    </w:p>
    <w:p w14:paraId="2C83806E" w14:textId="6E62CE4D" w:rsidR="0057324E" w:rsidRPr="004A69E4" w:rsidRDefault="0057324E" w:rsidP="005420EA">
      <w:pPr>
        <w:jc w:val="both"/>
        <w:rPr>
          <w:rFonts w:ascii="Arial" w:hAnsi="Arial"/>
          <w:sz w:val="20"/>
        </w:rPr>
      </w:pPr>
    </w:p>
    <w:p w14:paraId="5F9157B5" w14:textId="47A1C5AD" w:rsidR="0057324E" w:rsidRPr="004A69E4" w:rsidRDefault="0057324E" w:rsidP="005420EA">
      <w:pPr>
        <w:jc w:val="both"/>
        <w:rPr>
          <w:rFonts w:ascii="Arial" w:hAnsi="Arial"/>
          <w:sz w:val="20"/>
        </w:rPr>
      </w:pPr>
    </w:p>
    <w:p w14:paraId="242955AA" w14:textId="0AB2333C" w:rsidR="0057324E" w:rsidRPr="004A69E4" w:rsidRDefault="0057324E" w:rsidP="005420EA">
      <w:pPr>
        <w:jc w:val="both"/>
        <w:rPr>
          <w:rFonts w:ascii="Arial" w:hAnsi="Arial"/>
          <w:sz w:val="20"/>
        </w:rPr>
      </w:pPr>
    </w:p>
    <w:p w14:paraId="71642C5B" w14:textId="4263F1AC" w:rsidR="0057324E" w:rsidRPr="004A69E4" w:rsidRDefault="0057324E" w:rsidP="005420EA">
      <w:pPr>
        <w:jc w:val="both"/>
        <w:rPr>
          <w:rFonts w:ascii="Arial" w:hAnsi="Arial"/>
          <w:sz w:val="20"/>
        </w:rPr>
      </w:pPr>
    </w:p>
    <w:p w14:paraId="0F3B2CA7" w14:textId="33B1F1BD" w:rsidR="0057324E" w:rsidRPr="004A69E4" w:rsidRDefault="0057324E" w:rsidP="005420EA">
      <w:pPr>
        <w:jc w:val="both"/>
        <w:rPr>
          <w:rFonts w:ascii="Arial" w:hAnsi="Arial"/>
          <w:sz w:val="20"/>
        </w:rPr>
      </w:pPr>
    </w:p>
    <w:p w14:paraId="4C93AC29" w14:textId="2BB5201A" w:rsidR="0057324E" w:rsidRPr="004A69E4" w:rsidRDefault="0057324E" w:rsidP="005420EA">
      <w:pPr>
        <w:jc w:val="both"/>
        <w:rPr>
          <w:rFonts w:ascii="Arial" w:hAnsi="Arial"/>
          <w:sz w:val="20"/>
        </w:rPr>
      </w:pPr>
    </w:p>
    <w:p w14:paraId="5E9D461C" w14:textId="717C7B56" w:rsidR="0057324E" w:rsidRPr="004A69E4" w:rsidRDefault="0057324E" w:rsidP="005420EA">
      <w:pPr>
        <w:jc w:val="both"/>
        <w:rPr>
          <w:rFonts w:ascii="Arial" w:hAnsi="Arial"/>
          <w:sz w:val="20"/>
        </w:rPr>
      </w:pPr>
    </w:p>
    <w:p w14:paraId="4F947DD7" w14:textId="16232CA5" w:rsidR="0057324E" w:rsidRPr="004A69E4" w:rsidRDefault="0057324E" w:rsidP="005420EA">
      <w:pPr>
        <w:jc w:val="both"/>
        <w:rPr>
          <w:rFonts w:ascii="Arial" w:hAnsi="Arial"/>
          <w:sz w:val="20"/>
        </w:rPr>
      </w:pPr>
    </w:p>
    <w:p w14:paraId="5E747D7F" w14:textId="1DD855EA" w:rsidR="0057324E" w:rsidRPr="004A69E4" w:rsidRDefault="0057324E" w:rsidP="005420EA">
      <w:pPr>
        <w:jc w:val="both"/>
        <w:rPr>
          <w:rFonts w:ascii="Arial" w:hAnsi="Arial"/>
          <w:sz w:val="20"/>
        </w:rPr>
      </w:pPr>
    </w:p>
    <w:p w14:paraId="1AA25336" w14:textId="77777777" w:rsidR="0057324E" w:rsidRPr="004A69E4" w:rsidRDefault="0057324E" w:rsidP="005420EA">
      <w:pPr>
        <w:jc w:val="both"/>
        <w:rPr>
          <w:rFonts w:ascii="Arial" w:hAnsi="Arial"/>
          <w:sz w:val="20"/>
        </w:rPr>
      </w:pPr>
    </w:p>
    <w:p w14:paraId="0F64A4BD" w14:textId="3861798B" w:rsidR="0057324E" w:rsidRPr="004A69E4" w:rsidRDefault="0057324E" w:rsidP="005420EA">
      <w:pPr>
        <w:jc w:val="both"/>
        <w:rPr>
          <w:sz w:val="20"/>
        </w:rPr>
      </w:pPr>
      <w:bookmarkStart w:id="8" w:name="_Hlk119796242"/>
      <w:r w:rsidRPr="004A69E4">
        <w:rPr>
          <w:b/>
          <w:sz w:val="20"/>
        </w:rPr>
        <w:t>Figure S9</w:t>
      </w:r>
      <w:r w:rsidRPr="004A69E4">
        <w:rPr>
          <w:sz w:val="20"/>
        </w:rPr>
        <w:t>. Gene ontology (GO) and differentially expressed gene (DEG) of PV-uninfected or infected LOs</w:t>
      </w:r>
      <w:r w:rsidR="00440F30" w:rsidRPr="004A69E4">
        <w:rPr>
          <w:sz w:val="20"/>
        </w:rPr>
        <w:t xml:space="preserve"> (n = 3)</w:t>
      </w:r>
      <w:r w:rsidRPr="004A69E4">
        <w:rPr>
          <w:sz w:val="20"/>
        </w:rPr>
        <w:t xml:space="preserve">. </w:t>
      </w:r>
      <w:bookmarkEnd w:id="8"/>
      <w:r w:rsidRPr="004A69E4">
        <w:rPr>
          <w:sz w:val="20"/>
        </w:rPr>
        <w:t>(A) Pathway-related GO analysis. (B) Heatmap for the enrichment analysis of DEGs.</w:t>
      </w:r>
    </w:p>
    <w:p w14:paraId="5C5E23AE" w14:textId="22E0FE00" w:rsidR="0057324E" w:rsidRPr="004A69E4" w:rsidRDefault="0057324E" w:rsidP="005420EA">
      <w:pPr>
        <w:jc w:val="both"/>
        <w:rPr>
          <w:rFonts w:ascii="Arial" w:hAnsi="Arial"/>
          <w:sz w:val="20"/>
        </w:rPr>
      </w:pPr>
    </w:p>
    <w:p w14:paraId="2C7D10C8" w14:textId="788DC37F" w:rsidR="0057324E" w:rsidRPr="004A69E4" w:rsidRDefault="0057324E" w:rsidP="005420EA">
      <w:pPr>
        <w:jc w:val="both"/>
        <w:rPr>
          <w:rFonts w:ascii="Arial" w:hAnsi="Arial"/>
          <w:sz w:val="20"/>
        </w:rPr>
      </w:pPr>
      <w:r w:rsidRPr="004A69E4">
        <w:rPr>
          <w:noProof/>
          <w:lang w:val="en-US" w:eastAsia="ko-KR"/>
        </w:rPr>
        <w:drawing>
          <wp:inline distT="0" distB="0" distL="0" distR="0" wp14:anchorId="1E471281" wp14:editId="279DA66C">
            <wp:extent cx="5582439" cy="2398501"/>
            <wp:effectExtent l="0" t="0" r="0" b="1905"/>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0710" cy="2410648"/>
                    </a:xfrm>
                    <a:prstGeom prst="rect">
                      <a:avLst/>
                    </a:prstGeom>
                    <a:noFill/>
                  </pic:spPr>
                </pic:pic>
              </a:graphicData>
            </a:graphic>
          </wp:inline>
        </w:drawing>
      </w:r>
    </w:p>
    <w:p w14:paraId="7191DE23" w14:textId="031C1D64" w:rsidR="0057324E" w:rsidRPr="004A69E4" w:rsidRDefault="0057324E" w:rsidP="005420EA">
      <w:pPr>
        <w:jc w:val="both"/>
        <w:rPr>
          <w:rFonts w:ascii="Arial" w:hAnsi="Arial"/>
          <w:sz w:val="20"/>
        </w:rPr>
      </w:pPr>
    </w:p>
    <w:p w14:paraId="68A04744" w14:textId="6D9F02A4" w:rsidR="0057324E" w:rsidRPr="004A69E4" w:rsidRDefault="0057324E" w:rsidP="005420EA">
      <w:pPr>
        <w:jc w:val="both"/>
        <w:rPr>
          <w:sz w:val="20"/>
        </w:rPr>
      </w:pPr>
      <w:bookmarkStart w:id="9" w:name="_Hlk119796252"/>
      <w:r w:rsidRPr="004A69E4">
        <w:rPr>
          <w:b/>
          <w:sz w:val="20"/>
        </w:rPr>
        <w:t>Figure S10</w:t>
      </w:r>
      <w:r w:rsidRPr="004A69E4">
        <w:rPr>
          <w:sz w:val="20"/>
        </w:rPr>
        <w:t xml:space="preserve">. Disease Ontology (DO) enrichment analyses. </w:t>
      </w:r>
      <w:bookmarkEnd w:id="9"/>
      <w:r w:rsidRPr="004A69E4">
        <w:rPr>
          <w:sz w:val="20"/>
        </w:rPr>
        <w:t>The top 8 terms in the DO enrichment analysis</w:t>
      </w:r>
      <w:r w:rsidR="00440F30" w:rsidRPr="004A69E4">
        <w:rPr>
          <w:sz w:val="20"/>
        </w:rPr>
        <w:t xml:space="preserve"> (n = 3)</w:t>
      </w:r>
      <w:r w:rsidRPr="004A69E4">
        <w:rPr>
          <w:sz w:val="20"/>
        </w:rPr>
        <w:t xml:space="preserve">. The x-axis </w:t>
      </w:r>
      <w:r w:rsidR="003F15B9" w:rsidRPr="004A69E4">
        <w:rPr>
          <w:sz w:val="20"/>
        </w:rPr>
        <w:t>shows the number of genes ratio</w:t>
      </w:r>
      <w:r w:rsidRPr="004A69E4">
        <w:rPr>
          <w:sz w:val="20"/>
        </w:rPr>
        <w:t xml:space="preserve"> in each term. The p-value of each term is indicated by color according to the legend.</w:t>
      </w:r>
    </w:p>
    <w:p w14:paraId="0D643D2B" w14:textId="6FA08459" w:rsidR="0057324E" w:rsidRPr="00A33F69" w:rsidRDefault="0057324E" w:rsidP="005420EA">
      <w:pPr>
        <w:jc w:val="both"/>
        <w:rPr>
          <w:sz w:val="20"/>
        </w:rPr>
      </w:pPr>
    </w:p>
    <w:p w14:paraId="7C022B5C" w14:textId="1B9C1FCA" w:rsidR="0057324E" w:rsidRPr="00A33F69" w:rsidRDefault="0057324E" w:rsidP="0057324E">
      <w:pPr>
        <w:jc w:val="center"/>
        <w:rPr>
          <w:rFonts w:ascii="Arial" w:hAnsi="Arial"/>
          <w:sz w:val="20"/>
        </w:rPr>
      </w:pPr>
      <w:r w:rsidRPr="00A33F69">
        <w:rPr>
          <w:noProof/>
          <w:lang w:val="en-US" w:eastAsia="ko-KR"/>
        </w:rPr>
        <w:drawing>
          <wp:inline distT="0" distB="0" distL="0" distR="0" wp14:anchorId="1C13E6C9" wp14:editId="42896A29">
            <wp:extent cx="2853055" cy="2286000"/>
            <wp:effectExtent l="0" t="0" r="4445"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3055" cy="2286000"/>
                    </a:xfrm>
                    <a:prstGeom prst="rect">
                      <a:avLst/>
                    </a:prstGeom>
                    <a:noFill/>
                  </pic:spPr>
                </pic:pic>
              </a:graphicData>
            </a:graphic>
          </wp:inline>
        </w:drawing>
      </w:r>
    </w:p>
    <w:p w14:paraId="4F7C59D4" w14:textId="18689B30" w:rsidR="0057324E" w:rsidRPr="00A33F69" w:rsidRDefault="0057324E" w:rsidP="0057324E">
      <w:pPr>
        <w:jc w:val="both"/>
        <w:rPr>
          <w:rFonts w:ascii="Arial" w:hAnsi="Arial"/>
          <w:sz w:val="20"/>
        </w:rPr>
      </w:pPr>
    </w:p>
    <w:p w14:paraId="001639C3" w14:textId="171A535F" w:rsidR="0057324E" w:rsidRPr="00A33F69" w:rsidRDefault="0057324E" w:rsidP="0057324E">
      <w:pPr>
        <w:jc w:val="both"/>
        <w:rPr>
          <w:rFonts w:ascii="Arial" w:hAnsi="Arial"/>
          <w:sz w:val="20"/>
        </w:rPr>
      </w:pPr>
    </w:p>
    <w:p w14:paraId="67FD1915" w14:textId="2B54E339" w:rsidR="0057324E" w:rsidRPr="00A33F69" w:rsidRDefault="0057324E" w:rsidP="0057324E">
      <w:pPr>
        <w:jc w:val="both"/>
        <w:rPr>
          <w:rFonts w:ascii="Arial" w:hAnsi="Arial"/>
          <w:sz w:val="20"/>
        </w:rPr>
      </w:pPr>
    </w:p>
    <w:p w14:paraId="729DCC08" w14:textId="1BC07B15" w:rsidR="0057324E" w:rsidRPr="00A33F69" w:rsidRDefault="0057324E" w:rsidP="0057324E">
      <w:pPr>
        <w:jc w:val="both"/>
        <w:rPr>
          <w:rFonts w:ascii="Arial" w:hAnsi="Arial"/>
          <w:sz w:val="20"/>
        </w:rPr>
      </w:pPr>
    </w:p>
    <w:p w14:paraId="423E882E" w14:textId="1BD8AB07" w:rsidR="0057324E" w:rsidRPr="00A33F69" w:rsidRDefault="0057324E" w:rsidP="0057324E">
      <w:pPr>
        <w:jc w:val="both"/>
        <w:rPr>
          <w:rFonts w:ascii="Arial" w:hAnsi="Arial"/>
          <w:sz w:val="20"/>
        </w:rPr>
      </w:pPr>
    </w:p>
    <w:p w14:paraId="6225DEA4" w14:textId="69EC5650" w:rsidR="0057324E" w:rsidRPr="00A33F69" w:rsidRDefault="0057324E" w:rsidP="0057324E">
      <w:pPr>
        <w:jc w:val="both"/>
        <w:rPr>
          <w:rFonts w:ascii="Arial" w:hAnsi="Arial"/>
          <w:sz w:val="20"/>
        </w:rPr>
      </w:pPr>
    </w:p>
    <w:p w14:paraId="2AB8308D" w14:textId="1F9773FB" w:rsidR="0057324E" w:rsidRPr="00A33F69" w:rsidRDefault="0057324E" w:rsidP="0057324E">
      <w:pPr>
        <w:jc w:val="both"/>
        <w:rPr>
          <w:rFonts w:ascii="Arial" w:hAnsi="Arial"/>
          <w:sz w:val="20"/>
        </w:rPr>
      </w:pPr>
    </w:p>
    <w:p w14:paraId="104931E3" w14:textId="3CC60AEB" w:rsidR="0057324E" w:rsidRPr="00A33F69" w:rsidRDefault="0057324E" w:rsidP="0057324E">
      <w:pPr>
        <w:jc w:val="both"/>
        <w:rPr>
          <w:rFonts w:ascii="Arial" w:hAnsi="Arial"/>
          <w:sz w:val="20"/>
        </w:rPr>
      </w:pPr>
    </w:p>
    <w:p w14:paraId="149DB563" w14:textId="01A0300C" w:rsidR="0057324E" w:rsidRPr="00A33F69" w:rsidRDefault="0057324E" w:rsidP="0057324E">
      <w:pPr>
        <w:jc w:val="both"/>
        <w:rPr>
          <w:rFonts w:ascii="Arial" w:hAnsi="Arial"/>
          <w:sz w:val="20"/>
        </w:rPr>
      </w:pPr>
    </w:p>
    <w:p w14:paraId="795FEA96" w14:textId="7300A010" w:rsidR="0057324E" w:rsidRPr="00A33F69" w:rsidRDefault="0057324E" w:rsidP="0057324E">
      <w:pPr>
        <w:jc w:val="both"/>
        <w:rPr>
          <w:rFonts w:ascii="Arial" w:hAnsi="Arial"/>
          <w:sz w:val="20"/>
        </w:rPr>
      </w:pPr>
    </w:p>
    <w:p w14:paraId="7A09686A" w14:textId="558DC279" w:rsidR="0057324E" w:rsidRPr="00A33F69" w:rsidRDefault="0057324E" w:rsidP="0057324E">
      <w:pPr>
        <w:jc w:val="both"/>
        <w:rPr>
          <w:rFonts w:ascii="Arial" w:hAnsi="Arial"/>
          <w:sz w:val="20"/>
        </w:rPr>
      </w:pPr>
    </w:p>
    <w:p w14:paraId="3A6A7067" w14:textId="3023D126" w:rsidR="0057324E" w:rsidRPr="00A33F69" w:rsidRDefault="0057324E" w:rsidP="0057324E">
      <w:pPr>
        <w:jc w:val="both"/>
        <w:rPr>
          <w:rFonts w:ascii="Arial" w:hAnsi="Arial"/>
          <w:sz w:val="20"/>
        </w:rPr>
      </w:pPr>
    </w:p>
    <w:p w14:paraId="691B6E3A" w14:textId="77E7AD99" w:rsidR="0057324E" w:rsidRPr="00A33F69" w:rsidRDefault="0057324E" w:rsidP="0057324E">
      <w:pPr>
        <w:jc w:val="both"/>
        <w:rPr>
          <w:rFonts w:ascii="Arial" w:hAnsi="Arial"/>
          <w:sz w:val="20"/>
        </w:rPr>
      </w:pPr>
    </w:p>
    <w:p w14:paraId="0DFBAC0A" w14:textId="6AD9F5BF" w:rsidR="0057324E" w:rsidRPr="00A33F69" w:rsidRDefault="0057324E" w:rsidP="0057324E">
      <w:pPr>
        <w:jc w:val="both"/>
        <w:rPr>
          <w:rFonts w:ascii="Arial" w:hAnsi="Arial"/>
          <w:sz w:val="20"/>
        </w:rPr>
      </w:pPr>
    </w:p>
    <w:p w14:paraId="46B59C8B" w14:textId="272C972B" w:rsidR="0057324E" w:rsidRPr="00A33F69" w:rsidRDefault="0057324E" w:rsidP="0057324E">
      <w:pPr>
        <w:jc w:val="both"/>
        <w:rPr>
          <w:rFonts w:ascii="Arial" w:hAnsi="Arial"/>
          <w:sz w:val="20"/>
        </w:rPr>
      </w:pPr>
    </w:p>
    <w:p w14:paraId="74B0233C" w14:textId="401DC616" w:rsidR="0057324E" w:rsidRPr="00A33F69" w:rsidRDefault="0057324E" w:rsidP="0057324E">
      <w:pPr>
        <w:jc w:val="both"/>
        <w:rPr>
          <w:rFonts w:ascii="Arial" w:hAnsi="Arial"/>
          <w:sz w:val="20"/>
        </w:rPr>
      </w:pPr>
    </w:p>
    <w:p w14:paraId="51450E83" w14:textId="77777777" w:rsidR="0057324E" w:rsidRPr="00A33F69" w:rsidRDefault="0057324E" w:rsidP="0057324E">
      <w:pPr>
        <w:jc w:val="both"/>
        <w:rPr>
          <w:rFonts w:ascii="Arial" w:hAnsi="Arial"/>
          <w:sz w:val="20"/>
        </w:rPr>
      </w:pPr>
    </w:p>
    <w:p w14:paraId="539202FF" w14:textId="3BED3DAF" w:rsidR="0057324E" w:rsidRPr="00A33F69" w:rsidRDefault="0057324E" w:rsidP="0057324E">
      <w:pPr>
        <w:jc w:val="both"/>
        <w:rPr>
          <w:rFonts w:ascii="Arial" w:hAnsi="Arial"/>
          <w:sz w:val="20"/>
        </w:rPr>
      </w:pPr>
    </w:p>
    <w:p w14:paraId="176438AB" w14:textId="77777777" w:rsidR="0057324E" w:rsidRPr="00A33F69" w:rsidRDefault="0057324E" w:rsidP="0057324E">
      <w:pPr>
        <w:jc w:val="both"/>
        <w:rPr>
          <w:rFonts w:ascii="Arial" w:hAnsi="Arial"/>
          <w:sz w:val="20"/>
        </w:rPr>
      </w:pPr>
    </w:p>
    <w:p w14:paraId="27EA4A53" w14:textId="77777777" w:rsidR="0057324E" w:rsidRPr="00A33F69" w:rsidRDefault="0057324E" w:rsidP="005420EA">
      <w:pPr>
        <w:jc w:val="both"/>
        <w:rPr>
          <w:rFonts w:ascii="Arial" w:hAnsi="Arial"/>
          <w:sz w:val="20"/>
        </w:rPr>
      </w:pPr>
    </w:p>
    <w:p w14:paraId="06D47429" w14:textId="77777777" w:rsidR="00A14A16" w:rsidRPr="00A33F69" w:rsidRDefault="00A14A16">
      <w:pPr>
        <w:rPr>
          <w:rFonts w:eastAsiaTheme="minorEastAsia"/>
          <w:b/>
          <w:bCs/>
          <w:i/>
          <w:sz w:val="20"/>
          <w:lang w:val="en-US" w:eastAsia="ko-KR"/>
        </w:rPr>
      </w:pPr>
      <w:r w:rsidRPr="00A33F69">
        <w:rPr>
          <w:rFonts w:eastAsiaTheme="minorEastAsia"/>
          <w:b/>
          <w:bCs/>
          <w:i/>
          <w:sz w:val="20"/>
          <w:lang w:eastAsia="ko-KR"/>
        </w:rPr>
        <w:br w:type="page"/>
      </w:r>
    </w:p>
    <w:p w14:paraId="00B75FD0" w14:textId="7AE38E3B" w:rsidR="00DB5C7C" w:rsidRPr="00A33F69" w:rsidRDefault="00DB5C7C" w:rsidP="00DB5C7C">
      <w:pPr>
        <w:pStyle w:val="P1"/>
        <w:rPr>
          <w:rFonts w:ascii="Times New Roman" w:hAnsi="Times New Roman"/>
          <w:b/>
          <w:bCs/>
          <w:i/>
          <w:sz w:val="20"/>
        </w:rPr>
      </w:pPr>
      <w:r w:rsidRPr="00A33F69">
        <w:rPr>
          <w:rFonts w:ascii="Times New Roman" w:eastAsiaTheme="minorEastAsia" w:hAnsi="Times New Roman"/>
          <w:b/>
          <w:bCs/>
          <w:i/>
          <w:sz w:val="20"/>
          <w:lang w:eastAsia="ko-KR"/>
        </w:rPr>
        <w:lastRenderedPageBreak/>
        <w:t>HR-MS,</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and</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1D-</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and</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2D-NMR</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data</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for</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compounds</w:t>
      </w:r>
      <w:r w:rsidRPr="00A33F69">
        <w:rPr>
          <w:rFonts w:ascii="Times New Roman" w:hAnsi="Times New Roman"/>
          <w:b/>
          <w:bCs/>
          <w:i/>
          <w:sz w:val="20"/>
        </w:rPr>
        <w:t xml:space="preserve"> </w:t>
      </w:r>
      <w:r w:rsidRPr="00A33F69">
        <w:rPr>
          <w:rFonts w:ascii="Times New Roman" w:eastAsiaTheme="minorEastAsia" w:hAnsi="Times New Roman"/>
          <w:b/>
          <w:bCs/>
          <w:i/>
          <w:sz w:val="20"/>
          <w:lang w:eastAsia="ko-KR"/>
        </w:rPr>
        <w:t>M-1 and M-2</w:t>
      </w:r>
    </w:p>
    <w:p w14:paraId="00D6C255" w14:textId="1748F881" w:rsidR="002A791B" w:rsidRPr="00A33F69" w:rsidRDefault="00F270B6" w:rsidP="0004118D">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11</w:t>
      </w:r>
      <w:r w:rsidRPr="00A33F69">
        <w:rPr>
          <w:rFonts w:ascii="Times New Roman" w:hAnsi="Times New Roman"/>
          <w:b/>
          <w:sz w:val="20"/>
          <w:szCs w:val="24"/>
        </w:rPr>
        <w:t>.</w:t>
      </w:r>
      <w:r w:rsidRPr="00A33F69">
        <w:rPr>
          <w:rFonts w:ascii="Times New Roman" w:hAnsi="Times New Roman"/>
          <w:sz w:val="20"/>
          <w:szCs w:val="24"/>
        </w:rPr>
        <w:t xml:space="preserve"> </w:t>
      </w:r>
      <w:r w:rsidR="00D835A4" w:rsidRPr="00A33F69">
        <w:rPr>
          <w:rFonts w:ascii="Times New Roman" w:hAnsi="Times New Roman"/>
          <w:sz w:val="20"/>
          <w:szCs w:val="24"/>
        </w:rPr>
        <w:t xml:space="preserve">HR-ESI-MS of compound </w:t>
      </w:r>
      <w:r w:rsidR="00D835A4" w:rsidRPr="00A33F69">
        <w:rPr>
          <w:rFonts w:ascii="Times New Roman" w:eastAsiaTheme="minorEastAsia" w:hAnsi="Times New Roman"/>
          <w:b/>
          <w:bCs/>
          <w:sz w:val="20"/>
          <w:szCs w:val="24"/>
          <w:lang w:eastAsia="ko-KR"/>
        </w:rPr>
        <w:t>M-</w:t>
      </w:r>
      <w:r w:rsidR="00D835A4" w:rsidRPr="00A33F69">
        <w:rPr>
          <w:rFonts w:ascii="Times New Roman" w:hAnsi="Times New Roman"/>
          <w:b/>
          <w:bCs/>
          <w:sz w:val="20"/>
          <w:szCs w:val="24"/>
        </w:rPr>
        <w:t>1</w:t>
      </w:r>
      <w:r w:rsidRPr="00A33F69">
        <w:rPr>
          <w:rFonts w:ascii="Times New Roman" w:hAnsi="Times New Roman"/>
          <w:sz w:val="20"/>
          <w:szCs w:val="24"/>
        </w:rPr>
        <w:t>.</w:t>
      </w:r>
    </w:p>
    <w:p w14:paraId="03E2EE60" w14:textId="408D1E78" w:rsidR="00F270B6" w:rsidRPr="00A33F69" w:rsidRDefault="00D835A4" w:rsidP="0004118D">
      <w:pPr>
        <w:pStyle w:val="SchemeCaption"/>
        <w:spacing w:before="360" w:after="120"/>
        <w:rPr>
          <w:rFonts w:ascii="Times New Roman" w:hAnsi="Times New Roman"/>
          <w:sz w:val="24"/>
          <w:szCs w:val="24"/>
        </w:rPr>
      </w:pPr>
      <w:r w:rsidRPr="00A33F69">
        <w:rPr>
          <w:rFonts w:ascii="Times New Roman" w:eastAsia="HY신명조" w:hAnsi="Times New Roman"/>
          <w:noProof/>
          <w:sz w:val="24"/>
          <w:szCs w:val="24"/>
          <w:lang w:val="en-US" w:eastAsia="ko-KR"/>
        </w:rPr>
        <w:drawing>
          <wp:anchor distT="0" distB="0" distL="114300" distR="114300" simplePos="0" relativeHeight="251663360" behindDoc="0" locked="0" layoutInCell="1" allowOverlap="1" wp14:anchorId="35C03036" wp14:editId="63CC62AE">
            <wp:simplePos x="0" y="0"/>
            <wp:positionH relativeFrom="column">
              <wp:posOffset>8091</wp:posOffset>
            </wp:positionH>
            <wp:positionV relativeFrom="paragraph">
              <wp:posOffset>62720</wp:posOffset>
            </wp:positionV>
            <wp:extent cx="3503712" cy="1104587"/>
            <wp:effectExtent l="19050" t="19050" r="20955" b="19685"/>
            <wp:wrapNone/>
            <wp:docPr id="4" name="그림 2">
              <a:extLst xmlns:a="http://schemas.openxmlformats.org/drawingml/2006/main">
                <a:ext uri="{FF2B5EF4-FFF2-40B4-BE49-F238E27FC236}">
                  <a16:creationId xmlns:a16="http://schemas.microsoft.com/office/drawing/2014/main" id="{72C18749-DEBA-48D7-BEA0-E7405FF948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2C18749-DEBA-48D7-BEA0-E7405FF94872}"/>
                        </a:ext>
                      </a:extLst>
                    </pic:cNvPr>
                    <pic:cNvPicPr>
                      <a:picLocks noChangeAspect="1"/>
                    </pic:cNvPicPr>
                  </pic:nvPicPr>
                  <pic:blipFill rotWithShape="1">
                    <a:blip r:embed="rId25">
                      <a:extLst>
                        <a:ext uri="{28A0092B-C50C-407E-A947-70E740481C1C}">
                          <a14:useLocalDpi xmlns:a14="http://schemas.microsoft.com/office/drawing/2010/main" val="0"/>
                        </a:ext>
                      </a:extLst>
                    </a:blip>
                    <a:srcRect b="8075"/>
                    <a:stretch/>
                  </pic:blipFill>
                  <pic:spPr>
                    <a:xfrm>
                      <a:off x="0" y="0"/>
                      <a:ext cx="3503712" cy="1104587"/>
                    </a:xfrm>
                    <a:prstGeom prst="rect">
                      <a:avLst/>
                    </a:prstGeom>
                    <a:ln>
                      <a:solidFill>
                        <a:schemeClr val="accent1">
                          <a:lumMod val="50000"/>
                        </a:schemeClr>
                      </a:solidFill>
                      <a:prstDash val="sysDot"/>
                    </a:ln>
                  </pic:spPr>
                </pic:pic>
              </a:graphicData>
            </a:graphic>
          </wp:anchor>
        </w:drawing>
      </w:r>
    </w:p>
    <w:p w14:paraId="740F99FC" w14:textId="15933E87" w:rsidR="00F270B6" w:rsidRPr="00A33F69" w:rsidRDefault="00F270B6" w:rsidP="0004118D">
      <w:pPr>
        <w:pStyle w:val="SchemeCaption"/>
        <w:spacing w:before="360" w:after="120"/>
        <w:rPr>
          <w:rFonts w:ascii="Times New Roman" w:hAnsi="Times New Roman"/>
          <w:sz w:val="24"/>
          <w:szCs w:val="24"/>
        </w:rPr>
      </w:pPr>
    </w:p>
    <w:p w14:paraId="4CD27CC3" w14:textId="420915C3" w:rsidR="00F270B6" w:rsidRPr="00A33F69" w:rsidRDefault="00F270B6" w:rsidP="0004118D">
      <w:pPr>
        <w:pStyle w:val="SchemeCaption"/>
        <w:spacing w:before="360" w:after="120"/>
        <w:rPr>
          <w:rFonts w:ascii="Times New Roman" w:hAnsi="Times New Roman"/>
          <w:sz w:val="24"/>
          <w:szCs w:val="24"/>
        </w:rPr>
      </w:pPr>
    </w:p>
    <w:p w14:paraId="41D18352" w14:textId="6D97FB3F" w:rsidR="002A791B" w:rsidRPr="00A33F69" w:rsidRDefault="002A791B" w:rsidP="00D835A4">
      <w:pPr>
        <w:pStyle w:val="SchemeCaption"/>
        <w:spacing w:before="360" w:after="120"/>
        <w:rPr>
          <w:rFonts w:ascii="Times New Roman" w:hAnsi="Times New Roman"/>
          <w:sz w:val="24"/>
          <w:szCs w:val="24"/>
        </w:rPr>
      </w:pPr>
      <w:r w:rsidRPr="00A33F69">
        <w:rPr>
          <w:rFonts w:ascii="Times New Roman" w:eastAsia="HY신명조" w:hAnsi="Times New Roman"/>
          <w:noProof/>
          <w:sz w:val="24"/>
          <w:szCs w:val="24"/>
          <w:lang w:val="en-US" w:eastAsia="ko-KR"/>
        </w:rPr>
        <mc:AlternateContent>
          <mc:Choice Requires="wpg">
            <w:drawing>
              <wp:anchor distT="0" distB="0" distL="114300" distR="114300" simplePos="0" relativeHeight="251665408" behindDoc="0" locked="0" layoutInCell="1" allowOverlap="1" wp14:anchorId="2F5D4A68" wp14:editId="1D46F6E4">
                <wp:simplePos x="0" y="0"/>
                <wp:positionH relativeFrom="margin">
                  <wp:posOffset>23495</wp:posOffset>
                </wp:positionH>
                <wp:positionV relativeFrom="paragraph">
                  <wp:posOffset>350520</wp:posOffset>
                </wp:positionV>
                <wp:extent cx="5025390" cy="2496185"/>
                <wp:effectExtent l="19050" t="19050" r="22860" b="18415"/>
                <wp:wrapTopAndBottom/>
                <wp:docPr id="5" name="그룹 4"/>
                <wp:cNvGraphicFramePr/>
                <a:graphic xmlns:a="http://schemas.openxmlformats.org/drawingml/2006/main">
                  <a:graphicData uri="http://schemas.microsoft.com/office/word/2010/wordprocessingGroup">
                    <wpg:wgp>
                      <wpg:cNvGrpSpPr/>
                      <wpg:grpSpPr>
                        <a:xfrm>
                          <a:off x="0" y="0"/>
                          <a:ext cx="5025390" cy="2496185"/>
                          <a:chOff x="0" y="0"/>
                          <a:chExt cx="5025722" cy="2496239"/>
                        </a:xfrm>
                      </wpg:grpSpPr>
                      <pic:pic xmlns:pic="http://schemas.openxmlformats.org/drawingml/2006/picture">
                        <pic:nvPicPr>
                          <pic:cNvPr id="6" name="그림 6"/>
                          <pic:cNvPicPr>
                            <a:picLocks noChangeAspect="1"/>
                          </pic:cNvPicPr>
                        </pic:nvPicPr>
                        <pic:blipFill rotWithShape="1">
                          <a:blip r:embed="rId26"/>
                          <a:srcRect t="11664"/>
                          <a:stretch/>
                        </pic:blipFill>
                        <pic:spPr>
                          <a:xfrm>
                            <a:off x="0" y="0"/>
                            <a:ext cx="5025722" cy="2496239"/>
                          </a:xfrm>
                          <a:prstGeom prst="rect">
                            <a:avLst/>
                          </a:prstGeom>
                          <a:ln>
                            <a:solidFill>
                              <a:schemeClr val="accent1">
                                <a:lumMod val="50000"/>
                              </a:schemeClr>
                            </a:solidFill>
                            <a:prstDash val="sysDot"/>
                          </a:ln>
                        </pic:spPr>
                      </pic:pic>
                      <wps:wsp>
                        <wps:cNvPr id="7" name="직사각형 7"/>
                        <wps:cNvSpPr/>
                        <wps:spPr>
                          <a:xfrm>
                            <a:off x="3357165" y="1933714"/>
                            <a:ext cx="1344246"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직사각형 8"/>
                        <wps:cNvSpPr/>
                        <wps:spPr>
                          <a:xfrm>
                            <a:off x="2304528" y="1933714"/>
                            <a:ext cx="497585"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 name="직사각형 9"/>
                        <wps:cNvSpPr/>
                        <wps:spPr>
                          <a:xfrm>
                            <a:off x="2874862" y="1933714"/>
                            <a:ext cx="113528"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 name="직사각형 10"/>
                        <wps:cNvSpPr/>
                        <wps:spPr>
                          <a:xfrm>
                            <a:off x="3093166" y="1933714"/>
                            <a:ext cx="106615"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 name="직사각형 11"/>
                        <wps:cNvSpPr/>
                        <wps:spPr>
                          <a:xfrm>
                            <a:off x="3054719" y="2062577"/>
                            <a:ext cx="77849" cy="14471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 name="직사각형 12"/>
                        <wps:cNvSpPr/>
                        <wps:spPr>
                          <a:xfrm>
                            <a:off x="2941597" y="2062577"/>
                            <a:ext cx="77849" cy="1716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 name="직사각형 13"/>
                        <wps:cNvSpPr/>
                        <wps:spPr>
                          <a:xfrm>
                            <a:off x="3272868" y="1762029"/>
                            <a:ext cx="84297" cy="2429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25747C82" id="그룹 4" o:spid="_x0000_s1026" style="position:absolute;left:0;text-align:left;margin-left:1.85pt;margin-top:27.6pt;width:395.7pt;height:196.55pt;z-index:251665408;mso-position-horizontal-relative:margin" coordsize="50257,24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">
                <v:shape id="그림 6" o:spid="_x0000_s1027" type="#_x0000_t75" style="position:absolute;width:50257;height:24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" stroked="t" strokecolor="#1f3763 [1604]">
                  <v:stroke dashstyle="1 1"/>
                  <v:imagedata r:id="rId30" o:title="" croptop="7644f"/>
                  <v:path arrowok="t"/>
                </v:shape>
                <v:rect id="직사각형 7" o:spid="_x0000_s1028" style="position:absolute;left:33571;top:19337;width:1344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" fillcolor="white [3212]" strokecolor="white [3212]" strokeweight="1pt"/>
                <v:rect id="직사각형 8" o:spid="_x0000_s1029" style="position:absolute;left:23045;top:19337;width:4976;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" fillcolor="white [3212]" strokecolor="white [3212]" strokeweight="1pt"/>
                <v:rect id="직사각형 9" o:spid="_x0000_s1030" style="position:absolute;left:28748;top:19337;width:113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" fillcolor="white [3212]" strokecolor="white [3212]" strokeweight="1pt"/>
                <v:rect id="직사각형 10" o:spid="_x0000_s1031" style="position:absolute;left:30931;top:19337;width:1066;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" fillcolor="white [3212]" strokecolor="white [3212]" strokeweight="1pt"/>
                <v:rect id="직사각형 11" o:spid="_x0000_s1032" style="position:absolute;left:30547;top:20625;width:778;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" fillcolor="white [3212]" strokecolor="white [3212]" strokeweight="1pt"/>
                <v:rect id="직사각형 12" o:spid="_x0000_s1033" style="position:absolute;left:29415;top:20625;width:779;height:1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" fillcolor="white [3212]" strokecolor="white [3212]" strokeweight="1pt"/>
                <v:rect id="직사각형 13" o:spid="_x0000_s1034" style="position:absolute;left:32728;top:17620;width:843;height:2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" fillcolor="white [3212]" strokecolor="white [3212]" strokeweight="1pt"/>
                <w10:wrap type="topAndBottom" anchorx="margin"/>
              </v:group>
            </w:pict>
          </mc:Fallback>
        </mc:AlternateContent>
      </w:r>
    </w:p>
    <w:p w14:paraId="1E5ADE2B" w14:textId="467A4EF6" w:rsidR="002A791B" w:rsidRPr="00A33F69" w:rsidRDefault="002A791B" w:rsidP="00D835A4">
      <w:pPr>
        <w:pStyle w:val="SchemeCaption"/>
        <w:spacing w:before="360" w:after="120"/>
        <w:rPr>
          <w:rFonts w:ascii="Times New Roman" w:hAnsi="Times New Roman"/>
          <w:sz w:val="24"/>
          <w:szCs w:val="24"/>
        </w:rPr>
      </w:pPr>
    </w:p>
    <w:p w14:paraId="08139E80" w14:textId="31A05610" w:rsidR="00F270B6" w:rsidRPr="00A33F69" w:rsidRDefault="00F270B6" w:rsidP="00F270B6">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12</w:t>
      </w:r>
      <w:r w:rsidRPr="00A33F69">
        <w:rPr>
          <w:rFonts w:ascii="Times New Roman" w:hAnsi="Times New Roman"/>
          <w:b/>
          <w:sz w:val="20"/>
          <w:szCs w:val="24"/>
        </w:rPr>
        <w:t>.</w:t>
      </w:r>
      <w:r w:rsidRPr="00A33F69">
        <w:rPr>
          <w:rFonts w:ascii="Times New Roman" w:hAnsi="Times New Roman"/>
          <w:sz w:val="20"/>
          <w:szCs w:val="24"/>
        </w:rPr>
        <w:t xml:space="preserve"> </w:t>
      </w:r>
      <w:r w:rsidR="00D835A4" w:rsidRPr="00A33F69">
        <w:rPr>
          <w:rFonts w:ascii="Times New Roman" w:hAnsi="Times New Roman"/>
          <w:sz w:val="20"/>
          <w:szCs w:val="24"/>
          <w:vertAlign w:val="superscript"/>
        </w:rPr>
        <w:t>1</w:t>
      </w:r>
      <w:r w:rsidR="00D835A4" w:rsidRPr="00A33F69">
        <w:rPr>
          <w:rFonts w:ascii="Times New Roman" w:hAnsi="Times New Roman"/>
          <w:sz w:val="20"/>
          <w:szCs w:val="24"/>
        </w:rPr>
        <w:t xml:space="preserve">H NMR spectrum of compound </w:t>
      </w:r>
      <w:r w:rsidR="00D835A4" w:rsidRPr="00A33F69">
        <w:rPr>
          <w:rFonts w:ascii="Times New Roman" w:eastAsiaTheme="minorEastAsia" w:hAnsi="Times New Roman"/>
          <w:b/>
          <w:bCs/>
          <w:sz w:val="20"/>
          <w:szCs w:val="24"/>
          <w:lang w:eastAsia="ko-KR"/>
        </w:rPr>
        <w:t>M-</w:t>
      </w:r>
      <w:r w:rsidR="00D835A4" w:rsidRPr="00A33F69">
        <w:rPr>
          <w:rFonts w:ascii="Times New Roman" w:hAnsi="Times New Roman"/>
          <w:b/>
          <w:bCs/>
          <w:sz w:val="20"/>
          <w:szCs w:val="24"/>
        </w:rPr>
        <w:t>1</w:t>
      </w:r>
      <w:r w:rsidRPr="00A33F69">
        <w:rPr>
          <w:rFonts w:ascii="Times New Roman" w:hAnsi="Times New Roman"/>
          <w:sz w:val="20"/>
          <w:szCs w:val="24"/>
        </w:rPr>
        <w:t>.</w:t>
      </w:r>
    </w:p>
    <w:p w14:paraId="179F6278" w14:textId="704F3CFF" w:rsidR="00D835A4" w:rsidRPr="00A33F69" w:rsidRDefault="00D835A4" w:rsidP="00F270B6">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66432" behindDoc="0" locked="0" layoutInCell="1" allowOverlap="1" wp14:anchorId="2568D16A" wp14:editId="5BFEC943">
            <wp:simplePos x="0" y="0"/>
            <wp:positionH relativeFrom="margin">
              <wp:align>left</wp:align>
            </wp:positionH>
            <wp:positionV relativeFrom="paragraph">
              <wp:posOffset>155575</wp:posOffset>
            </wp:positionV>
            <wp:extent cx="4494027" cy="3134298"/>
            <wp:effectExtent l="0" t="0" r="0" b="0"/>
            <wp:wrapNone/>
            <wp:docPr id="91" name="그림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4027" cy="3134298"/>
                    </a:xfrm>
                    <a:prstGeom prst="rect">
                      <a:avLst/>
                    </a:prstGeom>
                    <a:noFill/>
                    <a:ln>
                      <a:noFill/>
                    </a:ln>
                  </pic:spPr>
                </pic:pic>
              </a:graphicData>
            </a:graphic>
          </wp:anchor>
        </w:drawing>
      </w:r>
    </w:p>
    <w:p w14:paraId="5B5EEA2C" w14:textId="30B6C752" w:rsidR="00D835A4" w:rsidRPr="00A33F69" w:rsidRDefault="00D835A4" w:rsidP="00F270B6">
      <w:pPr>
        <w:pStyle w:val="SchemeCaption"/>
        <w:spacing w:before="360" w:after="120"/>
        <w:rPr>
          <w:rFonts w:ascii="Times New Roman" w:hAnsi="Times New Roman"/>
          <w:sz w:val="24"/>
          <w:szCs w:val="24"/>
        </w:rPr>
      </w:pPr>
    </w:p>
    <w:p w14:paraId="3B7AE99E" w14:textId="4D38BC54" w:rsidR="00D835A4" w:rsidRPr="00A33F69" w:rsidRDefault="00D835A4" w:rsidP="00F270B6">
      <w:pPr>
        <w:pStyle w:val="SchemeCaption"/>
        <w:spacing w:before="360" w:after="120"/>
        <w:rPr>
          <w:rFonts w:ascii="Times New Roman" w:hAnsi="Times New Roman"/>
          <w:sz w:val="24"/>
          <w:szCs w:val="24"/>
        </w:rPr>
      </w:pPr>
    </w:p>
    <w:p w14:paraId="29A08C37" w14:textId="085451C7" w:rsidR="00D835A4" w:rsidRPr="00A33F69" w:rsidRDefault="00D835A4" w:rsidP="00F270B6">
      <w:pPr>
        <w:pStyle w:val="SchemeCaption"/>
        <w:spacing w:before="360" w:after="120"/>
        <w:rPr>
          <w:rFonts w:ascii="Times New Roman" w:hAnsi="Times New Roman"/>
          <w:sz w:val="24"/>
          <w:szCs w:val="24"/>
        </w:rPr>
      </w:pPr>
    </w:p>
    <w:p w14:paraId="3D1F972B" w14:textId="1E069D44" w:rsidR="00D835A4" w:rsidRPr="00A33F69" w:rsidRDefault="00D835A4" w:rsidP="00F270B6">
      <w:pPr>
        <w:pStyle w:val="SchemeCaption"/>
        <w:spacing w:before="360" w:after="120"/>
        <w:rPr>
          <w:rFonts w:ascii="Times New Roman" w:hAnsi="Times New Roman"/>
          <w:sz w:val="24"/>
          <w:szCs w:val="24"/>
        </w:rPr>
      </w:pPr>
    </w:p>
    <w:p w14:paraId="4C482DD8" w14:textId="2AE3F0C8" w:rsidR="00F270B6" w:rsidRPr="00A33F69" w:rsidRDefault="00F270B6" w:rsidP="0004118D">
      <w:pPr>
        <w:pStyle w:val="SchemeCaption"/>
        <w:spacing w:before="360" w:after="120"/>
        <w:rPr>
          <w:rFonts w:ascii="Times New Roman" w:hAnsi="Times New Roman"/>
          <w:sz w:val="24"/>
          <w:szCs w:val="24"/>
        </w:rPr>
      </w:pPr>
    </w:p>
    <w:p w14:paraId="05990319" w14:textId="6EA72C55" w:rsidR="00D835A4" w:rsidRPr="00A33F69" w:rsidRDefault="00D835A4" w:rsidP="0004118D">
      <w:pPr>
        <w:pStyle w:val="SchemeCaption"/>
        <w:spacing w:before="360" w:after="120"/>
        <w:rPr>
          <w:rFonts w:ascii="Times New Roman" w:hAnsi="Times New Roman"/>
          <w:sz w:val="24"/>
          <w:szCs w:val="24"/>
        </w:rPr>
      </w:pPr>
    </w:p>
    <w:p w14:paraId="1E5C9FD5" w14:textId="626C7808" w:rsidR="00D835A4" w:rsidRPr="00A33F69" w:rsidRDefault="00D835A4" w:rsidP="0004118D">
      <w:pPr>
        <w:pStyle w:val="SchemeCaption"/>
        <w:spacing w:before="360" w:after="120"/>
        <w:rPr>
          <w:rFonts w:ascii="Times New Roman" w:hAnsi="Times New Roman"/>
          <w:sz w:val="24"/>
          <w:szCs w:val="24"/>
        </w:rPr>
      </w:pPr>
    </w:p>
    <w:p w14:paraId="7645B9F2" w14:textId="6BFB8075" w:rsidR="00D835A4" w:rsidRPr="00A33F69" w:rsidRDefault="00D835A4" w:rsidP="0004118D">
      <w:pPr>
        <w:pStyle w:val="SchemeCaption"/>
        <w:spacing w:before="360" w:after="120"/>
        <w:rPr>
          <w:rFonts w:ascii="Times New Roman" w:hAnsi="Times New Roman"/>
          <w:sz w:val="24"/>
          <w:szCs w:val="24"/>
        </w:rPr>
      </w:pPr>
    </w:p>
    <w:p w14:paraId="2A7BF8F9" w14:textId="710B34A8" w:rsidR="00D835A4" w:rsidRPr="00A33F69" w:rsidRDefault="00D835A4" w:rsidP="0004118D">
      <w:pPr>
        <w:pStyle w:val="SchemeCaption"/>
        <w:spacing w:before="360" w:after="120"/>
        <w:rPr>
          <w:rFonts w:ascii="Times New Roman" w:hAnsi="Times New Roman"/>
          <w:sz w:val="24"/>
          <w:szCs w:val="24"/>
        </w:rPr>
      </w:pPr>
    </w:p>
    <w:p w14:paraId="12773253" w14:textId="77777777" w:rsidR="002A791B" w:rsidRPr="00A33F69" w:rsidRDefault="002A791B">
      <w:pPr>
        <w:rPr>
          <w:b/>
          <w:lang w:val="en-GB"/>
        </w:rPr>
      </w:pPr>
      <w:r w:rsidRPr="00A33F69">
        <w:rPr>
          <w:b/>
        </w:rPr>
        <w:br w:type="page"/>
      </w:r>
    </w:p>
    <w:p w14:paraId="537BE242" w14:textId="77777777" w:rsidR="003829F2" w:rsidRPr="00A33F69" w:rsidRDefault="003829F2" w:rsidP="00D835A4">
      <w:pPr>
        <w:pStyle w:val="SchemeCaption"/>
        <w:spacing w:before="360" w:after="120"/>
        <w:rPr>
          <w:rFonts w:ascii="Times New Roman" w:hAnsi="Times New Roman"/>
          <w:b/>
          <w:sz w:val="24"/>
          <w:szCs w:val="24"/>
        </w:rPr>
      </w:pPr>
    </w:p>
    <w:p w14:paraId="74426E71" w14:textId="5EE64051" w:rsidR="00D835A4" w:rsidRPr="00A33F69" w:rsidRDefault="00D835A4" w:rsidP="00D835A4">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13</w:t>
      </w:r>
      <w:r w:rsidRPr="00A33F69">
        <w:rPr>
          <w:rFonts w:ascii="Times New Roman" w:hAnsi="Times New Roman"/>
          <w:b/>
          <w:sz w:val="20"/>
          <w:szCs w:val="24"/>
        </w:rPr>
        <w:t>.</w:t>
      </w:r>
      <w:r w:rsidRPr="00A33F69">
        <w:rPr>
          <w:rFonts w:ascii="Times New Roman" w:hAnsi="Times New Roman"/>
          <w:sz w:val="20"/>
          <w:szCs w:val="24"/>
        </w:rPr>
        <w:t xml:space="preserve"> </w:t>
      </w:r>
      <w:r w:rsidR="000A0B22" w:rsidRPr="00A33F69">
        <w:rPr>
          <w:rFonts w:ascii="Times New Roman" w:hAnsi="Times New Roman"/>
          <w:sz w:val="20"/>
          <w:szCs w:val="24"/>
        </w:rPr>
        <w:t xml:space="preserve">HSQC spectrum </w:t>
      </w:r>
      <w:r w:rsidRPr="00A33F69">
        <w:rPr>
          <w:rFonts w:ascii="Times New Roman" w:hAnsi="Times New Roman"/>
          <w:sz w:val="20"/>
          <w:szCs w:val="24"/>
        </w:rPr>
        <w:t xml:space="preserve">of compound </w:t>
      </w:r>
      <w:r w:rsidRPr="00A33F69">
        <w:rPr>
          <w:rFonts w:ascii="Times New Roman" w:eastAsiaTheme="minorEastAsia" w:hAnsi="Times New Roman"/>
          <w:b/>
          <w:bCs/>
          <w:sz w:val="20"/>
          <w:szCs w:val="24"/>
          <w:lang w:eastAsia="ko-KR"/>
        </w:rPr>
        <w:t>M-</w:t>
      </w:r>
      <w:r w:rsidRPr="00A33F69">
        <w:rPr>
          <w:rFonts w:ascii="Times New Roman" w:hAnsi="Times New Roman"/>
          <w:b/>
          <w:bCs/>
          <w:sz w:val="20"/>
          <w:szCs w:val="24"/>
        </w:rPr>
        <w:t>1</w:t>
      </w:r>
      <w:r w:rsidRPr="00A33F69">
        <w:rPr>
          <w:rFonts w:ascii="Times New Roman" w:hAnsi="Times New Roman"/>
          <w:sz w:val="20"/>
          <w:szCs w:val="24"/>
        </w:rPr>
        <w:t>.</w:t>
      </w:r>
    </w:p>
    <w:p w14:paraId="55F006D1" w14:textId="7EF4BBD0" w:rsidR="00D835A4" w:rsidRPr="00A33F69" w:rsidRDefault="00E43AC4" w:rsidP="0004118D">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67456" behindDoc="0" locked="0" layoutInCell="1" allowOverlap="1" wp14:anchorId="77F37831" wp14:editId="0DD612E7">
            <wp:simplePos x="0" y="0"/>
            <wp:positionH relativeFrom="margin">
              <wp:align>left</wp:align>
            </wp:positionH>
            <wp:positionV relativeFrom="paragraph">
              <wp:posOffset>261620</wp:posOffset>
            </wp:positionV>
            <wp:extent cx="4908550" cy="3423285"/>
            <wp:effectExtent l="0" t="0" r="0" b="0"/>
            <wp:wrapNone/>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08550" cy="3423285"/>
                    </a:xfrm>
                    <a:prstGeom prst="rect">
                      <a:avLst/>
                    </a:prstGeom>
                    <a:noFill/>
                    <a:ln>
                      <a:noFill/>
                    </a:ln>
                  </pic:spPr>
                </pic:pic>
              </a:graphicData>
            </a:graphic>
          </wp:anchor>
        </w:drawing>
      </w:r>
    </w:p>
    <w:p w14:paraId="0046CF8F" w14:textId="77777777" w:rsidR="000A0B22" w:rsidRPr="00A33F69" w:rsidRDefault="000A0B22" w:rsidP="0004118D">
      <w:pPr>
        <w:pStyle w:val="SchemeCaption"/>
        <w:spacing w:before="360" w:after="120"/>
        <w:rPr>
          <w:rFonts w:ascii="Times New Roman" w:hAnsi="Times New Roman"/>
          <w:sz w:val="20"/>
          <w:szCs w:val="24"/>
        </w:rPr>
      </w:pPr>
    </w:p>
    <w:p w14:paraId="73A72FDE" w14:textId="77777777" w:rsidR="000A0B22" w:rsidRPr="00A33F69" w:rsidRDefault="000A0B22" w:rsidP="0004118D">
      <w:pPr>
        <w:pStyle w:val="SchemeCaption"/>
        <w:spacing w:before="360" w:after="120"/>
        <w:rPr>
          <w:rFonts w:ascii="Times New Roman" w:hAnsi="Times New Roman"/>
          <w:sz w:val="20"/>
          <w:szCs w:val="24"/>
        </w:rPr>
      </w:pPr>
    </w:p>
    <w:p w14:paraId="24AF47AB" w14:textId="77777777" w:rsidR="000A0B22" w:rsidRPr="00A33F69" w:rsidRDefault="000A0B22" w:rsidP="0004118D">
      <w:pPr>
        <w:pStyle w:val="SchemeCaption"/>
        <w:spacing w:before="360" w:after="120"/>
        <w:rPr>
          <w:rFonts w:ascii="Times New Roman" w:hAnsi="Times New Roman"/>
          <w:sz w:val="20"/>
          <w:szCs w:val="24"/>
        </w:rPr>
      </w:pPr>
    </w:p>
    <w:p w14:paraId="58710DF9" w14:textId="77777777" w:rsidR="000A0B22" w:rsidRPr="00A33F69" w:rsidRDefault="000A0B22" w:rsidP="0004118D">
      <w:pPr>
        <w:pStyle w:val="SchemeCaption"/>
        <w:spacing w:before="360" w:after="120"/>
        <w:rPr>
          <w:rFonts w:ascii="Times New Roman" w:hAnsi="Times New Roman"/>
          <w:sz w:val="20"/>
          <w:szCs w:val="24"/>
        </w:rPr>
      </w:pPr>
    </w:p>
    <w:p w14:paraId="0CAF80D5" w14:textId="77777777" w:rsidR="000A0B22" w:rsidRPr="00A33F69" w:rsidRDefault="000A0B22" w:rsidP="0004118D">
      <w:pPr>
        <w:pStyle w:val="SchemeCaption"/>
        <w:spacing w:before="360" w:after="120"/>
        <w:rPr>
          <w:rFonts w:ascii="Times New Roman" w:hAnsi="Times New Roman"/>
          <w:sz w:val="20"/>
          <w:szCs w:val="24"/>
        </w:rPr>
      </w:pPr>
    </w:p>
    <w:p w14:paraId="20875037" w14:textId="77777777" w:rsidR="000A0B22" w:rsidRPr="00A33F69" w:rsidRDefault="000A0B22" w:rsidP="0004118D">
      <w:pPr>
        <w:pStyle w:val="SchemeCaption"/>
        <w:spacing w:before="360" w:after="120"/>
        <w:rPr>
          <w:rFonts w:ascii="Times New Roman" w:hAnsi="Times New Roman"/>
          <w:sz w:val="20"/>
          <w:szCs w:val="24"/>
        </w:rPr>
      </w:pPr>
    </w:p>
    <w:p w14:paraId="325702EE" w14:textId="77777777" w:rsidR="000A0B22" w:rsidRPr="00A33F69" w:rsidRDefault="000A0B22" w:rsidP="0004118D">
      <w:pPr>
        <w:pStyle w:val="SchemeCaption"/>
        <w:spacing w:before="360" w:after="120"/>
        <w:rPr>
          <w:rFonts w:ascii="Times New Roman" w:hAnsi="Times New Roman"/>
          <w:sz w:val="20"/>
          <w:szCs w:val="24"/>
        </w:rPr>
      </w:pPr>
    </w:p>
    <w:p w14:paraId="6DBF53CE" w14:textId="77777777" w:rsidR="000A0B22" w:rsidRPr="00A33F69" w:rsidRDefault="000A0B22" w:rsidP="0004118D">
      <w:pPr>
        <w:pStyle w:val="SchemeCaption"/>
        <w:spacing w:before="360" w:after="120"/>
        <w:rPr>
          <w:rFonts w:ascii="Times New Roman" w:hAnsi="Times New Roman"/>
          <w:sz w:val="20"/>
          <w:szCs w:val="24"/>
        </w:rPr>
      </w:pPr>
    </w:p>
    <w:p w14:paraId="51A0CD1B" w14:textId="77777777" w:rsidR="000A0B22" w:rsidRPr="00A33F69" w:rsidRDefault="000A0B22" w:rsidP="0004118D">
      <w:pPr>
        <w:pStyle w:val="SchemeCaption"/>
        <w:spacing w:before="360" w:after="120"/>
        <w:rPr>
          <w:rFonts w:ascii="Times New Roman" w:hAnsi="Times New Roman"/>
          <w:sz w:val="20"/>
          <w:szCs w:val="24"/>
        </w:rPr>
      </w:pPr>
    </w:p>
    <w:p w14:paraId="2858E639" w14:textId="0261D9FF" w:rsidR="000A0B22" w:rsidRPr="00A33F69" w:rsidRDefault="000A0B22" w:rsidP="0004118D">
      <w:pPr>
        <w:pStyle w:val="SchemeCaption"/>
        <w:spacing w:before="360" w:after="120"/>
        <w:rPr>
          <w:rFonts w:ascii="Times New Roman" w:hAnsi="Times New Roman"/>
          <w:sz w:val="20"/>
          <w:szCs w:val="24"/>
        </w:rPr>
      </w:pPr>
    </w:p>
    <w:p w14:paraId="48432CAF" w14:textId="723B6276" w:rsidR="000A0B22" w:rsidRPr="00A33F69" w:rsidRDefault="000A0B22" w:rsidP="000A0B22">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14</w:t>
      </w:r>
      <w:r w:rsidRPr="00A33F69">
        <w:rPr>
          <w:rFonts w:ascii="Times New Roman" w:hAnsi="Times New Roman"/>
          <w:b/>
          <w:sz w:val="20"/>
          <w:szCs w:val="24"/>
        </w:rPr>
        <w:t>.</w:t>
      </w:r>
      <w:r w:rsidRPr="00A33F69">
        <w:rPr>
          <w:rFonts w:ascii="Times New Roman" w:hAnsi="Times New Roman"/>
          <w:sz w:val="20"/>
          <w:szCs w:val="24"/>
        </w:rPr>
        <w:t xml:space="preserve"> </w:t>
      </w:r>
      <w:r w:rsidRPr="00A33F69">
        <w:rPr>
          <w:rFonts w:ascii="Times New Roman" w:hAnsi="Times New Roman"/>
          <w:sz w:val="20"/>
          <w:szCs w:val="24"/>
          <w:vertAlign w:val="superscript"/>
          <w:lang w:val="en-US"/>
        </w:rPr>
        <w:t>1</w:t>
      </w:r>
      <w:r w:rsidRPr="00A33F69">
        <w:rPr>
          <w:rFonts w:ascii="Times New Roman" w:hAnsi="Times New Roman"/>
          <w:sz w:val="20"/>
          <w:szCs w:val="24"/>
          <w:lang w:val="en-US"/>
        </w:rPr>
        <w:t>H</w:t>
      </w:r>
      <w:r w:rsidRPr="00A33F69">
        <w:rPr>
          <w:rFonts w:ascii="Times New Roman" w:hAnsi="Times New Roman"/>
          <w:bCs/>
          <w:sz w:val="20"/>
          <w:szCs w:val="24"/>
          <w:lang w:val="en-US"/>
        </w:rPr>
        <w:t>−</w:t>
      </w:r>
      <w:r w:rsidRPr="00A33F69">
        <w:rPr>
          <w:rFonts w:ascii="Times New Roman" w:hAnsi="Times New Roman"/>
          <w:sz w:val="20"/>
          <w:szCs w:val="24"/>
          <w:vertAlign w:val="superscript"/>
          <w:lang w:val="en-US"/>
        </w:rPr>
        <w:t>1</w:t>
      </w:r>
      <w:r w:rsidRPr="00A33F69">
        <w:rPr>
          <w:rFonts w:ascii="Times New Roman" w:hAnsi="Times New Roman"/>
          <w:sz w:val="20"/>
          <w:szCs w:val="24"/>
          <w:lang w:val="en-US"/>
        </w:rPr>
        <w:t xml:space="preserve">H COSY spectrum </w:t>
      </w:r>
      <w:r w:rsidRPr="00A33F69">
        <w:rPr>
          <w:rFonts w:ascii="Times New Roman" w:hAnsi="Times New Roman"/>
          <w:sz w:val="20"/>
          <w:szCs w:val="24"/>
        </w:rPr>
        <w:t xml:space="preserve">of compound </w:t>
      </w:r>
      <w:r w:rsidRPr="00A33F69">
        <w:rPr>
          <w:rFonts w:ascii="Times New Roman" w:eastAsiaTheme="minorEastAsia" w:hAnsi="Times New Roman"/>
          <w:b/>
          <w:bCs/>
          <w:sz w:val="20"/>
          <w:szCs w:val="24"/>
          <w:lang w:eastAsia="ko-KR"/>
        </w:rPr>
        <w:t>M-</w:t>
      </w:r>
      <w:r w:rsidRPr="00A33F69">
        <w:rPr>
          <w:rFonts w:ascii="Times New Roman" w:hAnsi="Times New Roman"/>
          <w:b/>
          <w:bCs/>
          <w:sz w:val="20"/>
          <w:szCs w:val="24"/>
        </w:rPr>
        <w:t>1</w:t>
      </w:r>
      <w:r w:rsidRPr="00A33F69">
        <w:rPr>
          <w:rFonts w:ascii="Times New Roman" w:hAnsi="Times New Roman"/>
          <w:sz w:val="20"/>
          <w:szCs w:val="24"/>
        </w:rPr>
        <w:t>.</w:t>
      </w:r>
    </w:p>
    <w:p w14:paraId="036EAF2E" w14:textId="20E96911" w:rsidR="000A0B22" w:rsidRPr="00A33F69" w:rsidRDefault="000A0B22" w:rsidP="0004118D">
      <w:pPr>
        <w:pStyle w:val="SchemeCaption"/>
        <w:spacing w:before="360" w:after="120"/>
        <w:rPr>
          <w:rFonts w:ascii="Times New Roman" w:hAnsi="Times New Roman"/>
          <w:sz w:val="20"/>
          <w:szCs w:val="24"/>
        </w:rPr>
      </w:pPr>
    </w:p>
    <w:p w14:paraId="35706600" w14:textId="3405EA03" w:rsidR="000A0B22" w:rsidRPr="00A33F69" w:rsidRDefault="000A0B22" w:rsidP="0004118D">
      <w:pPr>
        <w:pStyle w:val="SchemeCaption"/>
        <w:spacing w:before="360" w:after="120"/>
        <w:rPr>
          <w:rFonts w:ascii="Times New Roman" w:hAnsi="Times New Roman"/>
          <w:sz w:val="20"/>
          <w:szCs w:val="24"/>
        </w:rPr>
      </w:pPr>
    </w:p>
    <w:p w14:paraId="6FC20674" w14:textId="77777777" w:rsidR="000A0B22" w:rsidRPr="00A33F69" w:rsidRDefault="000A0B22" w:rsidP="0004118D">
      <w:pPr>
        <w:pStyle w:val="SchemeCaption"/>
        <w:spacing w:before="360" w:after="120"/>
        <w:rPr>
          <w:rFonts w:ascii="Times New Roman" w:hAnsi="Times New Roman"/>
          <w:sz w:val="20"/>
          <w:szCs w:val="24"/>
        </w:rPr>
      </w:pPr>
    </w:p>
    <w:p w14:paraId="6D71C8CA" w14:textId="77777777" w:rsidR="000A0B22" w:rsidRPr="00A33F69" w:rsidRDefault="000A0B22" w:rsidP="0004118D">
      <w:pPr>
        <w:pStyle w:val="SchemeCaption"/>
        <w:spacing w:before="360" w:after="120"/>
        <w:rPr>
          <w:rFonts w:ascii="Times New Roman" w:hAnsi="Times New Roman"/>
          <w:sz w:val="20"/>
          <w:szCs w:val="24"/>
        </w:rPr>
      </w:pPr>
    </w:p>
    <w:p w14:paraId="0896C491" w14:textId="77777777" w:rsidR="000A0B22" w:rsidRPr="00A33F69" w:rsidRDefault="000A0B22" w:rsidP="0004118D">
      <w:pPr>
        <w:pStyle w:val="SchemeCaption"/>
        <w:spacing w:before="360" w:after="120"/>
        <w:rPr>
          <w:rFonts w:ascii="Times New Roman" w:hAnsi="Times New Roman"/>
          <w:sz w:val="20"/>
          <w:szCs w:val="24"/>
        </w:rPr>
      </w:pPr>
    </w:p>
    <w:p w14:paraId="5C332162" w14:textId="77777777" w:rsidR="000A0B22" w:rsidRPr="00A33F69" w:rsidRDefault="000A0B22" w:rsidP="0004118D">
      <w:pPr>
        <w:pStyle w:val="SchemeCaption"/>
        <w:spacing w:before="360" w:after="120"/>
        <w:rPr>
          <w:rFonts w:ascii="Times New Roman" w:hAnsi="Times New Roman"/>
          <w:sz w:val="20"/>
          <w:szCs w:val="24"/>
        </w:rPr>
      </w:pPr>
    </w:p>
    <w:p w14:paraId="4CA8D237" w14:textId="77777777" w:rsidR="000A0B22" w:rsidRPr="00A33F69" w:rsidRDefault="000A0B22" w:rsidP="0004118D">
      <w:pPr>
        <w:pStyle w:val="SchemeCaption"/>
        <w:spacing w:before="360" w:after="120"/>
        <w:rPr>
          <w:rFonts w:ascii="Times New Roman" w:hAnsi="Times New Roman"/>
          <w:sz w:val="20"/>
          <w:szCs w:val="24"/>
        </w:rPr>
      </w:pPr>
    </w:p>
    <w:p w14:paraId="1432AE56" w14:textId="77777777" w:rsidR="000A0B22" w:rsidRPr="00A33F69" w:rsidRDefault="000A0B22" w:rsidP="0004118D">
      <w:pPr>
        <w:pStyle w:val="SchemeCaption"/>
        <w:spacing w:before="360" w:after="120"/>
        <w:rPr>
          <w:rFonts w:ascii="Times New Roman" w:hAnsi="Times New Roman"/>
          <w:sz w:val="20"/>
          <w:szCs w:val="24"/>
        </w:rPr>
      </w:pPr>
    </w:p>
    <w:p w14:paraId="589C5925" w14:textId="77777777" w:rsidR="000A0B22" w:rsidRPr="00A33F69" w:rsidRDefault="000A0B22" w:rsidP="0004118D">
      <w:pPr>
        <w:pStyle w:val="SchemeCaption"/>
        <w:spacing w:before="360" w:after="120"/>
        <w:rPr>
          <w:rFonts w:ascii="Times New Roman" w:hAnsi="Times New Roman"/>
          <w:sz w:val="20"/>
          <w:szCs w:val="24"/>
        </w:rPr>
      </w:pPr>
    </w:p>
    <w:p w14:paraId="1277B6A0" w14:textId="77777777" w:rsidR="000A0B22" w:rsidRPr="00A33F69" w:rsidRDefault="000A0B22" w:rsidP="0004118D">
      <w:pPr>
        <w:pStyle w:val="SchemeCaption"/>
        <w:spacing w:before="360" w:after="120"/>
        <w:rPr>
          <w:rFonts w:ascii="Times New Roman" w:hAnsi="Times New Roman"/>
          <w:sz w:val="20"/>
          <w:szCs w:val="24"/>
        </w:rPr>
      </w:pPr>
    </w:p>
    <w:p w14:paraId="61EF5106" w14:textId="0114B531" w:rsidR="000A0B22" w:rsidRPr="00A33F69" w:rsidRDefault="000A0B22" w:rsidP="0004118D">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68480" behindDoc="0" locked="0" layoutInCell="1" allowOverlap="1" wp14:anchorId="35AB947E" wp14:editId="10209058">
            <wp:simplePos x="0" y="0"/>
            <wp:positionH relativeFrom="column">
              <wp:posOffset>-1358</wp:posOffset>
            </wp:positionH>
            <wp:positionV relativeFrom="paragraph">
              <wp:posOffset>-3136523</wp:posOffset>
            </wp:positionV>
            <wp:extent cx="4849495" cy="3382215"/>
            <wp:effectExtent l="0" t="0" r="0" b="0"/>
            <wp:wrapNone/>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49495" cy="3382215"/>
                    </a:xfrm>
                    <a:prstGeom prst="rect">
                      <a:avLst/>
                    </a:prstGeom>
                    <a:noFill/>
                    <a:ln>
                      <a:noFill/>
                    </a:ln>
                  </pic:spPr>
                </pic:pic>
              </a:graphicData>
            </a:graphic>
          </wp:anchor>
        </w:drawing>
      </w:r>
    </w:p>
    <w:p w14:paraId="5DD3D55A" w14:textId="3FF9E9FD" w:rsidR="000A0B22" w:rsidRPr="00A33F69" w:rsidRDefault="000A0B22">
      <w:pPr>
        <w:rPr>
          <w:sz w:val="20"/>
          <w:lang w:val="en-US"/>
        </w:rPr>
      </w:pPr>
      <w:r w:rsidRPr="00A33F69">
        <w:rPr>
          <w:sz w:val="20"/>
        </w:rPr>
        <w:br w:type="page"/>
      </w:r>
    </w:p>
    <w:p w14:paraId="54C34E2F" w14:textId="77777777" w:rsidR="003829F2" w:rsidRPr="00A33F69" w:rsidRDefault="003829F2" w:rsidP="000A0B22">
      <w:pPr>
        <w:pStyle w:val="SchemeCaption"/>
        <w:spacing w:before="360" w:after="120"/>
        <w:rPr>
          <w:rFonts w:ascii="Times New Roman" w:hAnsi="Times New Roman"/>
          <w:b/>
          <w:sz w:val="20"/>
          <w:szCs w:val="24"/>
          <w:lang w:val="en-US"/>
        </w:rPr>
      </w:pPr>
    </w:p>
    <w:p w14:paraId="48075FCC" w14:textId="32DA542B" w:rsidR="000A0B22" w:rsidRPr="00A33F69" w:rsidRDefault="000A0B22" w:rsidP="000A0B22">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15</w:t>
      </w:r>
      <w:r w:rsidRPr="00A33F69">
        <w:rPr>
          <w:rFonts w:ascii="Times New Roman" w:hAnsi="Times New Roman"/>
          <w:b/>
          <w:sz w:val="20"/>
          <w:szCs w:val="24"/>
        </w:rPr>
        <w:t>.</w:t>
      </w:r>
      <w:r w:rsidRPr="00A33F69">
        <w:rPr>
          <w:rFonts w:ascii="Times New Roman" w:hAnsi="Times New Roman"/>
          <w:sz w:val="20"/>
          <w:szCs w:val="24"/>
        </w:rPr>
        <w:t xml:space="preserve"> HMBC spectrum of compound </w:t>
      </w:r>
      <w:r w:rsidRPr="00A33F69">
        <w:rPr>
          <w:rFonts w:ascii="Times New Roman" w:eastAsiaTheme="minorEastAsia" w:hAnsi="Times New Roman"/>
          <w:b/>
          <w:bCs/>
          <w:sz w:val="20"/>
          <w:szCs w:val="24"/>
          <w:lang w:eastAsia="ko-KR"/>
        </w:rPr>
        <w:t>M-</w:t>
      </w:r>
      <w:r w:rsidRPr="00A33F69">
        <w:rPr>
          <w:rFonts w:ascii="Times New Roman" w:hAnsi="Times New Roman"/>
          <w:b/>
          <w:bCs/>
          <w:sz w:val="20"/>
          <w:szCs w:val="24"/>
        </w:rPr>
        <w:t>1</w:t>
      </w:r>
      <w:r w:rsidRPr="00A33F69">
        <w:rPr>
          <w:rFonts w:ascii="Times New Roman" w:hAnsi="Times New Roman"/>
          <w:sz w:val="20"/>
          <w:szCs w:val="24"/>
        </w:rPr>
        <w:t>.</w:t>
      </w:r>
    </w:p>
    <w:p w14:paraId="4DDC70E6" w14:textId="77777777" w:rsidR="000A0B22" w:rsidRPr="00A33F69" w:rsidRDefault="000A0B22" w:rsidP="000A0B22">
      <w:pPr>
        <w:pStyle w:val="SchemeCaption"/>
        <w:spacing w:before="360" w:after="120"/>
        <w:rPr>
          <w:rFonts w:ascii="Times New Roman" w:hAnsi="Times New Roman"/>
          <w:sz w:val="20"/>
          <w:szCs w:val="24"/>
        </w:rPr>
      </w:pPr>
    </w:p>
    <w:p w14:paraId="1CE3F8A1" w14:textId="77777777" w:rsidR="000A0B22" w:rsidRPr="00A33F69" w:rsidRDefault="000A0B22" w:rsidP="000A0B22">
      <w:pPr>
        <w:pStyle w:val="SchemeCaption"/>
        <w:spacing w:before="360" w:after="120"/>
        <w:rPr>
          <w:rFonts w:ascii="Times New Roman" w:hAnsi="Times New Roman"/>
          <w:sz w:val="20"/>
          <w:szCs w:val="24"/>
        </w:rPr>
      </w:pPr>
    </w:p>
    <w:p w14:paraId="70C6007E" w14:textId="454BF63C" w:rsidR="000A0B22" w:rsidRPr="00A33F69" w:rsidRDefault="000A0B22" w:rsidP="000A0B22">
      <w:pPr>
        <w:pStyle w:val="SchemeCaption"/>
        <w:spacing w:before="360" w:after="120"/>
        <w:rPr>
          <w:rFonts w:ascii="Times New Roman" w:hAnsi="Times New Roman"/>
          <w:sz w:val="20"/>
          <w:szCs w:val="24"/>
        </w:rPr>
      </w:pPr>
    </w:p>
    <w:p w14:paraId="770DD0F7" w14:textId="77777777" w:rsidR="000A0B22" w:rsidRPr="00A33F69" w:rsidRDefault="000A0B22" w:rsidP="000A0B22">
      <w:pPr>
        <w:pStyle w:val="SchemeCaption"/>
        <w:spacing w:before="360" w:after="120"/>
        <w:rPr>
          <w:rFonts w:ascii="Times New Roman" w:hAnsi="Times New Roman"/>
          <w:sz w:val="20"/>
          <w:szCs w:val="24"/>
        </w:rPr>
      </w:pPr>
    </w:p>
    <w:p w14:paraId="681682D9" w14:textId="77777777" w:rsidR="000A0B22" w:rsidRPr="00A33F69" w:rsidRDefault="000A0B22" w:rsidP="000A0B22">
      <w:pPr>
        <w:pStyle w:val="SchemeCaption"/>
        <w:spacing w:before="360" w:after="120"/>
        <w:rPr>
          <w:rFonts w:ascii="Times New Roman" w:hAnsi="Times New Roman"/>
          <w:sz w:val="20"/>
          <w:szCs w:val="24"/>
        </w:rPr>
      </w:pPr>
    </w:p>
    <w:p w14:paraId="42A6A70F" w14:textId="77777777" w:rsidR="000A0B22" w:rsidRPr="00A33F69" w:rsidRDefault="000A0B22" w:rsidP="000A0B22">
      <w:pPr>
        <w:pStyle w:val="SchemeCaption"/>
        <w:spacing w:before="360" w:after="120"/>
        <w:rPr>
          <w:rFonts w:ascii="Times New Roman" w:hAnsi="Times New Roman"/>
          <w:sz w:val="20"/>
          <w:szCs w:val="24"/>
        </w:rPr>
      </w:pPr>
    </w:p>
    <w:p w14:paraId="0E63B754" w14:textId="77777777" w:rsidR="000A0B22" w:rsidRPr="00A33F69" w:rsidRDefault="000A0B22" w:rsidP="000A0B22">
      <w:pPr>
        <w:pStyle w:val="SchemeCaption"/>
        <w:spacing w:before="360" w:after="120"/>
        <w:rPr>
          <w:rFonts w:ascii="Times New Roman" w:hAnsi="Times New Roman"/>
          <w:sz w:val="20"/>
          <w:szCs w:val="24"/>
        </w:rPr>
      </w:pPr>
    </w:p>
    <w:p w14:paraId="227CD2EE" w14:textId="45178B12" w:rsidR="000A0B22" w:rsidRPr="00A33F69" w:rsidRDefault="000A0B22" w:rsidP="000A0B22">
      <w:pPr>
        <w:pStyle w:val="SchemeCaption"/>
        <w:spacing w:before="360" w:after="120"/>
        <w:rPr>
          <w:rFonts w:ascii="Times New Roman" w:hAnsi="Times New Roman"/>
          <w:sz w:val="20"/>
          <w:szCs w:val="24"/>
        </w:rPr>
      </w:pPr>
    </w:p>
    <w:p w14:paraId="29B4BDE4" w14:textId="50EDC033" w:rsidR="000A0B22" w:rsidRPr="00A33F69" w:rsidRDefault="000A0B22" w:rsidP="000A0B22">
      <w:pPr>
        <w:pStyle w:val="SchemeCaption"/>
        <w:spacing w:before="360" w:after="120"/>
        <w:rPr>
          <w:rFonts w:ascii="Times New Roman" w:hAnsi="Times New Roman"/>
          <w:sz w:val="20"/>
          <w:szCs w:val="24"/>
        </w:rPr>
      </w:pPr>
    </w:p>
    <w:p w14:paraId="15E5ADF8" w14:textId="4C88DEF4" w:rsidR="000A0B22" w:rsidRPr="00A33F69" w:rsidRDefault="000A0B22" w:rsidP="000A0B22">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73600" behindDoc="0" locked="0" layoutInCell="1" allowOverlap="1" wp14:anchorId="4E6C7EAB" wp14:editId="16B535A9">
            <wp:simplePos x="0" y="0"/>
            <wp:positionH relativeFrom="column">
              <wp:posOffset>-1358</wp:posOffset>
            </wp:positionH>
            <wp:positionV relativeFrom="paragraph">
              <wp:posOffset>-3018828</wp:posOffset>
            </wp:positionV>
            <wp:extent cx="4683833" cy="3263371"/>
            <wp:effectExtent l="0" t="0" r="2540" b="0"/>
            <wp:wrapNone/>
            <wp:docPr id="66" name="그림 2">
              <a:extLst xmlns:a="http://schemas.openxmlformats.org/drawingml/2006/main">
                <a:ext uri="{FF2B5EF4-FFF2-40B4-BE49-F238E27FC236}">
                  <a16:creationId xmlns:a16="http://schemas.microsoft.com/office/drawing/2014/main" id="{2BD7B87A-30ED-436C-8F5B-8039D04BA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BD7B87A-30ED-436C-8F5B-8039D04BAACF}"/>
                        </a:ext>
                      </a:extLst>
                    </pic:cNvPr>
                    <pic:cNvPicPr>
                      <a:picLocks noChangeAspect="1"/>
                    </pic:cNvPicPr>
                  </pic:nvPicPr>
                  <pic:blipFill>
                    <a:blip r:embed="rId3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83833" cy="3263371"/>
                    </a:xfrm>
                    <a:prstGeom prst="rect">
                      <a:avLst/>
                    </a:prstGeom>
                  </pic:spPr>
                </pic:pic>
              </a:graphicData>
            </a:graphic>
          </wp:anchor>
        </w:drawing>
      </w:r>
    </w:p>
    <w:p w14:paraId="274FCA47" w14:textId="18256136" w:rsidR="000A0B22" w:rsidRPr="00A33F69" w:rsidRDefault="000A0B22" w:rsidP="000A0B22">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16</w:t>
      </w:r>
      <w:r w:rsidRPr="00A33F69">
        <w:rPr>
          <w:rFonts w:ascii="Times New Roman" w:hAnsi="Times New Roman"/>
          <w:b/>
          <w:sz w:val="20"/>
          <w:szCs w:val="24"/>
        </w:rPr>
        <w:t>.</w:t>
      </w:r>
      <w:r w:rsidRPr="00A33F69">
        <w:rPr>
          <w:rFonts w:ascii="Times New Roman" w:hAnsi="Times New Roman"/>
          <w:sz w:val="20"/>
          <w:szCs w:val="24"/>
        </w:rPr>
        <w:t xml:space="preserve"> </w:t>
      </w:r>
      <w:r w:rsidRPr="00A33F69">
        <w:rPr>
          <w:rFonts w:ascii="Times New Roman" w:hAnsi="Times New Roman"/>
          <w:sz w:val="20"/>
          <w:szCs w:val="24"/>
          <w:lang w:val="en-US"/>
        </w:rPr>
        <w:t xml:space="preserve">NOESY spectrum </w:t>
      </w:r>
      <w:r w:rsidRPr="00A33F69">
        <w:rPr>
          <w:rFonts w:ascii="Times New Roman" w:hAnsi="Times New Roman"/>
          <w:sz w:val="20"/>
          <w:szCs w:val="24"/>
        </w:rPr>
        <w:t xml:space="preserve">of compound </w:t>
      </w:r>
      <w:r w:rsidRPr="00A33F69">
        <w:rPr>
          <w:rFonts w:ascii="Times New Roman" w:eastAsiaTheme="minorEastAsia" w:hAnsi="Times New Roman"/>
          <w:b/>
          <w:bCs/>
          <w:sz w:val="20"/>
          <w:szCs w:val="24"/>
          <w:lang w:eastAsia="ko-KR"/>
        </w:rPr>
        <w:t>M-</w:t>
      </w:r>
      <w:r w:rsidRPr="00A33F69">
        <w:rPr>
          <w:rFonts w:ascii="Times New Roman" w:hAnsi="Times New Roman"/>
          <w:b/>
          <w:bCs/>
          <w:sz w:val="20"/>
          <w:szCs w:val="24"/>
        </w:rPr>
        <w:t>1</w:t>
      </w:r>
      <w:r w:rsidRPr="00A33F69">
        <w:rPr>
          <w:rFonts w:ascii="Times New Roman" w:hAnsi="Times New Roman"/>
          <w:sz w:val="20"/>
          <w:szCs w:val="24"/>
        </w:rPr>
        <w:t>.</w:t>
      </w:r>
    </w:p>
    <w:p w14:paraId="71926573" w14:textId="049C63AB" w:rsidR="0004118D" w:rsidRPr="00A33F69" w:rsidRDefault="000A0B22" w:rsidP="009A3E4B">
      <w:pPr>
        <w:pStyle w:val="P1"/>
        <w:rPr>
          <w:rFonts w:ascii="Times New Roman" w:hAnsi="Times New Roman"/>
          <w:sz w:val="20"/>
          <w:lang w:val="en-GB"/>
        </w:rPr>
      </w:pPr>
      <w:r w:rsidRPr="00A33F69">
        <w:rPr>
          <w:rFonts w:ascii="Times New Roman" w:eastAsia="HY신명조" w:hAnsi="Times New Roman"/>
          <w:noProof/>
          <w:sz w:val="20"/>
          <w:lang w:eastAsia="ko-KR"/>
        </w:rPr>
        <w:drawing>
          <wp:anchor distT="0" distB="0" distL="114300" distR="114300" simplePos="0" relativeHeight="251674624" behindDoc="0" locked="0" layoutInCell="1" allowOverlap="1" wp14:anchorId="214971AB" wp14:editId="1925C39A">
            <wp:simplePos x="0" y="0"/>
            <wp:positionH relativeFrom="column">
              <wp:posOffset>3381</wp:posOffset>
            </wp:positionH>
            <wp:positionV relativeFrom="paragraph">
              <wp:posOffset>100759</wp:posOffset>
            </wp:positionV>
            <wp:extent cx="4935621" cy="3442282"/>
            <wp:effectExtent l="0" t="0" r="0" b="0"/>
            <wp:wrapNone/>
            <wp:docPr id="70" name="그림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35621" cy="3442282"/>
                    </a:xfrm>
                    <a:prstGeom prst="rect">
                      <a:avLst/>
                    </a:prstGeom>
                    <a:noFill/>
                    <a:ln>
                      <a:noFill/>
                    </a:ln>
                  </pic:spPr>
                </pic:pic>
              </a:graphicData>
            </a:graphic>
          </wp:anchor>
        </w:drawing>
      </w:r>
    </w:p>
    <w:p w14:paraId="655A5BF0" w14:textId="09CFD148" w:rsidR="000A0B22" w:rsidRPr="00A33F69" w:rsidRDefault="000A0B22" w:rsidP="009A3E4B">
      <w:pPr>
        <w:pStyle w:val="P1"/>
        <w:rPr>
          <w:rFonts w:ascii="Times New Roman" w:hAnsi="Times New Roman"/>
          <w:sz w:val="20"/>
          <w:lang w:val="en-GB"/>
        </w:rPr>
      </w:pPr>
    </w:p>
    <w:p w14:paraId="6B1DE520" w14:textId="74EBDC28" w:rsidR="000A0B22" w:rsidRPr="00A33F69" w:rsidRDefault="000A0B22">
      <w:pPr>
        <w:rPr>
          <w:lang w:val="en-GB"/>
        </w:rPr>
      </w:pPr>
      <w:r w:rsidRPr="00A33F69">
        <w:rPr>
          <w:sz w:val="20"/>
          <w:lang w:val="en-GB"/>
        </w:rPr>
        <w:br w:type="page"/>
      </w:r>
    </w:p>
    <w:p w14:paraId="4582A290" w14:textId="77777777" w:rsidR="00FC7E25" w:rsidRPr="00A33F69" w:rsidRDefault="00FC7E25" w:rsidP="000A0B22">
      <w:pPr>
        <w:pStyle w:val="SchemeCaption"/>
        <w:spacing w:before="360" w:after="120"/>
        <w:rPr>
          <w:rFonts w:ascii="Times New Roman" w:hAnsi="Times New Roman"/>
          <w:b/>
          <w:sz w:val="20"/>
          <w:szCs w:val="24"/>
        </w:rPr>
      </w:pPr>
    </w:p>
    <w:p w14:paraId="53091AF1" w14:textId="4F049DAD" w:rsidR="000A0B22" w:rsidRPr="00A33F69" w:rsidRDefault="000A0B22" w:rsidP="000A0B22">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17</w:t>
      </w:r>
      <w:r w:rsidRPr="00A33F69">
        <w:rPr>
          <w:rFonts w:ascii="Times New Roman" w:hAnsi="Times New Roman"/>
          <w:b/>
          <w:sz w:val="20"/>
          <w:szCs w:val="24"/>
        </w:rPr>
        <w:t>.</w:t>
      </w:r>
      <w:r w:rsidRPr="00A33F69">
        <w:rPr>
          <w:rFonts w:ascii="Times New Roman" w:hAnsi="Times New Roman"/>
          <w:sz w:val="20"/>
          <w:szCs w:val="24"/>
        </w:rPr>
        <w:t xml:space="preserve"> </w:t>
      </w:r>
      <w:r w:rsidR="0029425F" w:rsidRPr="00A33F69">
        <w:rPr>
          <w:rFonts w:ascii="Times New Roman" w:hAnsi="Times New Roman"/>
          <w:sz w:val="20"/>
          <w:szCs w:val="24"/>
          <w:lang w:val="en-US"/>
        </w:rPr>
        <w:t xml:space="preserve">Retention time of reaction product of thiocarbamoyl-thiazolidine derivative of glucose </w:t>
      </w:r>
      <w:r w:rsidR="0029425F" w:rsidRPr="00A33F69">
        <w:rPr>
          <w:rFonts w:ascii="Times New Roman" w:eastAsiaTheme="minorEastAsia" w:hAnsi="Times New Roman"/>
          <w:sz w:val="20"/>
          <w:szCs w:val="24"/>
          <w:lang w:val="en-US" w:eastAsia="ko-KR"/>
        </w:rPr>
        <w:t>(A)</w:t>
      </w:r>
      <w:r w:rsidR="0029425F" w:rsidRPr="00A33F69">
        <w:rPr>
          <w:rFonts w:ascii="Times New Roman" w:hAnsi="Times New Roman"/>
          <w:sz w:val="20"/>
          <w:szCs w:val="24"/>
          <w:lang w:val="en-US"/>
        </w:rPr>
        <w:t xml:space="preserve"> from compound </w:t>
      </w:r>
      <w:r w:rsidRPr="00A33F69">
        <w:rPr>
          <w:rFonts w:ascii="Times New Roman" w:eastAsiaTheme="minorEastAsia" w:hAnsi="Times New Roman"/>
          <w:b/>
          <w:bCs/>
          <w:sz w:val="20"/>
          <w:szCs w:val="24"/>
          <w:lang w:eastAsia="ko-KR"/>
        </w:rPr>
        <w:t>M-</w:t>
      </w:r>
      <w:r w:rsidRPr="00A33F69">
        <w:rPr>
          <w:rFonts w:ascii="Times New Roman" w:hAnsi="Times New Roman"/>
          <w:b/>
          <w:bCs/>
          <w:sz w:val="20"/>
          <w:szCs w:val="24"/>
        </w:rPr>
        <w:t>1</w:t>
      </w:r>
      <w:r w:rsidR="0029425F" w:rsidRPr="00A33F69">
        <w:rPr>
          <w:rFonts w:ascii="Times New Roman" w:hAnsi="Times New Roman"/>
          <w:b/>
          <w:bCs/>
          <w:sz w:val="20"/>
          <w:szCs w:val="24"/>
        </w:rPr>
        <w:t xml:space="preserve"> </w:t>
      </w:r>
      <w:r w:rsidR="0029425F" w:rsidRPr="00A33F69">
        <w:rPr>
          <w:rFonts w:ascii="Times New Roman" w:eastAsiaTheme="minorEastAsia" w:hAnsi="Times New Roman"/>
          <w:sz w:val="20"/>
          <w:szCs w:val="24"/>
          <w:lang w:eastAsia="ko-KR"/>
        </w:rPr>
        <w:t>and</w:t>
      </w:r>
      <w:r w:rsidR="0029425F" w:rsidRPr="00A33F69">
        <w:rPr>
          <w:rFonts w:ascii="Times New Roman" w:hAnsi="Times New Roman"/>
          <w:sz w:val="20"/>
          <w:szCs w:val="24"/>
        </w:rPr>
        <w:t xml:space="preserve"> </w:t>
      </w:r>
      <w:r w:rsidR="0029425F" w:rsidRPr="00A33F69">
        <w:rPr>
          <w:rFonts w:ascii="Times New Roman" w:hAnsi="Times New Roman"/>
          <w:sz w:val="20"/>
          <w:szCs w:val="24"/>
          <w:lang w:val="en-US"/>
        </w:rPr>
        <w:t xml:space="preserve">β-ᴅ-glucose standard </w:t>
      </w:r>
      <w:r w:rsidR="0029425F" w:rsidRPr="00A33F69">
        <w:rPr>
          <w:rFonts w:ascii="Times New Roman" w:eastAsiaTheme="minorEastAsia" w:hAnsi="Times New Roman"/>
          <w:sz w:val="20"/>
          <w:szCs w:val="24"/>
          <w:lang w:val="en-US" w:eastAsia="ko-KR"/>
        </w:rPr>
        <w:t xml:space="preserve">(B). </w:t>
      </w:r>
    </w:p>
    <w:p w14:paraId="1F5B7D19" w14:textId="650CC5ED" w:rsidR="000A0B22" w:rsidRPr="00A33F69" w:rsidRDefault="0029425F" w:rsidP="000A0B22">
      <w:pPr>
        <w:pStyle w:val="SchemeCaption"/>
        <w:spacing w:before="360" w:after="120"/>
        <w:rPr>
          <w:rFonts w:ascii="Times New Roman" w:hAnsi="Times New Roman"/>
          <w:sz w:val="20"/>
          <w:szCs w:val="24"/>
        </w:rPr>
      </w:pPr>
      <w:r w:rsidRPr="00A33F69">
        <w:rPr>
          <w:rFonts w:ascii="Times New Roman" w:eastAsia="HY신명조" w:hAnsi="Times New Roman"/>
          <w:b/>
          <w:noProof/>
          <w:sz w:val="20"/>
          <w:szCs w:val="24"/>
          <w:lang w:val="en-US" w:eastAsia="ko-KR"/>
        </w:rPr>
        <w:drawing>
          <wp:anchor distT="0" distB="0" distL="114300" distR="114300" simplePos="0" relativeHeight="251675648" behindDoc="0" locked="0" layoutInCell="1" allowOverlap="1" wp14:anchorId="3AB71DDA" wp14:editId="482E93B0">
            <wp:simplePos x="0" y="0"/>
            <wp:positionH relativeFrom="column">
              <wp:posOffset>97684</wp:posOffset>
            </wp:positionH>
            <wp:positionV relativeFrom="paragraph">
              <wp:posOffset>156581</wp:posOffset>
            </wp:positionV>
            <wp:extent cx="5400040" cy="1971925"/>
            <wp:effectExtent l="0" t="0" r="0" b="9525"/>
            <wp:wrapNone/>
            <wp:docPr id="105" name="그림 21">
              <a:extLst xmlns:a="http://schemas.openxmlformats.org/drawingml/2006/main">
                <a:ext uri="{FF2B5EF4-FFF2-40B4-BE49-F238E27FC236}">
                  <a16:creationId xmlns:a16="http://schemas.microsoft.com/office/drawing/2014/main" id="{63781D5F-23C2-42F7-B8F8-9988F3643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그림 21">
                      <a:extLst>
                        <a:ext uri="{FF2B5EF4-FFF2-40B4-BE49-F238E27FC236}">
                          <a16:creationId xmlns:a16="http://schemas.microsoft.com/office/drawing/2014/main" id="{63781D5F-23C2-42F7-B8F8-9988F36439B0}"/>
                        </a:ext>
                      </a:extLst>
                    </pic:cNvPr>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400040" cy="1971925"/>
                    </a:xfrm>
                    <a:prstGeom prst="rect">
                      <a:avLst/>
                    </a:prstGeom>
                  </pic:spPr>
                </pic:pic>
              </a:graphicData>
            </a:graphic>
          </wp:anchor>
        </w:drawing>
      </w:r>
    </w:p>
    <w:p w14:paraId="13DAF0FE" w14:textId="77696358" w:rsidR="000A0B22" w:rsidRPr="00A33F69" w:rsidRDefault="000A0B22" w:rsidP="000A0B22">
      <w:pPr>
        <w:pStyle w:val="SchemeCaption"/>
        <w:spacing w:before="360" w:after="120"/>
        <w:rPr>
          <w:rFonts w:ascii="Times New Roman" w:hAnsi="Times New Roman"/>
          <w:sz w:val="20"/>
          <w:szCs w:val="24"/>
        </w:rPr>
      </w:pPr>
    </w:p>
    <w:p w14:paraId="515BE9A2" w14:textId="77777777" w:rsidR="000A0B22" w:rsidRPr="00A33F69" w:rsidRDefault="000A0B22" w:rsidP="000A0B22">
      <w:pPr>
        <w:pStyle w:val="SchemeCaption"/>
        <w:spacing w:before="360" w:after="120"/>
        <w:rPr>
          <w:rFonts w:ascii="Times New Roman" w:hAnsi="Times New Roman"/>
          <w:sz w:val="20"/>
          <w:szCs w:val="24"/>
        </w:rPr>
      </w:pPr>
    </w:p>
    <w:p w14:paraId="4E1ECFE1" w14:textId="23E00AD8" w:rsidR="000A0B22" w:rsidRPr="00A33F69" w:rsidRDefault="000A0B22" w:rsidP="000A0B22">
      <w:pPr>
        <w:pStyle w:val="SchemeCaption"/>
        <w:spacing w:before="360" w:after="120"/>
        <w:rPr>
          <w:rFonts w:ascii="Times New Roman" w:hAnsi="Times New Roman"/>
          <w:sz w:val="20"/>
          <w:szCs w:val="24"/>
        </w:rPr>
      </w:pPr>
    </w:p>
    <w:p w14:paraId="0F19D763" w14:textId="77777777" w:rsidR="000A0B22" w:rsidRPr="00A33F69" w:rsidRDefault="000A0B22" w:rsidP="000A0B22">
      <w:pPr>
        <w:pStyle w:val="SchemeCaption"/>
        <w:spacing w:before="360" w:after="120"/>
        <w:rPr>
          <w:rFonts w:ascii="Times New Roman" w:hAnsi="Times New Roman"/>
          <w:sz w:val="20"/>
          <w:szCs w:val="24"/>
        </w:rPr>
      </w:pPr>
    </w:p>
    <w:p w14:paraId="6D68B2F9" w14:textId="77777777" w:rsidR="000A0B22" w:rsidRPr="00A33F69" w:rsidRDefault="000A0B22" w:rsidP="000A0B22">
      <w:pPr>
        <w:pStyle w:val="SchemeCaption"/>
        <w:spacing w:before="360" w:after="120"/>
        <w:rPr>
          <w:rFonts w:ascii="Times New Roman" w:hAnsi="Times New Roman"/>
          <w:sz w:val="20"/>
          <w:szCs w:val="24"/>
        </w:rPr>
      </w:pPr>
    </w:p>
    <w:p w14:paraId="64A6FBA2" w14:textId="77777777" w:rsidR="000A0B22" w:rsidRPr="00A33F69" w:rsidRDefault="000A0B22" w:rsidP="000A0B22">
      <w:pPr>
        <w:pStyle w:val="SchemeCaption"/>
        <w:spacing w:before="360" w:after="120"/>
        <w:rPr>
          <w:rFonts w:ascii="Times New Roman" w:hAnsi="Times New Roman"/>
          <w:sz w:val="20"/>
          <w:szCs w:val="24"/>
        </w:rPr>
      </w:pPr>
    </w:p>
    <w:p w14:paraId="75105562" w14:textId="5A6037C5" w:rsidR="0050786B" w:rsidRPr="00A33F69" w:rsidRDefault="0050786B">
      <w:pPr>
        <w:rPr>
          <w:sz w:val="20"/>
          <w:lang w:val="en-GB"/>
        </w:rPr>
      </w:pPr>
      <w:r w:rsidRPr="00A33F69">
        <w:rPr>
          <w:sz w:val="20"/>
        </w:rPr>
        <w:br w:type="page"/>
      </w:r>
    </w:p>
    <w:p w14:paraId="221496CE" w14:textId="77777777" w:rsidR="003829F2" w:rsidRPr="00A33F69" w:rsidRDefault="003829F2" w:rsidP="0050786B">
      <w:pPr>
        <w:pStyle w:val="SchemeCaption"/>
        <w:spacing w:before="360" w:after="120"/>
        <w:rPr>
          <w:rFonts w:ascii="Times New Roman" w:hAnsi="Times New Roman"/>
          <w:b/>
          <w:sz w:val="20"/>
          <w:szCs w:val="24"/>
        </w:rPr>
      </w:pPr>
    </w:p>
    <w:p w14:paraId="4DD4B604" w14:textId="4EDBC81A" w:rsidR="0050786B" w:rsidRPr="00A33F69" w:rsidRDefault="0050786B" w:rsidP="0050786B">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3829F2" w:rsidRPr="00A33F69">
        <w:rPr>
          <w:rFonts w:ascii="Times New Roman" w:eastAsiaTheme="minorEastAsia" w:hAnsi="Times New Roman"/>
          <w:b/>
          <w:sz w:val="20"/>
          <w:szCs w:val="24"/>
          <w:lang w:eastAsia="ko-KR"/>
        </w:rPr>
        <w:t>1</w:t>
      </w:r>
      <w:r w:rsidR="00E43AC4" w:rsidRPr="00A33F69">
        <w:rPr>
          <w:rFonts w:ascii="Times New Roman" w:eastAsiaTheme="minorEastAsia" w:hAnsi="Times New Roman" w:hint="eastAsia"/>
          <w:b/>
          <w:sz w:val="20"/>
          <w:szCs w:val="24"/>
          <w:lang w:eastAsia="ko-KR"/>
        </w:rPr>
        <w:t>8</w:t>
      </w:r>
      <w:r w:rsidRPr="00A33F69">
        <w:rPr>
          <w:rFonts w:ascii="Times New Roman" w:hAnsi="Times New Roman"/>
          <w:b/>
          <w:sz w:val="20"/>
          <w:szCs w:val="24"/>
        </w:rPr>
        <w:t>.</w:t>
      </w:r>
      <w:r w:rsidRPr="00A33F69">
        <w:rPr>
          <w:rFonts w:ascii="Times New Roman" w:hAnsi="Times New Roman"/>
          <w:sz w:val="20"/>
          <w:szCs w:val="24"/>
        </w:rPr>
        <w:t xml:space="preserve"> HR-ESI-MS of compound </w:t>
      </w:r>
      <w:r w:rsidRPr="00A33F69">
        <w:rPr>
          <w:rFonts w:ascii="Times New Roman" w:eastAsiaTheme="minorEastAsia" w:hAnsi="Times New Roman"/>
          <w:b/>
          <w:bCs/>
          <w:sz w:val="20"/>
          <w:szCs w:val="24"/>
          <w:lang w:eastAsia="ko-KR"/>
        </w:rPr>
        <w:t>M-</w:t>
      </w:r>
      <w:r w:rsidR="007A663A" w:rsidRPr="00A33F69">
        <w:rPr>
          <w:rFonts w:ascii="Times New Roman" w:hAnsi="Times New Roman"/>
          <w:b/>
          <w:bCs/>
          <w:sz w:val="20"/>
          <w:szCs w:val="24"/>
        </w:rPr>
        <w:t>2</w:t>
      </w:r>
      <w:r w:rsidRPr="00A33F69">
        <w:rPr>
          <w:rFonts w:ascii="Times New Roman" w:hAnsi="Times New Roman"/>
          <w:sz w:val="20"/>
          <w:szCs w:val="24"/>
        </w:rPr>
        <w:t>.</w:t>
      </w:r>
    </w:p>
    <w:p w14:paraId="7457A692" w14:textId="5CE61D7E" w:rsidR="0050786B" w:rsidRPr="00A33F69" w:rsidRDefault="007A663A" w:rsidP="0050786B">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84864" behindDoc="0" locked="0" layoutInCell="1" allowOverlap="1" wp14:anchorId="26EE72D0" wp14:editId="2FEEB1E9">
            <wp:simplePos x="0" y="0"/>
            <wp:positionH relativeFrom="margin">
              <wp:align>left</wp:align>
            </wp:positionH>
            <wp:positionV relativeFrom="paragraph">
              <wp:posOffset>175870</wp:posOffset>
            </wp:positionV>
            <wp:extent cx="3504548" cy="1068965"/>
            <wp:effectExtent l="19050" t="19050" r="20320" b="17145"/>
            <wp:wrapNone/>
            <wp:docPr id="87" name="그림 22" descr="텍스트, 테이블이(가) 표시된 사진&#10;&#10;자동 생성된 설명">
              <a:extLst xmlns:a="http://schemas.openxmlformats.org/drawingml/2006/main">
                <a:ext uri="{FF2B5EF4-FFF2-40B4-BE49-F238E27FC236}">
                  <a16:creationId xmlns:a16="http://schemas.microsoft.com/office/drawing/2014/main" id="{5890965A-AE89-4B6E-89DD-21F4D9641F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그림 22" descr="텍스트, 테이블이(가) 표시된 사진&#10;&#10;자동 생성된 설명">
                      <a:extLst>
                        <a:ext uri="{FF2B5EF4-FFF2-40B4-BE49-F238E27FC236}">
                          <a16:creationId xmlns:a16="http://schemas.microsoft.com/office/drawing/2014/main" id="{5890965A-AE89-4B6E-89DD-21F4D9641FC1}"/>
                        </a:ext>
                      </a:extLst>
                    </pic:cNvPr>
                    <pic:cNvPicPr>
                      <a:picLocks noChangeAspect="1"/>
                    </pic:cNvPicPr>
                  </pic:nvPicPr>
                  <pic:blipFill rotWithShape="1">
                    <a:blip r:embed="rId37">
                      <a:extLst>
                        <a:ext uri="{28A0092B-C50C-407E-A947-70E740481C1C}">
                          <a14:useLocalDpi xmlns:a14="http://schemas.microsoft.com/office/drawing/2010/main" val="0"/>
                        </a:ext>
                      </a:extLst>
                    </a:blip>
                    <a:srcRect r="1455" b="5008"/>
                    <a:stretch/>
                  </pic:blipFill>
                  <pic:spPr>
                    <a:xfrm>
                      <a:off x="0" y="0"/>
                      <a:ext cx="3504548" cy="1068965"/>
                    </a:xfrm>
                    <a:prstGeom prst="rect">
                      <a:avLst/>
                    </a:prstGeom>
                    <a:ln>
                      <a:solidFill>
                        <a:schemeClr val="accent1">
                          <a:lumMod val="50000"/>
                        </a:schemeClr>
                      </a:solidFill>
                      <a:prstDash val="sysDot"/>
                    </a:ln>
                  </pic:spPr>
                </pic:pic>
              </a:graphicData>
            </a:graphic>
          </wp:anchor>
        </w:drawing>
      </w:r>
    </w:p>
    <w:p w14:paraId="619E1730" w14:textId="31A6EE28" w:rsidR="0050786B" w:rsidRPr="00A33F69" w:rsidRDefault="0050786B" w:rsidP="0050786B">
      <w:pPr>
        <w:pStyle w:val="SchemeCaption"/>
        <w:spacing w:before="360" w:after="120"/>
        <w:rPr>
          <w:rFonts w:ascii="Times New Roman" w:hAnsi="Times New Roman"/>
          <w:sz w:val="20"/>
          <w:szCs w:val="24"/>
        </w:rPr>
      </w:pPr>
    </w:p>
    <w:p w14:paraId="08EC78DD" w14:textId="6199BA0F" w:rsidR="0050786B" w:rsidRPr="00A33F69" w:rsidRDefault="0050786B" w:rsidP="0050786B">
      <w:pPr>
        <w:pStyle w:val="SchemeCaption"/>
        <w:spacing w:before="360" w:after="120"/>
        <w:rPr>
          <w:rFonts w:ascii="Times New Roman" w:hAnsi="Times New Roman"/>
          <w:sz w:val="20"/>
          <w:szCs w:val="24"/>
        </w:rPr>
      </w:pPr>
    </w:p>
    <w:p w14:paraId="72E56364" w14:textId="49DF7E78" w:rsidR="0050786B" w:rsidRPr="00A33F69" w:rsidRDefault="0050786B" w:rsidP="0050786B">
      <w:pPr>
        <w:pStyle w:val="SchemeCaption"/>
        <w:spacing w:before="360" w:after="120"/>
        <w:rPr>
          <w:rFonts w:ascii="Times New Roman" w:hAnsi="Times New Roman"/>
          <w:sz w:val="20"/>
          <w:szCs w:val="24"/>
        </w:rPr>
      </w:pPr>
    </w:p>
    <w:p w14:paraId="6522DA81" w14:textId="03064F08" w:rsidR="0050786B" w:rsidRPr="00A33F69" w:rsidRDefault="007A663A" w:rsidP="0050786B">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85888" behindDoc="0" locked="0" layoutInCell="1" allowOverlap="1" wp14:anchorId="70B60F94" wp14:editId="24129ABC">
            <wp:simplePos x="0" y="0"/>
            <wp:positionH relativeFrom="margin">
              <wp:align>left</wp:align>
            </wp:positionH>
            <wp:positionV relativeFrom="paragraph">
              <wp:posOffset>17586</wp:posOffset>
            </wp:positionV>
            <wp:extent cx="5025722" cy="2698312"/>
            <wp:effectExtent l="19050" t="19050" r="22860" b="26035"/>
            <wp:wrapNone/>
            <wp:docPr id="88" name="그림 23">
              <a:extLst xmlns:a="http://schemas.openxmlformats.org/drawingml/2006/main">
                <a:ext uri="{FF2B5EF4-FFF2-40B4-BE49-F238E27FC236}">
                  <a16:creationId xmlns:a16="http://schemas.microsoft.com/office/drawing/2014/main" id="{18955FB2-4261-48F8-8D2B-91720FC3CB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그림 23">
                      <a:extLst>
                        <a:ext uri="{FF2B5EF4-FFF2-40B4-BE49-F238E27FC236}">
                          <a16:creationId xmlns:a16="http://schemas.microsoft.com/office/drawing/2014/main" id="{18955FB2-4261-48F8-8D2B-91720FC3CBB9}"/>
                        </a:ext>
                      </a:extLst>
                    </pic:cNvPr>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025722" cy="2698312"/>
                    </a:xfrm>
                    <a:prstGeom prst="rect">
                      <a:avLst/>
                    </a:prstGeom>
                    <a:ln>
                      <a:solidFill>
                        <a:schemeClr val="accent1">
                          <a:lumMod val="50000"/>
                        </a:schemeClr>
                      </a:solidFill>
                      <a:prstDash val="sysDot"/>
                    </a:ln>
                  </pic:spPr>
                </pic:pic>
              </a:graphicData>
            </a:graphic>
          </wp:anchor>
        </w:drawing>
      </w:r>
    </w:p>
    <w:p w14:paraId="334BE86E" w14:textId="62B67DE0" w:rsidR="007A663A" w:rsidRPr="00A33F69" w:rsidRDefault="007A663A" w:rsidP="0050786B">
      <w:pPr>
        <w:pStyle w:val="SchemeCaption"/>
        <w:spacing w:before="360" w:after="120"/>
        <w:rPr>
          <w:rFonts w:ascii="Times New Roman" w:hAnsi="Times New Roman"/>
          <w:sz w:val="20"/>
          <w:szCs w:val="24"/>
        </w:rPr>
      </w:pPr>
    </w:p>
    <w:p w14:paraId="0E07F81C" w14:textId="62C5F5B4" w:rsidR="007A663A" w:rsidRPr="00A33F69" w:rsidRDefault="007A663A" w:rsidP="0050786B">
      <w:pPr>
        <w:pStyle w:val="SchemeCaption"/>
        <w:spacing w:before="360" w:after="120"/>
        <w:rPr>
          <w:rFonts w:ascii="Times New Roman" w:hAnsi="Times New Roman"/>
          <w:sz w:val="20"/>
          <w:szCs w:val="24"/>
        </w:rPr>
      </w:pPr>
    </w:p>
    <w:p w14:paraId="5F6FE8AF" w14:textId="2BF6048C" w:rsidR="007A663A" w:rsidRPr="00A33F69" w:rsidRDefault="007A663A" w:rsidP="0050786B">
      <w:pPr>
        <w:pStyle w:val="SchemeCaption"/>
        <w:spacing w:before="360" w:after="120"/>
        <w:rPr>
          <w:rFonts w:ascii="Times New Roman" w:hAnsi="Times New Roman"/>
          <w:sz w:val="20"/>
          <w:szCs w:val="24"/>
        </w:rPr>
      </w:pPr>
    </w:p>
    <w:p w14:paraId="4B1EF52D" w14:textId="1133AD44" w:rsidR="007A663A" w:rsidRPr="00A33F69" w:rsidRDefault="007A663A" w:rsidP="0050786B">
      <w:pPr>
        <w:pStyle w:val="SchemeCaption"/>
        <w:spacing w:before="360" w:after="120"/>
        <w:rPr>
          <w:rFonts w:ascii="Times New Roman" w:hAnsi="Times New Roman"/>
          <w:sz w:val="20"/>
          <w:szCs w:val="24"/>
        </w:rPr>
      </w:pPr>
    </w:p>
    <w:p w14:paraId="068AC101" w14:textId="048942EF" w:rsidR="007A663A" w:rsidRPr="00A33F69" w:rsidRDefault="007A663A" w:rsidP="0050786B">
      <w:pPr>
        <w:pStyle w:val="SchemeCaption"/>
        <w:spacing w:before="360" w:after="120"/>
        <w:rPr>
          <w:rFonts w:ascii="Times New Roman" w:hAnsi="Times New Roman"/>
          <w:sz w:val="20"/>
          <w:szCs w:val="24"/>
        </w:rPr>
      </w:pPr>
    </w:p>
    <w:p w14:paraId="69C7246A" w14:textId="4A7FD1B1" w:rsidR="007A663A" w:rsidRPr="00A33F69" w:rsidRDefault="007A663A" w:rsidP="0050786B">
      <w:pPr>
        <w:pStyle w:val="SchemeCaption"/>
        <w:spacing w:before="360" w:after="120"/>
        <w:rPr>
          <w:rFonts w:ascii="Times New Roman" w:hAnsi="Times New Roman"/>
          <w:sz w:val="20"/>
          <w:szCs w:val="24"/>
        </w:rPr>
      </w:pPr>
    </w:p>
    <w:p w14:paraId="6C6DAA59" w14:textId="3576C65B" w:rsidR="007A663A" w:rsidRPr="00A33F69" w:rsidRDefault="007A663A" w:rsidP="0050786B">
      <w:pPr>
        <w:pStyle w:val="SchemeCaption"/>
        <w:spacing w:before="360" w:after="120"/>
        <w:rPr>
          <w:rFonts w:ascii="Times New Roman" w:hAnsi="Times New Roman"/>
          <w:sz w:val="20"/>
          <w:szCs w:val="24"/>
        </w:rPr>
      </w:pPr>
    </w:p>
    <w:p w14:paraId="0525655A" w14:textId="511E346F" w:rsidR="0050786B" w:rsidRPr="00A33F69" w:rsidRDefault="0050786B" w:rsidP="0050786B">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7A663A" w:rsidRPr="00A33F69">
        <w:rPr>
          <w:rFonts w:ascii="Times New Roman" w:eastAsiaTheme="minorEastAsia" w:hAnsi="Times New Roman"/>
          <w:b/>
          <w:sz w:val="20"/>
          <w:szCs w:val="24"/>
          <w:lang w:eastAsia="ko-KR"/>
        </w:rPr>
        <w:t>1</w:t>
      </w:r>
      <w:r w:rsidR="00E43AC4" w:rsidRPr="00A33F69">
        <w:rPr>
          <w:rFonts w:ascii="Times New Roman" w:eastAsiaTheme="minorEastAsia" w:hAnsi="Times New Roman" w:hint="eastAsia"/>
          <w:b/>
          <w:sz w:val="20"/>
          <w:szCs w:val="24"/>
          <w:lang w:eastAsia="ko-KR"/>
        </w:rPr>
        <w:t>9</w:t>
      </w:r>
      <w:r w:rsidRPr="00A33F69">
        <w:rPr>
          <w:rFonts w:ascii="Times New Roman" w:hAnsi="Times New Roman"/>
          <w:b/>
          <w:sz w:val="20"/>
          <w:szCs w:val="24"/>
        </w:rPr>
        <w:t>.</w:t>
      </w:r>
      <w:r w:rsidRPr="00A33F69">
        <w:rPr>
          <w:rFonts w:ascii="Times New Roman" w:hAnsi="Times New Roman"/>
          <w:sz w:val="20"/>
          <w:szCs w:val="24"/>
        </w:rPr>
        <w:t xml:space="preserve"> </w:t>
      </w:r>
      <w:r w:rsidRPr="00A33F69">
        <w:rPr>
          <w:rFonts w:ascii="Times New Roman" w:hAnsi="Times New Roman"/>
          <w:sz w:val="20"/>
          <w:szCs w:val="24"/>
          <w:vertAlign w:val="superscript"/>
        </w:rPr>
        <w:t>1</w:t>
      </w:r>
      <w:r w:rsidRPr="00A33F69">
        <w:rPr>
          <w:rFonts w:ascii="Times New Roman" w:hAnsi="Times New Roman"/>
          <w:sz w:val="20"/>
          <w:szCs w:val="24"/>
        </w:rPr>
        <w:t xml:space="preserve">H NMR spectrum of compound </w:t>
      </w:r>
      <w:r w:rsidRPr="00A33F69">
        <w:rPr>
          <w:rFonts w:ascii="Times New Roman" w:eastAsiaTheme="minorEastAsia" w:hAnsi="Times New Roman"/>
          <w:b/>
          <w:bCs/>
          <w:sz w:val="20"/>
          <w:szCs w:val="24"/>
          <w:lang w:eastAsia="ko-KR"/>
        </w:rPr>
        <w:t>M-</w:t>
      </w:r>
      <w:r w:rsidR="007A663A" w:rsidRPr="00A33F69">
        <w:rPr>
          <w:rFonts w:ascii="Times New Roman" w:hAnsi="Times New Roman"/>
          <w:b/>
          <w:bCs/>
          <w:sz w:val="20"/>
          <w:szCs w:val="24"/>
        </w:rPr>
        <w:t>2</w:t>
      </w:r>
      <w:r w:rsidRPr="00A33F69">
        <w:rPr>
          <w:rFonts w:ascii="Times New Roman" w:hAnsi="Times New Roman"/>
          <w:sz w:val="20"/>
          <w:szCs w:val="24"/>
        </w:rPr>
        <w:t>.</w:t>
      </w:r>
    </w:p>
    <w:p w14:paraId="06ADE30C" w14:textId="48E4322B" w:rsidR="0050786B" w:rsidRPr="00A33F69" w:rsidRDefault="007A663A" w:rsidP="0050786B">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86912" behindDoc="0" locked="0" layoutInCell="1" allowOverlap="1" wp14:anchorId="7AFEF772" wp14:editId="77254614">
            <wp:simplePos x="0" y="0"/>
            <wp:positionH relativeFrom="column">
              <wp:posOffset>12222</wp:posOffset>
            </wp:positionH>
            <wp:positionV relativeFrom="paragraph">
              <wp:posOffset>130646</wp:posOffset>
            </wp:positionV>
            <wp:extent cx="4705636" cy="3281881"/>
            <wp:effectExtent l="0" t="0" r="0" b="0"/>
            <wp:wrapNone/>
            <wp:docPr id="90" name="그림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10070" cy="32849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EC036C" w14:textId="77777777" w:rsidR="0050786B" w:rsidRPr="00A33F69" w:rsidRDefault="0050786B" w:rsidP="0050786B">
      <w:pPr>
        <w:pStyle w:val="SchemeCaption"/>
        <w:spacing w:before="360" w:after="120"/>
        <w:rPr>
          <w:rFonts w:ascii="Times New Roman" w:hAnsi="Times New Roman"/>
          <w:sz w:val="20"/>
          <w:szCs w:val="24"/>
        </w:rPr>
      </w:pPr>
    </w:p>
    <w:p w14:paraId="144C2BB1" w14:textId="77777777" w:rsidR="0050786B" w:rsidRPr="00A33F69" w:rsidRDefault="0050786B" w:rsidP="0050786B">
      <w:pPr>
        <w:pStyle w:val="SchemeCaption"/>
        <w:spacing w:before="360" w:after="120"/>
        <w:rPr>
          <w:rFonts w:ascii="Times New Roman" w:hAnsi="Times New Roman"/>
          <w:sz w:val="20"/>
          <w:szCs w:val="24"/>
        </w:rPr>
      </w:pPr>
    </w:p>
    <w:p w14:paraId="4934D687" w14:textId="77777777" w:rsidR="0050786B" w:rsidRPr="00A33F69" w:rsidRDefault="0050786B" w:rsidP="0050786B">
      <w:pPr>
        <w:pStyle w:val="SchemeCaption"/>
        <w:spacing w:before="360" w:after="120"/>
        <w:rPr>
          <w:rFonts w:ascii="Times New Roman" w:hAnsi="Times New Roman"/>
          <w:sz w:val="20"/>
          <w:szCs w:val="24"/>
        </w:rPr>
      </w:pPr>
    </w:p>
    <w:p w14:paraId="0B16DFD9" w14:textId="77777777" w:rsidR="0050786B" w:rsidRPr="00A33F69" w:rsidRDefault="0050786B" w:rsidP="0050786B">
      <w:pPr>
        <w:pStyle w:val="SchemeCaption"/>
        <w:spacing w:before="360" w:after="120"/>
        <w:rPr>
          <w:rFonts w:ascii="Times New Roman" w:hAnsi="Times New Roman"/>
          <w:sz w:val="20"/>
          <w:szCs w:val="24"/>
        </w:rPr>
      </w:pPr>
    </w:p>
    <w:p w14:paraId="07964367" w14:textId="77777777" w:rsidR="0050786B" w:rsidRPr="00A33F69" w:rsidRDefault="0050786B" w:rsidP="0050786B">
      <w:pPr>
        <w:pStyle w:val="SchemeCaption"/>
        <w:spacing w:before="360" w:after="120"/>
        <w:rPr>
          <w:rFonts w:ascii="Times New Roman" w:hAnsi="Times New Roman"/>
          <w:sz w:val="20"/>
          <w:szCs w:val="24"/>
        </w:rPr>
      </w:pPr>
    </w:p>
    <w:p w14:paraId="2AA48968" w14:textId="77777777" w:rsidR="0050786B" w:rsidRPr="00A33F69" w:rsidRDefault="0050786B" w:rsidP="0050786B">
      <w:pPr>
        <w:pStyle w:val="SchemeCaption"/>
        <w:spacing w:before="360" w:after="120"/>
        <w:rPr>
          <w:rFonts w:ascii="Times New Roman" w:hAnsi="Times New Roman"/>
          <w:sz w:val="20"/>
          <w:szCs w:val="24"/>
        </w:rPr>
      </w:pPr>
    </w:p>
    <w:p w14:paraId="05381D19" w14:textId="77777777" w:rsidR="0050786B" w:rsidRPr="00A33F69" w:rsidRDefault="0050786B" w:rsidP="0050786B">
      <w:pPr>
        <w:pStyle w:val="SchemeCaption"/>
        <w:spacing w:before="360" w:after="120"/>
        <w:rPr>
          <w:rFonts w:ascii="Times New Roman" w:hAnsi="Times New Roman"/>
          <w:sz w:val="20"/>
          <w:szCs w:val="24"/>
        </w:rPr>
      </w:pPr>
    </w:p>
    <w:p w14:paraId="54C0F20A" w14:textId="77777777" w:rsidR="0050786B" w:rsidRPr="00A33F69" w:rsidRDefault="0050786B" w:rsidP="0050786B">
      <w:pPr>
        <w:pStyle w:val="SchemeCaption"/>
        <w:spacing w:before="360" w:after="120"/>
        <w:rPr>
          <w:rFonts w:ascii="Times New Roman" w:hAnsi="Times New Roman"/>
          <w:sz w:val="20"/>
          <w:szCs w:val="24"/>
        </w:rPr>
      </w:pPr>
    </w:p>
    <w:p w14:paraId="09125F0D" w14:textId="77777777" w:rsidR="0050786B" w:rsidRPr="00A33F69" w:rsidRDefault="0050786B" w:rsidP="0050786B">
      <w:pPr>
        <w:pStyle w:val="SchemeCaption"/>
        <w:spacing w:before="360" w:after="120"/>
        <w:rPr>
          <w:rFonts w:ascii="Times New Roman" w:hAnsi="Times New Roman"/>
          <w:sz w:val="20"/>
          <w:szCs w:val="24"/>
        </w:rPr>
      </w:pPr>
    </w:p>
    <w:p w14:paraId="20D51B0A" w14:textId="77777777" w:rsidR="0050786B" w:rsidRPr="00A33F69" w:rsidRDefault="0050786B" w:rsidP="0050786B">
      <w:pPr>
        <w:rPr>
          <w:b/>
          <w:sz w:val="20"/>
          <w:lang w:val="en-GB"/>
        </w:rPr>
      </w:pPr>
      <w:r w:rsidRPr="00A33F69">
        <w:rPr>
          <w:b/>
          <w:sz w:val="20"/>
        </w:rPr>
        <w:br w:type="page"/>
      </w:r>
    </w:p>
    <w:p w14:paraId="471D0B27" w14:textId="77777777" w:rsidR="003829F2" w:rsidRPr="00A33F69" w:rsidRDefault="003829F2" w:rsidP="0050786B">
      <w:pPr>
        <w:pStyle w:val="SchemeCaption"/>
        <w:spacing w:before="360" w:after="120"/>
        <w:rPr>
          <w:rFonts w:ascii="Times New Roman" w:hAnsi="Times New Roman"/>
          <w:b/>
          <w:sz w:val="20"/>
          <w:szCs w:val="24"/>
        </w:rPr>
      </w:pPr>
    </w:p>
    <w:p w14:paraId="2A7B13A5" w14:textId="1E51BCAC" w:rsidR="0050786B" w:rsidRPr="00A33F69" w:rsidRDefault="0050786B" w:rsidP="0050786B">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3829F2" w:rsidRPr="00A33F69">
        <w:rPr>
          <w:rFonts w:ascii="Times New Roman" w:eastAsiaTheme="minorEastAsia" w:hAnsi="Times New Roman"/>
          <w:b/>
          <w:sz w:val="20"/>
          <w:szCs w:val="24"/>
          <w:lang w:eastAsia="ko-KR"/>
        </w:rPr>
        <w:t>2</w:t>
      </w:r>
      <w:r w:rsidR="00E43AC4" w:rsidRPr="00A33F69">
        <w:rPr>
          <w:rFonts w:ascii="Times New Roman" w:eastAsiaTheme="minorEastAsia" w:hAnsi="Times New Roman" w:hint="eastAsia"/>
          <w:b/>
          <w:sz w:val="20"/>
          <w:szCs w:val="24"/>
          <w:lang w:eastAsia="ko-KR"/>
        </w:rPr>
        <w:t>0</w:t>
      </w:r>
      <w:r w:rsidRPr="00A33F69">
        <w:rPr>
          <w:rFonts w:ascii="Times New Roman" w:hAnsi="Times New Roman"/>
          <w:b/>
          <w:sz w:val="20"/>
          <w:szCs w:val="24"/>
        </w:rPr>
        <w:t>.</w:t>
      </w:r>
      <w:r w:rsidRPr="00A33F69">
        <w:rPr>
          <w:rFonts w:ascii="Times New Roman" w:hAnsi="Times New Roman"/>
          <w:sz w:val="20"/>
          <w:szCs w:val="24"/>
        </w:rPr>
        <w:t xml:space="preserve"> HSQC spectrum of compound </w:t>
      </w:r>
      <w:r w:rsidRPr="00A33F69">
        <w:rPr>
          <w:rFonts w:ascii="Times New Roman" w:eastAsiaTheme="minorEastAsia" w:hAnsi="Times New Roman"/>
          <w:b/>
          <w:bCs/>
          <w:sz w:val="20"/>
          <w:szCs w:val="24"/>
          <w:lang w:eastAsia="ko-KR"/>
        </w:rPr>
        <w:t>M-</w:t>
      </w:r>
      <w:r w:rsidR="007A663A" w:rsidRPr="00A33F69">
        <w:rPr>
          <w:rFonts w:ascii="Times New Roman" w:hAnsi="Times New Roman"/>
          <w:b/>
          <w:bCs/>
          <w:sz w:val="20"/>
          <w:szCs w:val="24"/>
        </w:rPr>
        <w:t>2</w:t>
      </w:r>
      <w:r w:rsidRPr="00A33F69">
        <w:rPr>
          <w:rFonts w:ascii="Times New Roman" w:hAnsi="Times New Roman"/>
          <w:sz w:val="20"/>
          <w:szCs w:val="24"/>
        </w:rPr>
        <w:t>.</w:t>
      </w:r>
    </w:p>
    <w:p w14:paraId="4EAD5F95" w14:textId="2707DF5F" w:rsidR="0050786B" w:rsidRPr="00A33F69" w:rsidRDefault="009966D1" w:rsidP="0050786B">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87936" behindDoc="0" locked="0" layoutInCell="1" allowOverlap="1" wp14:anchorId="37F15BA7" wp14:editId="1C3A430B">
            <wp:simplePos x="0" y="0"/>
            <wp:positionH relativeFrom="margin">
              <wp:align>left</wp:align>
            </wp:positionH>
            <wp:positionV relativeFrom="paragraph">
              <wp:posOffset>178812</wp:posOffset>
            </wp:positionV>
            <wp:extent cx="4738314" cy="3304674"/>
            <wp:effectExtent l="0" t="0" r="5715" b="0"/>
            <wp:wrapNone/>
            <wp:docPr id="92" name="그림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38314" cy="33046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38AB45" w14:textId="77777777" w:rsidR="0050786B" w:rsidRPr="00A33F69" w:rsidRDefault="0050786B" w:rsidP="0050786B">
      <w:pPr>
        <w:pStyle w:val="SchemeCaption"/>
        <w:spacing w:before="360" w:after="120"/>
        <w:rPr>
          <w:rFonts w:ascii="Times New Roman" w:hAnsi="Times New Roman"/>
          <w:sz w:val="20"/>
          <w:szCs w:val="24"/>
        </w:rPr>
      </w:pPr>
    </w:p>
    <w:p w14:paraId="550F7598" w14:textId="77777777" w:rsidR="0050786B" w:rsidRPr="00A33F69" w:rsidRDefault="0050786B" w:rsidP="0050786B">
      <w:pPr>
        <w:pStyle w:val="SchemeCaption"/>
        <w:spacing w:before="360" w:after="120"/>
        <w:rPr>
          <w:rFonts w:ascii="Times New Roman" w:hAnsi="Times New Roman"/>
          <w:sz w:val="20"/>
          <w:szCs w:val="24"/>
        </w:rPr>
      </w:pPr>
    </w:p>
    <w:p w14:paraId="4D1F280D" w14:textId="77777777" w:rsidR="0050786B" w:rsidRPr="00A33F69" w:rsidRDefault="0050786B" w:rsidP="0050786B">
      <w:pPr>
        <w:pStyle w:val="SchemeCaption"/>
        <w:spacing w:before="360" w:after="120"/>
        <w:rPr>
          <w:rFonts w:ascii="Times New Roman" w:hAnsi="Times New Roman"/>
          <w:sz w:val="20"/>
          <w:szCs w:val="24"/>
        </w:rPr>
      </w:pPr>
    </w:p>
    <w:p w14:paraId="3F5060C6" w14:textId="77777777" w:rsidR="0050786B" w:rsidRPr="00A33F69" w:rsidRDefault="0050786B" w:rsidP="0050786B">
      <w:pPr>
        <w:pStyle w:val="SchemeCaption"/>
        <w:spacing w:before="360" w:after="120"/>
        <w:rPr>
          <w:rFonts w:ascii="Times New Roman" w:hAnsi="Times New Roman"/>
          <w:sz w:val="20"/>
          <w:szCs w:val="24"/>
        </w:rPr>
      </w:pPr>
    </w:p>
    <w:p w14:paraId="099D74E8" w14:textId="77777777" w:rsidR="0050786B" w:rsidRPr="00A33F69" w:rsidRDefault="0050786B" w:rsidP="0050786B">
      <w:pPr>
        <w:pStyle w:val="SchemeCaption"/>
        <w:spacing w:before="360" w:after="120"/>
        <w:rPr>
          <w:rFonts w:ascii="Times New Roman" w:hAnsi="Times New Roman"/>
          <w:sz w:val="20"/>
          <w:szCs w:val="24"/>
        </w:rPr>
      </w:pPr>
    </w:p>
    <w:p w14:paraId="789AAE1C" w14:textId="77777777" w:rsidR="0050786B" w:rsidRPr="00A33F69" w:rsidRDefault="0050786B" w:rsidP="0050786B">
      <w:pPr>
        <w:pStyle w:val="SchemeCaption"/>
        <w:spacing w:before="360" w:after="120"/>
        <w:rPr>
          <w:rFonts w:ascii="Times New Roman" w:hAnsi="Times New Roman"/>
          <w:sz w:val="20"/>
          <w:szCs w:val="24"/>
        </w:rPr>
      </w:pPr>
    </w:p>
    <w:p w14:paraId="61167376" w14:textId="77777777" w:rsidR="0050786B" w:rsidRPr="00A33F69" w:rsidRDefault="0050786B" w:rsidP="0050786B">
      <w:pPr>
        <w:pStyle w:val="SchemeCaption"/>
        <w:spacing w:before="360" w:after="120"/>
        <w:rPr>
          <w:rFonts w:ascii="Times New Roman" w:hAnsi="Times New Roman"/>
          <w:sz w:val="20"/>
          <w:szCs w:val="24"/>
        </w:rPr>
      </w:pPr>
    </w:p>
    <w:p w14:paraId="3558697C" w14:textId="77777777" w:rsidR="0050786B" w:rsidRPr="00A33F69" w:rsidRDefault="0050786B" w:rsidP="0050786B">
      <w:pPr>
        <w:pStyle w:val="SchemeCaption"/>
        <w:spacing w:before="360" w:after="120"/>
        <w:rPr>
          <w:rFonts w:ascii="Times New Roman" w:hAnsi="Times New Roman"/>
          <w:sz w:val="20"/>
          <w:szCs w:val="24"/>
        </w:rPr>
      </w:pPr>
    </w:p>
    <w:p w14:paraId="1BD377F1" w14:textId="77777777" w:rsidR="0050786B" w:rsidRPr="00A33F69" w:rsidRDefault="0050786B" w:rsidP="0050786B">
      <w:pPr>
        <w:pStyle w:val="SchemeCaption"/>
        <w:spacing w:before="360" w:after="120"/>
        <w:rPr>
          <w:rFonts w:ascii="Times New Roman" w:hAnsi="Times New Roman"/>
          <w:sz w:val="20"/>
          <w:szCs w:val="24"/>
        </w:rPr>
      </w:pPr>
    </w:p>
    <w:p w14:paraId="1AAD0D61" w14:textId="61B63B25" w:rsidR="0050786B" w:rsidRPr="00A33F69" w:rsidRDefault="0050786B" w:rsidP="0050786B">
      <w:pPr>
        <w:pStyle w:val="SchemeCaption"/>
        <w:spacing w:before="360" w:after="120"/>
        <w:rPr>
          <w:rFonts w:ascii="Times New Roman" w:hAnsi="Times New Roman"/>
          <w:sz w:val="20"/>
          <w:szCs w:val="24"/>
        </w:rPr>
      </w:pPr>
    </w:p>
    <w:p w14:paraId="7BE6F7E2" w14:textId="386259B3" w:rsidR="0050786B" w:rsidRPr="00A33F69" w:rsidRDefault="0050786B" w:rsidP="0050786B">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21</w:t>
      </w:r>
      <w:r w:rsidRPr="00A33F69">
        <w:rPr>
          <w:rFonts w:ascii="Times New Roman" w:hAnsi="Times New Roman"/>
          <w:b/>
          <w:sz w:val="20"/>
          <w:szCs w:val="24"/>
        </w:rPr>
        <w:t>.</w:t>
      </w:r>
      <w:r w:rsidRPr="00A33F69">
        <w:rPr>
          <w:rFonts w:ascii="Times New Roman" w:hAnsi="Times New Roman"/>
          <w:sz w:val="20"/>
          <w:szCs w:val="24"/>
        </w:rPr>
        <w:t xml:space="preserve"> </w:t>
      </w:r>
      <w:r w:rsidRPr="00A33F69">
        <w:rPr>
          <w:rFonts w:ascii="Times New Roman" w:hAnsi="Times New Roman"/>
          <w:sz w:val="20"/>
          <w:szCs w:val="24"/>
          <w:vertAlign w:val="superscript"/>
          <w:lang w:val="en-US"/>
        </w:rPr>
        <w:t>1</w:t>
      </w:r>
      <w:r w:rsidRPr="00A33F69">
        <w:rPr>
          <w:rFonts w:ascii="Times New Roman" w:hAnsi="Times New Roman"/>
          <w:sz w:val="20"/>
          <w:szCs w:val="24"/>
          <w:lang w:val="en-US"/>
        </w:rPr>
        <w:t>H</w:t>
      </w:r>
      <w:r w:rsidRPr="00A33F69">
        <w:rPr>
          <w:rFonts w:ascii="Times New Roman" w:hAnsi="Times New Roman"/>
          <w:bCs/>
          <w:sz w:val="20"/>
          <w:szCs w:val="24"/>
          <w:lang w:val="en-US"/>
        </w:rPr>
        <w:t>−</w:t>
      </w:r>
      <w:r w:rsidRPr="00A33F69">
        <w:rPr>
          <w:rFonts w:ascii="Times New Roman" w:hAnsi="Times New Roman"/>
          <w:sz w:val="20"/>
          <w:szCs w:val="24"/>
          <w:vertAlign w:val="superscript"/>
          <w:lang w:val="en-US"/>
        </w:rPr>
        <w:t>1</w:t>
      </w:r>
      <w:r w:rsidRPr="00A33F69">
        <w:rPr>
          <w:rFonts w:ascii="Times New Roman" w:hAnsi="Times New Roman"/>
          <w:sz w:val="20"/>
          <w:szCs w:val="24"/>
          <w:lang w:val="en-US"/>
        </w:rPr>
        <w:t xml:space="preserve">H COSY spectrum </w:t>
      </w:r>
      <w:r w:rsidRPr="00A33F69">
        <w:rPr>
          <w:rFonts w:ascii="Times New Roman" w:hAnsi="Times New Roman"/>
          <w:sz w:val="20"/>
          <w:szCs w:val="24"/>
        </w:rPr>
        <w:t xml:space="preserve">of compound </w:t>
      </w:r>
      <w:r w:rsidRPr="00A33F69">
        <w:rPr>
          <w:rFonts w:ascii="Times New Roman" w:eastAsiaTheme="minorEastAsia" w:hAnsi="Times New Roman"/>
          <w:b/>
          <w:bCs/>
          <w:sz w:val="20"/>
          <w:szCs w:val="24"/>
          <w:lang w:eastAsia="ko-KR"/>
        </w:rPr>
        <w:t>M-</w:t>
      </w:r>
      <w:r w:rsidR="007A663A" w:rsidRPr="00A33F69">
        <w:rPr>
          <w:rFonts w:ascii="Times New Roman" w:hAnsi="Times New Roman"/>
          <w:b/>
          <w:bCs/>
          <w:sz w:val="20"/>
          <w:szCs w:val="24"/>
        </w:rPr>
        <w:t>2</w:t>
      </w:r>
      <w:r w:rsidRPr="00A33F69">
        <w:rPr>
          <w:rFonts w:ascii="Times New Roman" w:hAnsi="Times New Roman"/>
          <w:sz w:val="20"/>
          <w:szCs w:val="24"/>
        </w:rPr>
        <w:t>.</w:t>
      </w:r>
    </w:p>
    <w:p w14:paraId="66C09B66" w14:textId="77777777" w:rsidR="0050786B" w:rsidRPr="00A33F69" w:rsidRDefault="0050786B" w:rsidP="0050786B">
      <w:pPr>
        <w:pStyle w:val="SchemeCaption"/>
        <w:spacing w:before="360" w:after="120"/>
        <w:rPr>
          <w:rFonts w:ascii="Times New Roman" w:hAnsi="Times New Roman"/>
          <w:sz w:val="20"/>
          <w:szCs w:val="24"/>
        </w:rPr>
      </w:pPr>
    </w:p>
    <w:p w14:paraId="06169377" w14:textId="77777777" w:rsidR="0050786B" w:rsidRPr="00A33F69" w:rsidRDefault="0050786B" w:rsidP="0050786B">
      <w:pPr>
        <w:pStyle w:val="SchemeCaption"/>
        <w:spacing w:before="360" w:after="120"/>
        <w:rPr>
          <w:rFonts w:ascii="Times New Roman" w:hAnsi="Times New Roman"/>
          <w:sz w:val="20"/>
          <w:szCs w:val="24"/>
        </w:rPr>
      </w:pPr>
    </w:p>
    <w:p w14:paraId="2B23F5ED" w14:textId="77777777" w:rsidR="0050786B" w:rsidRPr="00A33F69" w:rsidRDefault="0050786B" w:rsidP="0050786B">
      <w:pPr>
        <w:pStyle w:val="SchemeCaption"/>
        <w:spacing w:before="360" w:after="120"/>
        <w:rPr>
          <w:rFonts w:ascii="Times New Roman" w:hAnsi="Times New Roman"/>
          <w:sz w:val="20"/>
          <w:szCs w:val="24"/>
        </w:rPr>
      </w:pPr>
    </w:p>
    <w:p w14:paraId="1D9E59B2" w14:textId="77777777" w:rsidR="0050786B" w:rsidRPr="00A33F69" w:rsidRDefault="0050786B" w:rsidP="0050786B">
      <w:pPr>
        <w:pStyle w:val="SchemeCaption"/>
        <w:spacing w:before="360" w:after="120"/>
        <w:rPr>
          <w:rFonts w:ascii="Times New Roman" w:hAnsi="Times New Roman"/>
          <w:sz w:val="20"/>
          <w:szCs w:val="24"/>
        </w:rPr>
      </w:pPr>
    </w:p>
    <w:p w14:paraId="5EE3B7E9" w14:textId="77777777" w:rsidR="0050786B" w:rsidRPr="00A33F69" w:rsidRDefault="0050786B" w:rsidP="0050786B">
      <w:pPr>
        <w:pStyle w:val="SchemeCaption"/>
        <w:spacing w:before="360" w:after="120"/>
        <w:rPr>
          <w:rFonts w:ascii="Times New Roman" w:hAnsi="Times New Roman"/>
          <w:sz w:val="20"/>
          <w:szCs w:val="24"/>
        </w:rPr>
      </w:pPr>
    </w:p>
    <w:p w14:paraId="611352F7" w14:textId="77777777" w:rsidR="0050786B" w:rsidRPr="00A33F69" w:rsidRDefault="0050786B" w:rsidP="0050786B">
      <w:pPr>
        <w:pStyle w:val="SchemeCaption"/>
        <w:spacing w:before="360" w:after="120"/>
        <w:rPr>
          <w:rFonts w:ascii="Times New Roman" w:hAnsi="Times New Roman"/>
          <w:sz w:val="20"/>
          <w:szCs w:val="24"/>
        </w:rPr>
      </w:pPr>
    </w:p>
    <w:p w14:paraId="3D62A818" w14:textId="77777777" w:rsidR="0050786B" w:rsidRPr="00A33F69" w:rsidRDefault="0050786B" w:rsidP="0050786B">
      <w:pPr>
        <w:pStyle w:val="SchemeCaption"/>
        <w:spacing w:before="360" w:after="120"/>
        <w:rPr>
          <w:rFonts w:ascii="Times New Roman" w:hAnsi="Times New Roman"/>
          <w:sz w:val="20"/>
          <w:szCs w:val="24"/>
        </w:rPr>
      </w:pPr>
    </w:p>
    <w:p w14:paraId="0CD77CCF" w14:textId="77777777" w:rsidR="0050786B" w:rsidRPr="00A33F69" w:rsidRDefault="0050786B" w:rsidP="0050786B">
      <w:pPr>
        <w:pStyle w:val="SchemeCaption"/>
        <w:spacing w:before="360" w:after="120"/>
        <w:rPr>
          <w:rFonts w:ascii="Times New Roman" w:hAnsi="Times New Roman"/>
          <w:sz w:val="20"/>
          <w:szCs w:val="24"/>
        </w:rPr>
      </w:pPr>
    </w:p>
    <w:p w14:paraId="41DBCDBE" w14:textId="77777777" w:rsidR="0050786B" w:rsidRPr="00A33F69" w:rsidRDefault="0050786B" w:rsidP="0050786B">
      <w:pPr>
        <w:pStyle w:val="SchemeCaption"/>
        <w:spacing w:before="360" w:after="120"/>
        <w:rPr>
          <w:rFonts w:ascii="Times New Roman" w:hAnsi="Times New Roman"/>
          <w:sz w:val="20"/>
          <w:szCs w:val="24"/>
        </w:rPr>
      </w:pPr>
    </w:p>
    <w:p w14:paraId="2870C2DF" w14:textId="77777777" w:rsidR="0050786B" w:rsidRPr="00A33F69" w:rsidRDefault="0050786B" w:rsidP="0050786B">
      <w:pPr>
        <w:pStyle w:val="SchemeCaption"/>
        <w:spacing w:before="360" w:after="120"/>
        <w:rPr>
          <w:rFonts w:ascii="Times New Roman" w:hAnsi="Times New Roman"/>
          <w:sz w:val="20"/>
          <w:szCs w:val="24"/>
        </w:rPr>
      </w:pPr>
    </w:p>
    <w:p w14:paraId="08F0BE7B" w14:textId="12FBFF8D" w:rsidR="0050786B" w:rsidRPr="00A33F69" w:rsidRDefault="009966D1" w:rsidP="0050786B">
      <w:pPr>
        <w:pStyle w:val="SchemeCaption"/>
        <w:spacing w:before="360" w:after="120"/>
        <w:rPr>
          <w:rFonts w:ascii="Times New Roman" w:hAnsi="Times New Roman"/>
          <w:sz w:val="20"/>
          <w:szCs w:val="24"/>
        </w:rPr>
      </w:pPr>
      <w:r w:rsidRPr="00A33F69">
        <w:rPr>
          <w:rFonts w:ascii="Times New Roman" w:eastAsia="HY신명조" w:hAnsi="Times New Roman"/>
          <w:noProof/>
          <w:sz w:val="20"/>
          <w:szCs w:val="24"/>
          <w:lang w:val="en-US" w:eastAsia="ko-KR"/>
        </w:rPr>
        <w:drawing>
          <wp:anchor distT="0" distB="0" distL="114300" distR="114300" simplePos="0" relativeHeight="251688960" behindDoc="0" locked="0" layoutInCell="1" allowOverlap="1" wp14:anchorId="688778E5" wp14:editId="3BA98C90">
            <wp:simplePos x="0" y="0"/>
            <wp:positionH relativeFrom="column">
              <wp:posOffset>-1358</wp:posOffset>
            </wp:positionH>
            <wp:positionV relativeFrom="paragraph">
              <wp:posOffset>-3095782</wp:posOffset>
            </wp:positionV>
            <wp:extent cx="4786258" cy="3338110"/>
            <wp:effectExtent l="0" t="0" r="0" b="0"/>
            <wp:wrapNone/>
            <wp:docPr id="94" name="그림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86258" cy="3338110"/>
                    </a:xfrm>
                    <a:prstGeom prst="rect">
                      <a:avLst/>
                    </a:prstGeom>
                    <a:noFill/>
                    <a:ln>
                      <a:noFill/>
                    </a:ln>
                  </pic:spPr>
                </pic:pic>
              </a:graphicData>
            </a:graphic>
          </wp:anchor>
        </w:drawing>
      </w:r>
    </w:p>
    <w:p w14:paraId="16C82384" w14:textId="77777777" w:rsidR="0050786B" w:rsidRPr="00A33F69" w:rsidRDefault="0050786B" w:rsidP="0050786B">
      <w:pPr>
        <w:rPr>
          <w:sz w:val="20"/>
          <w:lang w:val="en-US"/>
        </w:rPr>
      </w:pPr>
      <w:r w:rsidRPr="00A33F69">
        <w:rPr>
          <w:sz w:val="20"/>
        </w:rPr>
        <w:br w:type="page"/>
      </w:r>
    </w:p>
    <w:p w14:paraId="21942937" w14:textId="77777777" w:rsidR="003829F2" w:rsidRPr="00A33F69" w:rsidRDefault="003829F2" w:rsidP="0050786B">
      <w:pPr>
        <w:pStyle w:val="SchemeCaption"/>
        <w:spacing w:before="360" w:after="120"/>
        <w:rPr>
          <w:rFonts w:ascii="Times New Roman" w:hAnsi="Times New Roman"/>
          <w:b/>
          <w:sz w:val="20"/>
          <w:szCs w:val="24"/>
          <w:lang w:val="en-US"/>
        </w:rPr>
      </w:pPr>
    </w:p>
    <w:p w14:paraId="17074696" w14:textId="5501D222" w:rsidR="0050786B" w:rsidRPr="00A33F69" w:rsidRDefault="0050786B" w:rsidP="0050786B">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22</w:t>
      </w:r>
      <w:r w:rsidRPr="00A33F69">
        <w:rPr>
          <w:rFonts w:ascii="Times New Roman" w:hAnsi="Times New Roman"/>
          <w:b/>
          <w:sz w:val="20"/>
          <w:szCs w:val="24"/>
        </w:rPr>
        <w:t>.</w:t>
      </w:r>
      <w:r w:rsidRPr="00A33F69">
        <w:rPr>
          <w:rFonts w:ascii="Times New Roman" w:hAnsi="Times New Roman"/>
          <w:sz w:val="20"/>
          <w:szCs w:val="24"/>
        </w:rPr>
        <w:t xml:space="preserve"> HMBC spectrum of compound </w:t>
      </w:r>
      <w:r w:rsidRPr="00A33F69">
        <w:rPr>
          <w:rFonts w:ascii="Times New Roman" w:eastAsiaTheme="minorEastAsia" w:hAnsi="Times New Roman"/>
          <w:b/>
          <w:bCs/>
          <w:sz w:val="20"/>
          <w:szCs w:val="24"/>
          <w:lang w:eastAsia="ko-KR"/>
        </w:rPr>
        <w:t>M-</w:t>
      </w:r>
      <w:r w:rsidR="007A663A" w:rsidRPr="00A33F69">
        <w:rPr>
          <w:rFonts w:ascii="Times New Roman" w:hAnsi="Times New Roman"/>
          <w:b/>
          <w:bCs/>
          <w:sz w:val="20"/>
          <w:szCs w:val="24"/>
        </w:rPr>
        <w:t>2</w:t>
      </w:r>
      <w:r w:rsidRPr="00A33F69">
        <w:rPr>
          <w:rFonts w:ascii="Times New Roman" w:hAnsi="Times New Roman"/>
          <w:sz w:val="20"/>
          <w:szCs w:val="24"/>
        </w:rPr>
        <w:t>.</w:t>
      </w:r>
    </w:p>
    <w:p w14:paraId="0D2BB4D9" w14:textId="77777777" w:rsidR="0050786B" w:rsidRPr="00A33F69" w:rsidRDefault="0050786B" w:rsidP="0050786B">
      <w:pPr>
        <w:pStyle w:val="SchemeCaption"/>
        <w:spacing w:before="360" w:after="120"/>
        <w:rPr>
          <w:rFonts w:ascii="Times New Roman" w:hAnsi="Times New Roman"/>
          <w:sz w:val="20"/>
          <w:szCs w:val="24"/>
        </w:rPr>
      </w:pPr>
    </w:p>
    <w:p w14:paraId="60C59FD4" w14:textId="77777777" w:rsidR="0050786B" w:rsidRPr="00A33F69" w:rsidRDefault="0050786B" w:rsidP="0050786B">
      <w:pPr>
        <w:pStyle w:val="SchemeCaption"/>
        <w:spacing w:before="360" w:after="120"/>
        <w:rPr>
          <w:rFonts w:ascii="Times New Roman" w:hAnsi="Times New Roman"/>
          <w:sz w:val="20"/>
          <w:szCs w:val="24"/>
        </w:rPr>
      </w:pPr>
    </w:p>
    <w:p w14:paraId="18916E4C" w14:textId="76D77D54" w:rsidR="0050786B" w:rsidRPr="00A33F69" w:rsidRDefault="0050786B" w:rsidP="0050786B">
      <w:pPr>
        <w:pStyle w:val="SchemeCaption"/>
        <w:spacing w:before="360" w:after="120"/>
        <w:rPr>
          <w:rFonts w:ascii="Times New Roman" w:hAnsi="Times New Roman"/>
          <w:sz w:val="20"/>
          <w:szCs w:val="24"/>
        </w:rPr>
      </w:pPr>
    </w:p>
    <w:p w14:paraId="1E410AC4" w14:textId="77777777" w:rsidR="0050786B" w:rsidRPr="00A33F69" w:rsidRDefault="0050786B" w:rsidP="0050786B">
      <w:pPr>
        <w:pStyle w:val="SchemeCaption"/>
        <w:spacing w:before="360" w:after="120"/>
        <w:rPr>
          <w:rFonts w:ascii="Times New Roman" w:hAnsi="Times New Roman"/>
          <w:sz w:val="20"/>
          <w:szCs w:val="24"/>
        </w:rPr>
      </w:pPr>
    </w:p>
    <w:p w14:paraId="4046BAAC" w14:textId="77777777" w:rsidR="0050786B" w:rsidRPr="00A33F69" w:rsidRDefault="0050786B" w:rsidP="0050786B">
      <w:pPr>
        <w:pStyle w:val="SchemeCaption"/>
        <w:spacing w:before="360" w:after="120"/>
        <w:rPr>
          <w:rFonts w:ascii="Times New Roman" w:hAnsi="Times New Roman"/>
          <w:sz w:val="20"/>
          <w:szCs w:val="24"/>
        </w:rPr>
      </w:pPr>
    </w:p>
    <w:p w14:paraId="74743E89" w14:textId="5D1DAD17" w:rsidR="0050786B" w:rsidRPr="00A33F69" w:rsidRDefault="0050786B" w:rsidP="0050786B">
      <w:pPr>
        <w:pStyle w:val="SchemeCaption"/>
        <w:spacing w:before="360" w:after="120"/>
        <w:rPr>
          <w:rFonts w:ascii="Times New Roman" w:hAnsi="Times New Roman"/>
          <w:sz w:val="20"/>
          <w:szCs w:val="24"/>
        </w:rPr>
      </w:pPr>
    </w:p>
    <w:p w14:paraId="2A8FF6BF" w14:textId="347B2B00" w:rsidR="0050786B" w:rsidRPr="00A33F69" w:rsidRDefault="0050786B" w:rsidP="0050786B">
      <w:pPr>
        <w:pStyle w:val="SchemeCaption"/>
        <w:spacing w:before="360" w:after="120"/>
        <w:rPr>
          <w:rFonts w:ascii="Times New Roman" w:hAnsi="Times New Roman"/>
          <w:sz w:val="20"/>
          <w:szCs w:val="24"/>
        </w:rPr>
      </w:pPr>
    </w:p>
    <w:p w14:paraId="6FF9C34B" w14:textId="77777777" w:rsidR="0050786B" w:rsidRPr="00A33F69" w:rsidRDefault="0050786B" w:rsidP="0050786B">
      <w:pPr>
        <w:pStyle w:val="SchemeCaption"/>
        <w:spacing w:before="360" w:after="120"/>
        <w:rPr>
          <w:rFonts w:ascii="Times New Roman" w:hAnsi="Times New Roman"/>
          <w:sz w:val="20"/>
          <w:szCs w:val="24"/>
        </w:rPr>
      </w:pPr>
    </w:p>
    <w:p w14:paraId="5BC60024" w14:textId="3E92796D" w:rsidR="0050786B" w:rsidRPr="00A33F69" w:rsidRDefault="0050786B" w:rsidP="0050786B">
      <w:pPr>
        <w:pStyle w:val="SchemeCaption"/>
        <w:spacing w:before="360" w:after="120"/>
        <w:rPr>
          <w:rFonts w:ascii="Times New Roman" w:hAnsi="Times New Roman"/>
          <w:sz w:val="20"/>
          <w:szCs w:val="24"/>
        </w:rPr>
      </w:pPr>
    </w:p>
    <w:p w14:paraId="5600547F" w14:textId="4A5DB838" w:rsidR="0050786B" w:rsidRPr="00A33F69" w:rsidRDefault="009966D1" w:rsidP="0050786B">
      <w:pPr>
        <w:pStyle w:val="SchemeCaption"/>
        <w:spacing w:before="360" w:after="120"/>
        <w:rPr>
          <w:rFonts w:ascii="Times New Roman" w:hAnsi="Times New Roman"/>
          <w:sz w:val="20"/>
          <w:szCs w:val="24"/>
        </w:rPr>
      </w:pPr>
      <w:r w:rsidRPr="00A33F69">
        <w:rPr>
          <w:rFonts w:ascii="Times New Roman" w:eastAsia="HY신명조" w:hAnsi="Times New Roman"/>
          <w:b/>
          <w:noProof/>
          <w:sz w:val="20"/>
          <w:szCs w:val="24"/>
          <w:lang w:val="en-US" w:eastAsia="ko-KR"/>
        </w:rPr>
        <w:drawing>
          <wp:anchor distT="0" distB="0" distL="114300" distR="114300" simplePos="0" relativeHeight="251689984" behindDoc="0" locked="0" layoutInCell="1" allowOverlap="1" wp14:anchorId="0C57075F" wp14:editId="75307D75">
            <wp:simplePos x="0" y="0"/>
            <wp:positionH relativeFrom="column">
              <wp:posOffset>-1358</wp:posOffset>
            </wp:positionH>
            <wp:positionV relativeFrom="paragraph">
              <wp:posOffset>-3033540</wp:posOffset>
            </wp:positionV>
            <wp:extent cx="4700336" cy="3278186"/>
            <wp:effectExtent l="0" t="0" r="5080" b="0"/>
            <wp:wrapNone/>
            <wp:docPr id="96" name="그림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00336" cy="3278186"/>
                    </a:xfrm>
                    <a:prstGeom prst="rect">
                      <a:avLst/>
                    </a:prstGeom>
                    <a:noFill/>
                    <a:ln>
                      <a:noFill/>
                    </a:ln>
                  </pic:spPr>
                </pic:pic>
              </a:graphicData>
            </a:graphic>
          </wp:anchor>
        </w:drawing>
      </w:r>
    </w:p>
    <w:p w14:paraId="65B669CC" w14:textId="7FA01288" w:rsidR="0050786B" w:rsidRPr="00A33F69" w:rsidRDefault="0050786B" w:rsidP="0050786B">
      <w:pPr>
        <w:pStyle w:val="SchemeCaption"/>
        <w:spacing w:before="360" w:after="120"/>
        <w:rPr>
          <w:rFonts w:ascii="Times New Roman" w:hAnsi="Times New Roman"/>
          <w:sz w:val="20"/>
          <w:szCs w:val="24"/>
        </w:rPr>
      </w:pPr>
      <w:r w:rsidRPr="00A33F69">
        <w:rPr>
          <w:rFonts w:ascii="Times New Roman" w:hAnsi="Times New Roman"/>
          <w:b/>
          <w:sz w:val="20"/>
          <w:szCs w:val="24"/>
        </w:rPr>
        <w:t>Figure S</w:t>
      </w:r>
      <w:r w:rsidR="00E43AC4" w:rsidRPr="00A33F69">
        <w:rPr>
          <w:rFonts w:ascii="Times New Roman" w:eastAsiaTheme="minorEastAsia" w:hAnsi="Times New Roman" w:hint="eastAsia"/>
          <w:b/>
          <w:sz w:val="20"/>
          <w:szCs w:val="24"/>
          <w:lang w:eastAsia="ko-KR"/>
        </w:rPr>
        <w:t>23.</w:t>
      </w:r>
      <w:r w:rsidRPr="00A33F69">
        <w:rPr>
          <w:rFonts w:ascii="Times New Roman" w:hAnsi="Times New Roman"/>
          <w:sz w:val="20"/>
          <w:szCs w:val="24"/>
        </w:rPr>
        <w:t xml:space="preserve"> </w:t>
      </w:r>
      <w:r w:rsidRPr="00A33F69">
        <w:rPr>
          <w:rFonts w:ascii="Times New Roman" w:hAnsi="Times New Roman"/>
          <w:sz w:val="20"/>
          <w:szCs w:val="24"/>
          <w:lang w:val="en-US"/>
        </w:rPr>
        <w:t xml:space="preserve">NOESY spectrum </w:t>
      </w:r>
      <w:r w:rsidRPr="00A33F69">
        <w:rPr>
          <w:rFonts w:ascii="Times New Roman" w:hAnsi="Times New Roman"/>
          <w:sz w:val="20"/>
          <w:szCs w:val="24"/>
        </w:rPr>
        <w:t xml:space="preserve">of compound </w:t>
      </w:r>
      <w:r w:rsidRPr="00A33F69">
        <w:rPr>
          <w:rFonts w:ascii="Times New Roman" w:eastAsiaTheme="minorEastAsia" w:hAnsi="Times New Roman"/>
          <w:b/>
          <w:bCs/>
          <w:sz w:val="20"/>
          <w:szCs w:val="24"/>
          <w:lang w:eastAsia="ko-KR"/>
        </w:rPr>
        <w:t>M-</w:t>
      </w:r>
      <w:r w:rsidR="007A663A" w:rsidRPr="00A33F69">
        <w:rPr>
          <w:rFonts w:ascii="Times New Roman" w:hAnsi="Times New Roman"/>
          <w:b/>
          <w:bCs/>
          <w:sz w:val="20"/>
          <w:szCs w:val="24"/>
        </w:rPr>
        <w:t>2</w:t>
      </w:r>
      <w:r w:rsidRPr="00A33F69">
        <w:rPr>
          <w:rFonts w:ascii="Times New Roman" w:hAnsi="Times New Roman"/>
          <w:sz w:val="20"/>
          <w:szCs w:val="24"/>
        </w:rPr>
        <w:t>.</w:t>
      </w:r>
    </w:p>
    <w:p w14:paraId="220592E6" w14:textId="6CE68EB1" w:rsidR="0050786B" w:rsidRPr="00A33F69" w:rsidRDefault="0050786B" w:rsidP="0050786B">
      <w:pPr>
        <w:pStyle w:val="P1"/>
        <w:rPr>
          <w:rFonts w:ascii="Times New Roman" w:hAnsi="Times New Roman"/>
          <w:sz w:val="20"/>
          <w:lang w:val="en-GB"/>
        </w:rPr>
      </w:pPr>
    </w:p>
    <w:p w14:paraId="4AE14896" w14:textId="63FCFCF5" w:rsidR="0050786B" w:rsidRPr="00A33F69" w:rsidRDefault="009966D1" w:rsidP="0050786B">
      <w:pPr>
        <w:pStyle w:val="P1"/>
        <w:rPr>
          <w:rFonts w:ascii="Times New Roman" w:hAnsi="Times New Roman"/>
          <w:sz w:val="24"/>
          <w:lang w:val="en-GB"/>
        </w:rPr>
      </w:pPr>
      <w:r w:rsidRPr="00A33F69">
        <w:rPr>
          <w:rFonts w:ascii="Times New Roman" w:eastAsia="HY신명조" w:hAnsi="Times New Roman"/>
          <w:b/>
          <w:noProof/>
          <w:sz w:val="24"/>
          <w:lang w:eastAsia="ko-KR"/>
        </w:rPr>
        <w:drawing>
          <wp:anchor distT="0" distB="0" distL="114300" distR="114300" simplePos="0" relativeHeight="251691008" behindDoc="0" locked="0" layoutInCell="1" allowOverlap="1" wp14:anchorId="3FCEDF8A" wp14:editId="7B812921">
            <wp:simplePos x="0" y="0"/>
            <wp:positionH relativeFrom="margin">
              <wp:align>left</wp:align>
            </wp:positionH>
            <wp:positionV relativeFrom="paragraph">
              <wp:posOffset>2987</wp:posOffset>
            </wp:positionV>
            <wp:extent cx="4678947" cy="3263267"/>
            <wp:effectExtent l="0" t="0" r="7620" b="0"/>
            <wp:wrapNone/>
            <wp:docPr id="99" name="그림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78947" cy="3263267"/>
                    </a:xfrm>
                    <a:prstGeom prst="rect">
                      <a:avLst/>
                    </a:prstGeom>
                    <a:noFill/>
                    <a:ln>
                      <a:noFill/>
                    </a:ln>
                  </pic:spPr>
                </pic:pic>
              </a:graphicData>
            </a:graphic>
          </wp:anchor>
        </w:drawing>
      </w:r>
    </w:p>
    <w:p w14:paraId="3FAA83D3" w14:textId="77777777" w:rsidR="0050786B" w:rsidRPr="00A33F69" w:rsidRDefault="0050786B" w:rsidP="0050786B">
      <w:pPr>
        <w:rPr>
          <w:lang w:val="en-GB"/>
        </w:rPr>
      </w:pPr>
      <w:r w:rsidRPr="00A33F69">
        <w:rPr>
          <w:lang w:val="en-GB"/>
        </w:rPr>
        <w:br w:type="page"/>
      </w:r>
    </w:p>
    <w:p w14:paraId="326F3CEC" w14:textId="4F411B6B" w:rsidR="00C822CF" w:rsidRPr="00A33F69" w:rsidRDefault="00D15306" w:rsidP="00794DEA">
      <w:pPr>
        <w:pStyle w:val="1"/>
        <w:rPr>
          <w:rFonts w:ascii="Times New Roman" w:hAnsi="Times New Roman"/>
          <w:sz w:val="20"/>
          <w:szCs w:val="22"/>
        </w:rPr>
      </w:pPr>
      <w:r w:rsidRPr="00A33F69">
        <w:rPr>
          <w:rFonts w:ascii="Times New Roman" w:hAnsi="Times New Roman"/>
          <w:sz w:val="20"/>
          <w:szCs w:val="22"/>
        </w:rPr>
        <w:lastRenderedPageBreak/>
        <w:t>Supplemental References</w:t>
      </w:r>
    </w:p>
    <w:p w14:paraId="5CF093BA" w14:textId="09AAD0AC" w:rsidR="00724290" w:rsidRPr="00724290" w:rsidRDefault="00940BD9" w:rsidP="00724290">
      <w:pPr>
        <w:adjustRightInd w:val="0"/>
        <w:spacing w:line="240" w:lineRule="exact"/>
        <w:rPr>
          <w:noProof/>
          <w:sz w:val="20"/>
        </w:rPr>
      </w:pPr>
      <w:r w:rsidRPr="00A33F69">
        <w:rPr>
          <w:sz w:val="20"/>
          <w:szCs w:val="20"/>
        </w:rPr>
        <w:fldChar w:fldCharType="begin" w:fldLock="1"/>
      </w:r>
      <w:r w:rsidRPr="00A33F69">
        <w:rPr>
          <w:sz w:val="20"/>
          <w:szCs w:val="20"/>
        </w:rPr>
        <w:instrText xml:space="preserve">ADDIN Mendeley Bibliography CSL_BIBLIOGRAPHY </w:instrText>
      </w:r>
      <w:r w:rsidRPr="00A33F69">
        <w:rPr>
          <w:sz w:val="20"/>
          <w:szCs w:val="20"/>
        </w:rPr>
        <w:fldChar w:fldCharType="separate"/>
      </w:r>
      <w:r w:rsidR="00724290" w:rsidRPr="00724290">
        <w:rPr>
          <w:noProof/>
          <w:sz w:val="20"/>
        </w:rPr>
        <w:t>1. Jo MS, Lee S, Yu JS, Baek SC, Cho YC, Kim KH. Megastigmane Derivatives from the Cladodes of Opuntia humifusa and Their Nitric Oxide Inhibitory Activities in Macrophages. J Nat Prod. 2020;83:684–92.</w:t>
      </w:r>
    </w:p>
    <w:p w14:paraId="14602FD9" w14:textId="77777777" w:rsidR="00724290" w:rsidRPr="00724290" w:rsidRDefault="00724290" w:rsidP="00724290">
      <w:pPr>
        <w:adjustRightInd w:val="0"/>
        <w:spacing w:line="240" w:lineRule="exact"/>
        <w:rPr>
          <w:noProof/>
          <w:sz w:val="20"/>
        </w:rPr>
      </w:pPr>
      <w:r w:rsidRPr="00724290">
        <w:rPr>
          <w:noProof/>
          <w:sz w:val="20"/>
        </w:rPr>
        <w:t>2. Tanaka T, Nakashima T, Ueda T, Tomii K, Kouno I. Facile discrimination of aldose enantiomers by reversed-phase HPLC. Chem Pharm Bull (Tokyo). 2007;55:899–901.</w:t>
      </w:r>
    </w:p>
    <w:p w14:paraId="4918532D" w14:textId="77777777" w:rsidR="00724290" w:rsidRPr="00724290" w:rsidRDefault="00724290" w:rsidP="00724290">
      <w:pPr>
        <w:adjustRightInd w:val="0"/>
        <w:spacing w:line="240" w:lineRule="exact"/>
        <w:rPr>
          <w:noProof/>
          <w:sz w:val="20"/>
        </w:rPr>
      </w:pPr>
      <w:r w:rsidRPr="00724290">
        <w:rPr>
          <w:noProof/>
          <w:sz w:val="20"/>
        </w:rPr>
        <w:t>3. Liao Y, Smyth GK, Shi W. The Subread aligner: fast, accurate and scalable read mapping by seed-and-vote. Nucleic Acids Res. 2013;41.</w:t>
      </w:r>
    </w:p>
    <w:p w14:paraId="453BB9CB" w14:textId="77777777" w:rsidR="00724290" w:rsidRPr="00724290" w:rsidRDefault="00724290" w:rsidP="00724290">
      <w:pPr>
        <w:adjustRightInd w:val="0"/>
        <w:spacing w:line="240" w:lineRule="exact"/>
        <w:rPr>
          <w:noProof/>
          <w:sz w:val="20"/>
        </w:rPr>
      </w:pPr>
      <w:r w:rsidRPr="00724290">
        <w:rPr>
          <w:noProof/>
          <w:sz w:val="20"/>
        </w:rPr>
        <w:t>4. Love MI, Huber W, Anders S. Moderated estimation of fold change and dispersion for RNA-seq data with DESeq2. Genome Biol. 2014;15:1–21.</w:t>
      </w:r>
    </w:p>
    <w:p w14:paraId="1F536F6C" w14:textId="77777777" w:rsidR="00724290" w:rsidRPr="00724290" w:rsidRDefault="00724290" w:rsidP="00724290">
      <w:pPr>
        <w:adjustRightInd w:val="0"/>
        <w:spacing w:line="240" w:lineRule="exact"/>
        <w:rPr>
          <w:noProof/>
          <w:sz w:val="20"/>
        </w:rPr>
      </w:pPr>
      <w:r w:rsidRPr="00724290">
        <w:rPr>
          <w:noProof/>
          <w:sz w:val="20"/>
        </w:rPr>
        <w:t>5. Wu T, Hu E, Xu S, Chen M, Guo P, Dai Z, et al. clusterProfiler 4.0: A universal enrichment tool for interpreting omics data. Innov (Cambridge. 2021;2.</w:t>
      </w:r>
    </w:p>
    <w:p w14:paraId="5EE6516F" w14:textId="77777777" w:rsidR="00724290" w:rsidRPr="00724290" w:rsidRDefault="00724290" w:rsidP="00724290">
      <w:pPr>
        <w:adjustRightInd w:val="0"/>
        <w:spacing w:line="240" w:lineRule="exact"/>
        <w:rPr>
          <w:noProof/>
          <w:sz w:val="20"/>
        </w:rPr>
      </w:pPr>
      <w:r w:rsidRPr="00724290">
        <w:rPr>
          <w:noProof/>
          <w:sz w:val="20"/>
        </w:rPr>
        <w:t>6. Luo W, Brouwer C. Pathview: an R/Bioconductor package for pathway-based data integration and visualization. Bioinformatics. 2013;29:1830–1.</w:t>
      </w:r>
    </w:p>
    <w:p w14:paraId="44CEE8F0" w14:textId="77777777" w:rsidR="00724290" w:rsidRPr="00724290" w:rsidRDefault="00724290" w:rsidP="00724290">
      <w:pPr>
        <w:adjustRightInd w:val="0"/>
        <w:spacing w:line="240" w:lineRule="exact"/>
        <w:rPr>
          <w:noProof/>
          <w:sz w:val="20"/>
        </w:rPr>
      </w:pPr>
      <w:r w:rsidRPr="00724290">
        <w:rPr>
          <w:noProof/>
          <w:sz w:val="20"/>
        </w:rPr>
        <w:t>7. Hänzelmann S, Castelo R, Guinney J. GSVA: Gene set variation analysis for microarray and RNA-Seq data. BMC Bioinformatics. 2013;14:1–15.</w:t>
      </w:r>
    </w:p>
    <w:p w14:paraId="50CB2251" w14:textId="77777777" w:rsidR="00724290" w:rsidRPr="00724290" w:rsidRDefault="00724290" w:rsidP="00724290">
      <w:pPr>
        <w:adjustRightInd w:val="0"/>
        <w:spacing w:line="240" w:lineRule="exact"/>
        <w:rPr>
          <w:noProof/>
          <w:sz w:val="20"/>
        </w:rPr>
      </w:pPr>
      <w:r w:rsidRPr="00724290">
        <w:rPr>
          <w:noProof/>
          <w:sz w:val="20"/>
        </w:rPr>
        <w:t>8. Saokaew S, Wilairat P, Raktanyakan P, Dilokthornsakul P, Dhippayom T, Kongkaew C, et al. Clinical Effects of Krachaidum ( Kaempferia parviflora): A Systematic Review. J Evid Based Complementary Altern Med. 2017;22:413–28.</w:t>
      </w:r>
    </w:p>
    <w:p w14:paraId="1BF0632E" w14:textId="77777777" w:rsidR="00724290" w:rsidRPr="00724290" w:rsidRDefault="00724290" w:rsidP="00724290">
      <w:pPr>
        <w:adjustRightInd w:val="0"/>
        <w:spacing w:line="240" w:lineRule="exact"/>
        <w:rPr>
          <w:noProof/>
          <w:sz w:val="20"/>
        </w:rPr>
      </w:pPr>
      <w:r w:rsidRPr="00724290">
        <w:rPr>
          <w:noProof/>
          <w:sz w:val="20"/>
        </w:rPr>
        <w:t>9. Toda K, Hitoe S, Takeda S, Shimoda H. Black ginger extract increases physical fitness performance and muscular endurance by improving inflammation and energy metabolism. Heliyon. 2016;2.</w:t>
      </w:r>
    </w:p>
    <w:p w14:paraId="7019A8CF" w14:textId="77777777" w:rsidR="00724290" w:rsidRPr="00724290" w:rsidRDefault="00724290" w:rsidP="00724290">
      <w:pPr>
        <w:adjustRightInd w:val="0"/>
        <w:spacing w:line="240" w:lineRule="exact"/>
        <w:rPr>
          <w:noProof/>
          <w:sz w:val="20"/>
        </w:rPr>
      </w:pPr>
      <w:r w:rsidRPr="00724290">
        <w:rPr>
          <w:noProof/>
          <w:sz w:val="20"/>
        </w:rPr>
        <w:t>10. Chen D, Li H, Li W, Feng S, Deng D. Kaempferia parviflora and Its Methoxyflavones: Chemistry and Biological Activities. Evid Based Complement Alternat Med. 2018;2018.</w:t>
      </w:r>
    </w:p>
    <w:p w14:paraId="236E09E2" w14:textId="77777777" w:rsidR="00724290" w:rsidRPr="00724290" w:rsidRDefault="00724290" w:rsidP="00724290">
      <w:pPr>
        <w:adjustRightInd w:val="0"/>
        <w:spacing w:line="240" w:lineRule="exact"/>
        <w:rPr>
          <w:noProof/>
          <w:sz w:val="20"/>
        </w:rPr>
      </w:pPr>
      <w:r w:rsidRPr="00724290">
        <w:rPr>
          <w:noProof/>
          <w:sz w:val="20"/>
        </w:rPr>
        <w:t>11. Wu L, Liu H, Li L, Liu H, Yang K, Liu Z, et al. 5,7,3’,4’-Tetramethoxyflavone exhibits chondroprotective activity by targeting β-catenin signaling in vivo and in vitro. Biochem Biophys Res Commun. 2014;452:682–8.</w:t>
      </w:r>
    </w:p>
    <w:p w14:paraId="4F7DE02B" w14:textId="77777777" w:rsidR="00724290" w:rsidRPr="00724290" w:rsidRDefault="00724290" w:rsidP="00724290">
      <w:pPr>
        <w:adjustRightInd w:val="0"/>
        <w:spacing w:line="240" w:lineRule="exact"/>
        <w:rPr>
          <w:noProof/>
          <w:sz w:val="20"/>
        </w:rPr>
      </w:pPr>
      <w:r w:rsidRPr="00724290">
        <w:rPr>
          <w:noProof/>
          <w:sz w:val="20"/>
        </w:rPr>
        <w:t>12. Azuma T, Tanaka Y, Kikuzaki H. Phenolic glycosides from Kaempferia parviflora. Phytochemistry. 2008;69:2743–8.</w:t>
      </w:r>
    </w:p>
    <w:p w14:paraId="2B0DACE3" w14:textId="77777777" w:rsidR="00724290" w:rsidRPr="00724290" w:rsidRDefault="00724290" w:rsidP="00724290">
      <w:pPr>
        <w:adjustRightInd w:val="0"/>
        <w:spacing w:line="240" w:lineRule="exact"/>
        <w:rPr>
          <w:noProof/>
          <w:sz w:val="20"/>
        </w:rPr>
      </w:pPr>
      <w:r w:rsidRPr="00724290">
        <w:rPr>
          <w:noProof/>
          <w:sz w:val="20"/>
        </w:rPr>
        <w:t>13. Okabe Y, Shimada T, Horikawa T, Kinoshita K, Koyama K, Ichinose K, et al. Suppression of adipocyte hypertrophy by polymethoxyflavonoids isolated from Kaempferia parviflora. Phytomedicine. 2014;21:800–6.</w:t>
      </w:r>
    </w:p>
    <w:p w14:paraId="46AE3D15" w14:textId="77777777" w:rsidR="00724290" w:rsidRPr="00724290" w:rsidRDefault="00724290" w:rsidP="00724290">
      <w:pPr>
        <w:adjustRightInd w:val="0"/>
        <w:spacing w:line="240" w:lineRule="exact"/>
        <w:rPr>
          <w:noProof/>
          <w:sz w:val="20"/>
        </w:rPr>
      </w:pPr>
      <w:r w:rsidRPr="00724290">
        <w:rPr>
          <w:noProof/>
          <w:sz w:val="20"/>
        </w:rPr>
        <w:t>14. Vijayan K, Chauhan S, Das NK, Chakraborti SP, Roy BN. Leaf yield component combining abilities in mulberry (Morus spp.). Euphytica. 1997;98:47–52.</w:t>
      </w:r>
    </w:p>
    <w:p w14:paraId="256A2672" w14:textId="77777777" w:rsidR="00724290" w:rsidRPr="00724290" w:rsidRDefault="00724290" w:rsidP="00724290">
      <w:pPr>
        <w:adjustRightInd w:val="0"/>
        <w:spacing w:line="240" w:lineRule="exact"/>
        <w:rPr>
          <w:noProof/>
          <w:sz w:val="20"/>
        </w:rPr>
      </w:pPr>
      <w:r w:rsidRPr="00724290">
        <w:rPr>
          <w:noProof/>
          <w:sz w:val="20"/>
        </w:rPr>
        <w:t>15. Sass-Kiss A, Kiss J, Milotay P, Kerek MM, Toth-Markus M. Differences in anthocyanin and carotenoid content of fruits and vegetables. Food Res Int. 2005;38:1023–9.</w:t>
      </w:r>
    </w:p>
    <w:p w14:paraId="7451B8C1" w14:textId="77777777" w:rsidR="00724290" w:rsidRPr="00724290" w:rsidRDefault="00724290" w:rsidP="00724290">
      <w:pPr>
        <w:adjustRightInd w:val="0"/>
        <w:spacing w:line="240" w:lineRule="exact"/>
        <w:rPr>
          <w:noProof/>
          <w:sz w:val="20"/>
        </w:rPr>
      </w:pPr>
      <w:r w:rsidRPr="00724290">
        <w:rPr>
          <w:noProof/>
          <w:sz w:val="20"/>
        </w:rPr>
        <w:t>16. Zhao S, Park CH, Li X, Kim YB, Yang J, Sung GB, et al. Accumulation of Rutin and Betulinic Acid and Expression of Phenylpropanoid and Triterpenoid Biosynthetic Genes in Mulberry (Morus alba L.). J Agric Food Chem. 2015;63:8622–30.</w:t>
      </w:r>
    </w:p>
    <w:p w14:paraId="7E29C00B" w14:textId="77777777" w:rsidR="00724290" w:rsidRPr="00724290" w:rsidRDefault="00724290" w:rsidP="00724290">
      <w:pPr>
        <w:adjustRightInd w:val="0"/>
        <w:spacing w:line="240" w:lineRule="exact"/>
        <w:rPr>
          <w:noProof/>
          <w:sz w:val="20"/>
        </w:rPr>
      </w:pPr>
      <w:r w:rsidRPr="00724290">
        <w:rPr>
          <w:noProof/>
          <w:sz w:val="20"/>
        </w:rPr>
        <w:t>17. Lee SR, Park JY, Yu JS, Lee SO, Ryu JY, Choi SZ, et al. Odisolane, a Novel Oxolane Derivative, and Antiangiogenic Constituents from the Fruits of Mulberry (Morus alba L.). J Agric Food Chem. 2016;64:3804–9.</w:t>
      </w:r>
    </w:p>
    <w:p w14:paraId="22B9509F" w14:textId="77777777" w:rsidR="00724290" w:rsidRPr="00724290" w:rsidRDefault="00724290" w:rsidP="00724290">
      <w:pPr>
        <w:adjustRightInd w:val="0"/>
        <w:spacing w:line="240" w:lineRule="exact"/>
        <w:rPr>
          <w:noProof/>
          <w:sz w:val="20"/>
        </w:rPr>
      </w:pPr>
      <w:r w:rsidRPr="00724290">
        <w:rPr>
          <w:noProof/>
          <w:sz w:val="20"/>
        </w:rPr>
        <w:t>18. Oki T, Kobayashi M, Nakamura T, Okuyama A, Masuda M, Shiratsuchi H, et al. Changes in radical-scavenging activity and components of mulberry fruit during maturation. J Food Sci. 2006;71.</w:t>
      </w:r>
    </w:p>
    <w:p w14:paraId="3A56A985" w14:textId="77777777" w:rsidR="00724290" w:rsidRPr="00724290" w:rsidRDefault="00724290" w:rsidP="00724290">
      <w:pPr>
        <w:adjustRightInd w:val="0"/>
        <w:spacing w:line="240" w:lineRule="exact"/>
        <w:rPr>
          <w:noProof/>
          <w:sz w:val="20"/>
        </w:rPr>
      </w:pPr>
      <w:r w:rsidRPr="00724290">
        <w:rPr>
          <w:noProof/>
          <w:sz w:val="20"/>
        </w:rPr>
        <w:t>19. Jeong JY, Jo YH, Kim SB, Liu Q, Lee JW, Mo EJ, et al. Pancreatic lipase inhibitory constituents from Morus alba leaves and optimization for extraction conditions. Bioorg Med Chem Lett. 2015;25:2269–74.</w:t>
      </w:r>
    </w:p>
    <w:p w14:paraId="29B23147" w14:textId="77777777" w:rsidR="00724290" w:rsidRPr="00724290" w:rsidRDefault="00724290" w:rsidP="00724290">
      <w:pPr>
        <w:adjustRightInd w:val="0"/>
        <w:spacing w:line="240" w:lineRule="exact"/>
        <w:rPr>
          <w:noProof/>
          <w:sz w:val="20"/>
        </w:rPr>
      </w:pPr>
      <w:r w:rsidRPr="00724290">
        <w:rPr>
          <w:noProof/>
          <w:sz w:val="20"/>
        </w:rPr>
        <w:t>20. Tran TD, Yeon SC, Kim J, Hyun PK, Kim S, Park H. Synthesis and PGE2 inhibitory activity of 5,7-dihydroxyflavones and their O-methylated flavone analogs. Arch Pharm Res. 2003;26:345–50.</w:t>
      </w:r>
    </w:p>
    <w:p w14:paraId="34194217" w14:textId="77777777" w:rsidR="00724290" w:rsidRPr="00724290" w:rsidRDefault="00724290" w:rsidP="00724290">
      <w:pPr>
        <w:adjustRightInd w:val="0"/>
        <w:spacing w:line="240" w:lineRule="exact"/>
        <w:rPr>
          <w:noProof/>
          <w:sz w:val="20"/>
        </w:rPr>
      </w:pPr>
      <w:r w:rsidRPr="00724290">
        <w:rPr>
          <w:noProof/>
          <w:sz w:val="20"/>
        </w:rPr>
        <w:t>21. Chou TH, Chen JJ, Lee SJ, Chiang MY, Yang CW, Chen IS. Cytotoxic flavonoids from the leaves of Cryptocarya chinensis. J Nat Prod. 2010;73:1470–5.</w:t>
      </w:r>
    </w:p>
    <w:p w14:paraId="48094944" w14:textId="77777777" w:rsidR="00724290" w:rsidRPr="00724290" w:rsidRDefault="00724290" w:rsidP="00724290">
      <w:pPr>
        <w:adjustRightInd w:val="0"/>
        <w:spacing w:line="240" w:lineRule="exact"/>
        <w:rPr>
          <w:noProof/>
          <w:sz w:val="20"/>
        </w:rPr>
      </w:pPr>
      <w:r w:rsidRPr="00724290">
        <w:rPr>
          <w:noProof/>
          <w:sz w:val="20"/>
        </w:rPr>
        <w:t>22. Nguyen TKP, Nguyen KPP, Kamounah FS, Zhang W, Hansen PE. NMR of a series of novel hydroxyflavothiones. Magn Reson Chem. 2009;47:1043–54.</w:t>
      </w:r>
    </w:p>
    <w:p w14:paraId="274C9889" w14:textId="77777777" w:rsidR="00724290" w:rsidRPr="00724290" w:rsidRDefault="00724290" w:rsidP="00724290">
      <w:pPr>
        <w:adjustRightInd w:val="0"/>
        <w:spacing w:line="240" w:lineRule="exact"/>
        <w:rPr>
          <w:noProof/>
          <w:sz w:val="20"/>
        </w:rPr>
      </w:pPr>
      <w:r w:rsidRPr="00724290">
        <w:rPr>
          <w:noProof/>
          <w:sz w:val="20"/>
        </w:rPr>
        <w:t>23. Tarbeeva D V., Fedoreev SA, Veselova M V., Kalinovskii AI, Gorovoi PG, Vishchuk OS, et al. Polyphenolic Metabolites from Iris pseudacorus Roots. Chem Nat Compd 2015 513. 2015;51:451–5.</w:t>
      </w:r>
    </w:p>
    <w:p w14:paraId="408489A6" w14:textId="77777777" w:rsidR="00724290" w:rsidRPr="00724290" w:rsidRDefault="00724290" w:rsidP="00724290">
      <w:pPr>
        <w:adjustRightInd w:val="0"/>
        <w:spacing w:line="240" w:lineRule="exact"/>
        <w:rPr>
          <w:noProof/>
          <w:sz w:val="20"/>
        </w:rPr>
      </w:pPr>
      <w:r w:rsidRPr="00724290">
        <w:rPr>
          <w:noProof/>
          <w:sz w:val="20"/>
        </w:rPr>
        <w:t>24. Korenaga T, Hayashi K, Akaki Y, Maenishi R, Sakai T. Highly enantioselective and efficient synthesis of flavanones including pinostrobin through the rhodium-catalyzed asymmetric 1,4-addition. Org Lett. 2011;13:2022–5.</w:t>
      </w:r>
    </w:p>
    <w:p w14:paraId="37A182E4" w14:textId="77777777" w:rsidR="00724290" w:rsidRPr="00724290" w:rsidRDefault="00724290" w:rsidP="00724290">
      <w:pPr>
        <w:adjustRightInd w:val="0"/>
        <w:spacing w:line="240" w:lineRule="exact"/>
        <w:rPr>
          <w:noProof/>
          <w:sz w:val="20"/>
        </w:rPr>
      </w:pPr>
      <w:r w:rsidRPr="00724290">
        <w:rPr>
          <w:noProof/>
          <w:sz w:val="20"/>
        </w:rPr>
        <w:t>25. Chen HJ, Chung CP, Chiang W, Lin YL. Anti-inflammatory effects and chemical study of a flavonoid-enriched fraction from adlay bran. Food Chem. 2011;126:1741–8.</w:t>
      </w:r>
    </w:p>
    <w:p w14:paraId="4A2739A6" w14:textId="77777777" w:rsidR="00724290" w:rsidRPr="00724290" w:rsidRDefault="00724290" w:rsidP="00724290">
      <w:pPr>
        <w:adjustRightInd w:val="0"/>
        <w:spacing w:line="240" w:lineRule="exact"/>
        <w:rPr>
          <w:noProof/>
          <w:sz w:val="20"/>
        </w:rPr>
      </w:pPr>
      <w:r w:rsidRPr="00724290">
        <w:rPr>
          <w:noProof/>
          <w:sz w:val="20"/>
        </w:rPr>
        <w:t>26. Dae SJ, Han AR, Park G, Jhon GJ, Seo EK. Flavonoids and aromatic compounds from the rhizomes of Zingiber zerumbet. Arch Pharm Res. 2004;27:386–9.</w:t>
      </w:r>
    </w:p>
    <w:p w14:paraId="5DDB6075" w14:textId="77777777" w:rsidR="00724290" w:rsidRPr="00724290" w:rsidRDefault="00724290" w:rsidP="00724290">
      <w:pPr>
        <w:adjustRightInd w:val="0"/>
        <w:spacing w:line="240" w:lineRule="exact"/>
        <w:rPr>
          <w:noProof/>
          <w:sz w:val="20"/>
        </w:rPr>
      </w:pPr>
      <w:r w:rsidRPr="00724290">
        <w:rPr>
          <w:noProof/>
          <w:sz w:val="20"/>
        </w:rPr>
        <w:t>27. Sookkongwaree K, Geitmann M, Roengsumran S, Petsom A, Danielson UH. Inhibition of viral proteases by Zingiberaceae extracts and flavones isolated from Kaempferia parviflora. Pharmazie. 2006;61:717–21.</w:t>
      </w:r>
    </w:p>
    <w:p w14:paraId="44104976" w14:textId="77777777" w:rsidR="00724290" w:rsidRPr="00724290" w:rsidRDefault="00724290" w:rsidP="00724290">
      <w:pPr>
        <w:adjustRightInd w:val="0"/>
        <w:spacing w:line="240" w:lineRule="exact"/>
        <w:rPr>
          <w:noProof/>
          <w:sz w:val="20"/>
        </w:rPr>
      </w:pPr>
      <w:r w:rsidRPr="00724290">
        <w:rPr>
          <w:noProof/>
          <w:sz w:val="20"/>
        </w:rPr>
        <w:t>28. Kazuma K, Noda N, Suzuki M. Malonylated flavonol glycosides from the petals of Clitoria ternatea. Phytochemistry. 2003;62:229–37.</w:t>
      </w:r>
    </w:p>
    <w:p w14:paraId="3FDF0F5B" w14:textId="77777777" w:rsidR="00724290" w:rsidRPr="00724290" w:rsidRDefault="00724290" w:rsidP="00724290">
      <w:pPr>
        <w:adjustRightInd w:val="0"/>
        <w:spacing w:line="240" w:lineRule="exact"/>
        <w:rPr>
          <w:noProof/>
          <w:sz w:val="20"/>
        </w:rPr>
      </w:pPr>
      <w:r w:rsidRPr="00724290">
        <w:rPr>
          <w:noProof/>
          <w:sz w:val="20"/>
        </w:rPr>
        <w:lastRenderedPageBreak/>
        <w:t>29. Kawai Y, Ishisaka A, Saito S, Uchida K, Shibata N, Kobayashi M, et al. Immunochemical detection of flavonoid glycosides: development, specificity, and application of novel monoclonal antibodies. Arch Biochem Biophys. 2008;476:124–32.</w:t>
      </w:r>
    </w:p>
    <w:p w14:paraId="6B5CE794" w14:textId="77777777" w:rsidR="00724290" w:rsidRPr="00724290" w:rsidRDefault="00724290" w:rsidP="00724290">
      <w:pPr>
        <w:adjustRightInd w:val="0"/>
        <w:spacing w:line="240" w:lineRule="exact"/>
        <w:rPr>
          <w:noProof/>
          <w:sz w:val="20"/>
        </w:rPr>
      </w:pPr>
      <w:r w:rsidRPr="00724290">
        <w:rPr>
          <w:noProof/>
          <w:sz w:val="20"/>
        </w:rPr>
        <w:t>30. Baek SC, Yi SA, Lee BS, Yu JS, Kim JC, Pang C, et al. Anti-Adipogenic Polyacetylene Glycosides from the Florets of Safflower ( Carthamus tinctorius). Biomedicines. 2021;9:1–12.</w:t>
      </w:r>
    </w:p>
    <w:p w14:paraId="662D0A94" w14:textId="77777777" w:rsidR="00724290" w:rsidRPr="00724290" w:rsidRDefault="00724290" w:rsidP="00724290">
      <w:pPr>
        <w:adjustRightInd w:val="0"/>
        <w:spacing w:line="240" w:lineRule="exact"/>
        <w:rPr>
          <w:noProof/>
          <w:sz w:val="20"/>
        </w:rPr>
      </w:pPr>
      <w:r w:rsidRPr="00724290">
        <w:rPr>
          <w:noProof/>
          <w:sz w:val="20"/>
        </w:rPr>
        <w:t>31. Duru CE, Umar HIU, Duru IA, Enenebeaku UE, Ngozi-Olehi LC, Enyoh CE. Blocking the interactions between human ACE2 and coronavirus spike glycoprotein by selected drugs: a computational perspective. Environ Anal Heal Toxicol. 2021;36.</w:t>
      </w:r>
    </w:p>
    <w:p w14:paraId="68FBCCAB" w14:textId="77777777" w:rsidR="00724290" w:rsidRPr="00724290" w:rsidRDefault="00724290" w:rsidP="00724290">
      <w:pPr>
        <w:adjustRightInd w:val="0"/>
        <w:spacing w:line="240" w:lineRule="exact"/>
        <w:rPr>
          <w:noProof/>
          <w:sz w:val="20"/>
        </w:rPr>
      </w:pPr>
      <w:r w:rsidRPr="00724290">
        <w:rPr>
          <w:noProof/>
          <w:sz w:val="20"/>
        </w:rPr>
        <w:t>32. Danieli B, Bertario A, Carrea G, Redigolo B, Secundo F, Riva S. Chemo-enzymatic Synthesis of 6″-O-(3-Arylprop-2-enoyl) Derivatives of the Flavonol Glucoside Isoquercitrin. Helv Chim Acta. 1993;76:2981–91.</w:t>
      </w:r>
    </w:p>
    <w:p w14:paraId="1EE7B475" w14:textId="77777777" w:rsidR="00724290" w:rsidRPr="00724290" w:rsidRDefault="00724290" w:rsidP="00724290">
      <w:pPr>
        <w:adjustRightInd w:val="0"/>
        <w:spacing w:line="240" w:lineRule="exact"/>
        <w:rPr>
          <w:noProof/>
          <w:sz w:val="20"/>
        </w:rPr>
      </w:pPr>
      <w:r w:rsidRPr="00724290">
        <w:rPr>
          <w:noProof/>
          <w:sz w:val="20"/>
        </w:rPr>
        <w:t>33. Han JT, Bang MH, Chun OK, Kim DO, Lee CY, Baek NI. Flavonol glycosides from the aerial parts of Aceriphyllum rossii and their antioxidant activities. Arch Pharm Res. 2004;27:390–5.</w:t>
      </w:r>
    </w:p>
    <w:p w14:paraId="5934D7F0" w14:textId="584471A8" w:rsidR="00A33868" w:rsidRDefault="00940BD9" w:rsidP="00FE6FB6">
      <w:pPr>
        <w:pStyle w:val="References"/>
      </w:pPr>
      <w:r w:rsidRPr="00A33F69">
        <w:rPr>
          <w:rFonts w:ascii="Times New Roman" w:hAnsi="Times New Roman"/>
          <w:sz w:val="20"/>
          <w:szCs w:val="20"/>
        </w:rPr>
        <w:fldChar w:fldCharType="end"/>
      </w:r>
    </w:p>
    <w:sectPr w:rsidR="00A33868" w:rsidSect="004E0056">
      <w:type w:val="continuous"/>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47986" w14:textId="77777777" w:rsidR="00876099" w:rsidRDefault="00876099">
      <w:r>
        <w:separator/>
      </w:r>
    </w:p>
    <w:p w14:paraId="64F6CDF0" w14:textId="77777777" w:rsidR="00876099" w:rsidRDefault="00876099"/>
  </w:endnote>
  <w:endnote w:type="continuationSeparator" w:id="0">
    <w:p w14:paraId="2BAA40CA" w14:textId="77777777" w:rsidR="00876099" w:rsidRDefault="00876099">
      <w:r>
        <w:continuationSeparator/>
      </w:r>
    </w:p>
    <w:p w14:paraId="3D845AE0" w14:textId="77777777" w:rsidR="00876099" w:rsidRDefault="008760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Y신명조">
    <w:panose1 w:val="02030600000101010101"/>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9259" w14:textId="1F4CA594" w:rsidR="001E3A28" w:rsidRDefault="001E3A28">
    <w:pPr>
      <w:pStyle w:val="a4"/>
      <w:jc w:val="center"/>
    </w:pPr>
    <w:r>
      <w:fldChar w:fldCharType="begin"/>
    </w:r>
    <w:r>
      <w:instrText xml:space="preserve"> PAGE   \* MERGEFORMAT </w:instrText>
    </w:r>
    <w:r>
      <w:fldChar w:fldCharType="separate"/>
    </w:r>
    <w:r w:rsidR="00724290">
      <w:rPr>
        <w:noProof/>
      </w:rPr>
      <w:t>21</w:t>
    </w:r>
    <w:r>
      <w:rPr>
        <w:noProof/>
      </w:rPr>
      <w:fldChar w:fldCharType="end"/>
    </w:r>
  </w:p>
  <w:p w14:paraId="40712677" w14:textId="77777777" w:rsidR="001E3A28" w:rsidRPr="00205632" w:rsidRDefault="001E3A28" w:rsidP="000C457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84D82" w14:textId="77777777" w:rsidR="00876099" w:rsidRDefault="00876099">
      <w:r>
        <w:separator/>
      </w:r>
    </w:p>
    <w:p w14:paraId="7BD22E5E" w14:textId="77777777" w:rsidR="00876099" w:rsidRDefault="00876099"/>
  </w:footnote>
  <w:footnote w:type="continuationSeparator" w:id="0">
    <w:p w14:paraId="2EEC6D8C" w14:textId="77777777" w:rsidR="00876099" w:rsidRDefault="00876099">
      <w:r>
        <w:continuationSeparator/>
      </w:r>
    </w:p>
    <w:p w14:paraId="3F336408" w14:textId="77777777" w:rsidR="00876099" w:rsidRDefault="008760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88360" w14:textId="127086C5" w:rsidR="001E3A28" w:rsidRPr="00971FC5" w:rsidRDefault="001E3A28" w:rsidP="000C4579">
    <w:pPr>
      <w:pStyle w:val="a3"/>
      <w:pBdr>
        <w:bottom w:val="single" w:sz="18" w:space="1" w:color="C0C0C0"/>
      </w:pBdr>
      <w:rPr>
        <w:rFonts w:ascii="Arial Narrow" w:hAnsi="Arial Narrow" w:cs="Arial"/>
        <w:sz w:val="32"/>
        <w:szCs w:val="36"/>
      </w:rPr>
    </w:pPr>
    <w:r w:rsidRPr="00D15306">
      <w:rPr>
        <w:rFonts w:ascii="Arial Narrow" w:hAnsi="Arial Narrow" w:cs="Arial"/>
        <w:b/>
        <w:bCs/>
        <w:color w:val="C0C0C0"/>
        <w:sz w:val="32"/>
        <w:szCs w:val="36"/>
      </w:rPr>
      <w:t xml:space="preserve">Supplemental </w:t>
    </w:r>
    <w:r w:rsidRPr="00C359D6">
      <w:rPr>
        <w:rFonts w:ascii="Arial Narrow" w:hAnsi="Arial Narrow" w:cs="Arial"/>
        <w:b/>
        <w:bCs/>
        <w:color w:val="C0C0C0"/>
        <w:sz w:val="32"/>
        <w:szCs w:val="36"/>
      </w:rPr>
      <w:t>information</w:t>
    </w:r>
    <w:r w:rsidRPr="00971FC5">
      <w:rPr>
        <w:rFonts w:ascii="Arial Narrow" w:hAnsi="Arial Narrow" w:cs="Arial"/>
        <w:sz w:val="32"/>
        <w:szCs w:val="36"/>
      </w:rPr>
      <w:tab/>
    </w:r>
    <w:r w:rsidRPr="00971FC5">
      <w:rPr>
        <w:rFonts w:ascii="Arial Narrow" w:hAnsi="Arial Narrow" w:cs="Arial"/>
        <w:sz w:val="32"/>
        <w:szCs w:val="36"/>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8.15pt;height:16.3pt" o:bullet="t">
        <v:imagedata r:id="rId1" o:title=""/>
      </v:shape>
    </w:pict>
  </w:numPicBullet>
  <w:abstractNum w:abstractNumId="0"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0021B"/>
    <w:multiLevelType w:val="hybridMultilevel"/>
    <w:tmpl w:val="312A6E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974337">
    <w:abstractNumId w:val="1"/>
  </w:num>
  <w:num w:numId="2" w16cid:durableId="129298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2">
      <o:colormru v:ext="edit" colors="#eaeaea"/>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DC4"/>
    <w:rsid w:val="0000159A"/>
    <w:rsid w:val="000015A8"/>
    <w:rsid w:val="0000214A"/>
    <w:rsid w:val="000022CD"/>
    <w:rsid w:val="00002DBC"/>
    <w:rsid w:val="00003927"/>
    <w:rsid w:val="0000457A"/>
    <w:rsid w:val="0000646E"/>
    <w:rsid w:val="00010410"/>
    <w:rsid w:val="00011D51"/>
    <w:rsid w:val="00013DD7"/>
    <w:rsid w:val="0002124A"/>
    <w:rsid w:val="00022DB4"/>
    <w:rsid w:val="00024418"/>
    <w:rsid w:val="00027F3A"/>
    <w:rsid w:val="000323DA"/>
    <w:rsid w:val="00033C26"/>
    <w:rsid w:val="00033D1A"/>
    <w:rsid w:val="00033F43"/>
    <w:rsid w:val="00036490"/>
    <w:rsid w:val="000373A8"/>
    <w:rsid w:val="0004091A"/>
    <w:rsid w:val="0004118D"/>
    <w:rsid w:val="00042BF0"/>
    <w:rsid w:val="0004393F"/>
    <w:rsid w:val="00044550"/>
    <w:rsid w:val="00045AB9"/>
    <w:rsid w:val="0005096E"/>
    <w:rsid w:val="0005140E"/>
    <w:rsid w:val="0005415A"/>
    <w:rsid w:val="00055137"/>
    <w:rsid w:val="00055485"/>
    <w:rsid w:val="00055B2F"/>
    <w:rsid w:val="0006281D"/>
    <w:rsid w:val="00063E0F"/>
    <w:rsid w:val="0006489B"/>
    <w:rsid w:val="000650AB"/>
    <w:rsid w:val="00066104"/>
    <w:rsid w:val="0006694D"/>
    <w:rsid w:val="000669E3"/>
    <w:rsid w:val="00066B8E"/>
    <w:rsid w:val="00070B55"/>
    <w:rsid w:val="00070E0D"/>
    <w:rsid w:val="00071AF9"/>
    <w:rsid w:val="0007315F"/>
    <w:rsid w:val="00076E37"/>
    <w:rsid w:val="00077560"/>
    <w:rsid w:val="00077B56"/>
    <w:rsid w:val="0008077D"/>
    <w:rsid w:val="00082933"/>
    <w:rsid w:val="000907F4"/>
    <w:rsid w:val="0009539C"/>
    <w:rsid w:val="00095C2F"/>
    <w:rsid w:val="000A0B22"/>
    <w:rsid w:val="000A1CAB"/>
    <w:rsid w:val="000A37F3"/>
    <w:rsid w:val="000A77DC"/>
    <w:rsid w:val="000B11CD"/>
    <w:rsid w:val="000B6D66"/>
    <w:rsid w:val="000B6DF3"/>
    <w:rsid w:val="000B7D96"/>
    <w:rsid w:val="000C0128"/>
    <w:rsid w:val="000C1DBD"/>
    <w:rsid w:val="000C4579"/>
    <w:rsid w:val="000C53F1"/>
    <w:rsid w:val="000C7FE5"/>
    <w:rsid w:val="000D37AC"/>
    <w:rsid w:val="000D70F8"/>
    <w:rsid w:val="000D75B7"/>
    <w:rsid w:val="000D7701"/>
    <w:rsid w:val="000E0815"/>
    <w:rsid w:val="000E0CEA"/>
    <w:rsid w:val="000E0EC4"/>
    <w:rsid w:val="000E1C81"/>
    <w:rsid w:val="000E3557"/>
    <w:rsid w:val="000E517A"/>
    <w:rsid w:val="000E5FDC"/>
    <w:rsid w:val="000E718F"/>
    <w:rsid w:val="000E76B8"/>
    <w:rsid w:val="000F29A4"/>
    <w:rsid w:val="000F2B9E"/>
    <w:rsid w:val="000F2C63"/>
    <w:rsid w:val="000F2EA1"/>
    <w:rsid w:val="000F32BB"/>
    <w:rsid w:val="000F5BD1"/>
    <w:rsid w:val="000F7847"/>
    <w:rsid w:val="000F7EA0"/>
    <w:rsid w:val="001037A1"/>
    <w:rsid w:val="00103EF7"/>
    <w:rsid w:val="00104119"/>
    <w:rsid w:val="0010543E"/>
    <w:rsid w:val="00105F97"/>
    <w:rsid w:val="00107E8C"/>
    <w:rsid w:val="001158DE"/>
    <w:rsid w:val="00120F2E"/>
    <w:rsid w:val="001237B3"/>
    <w:rsid w:val="0012381E"/>
    <w:rsid w:val="00125D8C"/>
    <w:rsid w:val="001308BE"/>
    <w:rsid w:val="001322FF"/>
    <w:rsid w:val="0013316F"/>
    <w:rsid w:val="001332DF"/>
    <w:rsid w:val="001344F7"/>
    <w:rsid w:val="001348CD"/>
    <w:rsid w:val="0014043E"/>
    <w:rsid w:val="00141356"/>
    <w:rsid w:val="00141BA4"/>
    <w:rsid w:val="00143551"/>
    <w:rsid w:val="0014374D"/>
    <w:rsid w:val="00143B89"/>
    <w:rsid w:val="001460A2"/>
    <w:rsid w:val="001475BF"/>
    <w:rsid w:val="00151CD4"/>
    <w:rsid w:val="00152E6D"/>
    <w:rsid w:val="00155000"/>
    <w:rsid w:val="00155FB7"/>
    <w:rsid w:val="0015631F"/>
    <w:rsid w:val="00157C67"/>
    <w:rsid w:val="0016203E"/>
    <w:rsid w:val="00163269"/>
    <w:rsid w:val="001639AE"/>
    <w:rsid w:val="001654DF"/>
    <w:rsid w:val="00166BEB"/>
    <w:rsid w:val="00166D41"/>
    <w:rsid w:val="001678B6"/>
    <w:rsid w:val="0017048F"/>
    <w:rsid w:val="00172F48"/>
    <w:rsid w:val="00172F8E"/>
    <w:rsid w:val="001732A4"/>
    <w:rsid w:val="00174D72"/>
    <w:rsid w:val="00175829"/>
    <w:rsid w:val="001800AA"/>
    <w:rsid w:val="0018110F"/>
    <w:rsid w:val="0018156F"/>
    <w:rsid w:val="0018165B"/>
    <w:rsid w:val="00181774"/>
    <w:rsid w:val="00184380"/>
    <w:rsid w:val="00186601"/>
    <w:rsid w:val="00186D91"/>
    <w:rsid w:val="00186DC7"/>
    <w:rsid w:val="001878D0"/>
    <w:rsid w:val="0019014F"/>
    <w:rsid w:val="00190419"/>
    <w:rsid w:val="00191970"/>
    <w:rsid w:val="00192225"/>
    <w:rsid w:val="00194818"/>
    <w:rsid w:val="00194A05"/>
    <w:rsid w:val="00194A21"/>
    <w:rsid w:val="00196DEB"/>
    <w:rsid w:val="00197F42"/>
    <w:rsid w:val="001A0D55"/>
    <w:rsid w:val="001A3120"/>
    <w:rsid w:val="001A39AE"/>
    <w:rsid w:val="001A3B4E"/>
    <w:rsid w:val="001A438D"/>
    <w:rsid w:val="001B0DFC"/>
    <w:rsid w:val="001C1039"/>
    <w:rsid w:val="001C21E3"/>
    <w:rsid w:val="001C26A7"/>
    <w:rsid w:val="001C39B9"/>
    <w:rsid w:val="001D1155"/>
    <w:rsid w:val="001D13EA"/>
    <w:rsid w:val="001D13FE"/>
    <w:rsid w:val="001D216B"/>
    <w:rsid w:val="001D29CA"/>
    <w:rsid w:val="001D54CA"/>
    <w:rsid w:val="001D7ECC"/>
    <w:rsid w:val="001E164A"/>
    <w:rsid w:val="001E2F1C"/>
    <w:rsid w:val="001E3A28"/>
    <w:rsid w:val="001F16EF"/>
    <w:rsid w:val="001F1A2D"/>
    <w:rsid w:val="001F252B"/>
    <w:rsid w:val="001F4235"/>
    <w:rsid w:val="001F45C3"/>
    <w:rsid w:val="001F4EE4"/>
    <w:rsid w:val="001F6B78"/>
    <w:rsid w:val="00200C6E"/>
    <w:rsid w:val="0020306E"/>
    <w:rsid w:val="00205632"/>
    <w:rsid w:val="00212CDE"/>
    <w:rsid w:val="00213D0E"/>
    <w:rsid w:val="002221BA"/>
    <w:rsid w:val="00222D97"/>
    <w:rsid w:val="0022537E"/>
    <w:rsid w:val="0022582C"/>
    <w:rsid w:val="00232C14"/>
    <w:rsid w:val="002362C7"/>
    <w:rsid w:val="00241D85"/>
    <w:rsid w:val="00242E54"/>
    <w:rsid w:val="002433F0"/>
    <w:rsid w:val="00243927"/>
    <w:rsid w:val="002514A3"/>
    <w:rsid w:val="00252711"/>
    <w:rsid w:val="00260EDA"/>
    <w:rsid w:val="002611E1"/>
    <w:rsid w:val="00261387"/>
    <w:rsid w:val="00261882"/>
    <w:rsid w:val="00264ED5"/>
    <w:rsid w:val="0026553A"/>
    <w:rsid w:val="00265DCA"/>
    <w:rsid w:val="00267F8A"/>
    <w:rsid w:val="002702BC"/>
    <w:rsid w:val="0027068B"/>
    <w:rsid w:val="00270CFC"/>
    <w:rsid w:val="00275BCF"/>
    <w:rsid w:val="00276D39"/>
    <w:rsid w:val="00281F1F"/>
    <w:rsid w:val="00287256"/>
    <w:rsid w:val="00287B32"/>
    <w:rsid w:val="00291C93"/>
    <w:rsid w:val="00291EBD"/>
    <w:rsid w:val="0029425F"/>
    <w:rsid w:val="0029711E"/>
    <w:rsid w:val="002A36FA"/>
    <w:rsid w:val="002A3ACC"/>
    <w:rsid w:val="002A52C4"/>
    <w:rsid w:val="002A561E"/>
    <w:rsid w:val="002A69D1"/>
    <w:rsid w:val="002A791B"/>
    <w:rsid w:val="002B16E2"/>
    <w:rsid w:val="002B22BA"/>
    <w:rsid w:val="002B25E2"/>
    <w:rsid w:val="002B453B"/>
    <w:rsid w:val="002B7CA9"/>
    <w:rsid w:val="002C36E0"/>
    <w:rsid w:val="002C6B86"/>
    <w:rsid w:val="002D0B17"/>
    <w:rsid w:val="002D24CB"/>
    <w:rsid w:val="002D3B5B"/>
    <w:rsid w:val="002D42FF"/>
    <w:rsid w:val="002D4789"/>
    <w:rsid w:val="002D5148"/>
    <w:rsid w:val="002D58A9"/>
    <w:rsid w:val="002D5B99"/>
    <w:rsid w:val="002E066F"/>
    <w:rsid w:val="002E11D0"/>
    <w:rsid w:val="002E2CA8"/>
    <w:rsid w:val="002E326D"/>
    <w:rsid w:val="002F0269"/>
    <w:rsid w:val="002F1479"/>
    <w:rsid w:val="002F17FB"/>
    <w:rsid w:val="002F56D6"/>
    <w:rsid w:val="002F6A4C"/>
    <w:rsid w:val="002F73A5"/>
    <w:rsid w:val="002F76D1"/>
    <w:rsid w:val="003006A7"/>
    <w:rsid w:val="00301167"/>
    <w:rsid w:val="00301D1E"/>
    <w:rsid w:val="00303FBE"/>
    <w:rsid w:val="003040CB"/>
    <w:rsid w:val="003059BA"/>
    <w:rsid w:val="003079D2"/>
    <w:rsid w:val="00307C5A"/>
    <w:rsid w:val="00311020"/>
    <w:rsid w:val="003113EB"/>
    <w:rsid w:val="003116F4"/>
    <w:rsid w:val="00312ED2"/>
    <w:rsid w:val="00317F2D"/>
    <w:rsid w:val="0032048F"/>
    <w:rsid w:val="003219A5"/>
    <w:rsid w:val="00322B2D"/>
    <w:rsid w:val="00322D02"/>
    <w:rsid w:val="00322E1F"/>
    <w:rsid w:val="00323FC3"/>
    <w:rsid w:val="00324724"/>
    <w:rsid w:val="00324B59"/>
    <w:rsid w:val="00324FF6"/>
    <w:rsid w:val="00325147"/>
    <w:rsid w:val="003254D1"/>
    <w:rsid w:val="00325516"/>
    <w:rsid w:val="003275FF"/>
    <w:rsid w:val="0033054D"/>
    <w:rsid w:val="0033089C"/>
    <w:rsid w:val="00331B5E"/>
    <w:rsid w:val="00333FAD"/>
    <w:rsid w:val="0033586B"/>
    <w:rsid w:val="00335A5A"/>
    <w:rsid w:val="00336A5A"/>
    <w:rsid w:val="003403BB"/>
    <w:rsid w:val="00340A08"/>
    <w:rsid w:val="00342B32"/>
    <w:rsid w:val="00343806"/>
    <w:rsid w:val="003447D7"/>
    <w:rsid w:val="0034496B"/>
    <w:rsid w:val="00345656"/>
    <w:rsid w:val="00345862"/>
    <w:rsid w:val="00345D3A"/>
    <w:rsid w:val="00353206"/>
    <w:rsid w:val="00354B57"/>
    <w:rsid w:val="003559AD"/>
    <w:rsid w:val="00356170"/>
    <w:rsid w:val="0036278C"/>
    <w:rsid w:val="00364753"/>
    <w:rsid w:val="00364A2A"/>
    <w:rsid w:val="003657B6"/>
    <w:rsid w:val="00365FC8"/>
    <w:rsid w:val="00366676"/>
    <w:rsid w:val="003728A6"/>
    <w:rsid w:val="00375415"/>
    <w:rsid w:val="00376792"/>
    <w:rsid w:val="00376F37"/>
    <w:rsid w:val="003829F2"/>
    <w:rsid w:val="0038506F"/>
    <w:rsid w:val="00390DD7"/>
    <w:rsid w:val="00396BE2"/>
    <w:rsid w:val="00396E46"/>
    <w:rsid w:val="003A1DD1"/>
    <w:rsid w:val="003A3C4D"/>
    <w:rsid w:val="003B03E8"/>
    <w:rsid w:val="003B04BA"/>
    <w:rsid w:val="003B05B7"/>
    <w:rsid w:val="003B0FC4"/>
    <w:rsid w:val="003B6C60"/>
    <w:rsid w:val="003B70C8"/>
    <w:rsid w:val="003C134A"/>
    <w:rsid w:val="003C16F3"/>
    <w:rsid w:val="003C1CCA"/>
    <w:rsid w:val="003C2972"/>
    <w:rsid w:val="003C2C9C"/>
    <w:rsid w:val="003C3327"/>
    <w:rsid w:val="003C6E1A"/>
    <w:rsid w:val="003D0F51"/>
    <w:rsid w:val="003D1C1A"/>
    <w:rsid w:val="003D2CA9"/>
    <w:rsid w:val="003E03C3"/>
    <w:rsid w:val="003E54CD"/>
    <w:rsid w:val="003E7319"/>
    <w:rsid w:val="003F07ED"/>
    <w:rsid w:val="003F1223"/>
    <w:rsid w:val="003F15B9"/>
    <w:rsid w:val="003F2556"/>
    <w:rsid w:val="003F50D4"/>
    <w:rsid w:val="0040080D"/>
    <w:rsid w:val="0040270E"/>
    <w:rsid w:val="00403876"/>
    <w:rsid w:val="004062B1"/>
    <w:rsid w:val="004070B6"/>
    <w:rsid w:val="004072DD"/>
    <w:rsid w:val="00410A76"/>
    <w:rsid w:val="00411759"/>
    <w:rsid w:val="00411AA6"/>
    <w:rsid w:val="00414412"/>
    <w:rsid w:val="00415971"/>
    <w:rsid w:val="0041616D"/>
    <w:rsid w:val="00416B05"/>
    <w:rsid w:val="00417E49"/>
    <w:rsid w:val="00421281"/>
    <w:rsid w:val="00422AFE"/>
    <w:rsid w:val="00423401"/>
    <w:rsid w:val="00423593"/>
    <w:rsid w:val="0042409B"/>
    <w:rsid w:val="00424978"/>
    <w:rsid w:val="0042545B"/>
    <w:rsid w:val="00425CBC"/>
    <w:rsid w:val="00427CBD"/>
    <w:rsid w:val="00431151"/>
    <w:rsid w:val="00432307"/>
    <w:rsid w:val="00435D6F"/>
    <w:rsid w:val="00436338"/>
    <w:rsid w:val="00437B5A"/>
    <w:rsid w:val="00440F30"/>
    <w:rsid w:val="00444E3C"/>
    <w:rsid w:val="00445D5C"/>
    <w:rsid w:val="004465F9"/>
    <w:rsid w:val="004466B0"/>
    <w:rsid w:val="0045352B"/>
    <w:rsid w:val="0045469F"/>
    <w:rsid w:val="00454A2D"/>
    <w:rsid w:val="004556E1"/>
    <w:rsid w:val="004604EA"/>
    <w:rsid w:val="004609E1"/>
    <w:rsid w:val="00460C28"/>
    <w:rsid w:val="00461BD2"/>
    <w:rsid w:val="00462A09"/>
    <w:rsid w:val="00462CB1"/>
    <w:rsid w:val="004644E1"/>
    <w:rsid w:val="0046574E"/>
    <w:rsid w:val="004657E8"/>
    <w:rsid w:val="00467E99"/>
    <w:rsid w:val="00470790"/>
    <w:rsid w:val="00470FBB"/>
    <w:rsid w:val="00473029"/>
    <w:rsid w:val="00473EE4"/>
    <w:rsid w:val="00477B4C"/>
    <w:rsid w:val="00477B99"/>
    <w:rsid w:val="004841CA"/>
    <w:rsid w:val="00485C84"/>
    <w:rsid w:val="00486215"/>
    <w:rsid w:val="0048630D"/>
    <w:rsid w:val="00490E63"/>
    <w:rsid w:val="004921CF"/>
    <w:rsid w:val="004930F0"/>
    <w:rsid w:val="004A0BA8"/>
    <w:rsid w:val="004A1DD3"/>
    <w:rsid w:val="004A489D"/>
    <w:rsid w:val="004A4A2E"/>
    <w:rsid w:val="004A4CD0"/>
    <w:rsid w:val="004A69E4"/>
    <w:rsid w:val="004A6A76"/>
    <w:rsid w:val="004A6B6D"/>
    <w:rsid w:val="004A73A8"/>
    <w:rsid w:val="004A75D5"/>
    <w:rsid w:val="004A771F"/>
    <w:rsid w:val="004A78AE"/>
    <w:rsid w:val="004B004E"/>
    <w:rsid w:val="004B0589"/>
    <w:rsid w:val="004B0B74"/>
    <w:rsid w:val="004B1783"/>
    <w:rsid w:val="004B5349"/>
    <w:rsid w:val="004B5EF7"/>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DB8"/>
    <w:rsid w:val="004D7A09"/>
    <w:rsid w:val="004E0056"/>
    <w:rsid w:val="004E13F1"/>
    <w:rsid w:val="004E3F83"/>
    <w:rsid w:val="004E4A53"/>
    <w:rsid w:val="004E4DFF"/>
    <w:rsid w:val="004E5278"/>
    <w:rsid w:val="004E74F4"/>
    <w:rsid w:val="004F0129"/>
    <w:rsid w:val="004F257F"/>
    <w:rsid w:val="004F35CD"/>
    <w:rsid w:val="00501639"/>
    <w:rsid w:val="00501EFF"/>
    <w:rsid w:val="00502541"/>
    <w:rsid w:val="0050277D"/>
    <w:rsid w:val="005035EB"/>
    <w:rsid w:val="00505021"/>
    <w:rsid w:val="00505ADC"/>
    <w:rsid w:val="0050689B"/>
    <w:rsid w:val="005068AA"/>
    <w:rsid w:val="00506EDB"/>
    <w:rsid w:val="0050786B"/>
    <w:rsid w:val="00511093"/>
    <w:rsid w:val="00512A8E"/>
    <w:rsid w:val="00513385"/>
    <w:rsid w:val="0051366E"/>
    <w:rsid w:val="005162C3"/>
    <w:rsid w:val="00516F83"/>
    <w:rsid w:val="00520422"/>
    <w:rsid w:val="0052085F"/>
    <w:rsid w:val="00521A6B"/>
    <w:rsid w:val="0052404D"/>
    <w:rsid w:val="00527D68"/>
    <w:rsid w:val="00530284"/>
    <w:rsid w:val="005321B0"/>
    <w:rsid w:val="0053418A"/>
    <w:rsid w:val="005349D6"/>
    <w:rsid w:val="005352D1"/>
    <w:rsid w:val="00536502"/>
    <w:rsid w:val="00536BC1"/>
    <w:rsid w:val="00537F36"/>
    <w:rsid w:val="00541205"/>
    <w:rsid w:val="005420EA"/>
    <w:rsid w:val="005433DE"/>
    <w:rsid w:val="0054420E"/>
    <w:rsid w:val="00546955"/>
    <w:rsid w:val="005472E5"/>
    <w:rsid w:val="0055057E"/>
    <w:rsid w:val="00550B0C"/>
    <w:rsid w:val="00550C03"/>
    <w:rsid w:val="0055113D"/>
    <w:rsid w:val="005551F3"/>
    <w:rsid w:val="00556A65"/>
    <w:rsid w:val="00561C0E"/>
    <w:rsid w:val="005662EA"/>
    <w:rsid w:val="00566BFD"/>
    <w:rsid w:val="00567B5A"/>
    <w:rsid w:val="00567C18"/>
    <w:rsid w:val="00567FC8"/>
    <w:rsid w:val="0057009B"/>
    <w:rsid w:val="00570DFC"/>
    <w:rsid w:val="00571537"/>
    <w:rsid w:val="0057278C"/>
    <w:rsid w:val="0057324E"/>
    <w:rsid w:val="005735B3"/>
    <w:rsid w:val="005801F0"/>
    <w:rsid w:val="005826CC"/>
    <w:rsid w:val="005839B9"/>
    <w:rsid w:val="00586DF8"/>
    <w:rsid w:val="00591AB8"/>
    <w:rsid w:val="00594C91"/>
    <w:rsid w:val="00597954"/>
    <w:rsid w:val="005B10C2"/>
    <w:rsid w:val="005B15A7"/>
    <w:rsid w:val="005B2796"/>
    <w:rsid w:val="005B3509"/>
    <w:rsid w:val="005B430B"/>
    <w:rsid w:val="005B4324"/>
    <w:rsid w:val="005B43B7"/>
    <w:rsid w:val="005B5D4F"/>
    <w:rsid w:val="005B6716"/>
    <w:rsid w:val="005B6C80"/>
    <w:rsid w:val="005B71FC"/>
    <w:rsid w:val="005C08BF"/>
    <w:rsid w:val="005C4CEE"/>
    <w:rsid w:val="005C4F38"/>
    <w:rsid w:val="005C5196"/>
    <w:rsid w:val="005D1EBB"/>
    <w:rsid w:val="005D43FD"/>
    <w:rsid w:val="005D65E6"/>
    <w:rsid w:val="005E05F5"/>
    <w:rsid w:val="005F19CB"/>
    <w:rsid w:val="005F5348"/>
    <w:rsid w:val="005F74E7"/>
    <w:rsid w:val="00600C2A"/>
    <w:rsid w:val="006011C8"/>
    <w:rsid w:val="006024FD"/>
    <w:rsid w:val="0060310C"/>
    <w:rsid w:val="00605777"/>
    <w:rsid w:val="00605FAC"/>
    <w:rsid w:val="006150DB"/>
    <w:rsid w:val="00615E08"/>
    <w:rsid w:val="006200AB"/>
    <w:rsid w:val="00620450"/>
    <w:rsid w:val="00620753"/>
    <w:rsid w:val="00620911"/>
    <w:rsid w:val="00620C61"/>
    <w:rsid w:val="00621EDB"/>
    <w:rsid w:val="00621FD7"/>
    <w:rsid w:val="006232E1"/>
    <w:rsid w:val="00627F57"/>
    <w:rsid w:val="00631CD4"/>
    <w:rsid w:val="00635094"/>
    <w:rsid w:val="00635C87"/>
    <w:rsid w:val="00644209"/>
    <w:rsid w:val="00647525"/>
    <w:rsid w:val="006479FE"/>
    <w:rsid w:val="0065077C"/>
    <w:rsid w:val="0065259C"/>
    <w:rsid w:val="00653612"/>
    <w:rsid w:val="00654E17"/>
    <w:rsid w:val="00656634"/>
    <w:rsid w:val="0066216C"/>
    <w:rsid w:val="00665E34"/>
    <w:rsid w:val="006675EA"/>
    <w:rsid w:val="00671E1E"/>
    <w:rsid w:val="006722A0"/>
    <w:rsid w:val="006724B9"/>
    <w:rsid w:val="00672587"/>
    <w:rsid w:val="0067512C"/>
    <w:rsid w:val="0067756A"/>
    <w:rsid w:val="00677AB5"/>
    <w:rsid w:val="00677D6F"/>
    <w:rsid w:val="006812E2"/>
    <w:rsid w:val="00681A96"/>
    <w:rsid w:val="00685DA5"/>
    <w:rsid w:val="0068673B"/>
    <w:rsid w:val="00687C53"/>
    <w:rsid w:val="0069430F"/>
    <w:rsid w:val="00694EC1"/>
    <w:rsid w:val="006956E5"/>
    <w:rsid w:val="0069644B"/>
    <w:rsid w:val="006976AD"/>
    <w:rsid w:val="00697E3B"/>
    <w:rsid w:val="006A024A"/>
    <w:rsid w:val="006A108F"/>
    <w:rsid w:val="006A2254"/>
    <w:rsid w:val="006A6116"/>
    <w:rsid w:val="006A7E4F"/>
    <w:rsid w:val="006B04A7"/>
    <w:rsid w:val="006B0E07"/>
    <w:rsid w:val="006B369F"/>
    <w:rsid w:val="006B4634"/>
    <w:rsid w:val="006B4DC6"/>
    <w:rsid w:val="006B4E8D"/>
    <w:rsid w:val="006B50E8"/>
    <w:rsid w:val="006B5DE9"/>
    <w:rsid w:val="006B6806"/>
    <w:rsid w:val="006B72C2"/>
    <w:rsid w:val="006B763D"/>
    <w:rsid w:val="006B7C3F"/>
    <w:rsid w:val="006C1123"/>
    <w:rsid w:val="006C2DBE"/>
    <w:rsid w:val="006C5C46"/>
    <w:rsid w:val="006C5F03"/>
    <w:rsid w:val="006C643D"/>
    <w:rsid w:val="006C6BFE"/>
    <w:rsid w:val="006C6D39"/>
    <w:rsid w:val="006C7F18"/>
    <w:rsid w:val="006D02C0"/>
    <w:rsid w:val="006D184F"/>
    <w:rsid w:val="006D2D7B"/>
    <w:rsid w:val="006D31D6"/>
    <w:rsid w:val="006D3595"/>
    <w:rsid w:val="006D4F77"/>
    <w:rsid w:val="006D634A"/>
    <w:rsid w:val="006D6793"/>
    <w:rsid w:val="006E041E"/>
    <w:rsid w:val="006E085A"/>
    <w:rsid w:val="006E5BEA"/>
    <w:rsid w:val="006E7083"/>
    <w:rsid w:val="006F0EB7"/>
    <w:rsid w:val="006F328A"/>
    <w:rsid w:val="006F6671"/>
    <w:rsid w:val="006F7370"/>
    <w:rsid w:val="006F77BC"/>
    <w:rsid w:val="00700F72"/>
    <w:rsid w:val="007013DE"/>
    <w:rsid w:val="00701830"/>
    <w:rsid w:val="00702F63"/>
    <w:rsid w:val="007103B9"/>
    <w:rsid w:val="00710812"/>
    <w:rsid w:val="00711E9D"/>
    <w:rsid w:val="007130CE"/>
    <w:rsid w:val="00713548"/>
    <w:rsid w:val="00713B1C"/>
    <w:rsid w:val="00714DB9"/>
    <w:rsid w:val="00714DC9"/>
    <w:rsid w:val="00717001"/>
    <w:rsid w:val="0071700B"/>
    <w:rsid w:val="00717BD5"/>
    <w:rsid w:val="007209F4"/>
    <w:rsid w:val="00720FED"/>
    <w:rsid w:val="00722C32"/>
    <w:rsid w:val="00724290"/>
    <w:rsid w:val="007249D7"/>
    <w:rsid w:val="007252DA"/>
    <w:rsid w:val="007319B1"/>
    <w:rsid w:val="00732798"/>
    <w:rsid w:val="00737264"/>
    <w:rsid w:val="007406C2"/>
    <w:rsid w:val="007407AE"/>
    <w:rsid w:val="00740CE1"/>
    <w:rsid w:val="00740D95"/>
    <w:rsid w:val="0074126C"/>
    <w:rsid w:val="00741B47"/>
    <w:rsid w:val="00745DE7"/>
    <w:rsid w:val="00746C0D"/>
    <w:rsid w:val="00747E79"/>
    <w:rsid w:val="00750326"/>
    <w:rsid w:val="0075278E"/>
    <w:rsid w:val="00754F5F"/>
    <w:rsid w:val="00757401"/>
    <w:rsid w:val="00757673"/>
    <w:rsid w:val="007576FA"/>
    <w:rsid w:val="00757C71"/>
    <w:rsid w:val="00763D77"/>
    <w:rsid w:val="00763EDE"/>
    <w:rsid w:val="0076438F"/>
    <w:rsid w:val="00764F01"/>
    <w:rsid w:val="00765C4D"/>
    <w:rsid w:val="007663E0"/>
    <w:rsid w:val="00770DCA"/>
    <w:rsid w:val="00773904"/>
    <w:rsid w:val="00773C4B"/>
    <w:rsid w:val="00773D16"/>
    <w:rsid w:val="007740A8"/>
    <w:rsid w:val="00775C8A"/>
    <w:rsid w:val="00775F73"/>
    <w:rsid w:val="007776E8"/>
    <w:rsid w:val="007815C4"/>
    <w:rsid w:val="0078332E"/>
    <w:rsid w:val="00783FBE"/>
    <w:rsid w:val="0078628B"/>
    <w:rsid w:val="0078784C"/>
    <w:rsid w:val="00794DEA"/>
    <w:rsid w:val="007958BF"/>
    <w:rsid w:val="007A0853"/>
    <w:rsid w:val="007A663A"/>
    <w:rsid w:val="007A6D99"/>
    <w:rsid w:val="007A7E01"/>
    <w:rsid w:val="007B05F5"/>
    <w:rsid w:val="007B6A97"/>
    <w:rsid w:val="007B726E"/>
    <w:rsid w:val="007C131B"/>
    <w:rsid w:val="007C2805"/>
    <w:rsid w:val="007C3D60"/>
    <w:rsid w:val="007C5712"/>
    <w:rsid w:val="007C672F"/>
    <w:rsid w:val="007C7343"/>
    <w:rsid w:val="007D0337"/>
    <w:rsid w:val="007D0701"/>
    <w:rsid w:val="007D1787"/>
    <w:rsid w:val="007D2ED9"/>
    <w:rsid w:val="007D69B6"/>
    <w:rsid w:val="007E0CEF"/>
    <w:rsid w:val="007E2CB8"/>
    <w:rsid w:val="007E3A49"/>
    <w:rsid w:val="007E3D55"/>
    <w:rsid w:val="007E52D5"/>
    <w:rsid w:val="007E6725"/>
    <w:rsid w:val="007E7187"/>
    <w:rsid w:val="007F00BA"/>
    <w:rsid w:val="007F202F"/>
    <w:rsid w:val="007F20D9"/>
    <w:rsid w:val="007F46F6"/>
    <w:rsid w:val="007F664A"/>
    <w:rsid w:val="007F66E6"/>
    <w:rsid w:val="007F68CC"/>
    <w:rsid w:val="007F712B"/>
    <w:rsid w:val="00800492"/>
    <w:rsid w:val="00804822"/>
    <w:rsid w:val="00805041"/>
    <w:rsid w:val="00813005"/>
    <w:rsid w:val="00813FEF"/>
    <w:rsid w:val="00814FBC"/>
    <w:rsid w:val="00817ACD"/>
    <w:rsid w:val="00823310"/>
    <w:rsid w:val="008249B7"/>
    <w:rsid w:val="00826879"/>
    <w:rsid w:val="008272FD"/>
    <w:rsid w:val="00827A4E"/>
    <w:rsid w:val="00830818"/>
    <w:rsid w:val="00830DE0"/>
    <w:rsid w:val="00832891"/>
    <w:rsid w:val="00832945"/>
    <w:rsid w:val="008339A8"/>
    <w:rsid w:val="00836959"/>
    <w:rsid w:val="00843A60"/>
    <w:rsid w:val="008449E4"/>
    <w:rsid w:val="00845668"/>
    <w:rsid w:val="00845A71"/>
    <w:rsid w:val="00847D4E"/>
    <w:rsid w:val="00850B2B"/>
    <w:rsid w:val="00851D03"/>
    <w:rsid w:val="008536CE"/>
    <w:rsid w:val="00854C3B"/>
    <w:rsid w:val="00855272"/>
    <w:rsid w:val="00855988"/>
    <w:rsid w:val="00856D80"/>
    <w:rsid w:val="00856DCF"/>
    <w:rsid w:val="00860C40"/>
    <w:rsid w:val="00862A5B"/>
    <w:rsid w:val="00862D4C"/>
    <w:rsid w:val="0086441B"/>
    <w:rsid w:val="00865C7C"/>
    <w:rsid w:val="00870558"/>
    <w:rsid w:val="00873E64"/>
    <w:rsid w:val="00874074"/>
    <w:rsid w:val="00874EBC"/>
    <w:rsid w:val="00875FFC"/>
    <w:rsid w:val="00876099"/>
    <w:rsid w:val="008773A8"/>
    <w:rsid w:val="00880861"/>
    <w:rsid w:val="00884733"/>
    <w:rsid w:val="00886901"/>
    <w:rsid w:val="008935DC"/>
    <w:rsid w:val="00896252"/>
    <w:rsid w:val="0089651C"/>
    <w:rsid w:val="00896608"/>
    <w:rsid w:val="008A0894"/>
    <w:rsid w:val="008A518E"/>
    <w:rsid w:val="008A75A2"/>
    <w:rsid w:val="008C0905"/>
    <w:rsid w:val="008C26A3"/>
    <w:rsid w:val="008C4A56"/>
    <w:rsid w:val="008C642F"/>
    <w:rsid w:val="008D05CC"/>
    <w:rsid w:val="008D0B8E"/>
    <w:rsid w:val="008D0BC5"/>
    <w:rsid w:val="008D0D68"/>
    <w:rsid w:val="008D306F"/>
    <w:rsid w:val="008D3292"/>
    <w:rsid w:val="008D3912"/>
    <w:rsid w:val="008E1877"/>
    <w:rsid w:val="008E27A5"/>
    <w:rsid w:val="008E4C32"/>
    <w:rsid w:val="008F195C"/>
    <w:rsid w:val="008F3789"/>
    <w:rsid w:val="008F525A"/>
    <w:rsid w:val="008F5663"/>
    <w:rsid w:val="008F6479"/>
    <w:rsid w:val="008F6D3F"/>
    <w:rsid w:val="008F71A1"/>
    <w:rsid w:val="008F7FE1"/>
    <w:rsid w:val="00900AC8"/>
    <w:rsid w:val="00900B9E"/>
    <w:rsid w:val="00901A45"/>
    <w:rsid w:val="00902AF3"/>
    <w:rsid w:val="00903AA4"/>
    <w:rsid w:val="009143B1"/>
    <w:rsid w:val="0091442D"/>
    <w:rsid w:val="00915EA4"/>
    <w:rsid w:val="00915FA4"/>
    <w:rsid w:val="009179FB"/>
    <w:rsid w:val="009203FD"/>
    <w:rsid w:val="00920C97"/>
    <w:rsid w:val="0092483C"/>
    <w:rsid w:val="009264DF"/>
    <w:rsid w:val="009273BC"/>
    <w:rsid w:val="009317ED"/>
    <w:rsid w:val="0093355D"/>
    <w:rsid w:val="00935D92"/>
    <w:rsid w:val="009361EB"/>
    <w:rsid w:val="009370A1"/>
    <w:rsid w:val="00940BD9"/>
    <w:rsid w:val="00941003"/>
    <w:rsid w:val="009425B3"/>
    <w:rsid w:val="00945BF2"/>
    <w:rsid w:val="0094711E"/>
    <w:rsid w:val="0094724E"/>
    <w:rsid w:val="00952951"/>
    <w:rsid w:val="00953A07"/>
    <w:rsid w:val="00954442"/>
    <w:rsid w:val="00954EFF"/>
    <w:rsid w:val="00955B6D"/>
    <w:rsid w:val="009570F0"/>
    <w:rsid w:val="00957398"/>
    <w:rsid w:val="00957410"/>
    <w:rsid w:val="0096219B"/>
    <w:rsid w:val="00963289"/>
    <w:rsid w:val="00963607"/>
    <w:rsid w:val="0096523F"/>
    <w:rsid w:val="0096551A"/>
    <w:rsid w:val="009658DA"/>
    <w:rsid w:val="00966208"/>
    <w:rsid w:val="0096675F"/>
    <w:rsid w:val="00966884"/>
    <w:rsid w:val="00971D8C"/>
    <w:rsid w:val="00971FC5"/>
    <w:rsid w:val="00972425"/>
    <w:rsid w:val="009733F5"/>
    <w:rsid w:val="009733FF"/>
    <w:rsid w:val="0098401D"/>
    <w:rsid w:val="009849E5"/>
    <w:rsid w:val="0098683C"/>
    <w:rsid w:val="0098753E"/>
    <w:rsid w:val="009923A9"/>
    <w:rsid w:val="00995198"/>
    <w:rsid w:val="009955E8"/>
    <w:rsid w:val="00996071"/>
    <w:rsid w:val="009964CD"/>
    <w:rsid w:val="009966D1"/>
    <w:rsid w:val="00997637"/>
    <w:rsid w:val="009A27D2"/>
    <w:rsid w:val="009A3E4B"/>
    <w:rsid w:val="009A53C8"/>
    <w:rsid w:val="009A6414"/>
    <w:rsid w:val="009B30DE"/>
    <w:rsid w:val="009B39A1"/>
    <w:rsid w:val="009B3D65"/>
    <w:rsid w:val="009B426B"/>
    <w:rsid w:val="009B42A6"/>
    <w:rsid w:val="009B5513"/>
    <w:rsid w:val="009B626F"/>
    <w:rsid w:val="009B6852"/>
    <w:rsid w:val="009B7251"/>
    <w:rsid w:val="009C0ABF"/>
    <w:rsid w:val="009C43E7"/>
    <w:rsid w:val="009C501A"/>
    <w:rsid w:val="009D0096"/>
    <w:rsid w:val="009D14CA"/>
    <w:rsid w:val="009D4DED"/>
    <w:rsid w:val="009D5757"/>
    <w:rsid w:val="009D7DB0"/>
    <w:rsid w:val="009E1891"/>
    <w:rsid w:val="009E1D78"/>
    <w:rsid w:val="009E20AB"/>
    <w:rsid w:val="009E295D"/>
    <w:rsid w:val="009E322E"/>
    <w:rsid w:val="009E5B17"/>
    <w:rsid w:val="009E78B5"/>
    <w:rsid w:val="009E7925"/>
    <w:rsid w:val="009E798E"/>
    <w:rsid w:val="009F1127"/>
    <w:rsid w:val="009F1862"/>
    <w:rsid w:val="009F51F5"/>
    <w:rsid w:val="009F6FBF"/>
    <w:rsid w:val="009F70DC"/>
    <w:rsid w:val="00A001C3"/>
    <w:rsid w:val="00A02C15"/>
    <w:rsid w:val="00A0349A"/>
    <w:rsid w:val="00A04427"/>
    <w:rsid w:val="00A04B91"/>
    <w:rsid w:val="00A04D83"/>
    <w:rsid w:val="00A054B0"/>
    <w:rsid w:val="00A069E1"/>
    <w:rsid w:val="00A07AA4"/>
    <w:rsid w:val="00A1019C"/>
    <w:rsid w:val="00A11648"/>
    <w:rsid w:val="00A1204F"/>
    <w:rsid w:val="00A14A16"/>
    <w:rsid w:val="00A2029A"/>
    <w:rsid w:val="00A24878"/>
    <w:rsid w:val="00A2546D"/>
    <w:rsid w:val="00A25E1C"/>
    <w:rsid w:val="00A25ED4"/>
    <w:rsid w:val="00A26E89"/>
    <w:rsid w:val="00A3034C"/>
    <w:rsid w:val="00A30DC0"/>
    <w:rsid w:val="00A32D0C"/>
    <w:rsid w:val="00A33868"/>
    <w:rsid w:val="00A33F69"/>
    <w:rsid w:val="00A3587B"/>
    <w:rsid w:val="00A36468"/>
    <w:rsid w:val="00A41956"/>
    <w:rsid w:val="00A42756"/>
    <w:rsid w:val="00A43EB3"/>
    <w:rsid w:val="00A44DD4"/>
    <w:rsid w:val="00A47DD9"/>
    <w:rsid w:val="00A50FB9"/>
    <w:rsid w:val="00A51DB3"/>
    <w:rsid w:val="00A51F4E"/>
    <w:rsid w:val="00A5397B"/>
    <w:rsid w:val="00A54DA6"/>
    <w:rsid w:val="00A57D58"/>
    <w:rsid w:val="00A6116D"/>
    <w:rsid w:val="00A63377"/>
    <w:rsid w:val="00A64FDD"/>
    <w:rsid w:val="00A65F2C"/>
    <w:rsid w:val="00A70BF1"/>
    <w:rsid w:val="00A71DC3"/>
    <w:rsid w:val="00A72188"/>
    <w:rsid w:val="00A730CF"/>
    <w:rsid w:val="00A734EF"/>
    <w:rsid w:val="00A737D3"/>
    <w:rsid w:val="00A73873"/>
    <w:rsid w:val="00A766D3"/>
    <w:rsid w:val="00A8041F"/>
    <w:rsid w:val="00A804CA"/>
    <w:rsid w:val="00A8062A"/>
    <w:rsid w:val="00A807A5"/>
    <w:rsid w:val="00A842F8"/>
    <w:rsid w:val="00A8458D"/>
    <w:rsid w:val="00A847FC"/>
    <w:rsid w:val="00A86662"/>
    <w:rsid w:val="00A87B0A"/>
    <w:rsid w:val="00A93198"/>
    <w:rsid w:val="00A9668D"/>
    <w:rsid w:val="00A968D0"/>
    <w:rsid w:val="00A97137"/>
    <w:rsid w:val="00A97742"/>
    <w:rsid w:val="00AA1BF0"/>
    <w:rsid w:val="00AA4441"/>
    <w:rsid w:val="00AA5045"/>
    <w:rsid w:val="00AA73FE"/>
    <w:rsid w:val="00AA79D2"/>
    <w:rsid w:val="00AA7D8F"/>
    <w:rsid w:val="00AB14AF"/>
    <w:rsid w:val="00AB4A84"/>
    <w:rsid w:val="00AC390C"/>
    <w:rsid w:val="00AC3B7A"/>
    <w:rsid w:val="00AC51F3"/>
    <w:rsid w:val="00AC532F"/>
    <w:rsid w:val="00AC710B"/>
    <w:rsid w:val="00AC733B"/>
    <w:rsid w:val="00AC768E"/>
    <w:rsid w:val="00AC7B67"/>
    <w:rsid w:val="00AD0B89"/>
    <w:rsid w:val="00AD3A7E"/>
    <w:rsid w:val="00AD47D4"/>
    <w:rsid w:val="00AD62D8"/>
    <w:rsid w:val="00AE1546"/>
    <w:rsid w:val="00AE33D9"/>
    <w:rsid w:val="00AE41F8"/>
    <w:rsid w:val="00AE7A63"/>
    <w:rsid w:val="00AF0BEC"/>
    <w:rsid w:val="00AF0F91"/>
    <w:rsid w:val="00AF267E"/>
    <w:rsid w:val="00AF63C3"/>
    <w:rsid w:val="00AF7CE1"/>
    <w:rsid w:val="00B00E7C"/>
    <w:rsid w:val="00B011E3"/>
    <w:rsid w:val="00B0301F"/>
    <w:rsid w:val="00B0351C"/>
    <w:rsid w:val="00B03934"/>
    <w:rsid w:val="00B048B1"/>
    <w:rsid w:val="00B1125C"/>
    <w:rsid w:val="00B11686"/>
    <w:rsid w:val="00B12C6B"/>
    <w:rsid w:val="00B13276"/>
    <w:rsid w:val="00B139D9"/>
    <w:rsid w:val="00B141B8"/>
    <w:rsid w:val="00B22DD8"/>
    <w:rsid w:val="00B23D7F"/>
    <w:rsid w:val="00B2504F"/>
    <w:rsid w:val="00B26826"/>
    <w:rsid w:val="00B31350"/>
    <w:rsid w:val="00B31D15"/>
    <w:rsid w:val="00B31D8E"/>
    <w:rsid w:val="00B32E81"/>
    <w:rsid w:val="00B34146"/>
    <w:rsid w:val="00B351C5"/>
    <w:rsid w:val="00B40470"/>
    <w:rsid w:val="00B437D7"/>
    <w:rsid w:val="00B43C10"/>
    <w:rsid w:val="00B46744"/>
    <w:rsid w:val="00B477DB"/>
    <w:rsid w:val="00B50307"/>
    <w:rsid w:val="00B504C3"/>
    <w:rsid w:val="00B5050B"/>
    <w:rsid w:val="00B50EBF"/>
    <w:rsid w:val="00B53ED3"/>
    <w:rsid w:val="00B54E3D"/>
    <w:rsid w:val="00B55214"/>
    <w:rsid w:val="00B55FAF"/>
    <w:rsid w:val="00B579C9"/>
    <w:rsid w:val="00B57FC6"/>
    <w:rsid w:val="00B6089F"/>
    <w:rsid w:val="00B61A6F"/>
    <w:rsid w:val="00B62644"/>
    <w:rsid w:val="00B64AEB"/>
    <w:rsid w:val="00B64D08"/>
    <w:rsid w:val="00B65E80"/>
    <w:rsid w:val="00B70A39"/>
    <w:rsid w:val="00B70AB2"/>
    <w:rsid w:val="00B72EEE"/>
    <w:rsid w:val="00B75209"/>
    <w:rsid w:val="00B76F72"/>
    <w:rsid w:val="00B809B1"/>
    <w:rsid w:val="00B81D47"/>
    <w:rsid w:val="00B824F1"/>
    <w:rsid w:val="00B87183"/>
    <w:rsid w:val="00B92AD4"/>
    <w:rsid w:val="00B96157"/>
    <w:rsid w:val="00BA0C42"/>
    <w:rsid w:val="00BA1009"/>
    <w:rsid w:val="00BA1684"/>
    <w:rsid w:val="00BA5C4C"/>
    <w:rsid w:val="00BB1819"/>
    <w:rsid w:val="00BB1D93"/>
    <w:rsid w:val="00BB42CF"/>
    <w:rsid w:val="00BB42DF"/>
    <w:rsid w:val="00BB4EBA"/>
    <w:rsid w:val="00BB5DA9"/>
    <w:rsid w:val="00BC014F"/>
    <w:rsid w:val="00BC0164"/>
    <w:rsid w:val="00BC28D4"/>
    <w:rsid w:val="00BC5B54"/>
    <w:rsid w:val="00BC78A2"/>
    <w:rsid w:val="00BD142D"/>
    <w:rsid w:val="00BD505D"/>
    <w:rsid w:val="00BD511A"/>
    <w:rsid w:val="00BD59E6"/>
    <w:rsid w:val="00BD61A7"/>
    <w:rsid w:val="00BE09CA"/>
    <w:rsid w:val="00BE114C"/>
    <w:rsid w:val="00BE7761"/>
    <w:rsid w:val="00BF03A9"/>
    <w:rsid w:val="00BF08E9"/>
    <w:rsid w:val="00BF0F57"/>
    <w:rsid w:val="00BF14BC"/>
    <w:rsid w:val="00BF4AEF"/>
    <w:rsid w:val="00BF681D"/>
    <w:rsid w:val="00BF6D1D"/>
    <w:rsid w:val="00BF7292"/>
    <w:rsid w:val="00C00948"/>
    <w:rsid w:val="00C0248C"/>
    <w:rsid w:val="00C047F9"/>
    <w:rsid w:val="00C05D6D"/>
    <w:rsid w:val="00C06CDB"/>
    <w:rsid w:val="00C06D0F"/>
    <w:rsid w:val="00C070FB"/>
    <w:rsid w:val="00C13643"/>
    <w:rsid w:val="00C13799"/>
    <w:rsid w:val="00C2460C"/>
    <w:rsid w:val="00C2552A"/>
    <w:rsid w:val="00C308BE"/>
    <w:rsid w:val="00C31F5F"/>
    <w:rsid w:val="00C32053"/>
    <w:rsid w:val="00C359D6"/>
    <w:rsid w:val="00C36154"/>
    <w:rsid w:val="00C40FD8"/>
    <w:rsid w:val="00C41733"/>
    <w:rsid w:val="00C43722"/>
    <w:rsid w:val="00C43967"/>
    <w:rsid w:val="00C43D44"/>
    <w:rsid w:val="00C446ED"/>
    <w:rsid w:val="00C462C4"/>
    <w:rsid w:val="00C52347"/>
    <w:rsid w:val="00C53D6E"/>
    <w:rsid w:val="00C55A65"/>
    <w:rsid w:val="00C57138"/>
    <w:rsid w:val="00C60C71"/>
    <w:rsid w:val="00C632B3"/>
    <w:rsid w:val="00C63B7C"/>
    <w:rsid w:val="00C6581A"/>
    <w:rsid w:val="00C70D48"/>
    <w:rsid w:val="00C71038"/>
    <w:rsid w:val="00C7592C"/>
    <w:rsid w:val="00C77158"/>
    <w:rsid w:val="00C77DFE"/>
    <w:rsid w:val="00C80D4B"/>
    <w:rsid w:val="00C822CF"/>
    <w:rsid w:val="00C8278A"/>
    <w:rsid w:val="00C84F2D"/>
    <w:rsid w:val="00C8558C"/>
    <w:rsid w:val="00C85ABE"/>
    <w:rsid w:val="00C862C7"/>
    <w:rsid w:val="00C87571"/>
    <w:rsid w:val="00C90A57"/>
    <w:rsid w:val="00C91F07"/>
    <w:rsid w:val="00C92120"/>
    <w:rsid w:val="00C942FC"/>
    <w:rsid w:val="00C966DA"/>
    <w:rsid w:val="00C976B2"/>
    <w:rsid w:val="00CA1213"/>
    <w:rsid w:val="00CA2E29"/>
    <w:rsid w:val="00CA3607"/>
    <w:rsid w:val="00CA47B5"/>
    <w:rsid w:val="00CA72F1"/>
    <w:rsid w:val="00CB0CF2"/>
    <w:rsid w:val="00CB2DCB"/>
    <w:rsid w:val="00CB37F7"/>
    <w:rsid w:val="00CB4591"/>
    <w:rsid w:val="00CB6F85"/>
    <w:rsid w:val="00CC0473"/>
    <w:rsid w:val="00CC1794"/>
    <w:rsid w:val="00CC1E8D"/>
    <w:rsid w:val="00CC3970"/>
    <w:rsid w:val="00CC3ED1"/>
    <w:rsid w:val="00CC45A9"/>
    <w:rsid w:val="00CC4988"/>
    <w:rsid w:val="00CC6113"/>
    <w:rsid w:val="00CD122F"/>
    <w:rsid w:val="00CD66D5"/>
    <w:rsid w:val="00CD6B7D"/>
    <w:rsid w:val="00CE0A40"/>
    <w:rsid w:val="00CE1852"/>
    <w:rsid w:val="00CE2946"/>
    <w:rsid w:val="00CE4329"/>
    <w:rsid w:val="00CF1014"/>
    <w:rsid w:val="00CF613A"/>
    <w:rsid w:val="00CF7619"/>
    <w:rsid w:val="00CF7661"/>
    <w:rsid w:val="00CF7EB9"/>
    <w:rsid w:val="00D0000A"/>
    <w:rsid w:val="00D00EA0"/>
    <w:rsid w:val="00D01999"/>
    <w:rsid w:val="00D01A50"/>
    <w:rsid w:val="00D02AFB"/>
    <w:rsid w:val="00D05997"/>
    <w:rsid w:val="00D05D33"/>
    <w:rsid w:val="00D15306"/>
    <w:rsid w:val="00D160F3"/>
    <w:rsid w:val="00D17B72"/>
    <w:rsid w:val="00D17E86"/>
    <w:rsid w:val="00D201E6"/>
    <w:rsid w:val="00D20FFB"/>
    <w:rsid w:val="00D23118"/>
    <w:rsid w:val="00D2517E"/>
    <w:rsid w:val="00D25CD7"/>
    <w:rsid w:val="00D3261D"/>
    <w:rsid w:val="00D33A08"/>
    <w:rsid w:val="00D35F06"/>
    <w:rsid w:val="00D36226"/>
    <w:rsid w:val="00D429D1"/>
    <w:rsid w:val="00D455D4"/>
    <w:rsid w:val="00D45E62"/>
    <w:rsid w:val="00D46A28"/>
    <w:rsid w:val="00D46DC4"/>
    <w:rsid w:val="00D5062B"/>
    <w:rsid w:val="00D51F84"/>
    <w:rsid w:val="00D53541"/>
    <w:rsid w:val="00D54E43"/>
    <w:rsid w:val="00D55E39"/>
    <w:rsid w:val="00D56066"/>
    <w:rsid w:val="00D60633"/>
    <w:rsid w:val="00D620FF"/>
    <w:rsid w:val="00D629F2"/>
    <w:rsid w:val="00D63E1C"/>
    <w:rsid w:val="00D65A90"/>
    <w:rsid w:val="00D65BF3"/>
    <w:rsid w:val="00D73D35"/>
    <w:rsid w:val="00D74C34"/>
    <w:rsid w:val="00D7615A"/>
    <w:rsid w:val="00D761E4"/>
    <w:rsid w:val="00D7679A"/>
    <w:rsid w:val="00D76A3B"/>
    <w:rsid w:val="00D77211"/>
    <w:rsid w:val="00D80DC4"/>
    <w:rsid w:val="00D8119E"/>
    <w:rsid w:val="00D8255D"/>
    <w:rsid w:val="00D82E86"/>
    <w:rsid w:val="00D83505"/>
    <w:rsid w:val="00D835A4"/>
    <w:rsid w:val="00D872B1"/>
    <w:rsid w:val="00D91D07"/>
    <w:rsid w:val="00DA55F6"/>
    <w:rsid w:val="00DB0021"/>
    <w:rsid w:val="00DB5C7C"/>
    <w:rsid w:val="00DC0A7C"/>
    <w:rsid w:val="00DC1CC0"/>
    <w:rsid w:val="00DC273F"/>
    <w:rsid w:val="00DC38B8"/>
    <w:rsid w:val="00DC4475"/>
    <w:rsid w:val="00DC46F0"/>
    <w:rsid w:val="00DC58C0"/>
    <w:rsid w:val="00DD34B6"/>
    <w:rsid w:val="00DD3A2B"/>
    <w:rsid w:val="00DD61DE"/>
    <w:rsid w:val="00DD7094"/>
    <w:rsid w:val="00DE11A5"/>
    <w:rsid w:val="00DE25A0"/>
    <w:rsid w:val="00DE2AF0"/>
    <w:rsid w:val="00DE4E91"/>
    <w:rsid w:val="00DE7092"/>
    <w:rsid w:val="00DF0B35"/>
    <w:rsid w:val="00DF3766"/>
    <w:rsid w:val="00DF39D2"/>
    <w:rsid w:val="00DF56A7"/>
    <w:rsid w:val="00DF6BBB"/>
    <w:rsid w:val="00DF7125"/>
    <w:rsid w:val="00E017F3"/>
    <w:rsid w:val="00E01912"/>
    <w:rsid w:val="00E02FD6"/>
    <w:rsid w:val="00E04749"/>
    <w:rsid w:val="00E07A22"/>
    <w:rsid w:val="00E10161"/>
    <w:rsid w:val="00E16674"/>
    <w:rsid w:val="00E16A6E"/>
    <w:rsid w:val="00E16FB0"/>
    <w:rsid w:val="00E207BD"/>
    <w:rsid w:val="00E21911"/>
    <w:rsid w:val="00E22F0D"/>
    <w:rsid w:val="00E2417A"/>
    <w:rsid w:val="00E25B4B"/>
    <w:rsid w:val="00E26437"/>
    <w:rsid w:val="00E37F4B"/>
    <w:rsid w:val="00E411A9"/>
    <w:rsid w:val="00E4350D"/>
    <w:rsid w:val="00E4387D"/>
    <w:rsid w:val="00E43A22"/>
    <w:rsid w:val="00E43AC4"/>
    <w:rsid w:val="00E45EF4"/>
    <w:rsid w:val="00E46063"/>
    <w:rsid w:val="00E5325E"/>
    <w:rsid w:val="00E53E8F"/>
    <w:rsid w:val="00E54CEB"/>
    <w:rsid w:val="00E557D7"/>
    <w:rsid w:val="00E55E85"/>
    <w:rsid w:val="00E55EED"/>
    <w:rsid w:val="00E560EA"/>
    <w:rsid w:val="00E561C3"/>
    <w:rsid w:val="00E62588"/>
    <w:rsid w:val="00E6313E"/>
    <w:rsid w:val="00E668DA"/>
    <w:rsid w:val="00E7396A"/>
    <w:rsid w:val="00E73FD6"/>
    <w:rsid w:val="00E74EFA"/>
    <w:rsid w:val="00E75850"/>
    <w:rsid w:val="00E76CD4"/>
    <w:rsid w:val="00E86CF4"/>
    <w:rsid w:val="00E90586"/>
    <w:rsid w:val="00E90EA2"/>
    <w:rsid w:val="00E9183E"/>
    <w:rsid w:val="00E91C1D"/>
    <w:rsid w:val="00E936B6"/>
    <w:rsid w:val="00E94476"/>
    <w:rsid w:val="00E948E4"/>
    <w:rsid w:val="00E960BA"/>
    <w:rsid w:val="00E96221"/>
    <w:rsid w:val="00E96C90"/>
    <w:rsid w:val="00E9768D"/>
    <w:rsid w:val="00EA067A"/>
    <w:rsid w:val="00EA1A26"/>
    <w:rsid w:val="00EA2F92"/>
    <w:rsid w:val="00EA5A23"/>
    <w:rsid w:val="00EA7141"/>
    <w:rsid w:val="00EB27E9"/>
    <w:rsid w:val="00EB5774"/>
    <w:rsid w:val="00EB6169"/>
    <w:rsid w:val="00EB64CF"/>
    <w:rsid w:val="00EB74A3"/>
    <w:rsid w:val="00EC078D"/>
    <w:rsid w:val="00EC1F3E"/>
    <w:rsid w:val="00EC2D9B"/>
    <w:rsid w:val="00EC364C"/>
    <w:rsid w:val="00EC3650"/>
    <w:rsid w:val="00EC65CA"/>
    <w:rsid w:val="00EC76AF"/>
    <w:rsid w:val="00ED113D"/>
    <w:rsid w:val="00ED2C01"/>
    <w:rsid w:val="00ED306E"/>
    <w:rsid w:val="00ED7B9C"/>
    <w:rsid w:val="00EE2467"/>
    <w:rsid w:val="00EE3131"/>
    <w:rsid w:val="00EE4DE3"/>
    <w:rsid w:val="00EE6D9A"/>
    <w:rsid w:val="00EE7426"/>
    <w:rsid w:val="00EE7B2C"/>
    <w:rsid w:val="00EF0027"/>
    <w:rsid w:val="00EF0F49"/>
    <w:rsid w:val="00EF26EB"/>
    <w:rsid w:val="00EF291C"/>
    <w:rsid w:val="00EF584E"/>
    <w:rsid w:val="00EF7C2B"/>
    <w:rsid w:val="00F00757"/>
    <w:rsid w:val="00F007F5"/>
    <w:rsid w:val="00F01D4C"/>
    <w:rsid w:val="00F02583"/>
    <w:rsid w:val="00F04C12"/>
    <w:rsid w:val="00F052B6"/>
    <w:rsid w:val="00F115D4"/>
    <w:rsid w:val="00F14219"/>
    <w:rsid w:val="00F14A3D"/>
    <w:rsid w:val="00F1565A"/>
    <w:rsid w:val="00F156C3"/>
    <w:rsid w:val="00F22CB1"/>
    <w:rsid w:val="00F259EC"/>
    <w:rsid w:val="00F25E14"/>
    <w:rsid w:val="00F270B6"/>
    <w:rsid w:val="00F271F7"/>
    <w:rsid w:val="00F36B32"/>
    <w:rsid w:val="00F43589"/>
    <w:rsid w:val="00F444F7"/>
    <w:rsid w:val="00F45722"/>
    <w:rsid w:val="00F462EB"/>
    <w:rsid w:val="00F50082"/>
    <w:rsid w:val="00F519C6"/>
    <w:rsid w:val="00F51B2D"/>
    <w:rsid w:val="00F54B9B"/>
    <w:rsid w:val="00F55497"/>
    <w:rsid w:val="00F56075"/>
    <w:rsid w:val="00F57A5E"/>
    <w:rsid w:val="00F62599"/>
    <w:rsid w:val="00F62C3C"/>
    <w:rsid w:val="00F63B47"/>
    <w:rsid w:val="00F64602"/>
    <w:rsid w:val="00F65701"/>
    <w:rsid w:val="00F660A2"/>
    <w:rsid w:val="00F7230C"/>
    <w:rsid w:val="00F74C22"/>
    <w:rsid w:val="00F76429"/>
    <w:rsid w:val="00F80B2F"/>
    <w:rsid w:val="00F81D1A"/>
    <w:rsid w:val="00F84389"/>
    <w:rsid w:val="00F851EC"/>
    <w:rsid w:val="00F854CA"/>
    <w:rsid w:val="00F855A7"/>
    <w:rsid w:val="00F86B1F"/>
    <w:rsid w:val="00F87AF0"/>
    <w:rsid w:val="00F925FC"/>
    <w:rsid w:val="00F94259"/>
    <w:rsid w:val="00F96F1F"/>
    <w:rsid w:val="00FA0025"/>
    <w:rsid w:val="00FA0E7F"/>
    <w:rsid w:val="00FA24B0"/>
    <w:rsid w:val="00FA4314"/>
    <w:rsid w:val="00FA45BB"/>
    <w:rsid w:val="00FA5099"/>
    <w:rsid w:val="00FA5B59"/>
    <w:rsid w:val="00FA72FD"/>
    <w:rsid w:val="00FB04B7"/>
    <w:rsid w:val="00FB698B"/>
    <w:rsid w:val="00FC1CC1"/>
    <w:rsid w:val="00FC2F44"/>
    <w:rsid w:val="00FC62BC"/>
    <w:rsid w:val="00FC63D2"/>
    <w:rsid w:val="00FC7E25"/>
    <w:rsid w:val="00FD1481"/>
    <w:rsid w:val="00FD17A7"/>
    <w:rsid w:val="00FD30D6"/>
    <w:rsid w:val="00FD6378"/>
    <w:rsid w:val="00FE2612"/>
    <w:rsid w:val="00FE2DE8"/>
    <w:rsid w:val="00FE6FB6"/>
    <w:rsid w:val="00FE7F47"/>
    <w:rsid w:val="00FF018B"/>
    <w:rsid w:val="00FF0708"/>
    <w:rsid w:val="00FF0CF2"/>
    <w:rsid w:val="00FF170B"/>
    <w:rsid w:val="00FF3038"/>
    <w:rsid w:val="00FF39F5"/>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eaeaea"/>
    </o:shapedefaults>
    <o:shapelayout v:ext="edit">
      <o:idmap v:ext="edit" data="2"/>
    </o:shapelayout>
  </w:shapeDefaults>
  <w:decimalSymbol w:val="."/>
  <w:listSeparator w:val=","/>
  <w14:docId w14:val="01C34338"/>
  <w15:chartTrackingRefBased/>
  <w15:docId w15:val="{0768DA93-6E3A-4DDC-AF25-4FCD893C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E46"/>
    <w:rPr>
      <w:sz w:val="24"/>
      <w:szCs w:val="24"/>
      <w:lang w:val="de-DE" w:eastAsia="ja-JP"/>
    </w:rPr>
  </w:style>
  <w:style w:type="paragraph" w:styleId="1">
    <w:name w:val="heading 1"/>
    <w:basedOn w:val="a"/>
    <w:next w:val="a"/>
    <w:link w:val="1Char"/>
    <w:uiPriority w:val="9"/>
    <w:rsid w:val="00794DEA"/>
    <w:pPr>
      <w:spacing w:before="460" w:after="230" w:line="230" w:lineRule="atLeast"/>
      <w:outlineLvl w:val="0"/>
    </w:pPr>
    <w:rPr>
      <w:rFonts w:ascii="Arial" w:hAnsi="Arial"/>
      <w:b/>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
    <w:rsid w:val="00794DEA"/>
    <w:rPr>
      <w:rFonts w:ascii="Arial" w:hAnsi="Arial"/>
      <w:b/>
      <w:sz w:val="22"/>
      <w:lang w:eastAsia="ja-JP"/>
    </w:rPr>
  </w:style>
  <w:style w:type="paragraph" w:customStyle="1" w:styleId="Title1">
    <w:name w:val="Title1"/>
    <w:basedOn w:val="a"/>
    <w:next w:val="a"/>
    <w:qFormat/>
    <w:rsid w:val="008F6479"/>
    <w:pPr>
      <w:spacing w:before="360" w:line="480" w:lineRule="exact"/>
    </w:pPr>
    <w:rPr>
      <w:rFonts w:ascii="Arial" w:hAnsi="Arial"/>
      <w:b/>
      <w:sz w:val="32"/>
      <w:szCs w:val="28"/>
    </w:rPr>
  </w:style>
  <w:style w:type="paragraph" w:customStyle="1" w:styleId="Authors">
    <w:name w:val="Authors"/>
    <w:basedOn w:val="a"/>
    <w:qFormat/>
    <w:rsid w:val="00F259EC"/>
    <w:pPr>
      <w:spacing w:before="120" w:after="360" w:line="320" w:lineRule="exact"/>
    </w:pPr>
    <w:rPr>
      <w:rFonts w:ascii="Arial" w:hAnsi="Arial"/>
      <w:sz w:val="22"/>
      <w:lang w:val="en-GB"/>
    </w:rPr>
  </w:style>
  <w:style w:type="paragraph" w:customStyle="1" w:styleId="P1withoutIndendation">
    <w:name w:val="P1_without_Indendation"/>
    <w:basedOn w:val="a"/>
    <w:qFormat/>
    <w:rsid w:val="008D3292"/>
    <w:pPr>
      <w:spacing w:line="225" w:lineRule="exact"/>
      <w:jc w:val="both"/>
    </w:pPr>
    <w:rPr>
      <w:rFonts w:ascii="Arial" w:hAnsi="Arial"/>
      <w:sz w:val="17"/>
    </w:rPr>
  </w:style>
  <w:style w:type="paragraph" w:customStyle="1" w:styleId="H1">
    <w:name w:val="H1"/>
    <w:basedOn w:val="1"/>
    <w:qFormat/>
    <w:rsid w:val="000907F4"/>
  </w:style>
  <w:style w:type="paragraph" w:customStyle="1" w:styleId="Adress">
    <w:name w:val="Adress"/>
    <w:basedOn w:val="a"/>
    <w:qFormat/>
    <w:rsid w:val="000D37AC"/>
    <w:pPr>
      <w:spacing w:line="180" w:lineRule="exact"/>
      <w:ind w:left="425" w:hanging="425"/>
    </w:pPr>
    <w:rPr>
      <w:rFonts w:ascii="Arial" w:hAnsi="Arial"/>
      <w:sz w:val="14"/>
      <w:szCs w:val="20"/>
    </w:rPr>
  </w:style>
  <w:style w:type="paragraph" w:customStyle="1" w:styleId="Footnote">
    <w:name w:val="Footnote"/>
    <w:basedOn w:val="Adress"/>
    <w:unhideWhenUsed/>
    <w:rsid w:val="00E9183E"/>
    <w:pPr>
      <w:spacing w:before="120"/>
    </w:pPr>
    <w:rPr>
      <w:szCs w:val="14"/>
      <w:lang w:val="en-GB"/>
    </w:rPr>
  </w:style>
  <w:style w:type="paragraph" w:customStyle="1" w:styleId="References">
    <w:name w:val="References"/>
    <w:basedOn w:val="a"/>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a"/>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H2">
    <w:name w:val="H2"/>
    <w:basedOn w:val="H1"/>
    <w:qFormat/>
    <w:rsid w:val="000907F4"/>
    <w:rPr>
      <w:bCs/>
      <w:sz w:val="18"/>
    </w:rPr>
  </w:style>
  <w:style w:type="character" w:customStyle="1" w:styleId="Comment">
    <w:name w:val="Comment"/>
    <w:rsid w:val="00A51DB3"/>
    <w:rPr>
      <w:rFonts w:ascii="Arial" w:hAnsi="Arial"/>
      <w:color w:val="FF0000"/>
      <w:sz w:val="14"/>
    </w:rPr>
  </w:style>
  <w:style w:type="paragraph" w:customStyle="1" w:styleId="SchemeCaption">
    <w:name w:val="SchemeCaption"/>
    <w:basedOn w:val="a"/>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a"/>
    <w:rsid w:val="00BD505D"/>
    <w:pPr>
      <w:spacing w:before="230" w:after="460" w:line="180" w:lineRule="exact"/>
      <w:jc w:val="both"/>
    </w:pPr>
    <w:rPr>
      <w:rFonts w:ascii="Arial" w:hAnsi="Arial"/>
      <w:sz w:val="14"/>
      <w:szCs w:val="14"/>
      <w:lang w:val="en-GB"/>
    </w:rPr>
  </w:style>
  <w:style w:type="paragraph" w:customStyle="1" w:styleId="TableCaption">
    <w:name w:val="TableCaption"/>
    <w:basedOn w:val="a"/>
    <w:qFormat/>
    <w:rsid w:val="000D37AC"/>
    <w:pPr>
      <w:spacing w:after="120" w:line="180" w:lineRule="exact"/>
      <w:jc w:val="both"/>
    </w:pPr>
    <w:rPr>
      <w:rFonts w:ascii="Arial" w:hAnsi="Arial"/>
      <w:sz w:val="14"/>
      <w:szCs w:val="14"/>
      <w:lang w:val="en-GB"/>
    </w:rPr>
  </w:style>
  <w:style w:type="paragraph" w:customStyle="1" w:styleId="TableHead">
    <w:name w:val="TableHead"/>
    <w:basedOn w:val="TableCaption"/>
    <w:qFormat/>
    <w:rsid w:val="00D02A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H3">
    <w:name w:val="H3"/>
    <w:basedOn w:val="H2"/>
    <w:qFormat/>
    <w:rsid w:val="000907F4"/>
    <w:rPr>
      <w:b w:val="0"/>
      <w:bCs w:val="0"/>
      <w:i/>
      <w:iCs/>
    </w:rPr>
  </w:style>
  <w:style w:type="paragraph" w:customStyle="1" w:styleId="ManuscriptID">
    <w:name w:val="ManuscriptID"/>
    <w:basedOn w:val="a"/>
    <w:rsid w:val="00EB27E9"/>
    <w:pPr>
      <w:spacing w:before="220" w:line="230" w:lineRule="exact"/>
    </w:pPr>
    <w:rPr>
      <w:rFonts w:ascii="Arial" w:hAnsi="Arial"/>
      <w:b/>
      <w:sz w:val="17"/>
      <w:szCs w:val="15"/>
      <w:lang w:val="en-GB"/>
    </w:rPr>
  </w:style>
  <w:style w:type="paragraph" w:customStyle="1" w:styleId="Intro">
    <w:name w:val="Intro"/>
    <w:basedOn w:val="a"/>
    <w:rsid w:val="00830818"/>
    <w:pPr>
      <w:jc w:val="center"/>
    </w:pPr>
    <w:rPr>
      <w:rFonts w:ascii="Arial" w:eastAsia="Times New Roman" w:hAnsi="Arial"/>
      <w:sz w:val="32"/>
      <w:szCs w:val="20"/>
    </w:rPr>
  </w:style>
  <w:style w:type="paragraph" w:customStyle="1" w:styleId="TitleTOC">
    <w:name w:val="Title_TOC"/>
    <w:basedOn w:val="a"/>
    <w:rsid w:val="00396E46"/>
    <w:pPr>
      <w:spacing w:before="120" w:line="225" w:lineRule="atLeast"/>
    </w:pPr>
    <w:rPr>
      <w:rFonts w:ascii="Arial" w:hAnsi="Arial"/>
      <w:b/>
      <w:sz w:val="17"/>
      <w:szCs w:val="20"/>
      <w:lang w:val="en-GB"/>
    </w:rPr>
  </w:style>
  <w:style w:type="paragraph" w:customStyle="1" w:styleId="TableOfContentText">
    <w:name w:val="TableOfContentText"/>
    <w:basedOn w:val="a"/>
    <w:rsid w:val="00396E46"/>
    <w:pPr>
      <w:spacing w:before="120" w:line="225" w:lineRule="atLeast"/>
    </w:pPr>
    <w:rPr>
      <w:rFonts w:ascii="Arial" w:hAnsi="Arial"/>
      <w:color w:val="000000"/>
      <w:sz w:val="17"/>
      <w:szCs w:val="20"/>
      <w:lang w:val="en-GB"/>
    </w:rPr>
  </w:style>
  <w:style w:type="paragraph" w:customStyle="1" w:styleId="P1withIndendation">
    <w:name w:val="P1_with_Indendation"/>
    <w:basedOn w:val="TableCaption"/>
    <w:qFormat/>
    <w:rsid w:val="00EB27E9"/>
    <w:pPr>
      <w:spacing w:line="225" w:lineRule="exact"/>
      <w:ind w:firstLine="284"/>
    </w:pPr>
    <w:rPr>
      <w:sz w:val="17"/>
    </w:rPr>
  </w:style>
  <w:style w:type="paragraph" w:customStyle="1" w:styleId="Acknowledgements">
    <w:name w:val="Acknowledgements"/>
    <w:basedOn w:val="P1withoutIndendation"/>
    <w:rsid w:val="008C642F"/>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a"/>
    <w:rsid w:val="004B0B74"/>
    <w:pPr>
      <w:spacing w:before="230"/>
    </w:pPr>
    <w:rPr>
      <w:rFonts w:ascii="Arial" w:hAnsi="Arial"/>
      <w:b/>
      <w:i/>
      <w:sz w:val="17"/>
    </w:rPr>
  </w:style>
  <w:style w:type="paragraph" w:styleId="a3">
    <w:name w:val="header"/>
    <w:basedOn w:val="a"/>
    <w:link w:val="Char"/>
    <w:uiPriority w:val="99"/>
    <w:unhideWhenUsed/>
    <w:rsid w:val="001E2F1C"/>
    <w:pPr>
      <w:tabs>
        <w:tab w:val="center" w:pos="4703"/>
        <w:tab w:val="right" w:pos="9406"/>
      </w:tabs>
    </w:pPr>
  </w:style>
  <w:style w:type="character" w:customStyle="1" w:styleId="Char">
    <w:name w:val="머리글 Char"/>
    <w:link w:val="a3"/>
    <w:uiPriority w:val="99"/>
    <w:rsid w:val="001E2F1C"/>
    <w:rPr>
      <w:sz w:val="24"/>
      <w:szCs w:val="24"/>
      <w:lang w:val="de-DE" w:eastAsia="ja-JP" w:bidi="ar-SA"/>
    </w:rPr>
  </w:style>
  <w:style w:type="paragraph" w:styleId="a4">
    <w:name w:val="footer"/>
    <w:basedOn w:val="a"/>
    <w:link w:val="Char0"/>
    <w:uiPriority w:val="99"/>
    <w:unhideWhenUsed/>
    <w:rsid w:val="001E2F1C"/>
    <w:pPr>
      <w:tabs>
        <w:tab w:val="center" w:pos="4703"/>
        <w:tab w:val="right" w:pos="9406"/>
      </w:tabs>
    </w:pPr>
  </w:style>
  <w:style w:type="character" w:customStyle="1" w:styleId="Char0">
    <w:name w:val="바닥글 Char"/>
    <w:link w:val="a4"/>
    <w:uiPriority w:val="99"/>
    <w:rsid w:val="001E2F1C"/>
    <w:rPr>
      <w:sz w:val="24"/>
      <w:szCs w:val="24"/>
      <w:lang w:val="de-DE" w:eastAsia="ja-JP" w:bidi="ar-SA"/>
    </w:rPr>
  </w:style>
  <w:style w:type="paragraph" w:styleId="a5">
    <w:name w:val="Balloon Text"/>
    <w:basedOn w:val="a"/>
    <w:link w:val="Char1"/>
    <w:uiPriority w:val="99"/>
    <w:semiHidden/>
    <w:unhideWhenUsed/>
    <w:rsid w:val="00EE7426"/>
    <w:rPr>
      <w:rFonts w:ascii="Tahoma" w:hAnsi="Tahoma" w:cs="Tahoma"/>
      <w:sz w:val="16"/>
      <w:szCs w:val="16"/>
    </w:rPr>
  </w:style>
  <w:style w:type="character" w:customStyle="1" w:styleId="Char1">
    <w:name w:val="풍선 도움말 텍스트 Char"/>
    <w:link w:val="a5"/>
    <w:uiPriority w:val="99"/>
    <w:semiHidden/>
    <w:rsid w:val="00EE7426"/>
    <w:rPr>
      <w:rFonts w:ascii="Tahoma" w:hAnsi="Tahoma" w:cs="Tahoma"/>
      <w:sz w:val="16"/>
      <w:szCs w:val="16"/>
      <w:lang w:val="de-DE" w:eastAsia="ja-JP" w:bidi="ar-SA"/>
    </w:rPr>
  </w:style>
  <w:style w:type="paragraph" w:customStyle="1" w:styleId="TableSpacer">
    <w:name w:val="TableSpacer"/>
    <w:basedOn w:val="a"/>
    <w:qFormat/>
    <w:rsid w:val="00C8278A"/>
    <w:pPr>
      <w:spacing w:before="360"/>
    </w:pPr>
    <w:rPr>
      <w:rFonts w:ascii="Arial" w:hAnsi="Arial"/>
      <w:noProof/>
      <w:sz w:val="14"/>
    </w:rPr>
  </w:style>
  <w:style w:type="paragraph" w:customStyle="1" w:styleId="Abstract">
    <w:name w:val="Abstract"/>
    <w:basedOn w:val="a"/>
    <w:qFormat/>
    <w:rsid w:val="002D5B99"/>
    <w:pPr>
      <w:spacing w:after="360" w:line="225" w:lineRule="exact"/>
      <w:jc w:val="both"/>
    </w:pPr>
    <w:rPr>
      <w:rFonts w:ascii="Arial" w:hAnsi="Arial"/>
      <w:sz w:val="16"/>
      <w:szCs w:val="20"/>
      <w:lang w:val="en-GB"/>
    </w:rPr>
  </w:style>
  <w:style w:type="paragraph" w:customStyle="1" w:styleId="P1">
    <w:name w:val="P1"/>
    <w:basedOn w:val="P1withoutIndendation"/>
    <w:qFormat/>
    <w:rsid w:val="000907F4"/>
    <w:pPr>
      <w:jc w:val="left"/>
    </w:pPr>
    <w:rPr>
      <w:lang w:val="en-US"/>
    </w:rPr>
  </w:style>
  <w:style w:type="character" w:styleId="a6">
    <w:name w:val="line number"/>
    <w:uiPriority w:val="99"/>
    <w:semiHidden/>
    <w:unhideWhenUsed/>
    <w:rsid w:val="000323DA"/>
  </w:style>
  <w:style w:type="paragraph" w:customStyle="1" w:styleId="List1">
    <w:name w:val="List1"/>
    <w:basedOn w:val="a"/>
    <w:rsid w:val="00DE2AF0"/>
    <w:pPr>
      <w:tabs>
        <w:tab w:val="left" w:pos="567"/>
      </w:tabs>
      <w:spacing w:before="240" w:after="120" w:line="480" w:lineRule="exact"/>
      <w:ind w:left="567" w:hanging="567"/>
    </w:pPr>
    <w:rPr>
      <w:rFonts w:eastAsia="Times New Roman"/>
      <w:lang w:eastAsia="de-DE"/>
    </w:rPr>
  </w:style>
  <w:style w:type="character" w:styleId="a7">
    <w:name w:val="annotation reference"/>
    <w:basedOn w:val="a0"/>
    <w:uiPriority w:val="99"/>
    <w:semiHidden/>
    <w:unhideWhenUsed/>
    <w:rsid w:val="003B05B7"/>
    <w:rPr>
      <w:sz w:val="18"/>
      <w:szCs w:val="18"/>
    </w:rPr>
  </w:style>
  <w:style w:type="paragraph" w:styleId="a8">
    <w:name w:val="annotation text"/>
    <w:basedOn w:val="a"/>
    <w:link w:val="Char2"/>
    <w:uiPriority w:val="99"/>
    <w:unhideWhenUsed/>
    <w:rsid w:val="003B05B7"/>
  </w:style>
  <w:style w:type="character" w:customStyle="1" w:styleId="Char2">
    <w:name w:val="메모 텍스트 Char"/>
    <w:basedOn w:val="a0"/>
    <w:link w:val="a8"/>
    <w:uiPriority w:val="99"/>
    <w:rsid w:val="003B05B7"/>
    <w:rPr>
      <w:sz w:val="24"/>
      <w:szCs w:val="24"/>
      <w:lang w:val="de-DE" w:eastAsia="ja-JP"/>
    </w:rPr>
  </w:style>
  <w:style w:type="paragraph" w:styleId="a9">
    <w:name w:val="annotation subject"/>
    <w:basedOn w:val="a8"/>
    <w:next w:val="a8"/>
    <w:link w:val="Char3"/>
    <w:uiPriority w:val="99"/>
    <w:semiHidden/>
    <w:unhideWhenUsed/>
    <w:rsid w:val="003B05B7"/>
    <w:rPr>
      <w:b/>
      <w:bCs/>
    </w:rPr>
  </w:style>
  <w:style w:type="character" w:customStyle="1" w:styleId="Char3">
    <w:name w:val="메모 주제 Char"/>
    <w:basedOn w:val="Char2"/>
    <w:link w:val="a9"/>
    <w:uiPriority w:val="99"/>
    <w:semiHidden/>
    <w:rsid w:val="003B05B7"/>
    <w:rPr>
      <w:b/>
      <w:bCs/>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4.emf"/><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image" Target="media/image27.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41" Type="http://schemas.openxmlformats.org/officeDocument/2006/relationships/image" Target="media/image2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3.png"/><Relationship Id="rId32" Type="http://schemas.openxmlformats.org/officeDocument/2006/relationships/image" Target="media/image17.emf"/><Relationship Id="rId37" Type="http://schemas.openxmlformats.org/officeDocument/2006/relationships/image" Target="media/image22.png"/><Relationship Id="rId40" Type="http://schemas.openxmlformats.org/officeDocument/2006/relationships/image" Target="media/image25.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36" Type="http://schemas.openxmlformats.org/officeDocument/2006/relationships/image" Target="media/image21.png"/><Relationship Id="rId10" Type="http://schemas.openxmlformats.org/officeDocument/2006/relationships/image" Target="media/image2.emf"/><Relationship Id="rId19" Type="http://schemas.openxmlformats.org/officeDocument/2006/relationships/image" Target="media/image8.png"/><Relationship Id="rId31" Type="http://schemas.openxmlformats.org/officeDocument/2006/relationships/image" Target="media/image16.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3.bin"/><Relationship Id="rId22" Type="http://schemas.openxmlformats.org/officeDocument/2006/relationships/image" Target="media/image11.emf"/><Relationship Id="rId30" Type="http://schemas.openxmlformats.org/officeDocument/2006/relationships/image" Target="media/image60.png"/><Relationship Id="rId35" Type="http://schemas.openxmlformats.org/officeDocument/2006/relationships/image" Target="media/image20.emf"/><Relationship Id="rId43" Type="http://schemas.openxmlformats.org/officeDocument/2006/relationships/image" Target="media/image28.emf"/><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8.emf"/><Relationship Id="rId38" Type="http://schemas.openxmlformats.org/officeDocument/2006/relationships/image" Target="media/image2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AppData\Local\Temp\_AZTMP1_\Supporting_Information.dot"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A44A2-1BF8-488A-8B64-DB3BBE144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Supporting_Information</Template>
  <TotalTime>1</TotalTime>
  <Pages>26</Pages>
  <Words>21199</Words>
  <Characters>120839</Characters>
  <Application>Microsoft Office Word</Application>
  <DocSecurity>0</DocSecurity>
  <Lines>1006</Lines>
  <Paragraphs>283</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((Title))</vt:lpstr>
      <vt:lpstr>((Title))</vt:lpstr>
      <vt:lpstr>((Title))</vt:lpstr>
    </vt:vector>
  </TitlesOfParts>
  <Company>WILEY-VCH Verlag GmbH &amp; Co. KGaA</Company>
  <LinksUpToDate>false</LinksUpToDate>
  <CharactersWithSpaces>141755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KIM</dc:creator>
  <cp:keywords/>
  <cp:lastModifiedBy>KIM</cp:lastModifiedBy>
  <cp:revision>3</cp:revision>
  <cp:lastPrinted>2014-03-21T05:01:00Z</cp:lastPrinted>
  <dcterms:created xsi:type="dcterms:W3CDTF">2023-01-27T13:02:00Z</dcterms:created>
  <dcterms:modified xsi:type="dcterms:W3CDTF">2023-01-27T13:03:00Z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http://www.zotero.org/styles/biomed-central</vt:lpwstr>
  </property>
  <property fmtid="{D5CDD505-2E9C-101B-9397-08002B2CF9AE}" pid="3" name="Mendeley Recent Style Name 0_1">
    <vt:lpwstr>BioMed Central</vt:lpwstr>
  </property>
  <property fmtid="{D5CDD505-2E9C-101B-9397-08002B2CF9AE}" pid="4" name="Mendeley Recent Style Id 1_1">
    <vt:lpwstr>http://www.zotero.org/styles/biomaterials</vt:lpwstr>
  </property>
  <property fmtid="{D5CDD505-2E9C-101B-9397-08002B2CF9AE}" pid="5" name="Mendeley Recent Style Name 1_1">
    <vt:lpwstr>Biomaterials</vt:lpwstr>
  </property>
  <property fmtid="{D5CDD505-2E9C-101B-9397-08002B2CF9AE}" pid="6" name="Mendeley Recent Style Id 2_1">
    <vt:lpwstr>http://www.zotero.org/styles/biomaterials-research</vt:lpwstr>
  </property>
  <property fmtid="{D5CDD505-2E9C-101B-9397-08002B2CF9AE}" pid="7" name="Mendeley Recent Style Name 2_1">
    <vt:lpwstr>Biomaterials Research</vt:lpwstr>
  </property>
  <property fmtid="{D5CDD505-2E9C-101B-9397-08002B2CF9AE}" pid="8" name="Mendeley Recent Style Id 3_1">
    <vt:lpwstr>http://www.zotero.org/styles/biomedicines</vt:lpwstr>
  </property>
  <property fmtid="{D5CDD505-2E9C-101B-9397-08002B2CF9AE}" pid="9" name="Mendeley Recent Style Name 3_1">
    <vt:lpwstr>Biomedicines</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http://www.zotero.org/styles/international-journal-of-antimicrobial-agents</vt:lpwstr>
  </property>
  <property fmtid="{D5CDD505-2E9C-101B-9397-08002B2CF9AE}" pid="13" name="Mendeley Recent Style Name 5_1">
    <vt:lpwstr>International Journal of Antimicrobial Agents</vt:lpwstr>
  </property>
  <property fmtid="{D5CDD505-2E9C-101B-9397-08002B2CF9AE}" pid="14" name="Mendeley Recent Style Id 6_1">
    <vt:lpwstr>http://www.zotero.org/styles/journal-of-microbiology-and-biotechnology</vt:lpwstr>
  </property>
  <property fmtid="{D5CDD505-2E9C-101B-9397-08002B2CF9AE}" pid="15" name="Mendeley Recent Style Name 6_1">
    <vt:lpwstr>Journal of Microbiology and Biotechnology</vt:lpwstr>
  </property>
  <property fmtid="{D5CDD505-2E9C-101B-9397-08002B2CF9AE}" pid="16" name="Mendeley Recent Style Id 7_1">
    <vt:lpwstr>http://www.zotero.org/styles/molecular-therapy</vt:lpwstr>
  </property>
  <property fmtid="{D5CDD505-2E9C-101B-9397-08002B2CF9AE}" pid="17" name="Mendeley Recent Style Name 7_1">
    <vt:lpwstr>Molecular Therapy</vt:lpwstr>
  </property>
  <property fmtid="{D5CDD505-2E9C-101B-9397-08002B2CF9AE}" pid="18" name="Mendeley Recent Style Id 8_1">
    <vt:lpwstr>http://www.zotero.org/styles/nanomaterials</vt:lpwstr>
  </property>
  <property fmtid="{D5CDD505-2E9C-101B-9397-08002B2CF9AE}" pid="19" name="Mendeley Recent Style Name 8_1">
    <vt:lpwstr>Nanomaterials</vt:lpwstr>
  </property>
  <property fmtid="{D5CDD505-2E9C-101B-9397-08002B2CF9AE}" pid="20" name="Mendeley Recent Style Id 9_1">
    <vt:lpwstr>http://www.zotero.org/styles/viruses</vt:lpwstr>
  </property>
  <property fmtid="{D5CDD505-2E9C-101B-9397-08002B2CF9AE}" pid="21" name="Mendeley Recent Style Name 9_1">
    <vt:lpwstr>Viruses</vt:lpwstr>
  </property>
  <property fmtid="{D5CDD505-2E9C-101B-9397-08002B2CF9AE}" pid="22" name="Mendeley Document_1">
    <vt:lpwstr>True</vt:lpwstr>
  </property>
  <property fmtid="{D5CDD505-2E9C-101B-9397-08002B2CF9AE}" pid="23" name="Mendeley Unique User Id_1">
    <vt:lpwstr>5b2edb3f-6e25-3b69-ae2d-b045e3b922c6</vt:lpwstr>
  </property>
  <property fmtid="{D5CDD505-2E9C-101B-9397-08002B2CF9AE}" pid="24" name="Mendeley Citation Style_1">
    <vt:lpwstr>http://www.zotero.org/styles/biomed-central</vt:lpwstr>
  </property>
</Properties>
</file>