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C2B96" w14:textId="5945FE2F" w:rsidR="007731EC" w:rsidRPr="004F0588" w:rsidRDefault="007731EC" w:rsidP="007731EC">
      <w:pPr>
        <w:spacing w:after="240"/>
        <w:jc w:val="center"/>
        <w:rPr>
          <w:rFonts w:ascii="Times New Roman" w:hAnsi="Times New Roman" w:cs="Times New Roman"/>
          <w:sz w:val="32"/>
          <w:highlight w:val="yellow"/>
        </w:rPr>
      </w:pPr>
      <w:bookmarkStart w:id="0" w:name="_Hlk99531401"/>
      <w:bookmarkStart w:id="1" w:name="_Hlk105752616"/>
      <w:r w:rsidRPr="004F0588">
        <w:rPr>
          <w:rFonts w:ascii="Times New Roman" w:hAnsi="Times New Roman" w:cs="Times New Roman"/>
          <w:sz w:val="32"/>
          <w:highlight w:val="yellow"/>
        </w:rPr>
        <w:t>Supplementary Materials</w:t>
      </w:r>
    </w:p>
    <w:p w14:paraId="4E522FBD" w14:textId="77777777" w:rsidR="007731EC" w:rsidRPr="004F0588" w:rsidRDefault="007731EC" w:rsidP="007731EC">
      <w:pPr>
        <w:spacing w:after="240"/>
        <w:jc w:val="center"/>
        <w:rPr>
          <w:rFonts w:ascii="Times New Roman" w:hAnsi="Times New Roman" w:cs="Times New Roman"/>
          <w:sz w:val="32"/>
          <w:highlight w:val="yellow"/>
        </w:rPr>
      </w:pPr>
    </w:p>
    <w:p w14:paraId="45F45791" w14:textId="7370ED72" w:rsidR="007731EC" w:rsidRPr="004F0588" w:rsidRDefault="007731EC" w:rsidP="007731EC">
      <w:pPr>
        <w:spacing w:after="240"/>
        <w:jc w:val="center"/>
        <w:rPr>
          <w:rFonts w:ascii="Times New Roman" w:hAnsi="Times New Roman" w:cs="Times New Roman"/>
          <w:sz w:val="32"/>
          <w:highlight w:val="yellow"/>
        </w:rPr>
      </w:pPr>
      <w:r w:rsidRPr="004F0588">
        <w:rPr>
          <w:rFonts w:ascii="Times New Roman" w:hAnsi="Times New Roman" w:cs="Times New Roman"/>
          <w:sz w:val="32"/>
          <w:highlight w:val="yellow"/>
        </w:rPr>
        <w:t>Surface Modifications of Titanium Dental Implants with Strontium Eucommia Ulmoides to Enhance Osseointegration and Suppress Inflammation</w:t>
      </w:r>
      <w:bookmarkEnd w:id="0"/>
    </w:p>
    <w:p w14:paraId="49D03DFA" w14:textId="77777777" w:rsidR="007731EC" w:rsidRPr="004F0588" w:rsidRDefault="007731EC" w:rsidP="007731EC">
      <w:pPr>
        <w:spacing w:after="240"/>
        <w:jc w:val="center"/>
        <w:rPr>
          <w:rFonts w:ascii="Times New Roman" w:hAnsi="Times New Roman" w:cs="Times New Roman"/>
          <w:sz w:val="22"/>
          <w:highlight w:val="yellow"/>
        </w:rPr>
      </w:pPr>
      <w:r w:rsidRPr="004F0588">
        <w:rPr>
          <w:rFonts w:ascii="Times New Roman" w:hAnsi="Times New Roman" w:cs="Times New Roman"/>
          <w:sz w:val="22"/>
          <w:highlight w:val="yellow"/>
        </w:rPr>
        <w:t xml:space="preserve">Rui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Sun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, d, e, 1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Qili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Sun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a,1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Yansong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Wang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a,1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Liqiu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Hu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Yutong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Wu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Fenbo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Ma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Jiayi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Liu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Xiangchao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Pang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 f, *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Bin </w:t>
      </w:r>
      <w:proofErr w:type="spellStart"/>
      <w:proofErr w:type="gramStart"/>
      <w:r w:rsidRPr="004F0588">
        <w:rPr>
          <w:rFonts w:ascii="Times New Roman" w:hAnsi="Times New Roman" w:cs="Times New Roman"/>
          <w:sz w:val="22"/>
          <w:highlight w:val="yellow"/>
        </w:rPr>
        <w:t>Tang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a,b</w:t>
      </w:r>
      <w:proofErr w:type="gramEnd"/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,c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,*</w:t>
      </w:r>
      <w:r w:rsidRPr="004F0588">
        <w:rPr>
          <w:rFonts w:ascii="Times New Roman" w:hAnsi="Times New Roman" w:cs="Times New Roman"/>
          <w:sz w:val="22"/>
          <w:highlight w:val="yellow"/>
        </w:rPr>
        <w:t>.</w:t>
      </w:r>
    </w:p>
    <w:p w14:paraId="54E673AA" w14:textId="77777777" w:rsidR="007731EC" w:rsidRPr="004F0588" w:rsidRDefault="007731EC" w:rsidP="007731EC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a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Department of Biomedical Engineering, Southern University of Science and Technology, Shenzhen, 518055, China</w:t>
      </w:r>
    </w:p>
    <w:p w14:paraId="27F0246A" w14:textId="77777777" w:rsidR="007731EC" w:rsidRPr="004F0588" w:rsidRDefault="007731EC" w:rsidP="007731EC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b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Guangdong Provincial Key Laboratory of Cell Microenvironment and Disease Research, China</w:t>
      </w:r>
    </w:p>
    <w:p w14:paraId="42B1C050" w14:textId="77777777" w:rsidR="007731EC" w:rsidRPr="004F0588" w:rsidRDefault="007731EC" w:rsidP="007731EC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c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Shenzhen Key Laboratory of Cell Microenvironment, China</w:t>
      </w:r>
    </w:p>
    <w:p w14:paraId="382B93AE" w14:textId="77777777" w:rsidR="007731EC" w:rsidRPr="004F0588" w:rsidRDefault="007731EC" w:rsidP="007731EC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d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Department of Biomedical Engineering, College of Design and Engineering, National University of Singapore, Singapore 117583, Singapore</w:t>
      </w:r>
    </w:p>
    <w:p w14:paraId="7ACD5326" w14:textId="77777777" w:rsidR="007731EC" w:rsidRPr="004F0588" w:rsidRDefault="007731EC" w:rsidP="007731EC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e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Mechanobiology Institute (MBI), National University of Singapore, Singapore 117411, Singapore</w:t>
      </w:r>
    </w:p>
    <w:p w14:paraId="31FBC9F3" w14:textId="77777777" w:rsidR="007731EC" w:rsidRPr="004F0588" w:rsidRDefault="007731EC" w:rsidP="007731EC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f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College of Materials Science and Engineering, Central South University of Forestry and Technology, Changsha 410004, China</w:t>
      </w:r>
    </w:p>
    <w:p w14:paraId="237F2D8B" w14:textId="77777777" w:rsidR="007731EC" w:rsidRPr="004F0588" w:rsidRDefault="007731EC" w:rsidP="007731EC">
      <w:pPr>
        <w:spacing w:after="24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1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These authors contributed equally to this study.</w:t>
      </w:r>
    </w:p>
    <w:p w14:paraId="61030529" w14:textId="77777777" w:rsidR="007731EC" w:rsidRPr="004F0588" w:rsidRDefault="007731EC" w:rsidP="007731EC">
      <w:pPr>
        <w:spacing w:after="24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</w:rPr>
        <w:t>*Corresponding author (s)</w:t>
      </w:r>
    </w:p>
    <w:p w14:paraId="4BE9E3AA" w14:textId="77777777" w:rsidR="007731EC" w:rsidRPr="004F0588" w:rsidRDefault="007731EC" w:rsidP="007731EC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</w:rPr>
        <w:t>Main corresponding author: Bin Tang, Email: tangb@sustech.edu.cn; Tel: 86-0755-88018998</w:t>
      </w:r>
    </w:p>
    <w:bookmarkEnd w:id="1"/>
    <w:p w14:paraId="586DBA30" w14:textId="6D3528AA" w:rsidR="00EA0111" w:rsidRPr="004F0588" w:rsidRDefault="00EA0111">
      <w:pPr>
        <w:rPr>
          <w:rFonts w:ascii="Times New Roman" w:hAnsi="Times New Roman" w:cs="Times New Roman"/>
        </w:rPr>
      </w:pPr>
    </w:p>
    <w:p w14:paraId="2B65E890" w14:textId="7F9797E0" w:rsidR="007731EC" w:rsidRPr="004F0588" w:rsidRDefault="007731EC">
      <w:pPr>
        <w:rPr>
          <w:rFonts w:ascii="Times New Roman" w:hAnsi="Times New Roman" w:cs="Times New Roman"/>
        </w:rPr>
      </w:pPr>
    </w:p>
    <w:p w14:paraId="75AA7C16" w14:textId="286740D2" w:rsidR="007731EC" w:rsidRPr="004F0588" w:rsidRDefault="007731EC">
      <w:pPr>
        <w:rPr>
          <w:rFonts w:ascii="Times New Roman" w:hAnsi="Times New Roman" w:cs="Times New Roman"/>
        </w:rPr>
      </w:pPr>
    </w:p>
    <w:p w14:paraId="1C2E7043" w14:textId="3C95881E" w:rsidR="007731EC" w:rsidRPr="004F0588" w:rsidRDefault="007731EC">
      <w:pPr>
        <w:rPr>
          <w:rFonts w:ascii="Times New Roman" w:hAnsi="Times New Roman" w:cs="Times New Roman"/>
        </w:rPr>
      </w:pPr>
    </w:p>
    <w:p w14:paraId="4F93AF34" w14:textId="6FB54297" w:rsidR="007731EC" w:rsidRPr="004F0588" w:rsidRDefault="007731EC">
      <w:pPr>
        <w:rPr>
          <w:rFonts w:ascii="Times New Roman" w:hAnsi="Times New Roman" w:cs="Times New Roman"/>
        </w:rPr>
      </w:pPr>
    </w:p>
    <w:p w14:paraId="17C89FDB" w14:textId="06A957EC" w:rsidR="007731EC" w:rsidRPr="004F0588" w:rsidRDefault="007731EC">
      <w:pPr>
        <w:rPr>
          <w:rFonts w:ascii="Times New Roman" w:hAnsi="Times New Roman" w:cs="Times New Roman"/>
        </w:rPr>
      </w:pPr>
    </w:p>
    <w:p w14:paraId="299EB787" w14:textId="48F371C3" w:rsidR="007731EC" w:rsidRPr="004F0588" w:rsidRDefault="007731EC">
      <w:pPr>
        <w:rPr>
          <w:rFonts w:ascii="Times New Roman" w:hAnsi="Times New Roman" w:cs="Times New Roman"/>
        </w:rPr>
      </w:pPr>
    </w:p>
    <w:p w14:paraId="3E6016C3" w14:textId="07561747" w:rsidR="007731EC" w:rsidRPr="004F0588" w:rsidRDefault="007731EC">
      <w:pPr>
        <w:rPr>
          <w:rFonts w:ascii="Times New Roman" w:hAnsi="Times New Roman" w:cs="Times New Roman"/>
        </w:rPr>
      </w:pPr>
    </w:p>
    <w:p w14:paraId="0CC7A981" w14:textId="62BE81DE" w:rsidR="007731EC" w:rsidRPr="004F0588" w:rsidRDefault="007731EC">
      <w:pPr>
        <w:rPr>
          <w:rFonts w:ascii="Times New Roman" w:hAnsi="Times New Roman" w:cs="Times New Roman"/>
        </w:rPr>
      </w:pPr>
    </w:p>
    <w:p w14:paraId="418910D8" w14:textId="5C52D5E1" w:rsidR="007731EC" w:rsidRPr="00796D8C" w:rsidRDefault="004F0588" w:rsidP="004F0588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796D8C">
        <w:rPr>
          <w:rFonts w:ascii="Times New Roman" w:hAnsi="Times New Roman" w:cs="Times New Roman" w:hint="eastAsia"/>
          <w:b/>
          <w:bCs/>
          <w:sz w:val="32"/>
          <w:szCs w:val="36"/>
        </w:rPr>
        <w:lastRenderedPageBreak/>
        <w:t>S</w:t>
      </w:r>
      <w:r w:rsidRPr="00796D8C">
        <w:rPr>
          <w:rFonts w:ascii="Times New Roman" w:hAnsi="Times New Roman" w:cs="Times New Roman"/>
          <w:b/>
          <w:bCs/>
          <w:sz w:val="32"/>
          <w:szCs w:val="36"/>
        </w:rPr>
        <w:t>upplementary material S2</w:t>
      </w:r>
    </w:p>
    <w:p w14:paraId="70E407DB" w14:textId="77777777" w:rsidR="004F0588" w:rsidRDefault="004F0588">
      <w:pPr>
        <w:rPr>
          <w:rFonts w:ascii="Times New Roman" w:hAnsi="Times New Roman" w:cs="Times New Roman"/>
          <w:sz w:val="24"/>
          <w:szCs w:val="28"/>
        </w:rPr>
      </w:pPr>
    </w:p>
    <w:p w14:paraId="6585BC93" w14:textId="2EA23462" w:rsidR="004F0588" w:rsidRPr="00A4797E" w:rsidRDefault="004F0588">
      <w:pPr>
        <w:rPr>
          <w:rFonts w:ascii="Times New Roman" w:hAnsi="Times New Roman" w:cs="Times New Roman"/>
          <w:sz w:val="32"/>
          <w:szCs w:val="36"/>
        </w:rPr>
      </w:pPr>
      <w:r w:rsidRPr="00A4797E">
        <w:rPr>
          <w:rFonts w:ascii="Times New Roman" w:hAnsi="Times New Roman" w:cs="Times New Roman" w:hint="eastAsia"/>
          <w:sz w:val="32"/>
          <w:szCs w:val="36"/>
        </w:rPr>
        <w:t>M</w:t>
      </w:r>
      <w:r w:rsidRPr="00A4797E">
        <w:rPr>
          <w:rFonts w:ascii="Times New Roman" w:hAnsi="Times New Roman" w:cs="Times New Roman"/>
          <w:sz w:val="32"/>
          <w:szCs w:val="36"/>
        </w:rPr>
        <w:t>ineralization assay</w:t>
      </w:r>
    </w:p>
    <w:p w14:paraId="36CE700A" w14:textId="626B56AF" w:rsidR="000B2F3C" w:rsidRPr="00667007" w:rsidRDefault="000B2F3C" w:rsidP="00A4797E">
      <w:pPr>
        <w:ind w:firstLineChars="200" w:firstLine="56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Sterilized </w:t>
      </w:r>
      <w:proofErr w:type="spellStart"/>
      <w:r>
        <w:rPr>
          <w:rFonts w:ascii="Times New Roman" w:hAnsi="Times New Roman" w:cs="Times New Roman"/>
          <w:sz w:val="28"/>
          <w:szCs w:val="32"/>
        </w:rPr>
        <w:t>Ti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-EUP-Sr samples and </w:t>
      </w:r>
      <w:proofErr w:type="spellStart"/>
      <w:r>
        <w:rPr>
          <w:rFonts w:ascii="Times New Roman" w:hAnsi="Times New Roman" w:cs="Times New Roman"/>
          <w:sz w:val="28"/>
          <w:szCs w:val="32"/>
        </w:rPr>
        <w:t>Ti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control samples were air dried and placed in a 24 well plate. Simulated body fluid </w:t>
      </w:r>
      <w:r w:rsidR="00E8008E">
        <w:rPr>
          <w:rFonts w:ascii="Times New Roman" w:hAnsi="Times New Roman" w:cs="Times New Roman"/>
          <w:sz w:val="28"/>
          <w:szCs w:val="32"/>
        </w:rPr>
        <w:t xml:space="preserve">(SBF) </w:t>
      </w:r>
      <w:r>
        <w:rPr>
          <w:rFonts w:ascii="Times New Roman" w:hAnsi="Times New Roman" w:cs="Times New Roman"/>
          <w:sz w:val="28"/>
          <w:szCs w:val="32"/>
        </w:rPr>
        <w:t>was</w:t>
      </w:r>
      <w:r w:rsidR="00E8008E">
        <w:rPr>
          <w:rFonts w:ascii="Times New Roman" w:hAnsi="Times New Roman" w:cs="Times New Roman"/>
          <w:sz w:val="28"/>
          <w:szCs w:val="32"/>
        </w:rPr>
        <w:t xml:space="preserve"> prepared and</w:t>
      </w:r>
      <w:r>
        <w:rPr>
          <w:rFonts w:ascii="Times New Roman" w:hAnsi="Times New Roman" w:cs="Times New Roman"/>
          <w:sz w:val="28"/>
          <w:szCs w:val="32"/>
        </w:rPr>
        <w:t xml:space="preserve"> added to the samples (1 mL/well) to mimic the in vivo electrolytes and osmolarity environment </w:t>
      </w:r>
      <w:r w:rsidR="00E8008E">
        <w:rPr>
          <w:rFonts w:ascii="Times New Roman" w:hAnsi="Times New Roman" w:cs="Times New Roman"/>
          <w:sz w:val="28"/>
          <w:szCs w:val="32"/>
        </w:rPr>
        <w:fldChar w:fldCharType="begin"/>
      </w:r>
      <w:r w:rsidR="00E8008E">
        <w:rPr>
          <w:rFonts w:ascii="Times New Roman" w:hAnsi="Times New Roman" w:cs="Times New Roman"/>
          <w:sz w:val="28"/>
          <w:szCs w:val="32"/>
        </w:rPr>
        <w:instrText xml:space="preserve"> ADDIN EN.CITE &lt;EndNote&gt;&lt;Cite&gt;&lt;Author&gt;Kokubo&lt;/Author&gt;&lt;Year&gt;1990&lt;/Year&gt;&lt;RecNum&gt;153&lt;/RecNum&gt;&lt;DisplayText&gt;[1]&lt;/DisplayText&gt;&lt;record&gt;&lt;rec-number&gt;153&lt;/rec-number&gt;&lt;foreign-keys&gt;&lt;key app="EN" db-id="sr9e02ddn00s99ee2pcvxpz2s92ftvsedatd" timestamp="1663991582"&gt;153&lt;/key&gt;&lt;/foreign-keys&gt;&lt;ref-type name="Journal Article"&gt;17&lt;/ref-type&gt;&lt;contributors&gt;&lt;authors&gt;&lt;author&gt;Kokubo, T.&lt;/author&gt;&lt;author&gt;Kushitani, H.&lt;/author&gt;&lt;author&gt;Sakka, S.&lt;/author&gt;&lt;author&gt;Kitsugi, T.&lt;/author&gt;&lt;author&gt;Yamamuro, T.&lt;/author&gt;&lt;/authors&gt;&lt;/contributors&gt;&lt;auth-address&gt;Institute for Chemical Research, Kyoto University, Japan.&lt;/auth-address&gt;&lt;titles&gt;&lt;title&gt;Solutions able to reproduce in vivo surface-structure changes in bioactive glass-ceramic A-W&lt;/title&gt;&lt;secondary-title&gt;J Biomed Mater Res&lt;/secondary-title&gt;&lt;alt-title&gt;Journal of biomedical materials research&lt;/alt-title&gt;&lt;/titles&gt;&lt;periodical&gt;&lt;full-title&gt;J Biomed Mater Res&lt;/full-title&gt;&lt;abbr-1&gt;Journal of biomedical materials research&lt;/abbr-1&gt;&lt;/periodical&gt;&lt;alt-periodical&gt;&lt;full-title&gt;J Biomed Mater Res&lt;/full-title&gt;&lt;abbr-1&gt;Journal of biomedical materials research&lt;/abbr-1&gt;&lt;/alt-periodical&gt;&lt;pages&gt;721-34&lt;/pages&gt;&lt;volume&gt;24&lt;/volume&gt;&lt;number&gt;6&lt;/number&gt;&lt;edition&gt;1990/06/01&lt;/edition&gt;&lt;keywords&gt;&lt;keyword&gt;*Biocompatible Materials&lt;/keyword&gt;&lt;keyword&gt;Body Fluids&lt;/keyword&gt;&lt;keyword&gt;*Ceramics&lt;/keyword&gt;&lt;keyword&gt;*Glass&lt;/keyword&gt;&lt;keyword&gt;Humans&lt;/keyword&gt;&lt;keyword&gt;Hydrogen-Ion Concentration&lt;/keyword&gt;&lt;keyword&gt;In Vitro Techniques&lt;/keyword&gt;&lt;keyword&gt;Materials Testing&lt;/keyword&gt;&lt;keyword&gt;Microscopy, Electron, Scanning&lt;/keyword&gt;&lt;keyword&gt;Osmolar Concentration&lt;/keyword&gt;&lt;keyword&gt;Solutions&lt;/keyword&gt;&lt;keyword&gt;Spectrophotometry, Infrared&lt;/keyword&gt;&lt;keyword&gt;Surface Properties&lt;/keyword&gt;&lt;keyword&gt;X-Ray Diffraction&lt;/keyword&gt;&lt;/keywords&gt;&lt;dates&gt;&lt;year&gt;1990&lt;/year&gt;&lt;pub-dates&gt;&lt;date&gt;Jun&lt;/date&gt;&lt;/pub-dates&gt;&lt;/dates&gt;&lt;isbn&gt;0021-9304 (Print)&amp;#xD;0021-9304&lt;/isbn&gt;&lt;accession-num&gt;2361964&lt;/accession-num&gt;&lt;urls&gt;&lt;/urls&gt;&lt;electronic-resource-num&gt;10.1002/jbm.820240607&lt;/electronic-resource-num&gt;&lt;remote-database-provider&gt;NLM&lt;/remote-database-provider&gt;&lt;language&gt;eng&lt;/language&gt;&lt;/record&gt;&lt;/Cite&gt;&lt;/EndNote&gt;</w:instrText>
      </w:r>
      <w:r w:rsidR="00E8008E">
        <w:rPr>
          <w:rFonts w:ascii="Times New Roman" w:hAnsi="Times New Roman" w:cs="Times New Roman"/>
          <w:sz w:val="28"/>
          <w:szCs w:val="32"/>
        </w:rPr>
        <w:fldChar w:fldCharType="separate"/>
      </w:r>
      <w:r w:rsidR="00E8008E">
        <w:rPr>
          <w:rFonts w:ascii="Times New Roman" w:hAnsi="Times New Roman" w:cs="Times New Roman"/>
          <w:noProof/>
          <w:sz w:val="28"/>
          <w:szCs w:val="32"/>
        </w:rPr>
        <w:t>[1]</w:t>
      </w:r>
      <w:r w:rsidR="00E8008E">
        <w:rPr>
          <w:rFonts w:ascii="Times New Roman" w:hAnsi="Times New Roman" w:cs="Times New Roman"/>
          <w:sz w:val="28"/>
          <w:szCs w:val="32"/>
        </w:rPr>
        <w:fldChar w:fldCharType="end"/>
      </w:r>
      <w:r>
        <w:rPr>
          <w:rFonts w:ascii="Times New Roman" w:hAnsi="Times New Roman" w:cs="Times New Roman"/>
          <w:sz w:val="28"/>
          <w:szCs w:val="32"/>
        </w:rPr>
        <w:t xml:space="preserve">. </w:t>
      </w:r>
      <w:r w:rsidR="00E8008E">
        <w:rPr>
          <w:rFonts w:ascii="Times New Roman" w:hAnsi="Times New Roman" w:cs="Times New Roman"/>
          <w:sz w:val="28"/>
          <w:szCs w:val="32"/>
        </w:rPr>
        <w:t xml:space="preserve">The well plate was kept on a </w:t>
      </w:r>
      <w:proofErr w:type="gramStart"/>
      <w:r w:rsidR="00E8008E">
        <w:rPr>
          <w:rFonts w:ascii="Times New Roman" w:hAnsi="Times New Roman" w:cs="Times New Roman"/>
          <w:sz w:val="28"/>
          <w:szCs w:val="32"/>
        </w:rPr>
        <w:t>100 rpm</w:t>
      </w:r>
      <w:proofErr w:type="gramEnd"/>
      <w:r w:rsidR="00E8008E">
        <w:rPr>
          <w:rFonts w:ascii="Times New Roman" w:hAnsi="Times New Roman" w:cs="Times New Roman"/>
          <w:sz w:val="28"/>
          <w:szCs w:val="32"/>
        </w:rPr>
        <w:t xml:space="preserve"> shaker at 37 </w:t>
      </w:r>
      <w:proofErr w:type="spellStart"/>
      <w:r w:rsidR="00E8008E">
        <w:rPr>
          <w:rFonts w:ascii="Times New Roman" w:hAnsi="Times New Roman" w:cs="Times New Roman"/>
          <w:sz w:val="28"/>
          <w:szCs w:val="32"/>
          <w:vertAlign w:val="superscript"/>
        </w:rPr>
        <w:t>o</w:t>
      </w:r>
      <w:r w:rsidR="00E8008E">
        <w:rPr>
          <w:rFonts w:ascii="Times New Roman" w:hAnsi="Times New Roman" w:cs="Times New Roman"/>
          <w:sz w:val="28"/>
          <w:szCs w:val="32"/>
        </w:rPr>
        <w:t>C</w:t>
      </w:r>
      <w:proofErr w:type="spellEnd"/>
      <w:r w:rsidR="00E8008E">
        <w:rPr>
          <w:rFonts w:ascii="Times New Roman" w:hAnsi="Times New Roman" w:cs="Times New Roman"/>
          <w:sz w:val="28"/>
          <w:szCs w:val="32"/>
        </w:rPr>
        <w:t xml:space="preserve"> for 14 days, where the SBF was exchanged every 3 days. </w:t>
      </w:r>
      <w:r w:rsidR="00667007">
        <w:rPr>
          <w:rFonts w:ascii="Times New Roman" w:hAnsi="Times New Roman" w:cs="Times New Roman"/>
          <w:sz w:val="28"/>
          <w:szCs w:val="32"/>
        </w:rPr>
        <w:t>The samples were subsequently rinsed by ddH</w:t>
      </w:r>
      <w:r w:rsidR="00667007">
        <w:rPr>
          <w:rFonts w:ascii="Times New Roman" w:hAnsi="Times New Roman" w:cs="Times New Roman"/>
          <w:sz w:val="28"/>
          <w:szCs w:val="32"/>
          <w:vertAlign w:val="subscript"/>
        </w:rPr>
        <w:t>2</w:t>
      </w:r>
      <w:r w:rsidR="00667007">
        <w:rPr>
          <w:rFonts w:ascii="Times New Roman" w:hAnsi="Times New Roman" w:cs="Times New Roman"/>
          <w:sz w:val="28"/>
          <w:szCs w:val="32"/>
        </w:rPr>
        <w:t xml:space="preserve">O and kept at 37 </w:t>
      </w:r>
      <w:proofErr w:type="spellStart"/>
      <w:r w:rsidR="00667007">
        <w:rPr>
          <w:rFonts w:ascii="Times New Roman" w:hAnsi="Times New Roman" w:cs="Times New Roman"/>
          <w:sz w:val="28"/>
          <w:szCs w:val="32"/>
          <w:vertAlign w:val="superscript"/>
        </w:rPr>
        <w:t>o</w:t>
      </w:r>
      <w:r w:rsidR="00667007">
        <w:rPr>
          <w:rFonts w:ascii="Times New Roman" w:hAnsi="Times New Roman" w:cs="Times New Roman"/>
          <w:sz w:val="28"/>
          <w:szCs w:val="32"/>
        </w:rPr>
        <w:t>C</w:t>
      </w:r>
      <w:proofErr w:type="spellEnd"/>
      <w:r w:rsidR="00667007">
        <w:rPr>
          <w:rFonts w:ascii="Times New Roman" w:hAnsi="Times New Roman" w:cs="Times New Roman"/>
          <w:sz w:val="28"/>
          <w:szCs w:val="32"/>
        </w:rPr>
        <w:t xml:space="preserve"> for 4 hours until fully dried. The samples were then coated with gold and observed with Hitachi Regulus SEM.</w:t>
      </w:r>
    </w:p>
    <w:p w14:paraId="1FC05B9C" w14:textId="7FA34D03" w:rsidR="00082117" w:rsidRDefault="00215A4B" w:rsidP="00A4797E">
      <w:pPr>
        <w:ind w:firstLineChars="200" w:firstLine="56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As is shown in Fig. S2, mineralized structure was more obviously and ubiquitously identified on the surface of EUP-Sr modified </w:t>
      </w:r>
      <w:proofErr w:type="spellStart"/>
      <w:r>
        <w:rPr>
          <w:rFonts w:ascii="Times New Roman" w:hAnsi="Times New Roman" w:cs="Times New Roman"/>
          <w:sz w:val="28"/>
          <w:szCs w:val="32"/>
        </w:rPr>
        <w:t>Ti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using SEM (Hitachi Regulus). </w:t>
      </w:r>
      <w:r w:rsidR="004854DB">
        <w:rPr>
          <w:rFonts w:ascii="Times New Roman" w:hAnsi="Times New Roman" w:cs="Times New Roman"/>
          <w:sz w:val="28"/>
          <w:szCs w:val="32"/>
        </w:rPr>
        <w:t xml:space="preserve">Combining our </w:t>
      </w:r>
      <w:r w:rsidR="004854DB" w:rsidRPr="004854DB">
        <w:rPr>
          <w:rFonts w:ascii="Times New Roman" w:hAnsi="Times New Roman" w:cs="Times New Roman"/>
          <w:i/>
          <w:iCs/>
          <w:sz w:val="28"/>
          <w:szCs w:val="32"/>
        </w:rPr>
        <w:t>in vitro</w:t>
      </w:r>
      <w:r w:rsidR="004854DB">
        <w:rPr>
          <w:rFonts w:ascii="Times New Roman" w:hAnsi="Times New Roman" w:cs="Times New Roman"/>
          <w:sz w:val="28"/>
          <w:szCs w:val="32"/>
        </w:rPr>
        <w:t xml:space="preserve"> cell experiments evaluating osteogenic gene expression, we believe </w:t>
      </w:r>
      <w:proofErr w:type="spellStart"/>
      <w:r w:rsidR="004854DB">
        <w:rPr>
          <w:rFonts w:ascii="Times New Roman" w:hAnsi="Times New Roman" w:cs="Times New Roman"/>
          <w:sz w:val="28"/>
          <w:szCs w:val="32"/>
        </w:rPr>
        <w:t>Ti</w:t>
      </w:r>
      <w:proofErr w:type="spellEnd"/>
      <w:r w:rsidR="004854DB">
        <w:rPr>
          <w:rFonts w:ascii="Times New Roman" w:hAnsi="Times New Roman" w:cs="Times New Roman"/>
          <w:sz w:val="28"/>
          <w:szCs w:val="32"/>
        </w:rPr>
        <w:t>-EUP-Sr demonstrates better inducement in bone regeneration.</w:t>
      </w:r>
    </w:p>
    <w:p w14:paraId="796EC02C" w14:textId="2C415C52" w:rsidR="004F0588" w:rsidRDefault="00683342" w:rsidP="00082117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noProof/>
        </w:rPr>
        <w:drawing>
          <wp:inline distT="0" distB="0" distL="0" distR="0" wp14:anchorId="13BAD8A3" wp14:editId="3923178A">
            <wp:extent cx="5273045" cy="2009955"/>
            <wp:effectExtent l="0" t="0" r="381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8" t="31423" r="2103" b="31417"/>
                    <a:stretch/>
                  </pic:blipFill>
                  <pic:spPr bwMode="auto">
                    <a:xfrm>
                      <a:off x="0" y="0"/>
                      <a:ext cx="5282328" cy="201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2117">
        <w:rPr>
          <w:rFonts w:ascii="Times New Roman" w:hAnsi="Times New Roman" w:cs="Times New Roman" w:hint="eastAsia"/>
          <w:sz w:val="28"/>
          <w:szCs w:val="32"/>
        </w:rPr>
        <w:t xml:space="preserve"> </w:t>
      </w:r>
    </w:p>
    <w:p w14:paraId="0D190197" w14:textId="77777777" w:rsidR="00E8008E" w:rsidRDefault="00082117" w:rsidP="00082117">
      <w:pPr>
        <w:jc w:val="center"/>
        <w:rPr>
          <w:rFonts w:ascii="Times New Roman" w:hAnsi="Times New Roman" w:cs="Times New Roman"/>
          <w:sz w:val="24"/>
          <w:szCs w:val="28"/>
        </w:rPr>
      </w:pPr>
      <w:r w:rsidRPr="00082117">
        <w:rPr>
          <w:rFonts w:ascii="Times New Roman" w:hAnsi="Times New Roman" w:cs="Times New Roman"/>
          <w:b/>
          <w:bCs/>
          <w:sz w:val="24"/>
          <w:szCs w:val="28"/>
        </w:rPr>
        <w:t xml:space="preserve">Fig. S2 </w:t>
      </w:r>
      <w:r w:rsidRPr="00082117">
        <w:rPr>
          <w:rFonts w:ascii="Times New Roman" w:hAnsi="Times New Roman" w:cs="Times New Roman"/>
          <w:sz w:val="24"/>
          <w:szCs w:val="28"/>
        </w:rPr>
        <w:t>EUP-Sr loaded titanium implants</w:t>
      </w:r>
      <w:r>
        <w:rPr>
          <w:rFonts w:ascii="Times New Roman" w:hAnsi="Times New Roman" w:cs="Times New Roman"/>
          <w:sz w:val="24"/>
          <w:szCs w:val="28"/>
        </w:rPr>
        <w:t xml:space="preserve"> (B)</w:t>
      </w:r>
      <w:r w:rsidRPr="00082117">
        <w:rPr>
          <w:rFonts w:ascii="Times New Roman" w:hAnsi="Times New Roman" w:cs="Times New Roman"/>
          <w:sz w:val="24"/>
          <w:szCs w:val="28"/>
        </w:rPr>
        <w:t xml:space="preserve"> demonstrate</w:t>
      </w:r>
      <w:r w:rsidRPr="00683342">
        <w:rPr>
          <w:rFonts w:ascii="Times New Roman" w:hAnsi="Times New Roman" w:cs="Times New Roman"/>
          <w:sz w:val="24"/>
          <w:szCs w:val="28"/>
        </w:rPr>
        <w:t xml:space="preserve"> </w:t>
      </w:r>
      <w:r w:rsidR="00904442">
        <w:rPr>
          <w:rFonts w:ascii="Times New Roman" w:hAnsi="Times New Roman" w:cs="Times New Roman"/>
          <w:sz w:val="24"/>
          <w:szCs w:val="28"/>
        </w:rPr>
        <w:t xml:space="preserve">more </w:t>
      </w:r>
      <w:r w:rsidRPr="00683342">
        <w:rPr>
          <w:rFonts w:ascii="Times New Roman" w:hAnsi="Times New Roman" w:cs="Times New Roman"/>
          <w:sz w:val="24"/>
          <w:szCs w:val="28"/>
        </w:rPr>
        <w:t xml:space="preserve">effective mineralization compared to untreated </w:t>
      </w:r>
      <w:proofErr w:type="spellStart"/>
      <w:r w:rsidRPr="00683342">
        <w:rPr>
          <w:rFonts w:ascii="Times New Roman" w:hAnsi="Times New Roman" w:cs="Times New Roman"/>
          <w:sz w:val="24"/>
          <w:szCs w:val="28"/>
        </w:rPr>
        <w:t>Ti</w:t>
      </w:r>
      <w:proofErr w:type="spellEnd"/>
      <w:r w:rsidRPr="00683342">
        <w:rPr>
          <w:rFonts w:ascii="Times New Roman" w:hAnsi="Times New Roman" w:cs="Times New Roman"/>
          <w:sz w:val="24"/>
          <w:szCs w:val="28"/>
        </w:rPr>
        <w:t xml:space="preserve"> (A)</w:t>
      </w:r>
      <w:r w:rsidR="00683342" w:rsidRPr="00683342">
        <w:rPr>
          <w:rFonts w:ascii="Times New Roman" w:hAnsi="Times New Roman" w:cs="Times New Roman"/>
          <w:sz w:val="24"/>
          <w:szCs w:val="28"/>
        </w:rPr>
        <w:t xml:space="preserve">. Scale bar: 10 </w:t>
      </w:r>
      <w:proofErr w:type="spellStart"/>
      <w:r w:rsidR="00683342" w:rsidRPr="00683342">
        <w:rPr>
          <w:rFonts w:ascii="Times New Roman" w:hAnsi="Times New Roman" w:cs="Times New Roman"/>
          <w:sz w:val="24"/>
          <w:szCs w:val="28"/>
        </w:rPr>
        <w:t>μm</w:t>
      </w:r>
      <w:proofErr w:type="spellEnd"/>
    </w:p>
    <w:p w14:paraId="20C28BD1" w14:textId="64914BD5" w:rsidR="000A73C4" w:rsidRPr="000A73C4" w:rsidRDefault="000A73C4" w:rsidP="000A73C4">
      <w:pPr>
        <w:jc w:val="left"/>
        <w:rPr>
          <w:rFonts w:ascii="Times New Roman" w:hAnsi="Times New Roman" w:cs="Times New Roman"/>
          <w:sz w:val="28"/>
          <w:szCs w:val="32"/>
        </w:rPr>
      </w:pPr>
      <w:r w:rsidRPr="000A73C4">
        <w:rPr>
          <w:rFonts w:ascii="Times New Roman" w:hAnsi="Times New Roman" w:cs="Times New Roman"/>
          <w:sz w:val="28"/>
          <w:szCs w:val="32"/>
        </w:rPr>
        <w:lastRenderedPageBreak/>
        <w:t>Reference</w:t>
      </w:r>
    </w:p>
    <w:p w14:paraId="48D0CC08" w14:textId="77777777" w:rsidR="00E8008E" w:rsidRPr="000A73C4" w:rsidRDefault="00E8008E" w:rsidP="000A73C4">
      <w:pPr>
        <w:pStyle w:val="EndNoteBibliography"/>
        <w:ind w:left="720" w:hanging="720"/>
        <w:jc w:val="left"/>
        <w:rPr>
          <w:rFonts w:ascii="Times New Roman" w:hAnsi="Times New Roman" w:cs="Times New Roman"/>
          <w:sz w:val="21"/>
          <w:szCs w:val="24"/>
        </w:rPr>
      </w:pPr>
      <w:r w:rsidRPr="000A73C4">
        <w:rPr>
          <w:rFonts w:ascii="Times New Roman" w:hAnsi="Times New Roman" w:cs="Times New Roman"/>
          <w:sz w:val="28"/>
          <w:szCs w:val="32"/>
        </w:rPr>
        <w:fldChar w:fldCharType="begin"/>
      </w:r>
      <w:r w:rsidRPr="000A73C4">
        <w:rPr>
          <w:rFonts w:ascii="Times New Roman" w:hAnsi="Times New Roman" w:cs="Times New Roman"/>
          <w:sz w:val="28"/>
          <w:szCs w:val="32"/>
        </w:rPr>
        <w:instrText xml:space="preserve"> ADDIN EN.REFLIST </w:instrText>
      </w:r>
      <w:r w:rsidRPr="000A73C4">
        <w:rPr>
          <w:rFonts w:ascii="Times New Roman" w:hAnsi="Times New Roman" w:cs="Times New Roman"/>
          <w:sz w:val="28"/>
          <w:szCs w:val="32"/>
        </w:rPr>
        <w:fldChar w:fldCharType="separate"/>
      </w:r>
      <w:r w:rsidRPr="000A73C4">
        <w:rPr>
          <w:rFonts w:ascii="Times New Roman" w:hAnsi="Times New Roman" w:cs="Times New Roman"/>
          <w:sz w:val="21"/>
          <w:szCs w:val="24"/>
        </w:rPr>
        <w:t>[1]</w:t>
      </w:r>
      <w:r w:rsidRPr="000A73C4">
        <w:rPr>
          <w:rFonts w:ascii="Times New Roman" w:hAnsi="Times New Roman" w:cs="Times New Roman"/>
          <w:sz w:val="21"/>
          <w:szCs w:val="24"/>
        </w:rPr>
        <w:tab/>
        <w:t xml:space="preserve">T. Kokubo, H. Kushitani, S. Sakka, T. Kitsugi, and T. Yamamuro, "Solutions able to reproduce in vivo surface-structure changes in bioactive glass-ceramic A-W," (in eng), </w:t>
      </w:r>
      <w:r w:rsidRPr="000A73C4">
        <w:rPr>
          <w:rFonts w:ascii="Times New Roman" w:hAnsi="Times New Roman" w:cs="Times New Roman"/>
          <w:i/>
          <w:sz w:val="21"/>
          <w:szCs w:val="24"/>
        </w:rPr>
        <w:t xml:space="preserve">J Biomed Mater Res, </w:t>
      </w:r>
      <w:r w:rsidRPr="000A73C4">
        <w:rPr>
          <w:rFonts w:ascii="Times New Roman" w:hAnsi="Times New Roman" w:cs="Times New Roman"/>
          <w:sz w:val="21"/>
          <w:szCs w:val="24"/>
        </w:rPr>
        <w:t>vol. 24, no. 6, pp. 721-34, Jun 1990.</w:t>
      </w:r>
    </w:p>
    <w:p w14:paraId="6831ED97" w14:textId="2AA2F654" w:rsidR="00082117" w:rsidRPr="00082117" w:rsidRDefault="00E8008E" w:rsidP="000A73C4">
      <w:pPr>
        <w:jc w:val="left"/>
        <w:rPr>
          <w:rFonts w:ascii="Times New Roman" w:hAnsi="Times New Roman" w:cs="Times New Roman"/>
          <w:sz w:val="24"/>
          <w:szCs w:val="28"/>
        </w:rPr>
      </w:pPr>
      <w:r w:rsidRPr="000A73C4">
        <w:rPr>
          <w:rFonts w:ascii="Times New Roman" w:hAnsi="Times New Roman" w:cs="Times New Roman"/>
          <w:sz w:val="28"/>
          <w:szCs w:val="32"/>
        </w:rPr>
        <w:fldChar w:fldCharType="end"/>
      </w:r>
    </w:p>
    <w:sectPr w:rsidR="00082117" w:rsidRPr="00082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2MjMxszSwNDM3tDBX0lEKTi0uzszPAykwrgUArZy3Y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9e02ddn00s99ee2pcvxpz2s92ftvsedatd&quot;&gt;我的EndNote库&lt;record-ids&gt;&lt;item&gt;153&lt;/item&gt;&lt;/record-ids&gt;&lt;/item&gt;&lt;/Libraries&gt;"/>
  </w:docVars>
  <w:rsids>
    <w:rsidRoot w:val="007731EC"/>
    <w:rsid w:val="00082117"/>
    <w:rsid w:val="000A73C4"/>
    <w:rsid w:val="000B2F3C"/>
    <w:rsid w:val="00215A4B"/>
    <w:rsid w:val="004854DB"/>
    <w:rsid w:val="004F0588"/>
    <w:rsid w:val="00667007"/>
    <w:rsid w:val="00683342"/>
    <w:rsid w:val="007731EC"/>
    <w:rsid w:val="00796D8C"/>
    <w:rsid w:val="00904442"/>
    <w:rsid w:val="00944325"/>
    <w:rsid w:val="009F69C0"/>
    <w:rsid w:val="00A4797E"/>
    <w:rsid w:val="00E8008E"/>
    <w:rsid w:val="00EA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DDAB7"/>
  <w15:chartTrackingRefBased/>
  <w15:docId w15:val="{B6EBE5A1-68B6-44B3-9FC6-AECC8B48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1E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E8008E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8008E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8008E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8008E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锐</dc:creator>
  <cp:keywords/>
  <dc:description/>
  <cp:lastModifiedBy>孙 锐</cp:lastModifiedBy>
  <cp:revision>15</cp:revision>
  <dcterms:created xsi:type="dcterms:W3CDTF">2022-09-22T13:21:00Z</dcterms:created>
  <dcterms:modified xsi:type="dcterms:W3CDTF">2022-09-24T04:06:00Z</dcterms:modified>
</cp:coreProperties>
</file>