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A64D0" w14:textId="429550DF" w:rsidR="001C40B0" w:rsidRPr="001C40B0" w:rsidRDefault="001C40B0" w:rsidP="001C40B0">
      <w:pPr>
        <w:jc w:val="both"/>
        <w:rPr>
          <w:rFonts w:ascii="Times New Roman" w:hAnsi="Times New Roman" w:cs="Times New Roman"/>
          <w:sz w:val="32"/>
          <w:szCs w:val="24"/>
        </w:rPr>
      </w:pPr>
      <w:r w:rsidRPr="001C40B0">
        <w:rPr>
          <w:rFonts w:ascii="Times New Roman" w:hAnsi="Times New Roman" w:cs="Times New Roman"/>
          <w:sz w:val="32"/>
          <w:szCs w:val="24"/>
        </w:rPr>
        <w:t>Supplementary file</w:t>
      </w:r>
    </w:p>
    <w:p w14:paraId="0E73C8F2" w14:textId="77777777" w:rsidR="001C40B0" w:rsidRPr="001C40B0" w:rsidRDefault="001C40B0" w:rsidP="001C40B0">
      <w:pPr>
        <w:jc w:val="both"/>
        <w:rPr>
          <w:rFonts w:ascii="Times New Roman" w:hAnsi="Times New Roman" w:cs="Times New Roman"/>
          <w:sz w:val="24"/>
          <w:szCs w:val="24"/>
        </w:rPr>
      </w:pPr>
    </w:p>
    <w:p w14:paraId="60F19994" w14:textId="4CCC093D" w:rsidR="00E71E6F" w:rsidRPr="00826E53" w:rsidRDefault="001C40B0" w:rsidP="001C40B0">
      <w:pPr>
        <w:jc w:val="both"/>
        <w:rPr>
          <w:rFonts w:ascii="Times New Roman" w:hAnsi="Times New Roman" w:cs="Times New Roman"/>
          <w:b/>
          <w:sz w:val="24"/>
          <w:szCs w:val="24"/>
          <w:u w:val="single"/>
        </w:rPr>
      </w:pPr>
      <w:r w:rsidRPr="00826E53">
        <w:rPr>
          <w:rFonts w:ascii="Times New Roman" w:hAnsi="Times New Roman" w:cs="Times New Roman"/>
          <w:b/>
          <w:sz w:val="24"/>
          <w:szCs w:val="24"/>
          <w:u w:val="single"/>
        </w:rPr>
        <w:t>Laboratory shift analyses for renal, hepatic, pancreatic enzymes and calcitonin</w:t>
      </w:r>
    </w:p>
    <w:p w14:paraId="4A8B57D4" w14:textId="5EB544B8" w:rsidR="001C40B0" w:rsidRPr="001C40B0" w:rsidRDefault="001C40B0" w:rsidP="001C40B0">
      <w:pPr>
        <w:jc w:val="both"/>
        <w:rPr>
          <w:rFonts w:ascii="Times New Roman" w:hAnsi="Times New Roman" w:cs="Times New Roman"/>
        </w:rPr>
      </w:pPr>
    </w:p>
    <w:p w14:paraId="6B1A257A" w14:textId="1B669408" w:rsidR="001C40B0" w:rsidRDefault="001C40B0" w:rsidP="001C40B0">
      <w:pPr>
        <w:spacing w:line="360" w:lineRule="auto"/>
        <w:jc w:val="both"/>
        <w:rPr>
          <w:rFonts w:ascii="Times New Roman" w:hAnsi="Times New Roman" w:cs="Times New Roman"/>
        </w:rPr>
      </w:pPr>
      <w:r w:rsidRPr="001C40B0">
        <w:rPr>
          <w:rFonts w:ascii="Times New Roman" w:hAnsi="Times New Roman" w:cs="Times New Roman"/>
        </w:rPr>
        <w:t>The protocol mandated serial assessment of laboratory parameters including renal function (serum creatinine, eGFR), hepatic enzymes (ALT, AST, ALP, total bilirubin), pancreatic enzy</w:t>
      </w:r>
      <w:bookmarkStart w:id="0" w:name="_GoBack"/>
      <w:bookmarkEnd w:id="0"/>
      <w:r w:rsidRPr="001C40B0">
        <w:rPr>
          <w:rFonts w:ascii="Times New Roman" w:hAnsi="Times New Roman" w:cs="Times New Roman"/>
        </w:rPr>
        <w:t>mes (amylase, lipase), and calcitonin at predefined visits. Shift analyses were performed by categorizing patients according to changes from baseline (e.g., normal to high, high to normal, normal to low) for each analyte over the 24‑week treatment period. Across both treatment arms, the majority of patients remained within reference ranges or exhibited only transient, non‑progressive deviations that did not meet protocol criteria for clinically significant abnormalities or AE reporting. No patient developed serum amylase or lipase ≥3× ULN with clinical features suggestive of pancreatitis, and no clinically meaningful signal for drug‑induced liver injury (ALT/AST ≥3× ULN with elevated bilirubin) was observed. Calcitonin values remained below the exclusion threshold of 50 ng/L for all patients throughout the study, and there were no laboratory patterns suggestive of thyroid C‑cell pathology or progressive renal impairment</w:t>
      </w:r>
    </w:p>
    <w:p w14:paraId="74349358" w14:textId="77777777" w:rsidR="00F219F1" w:rsidRDefault="00F219F1" w:rsidP="001C40B0">
      <w:pPr>
        <w:spacing w:line="360" w:lineRule="auto"/>
        <w:jc w:val="both"/>
        <w:rPr>
          <w:rFonts w:ascii="Times New Roman" w:hAnsi="Times New Roman" w:cs="Times New Roman"/>
        </w:rPr>
      </w:pPr>
    </w:p>
    <w:p w14:paraId="4949C056" w14:textId="7AFDC326" w:rsidR="001C40B0" w:rsidRPr="00DD1660" w:rsidRDefault="001C40B0" w:rsidP="001C40B0">
      <w:pPr>
        <w:spacing w:line="360" w:lineRule="auto"/>
        <w:jc w:val="both"/>
        <w:rPr>
          <w:rFonts w:ascii="Times New Roman" w:hAnsi="Times New Roman" w:cs="Times New Roman"/>
          <w:b/>
          <w:u w:val="single"/>
        </w:rPr>
      </w:pPr>
      <w:r w:rsidRPr="00DD1660">
        <w:rPr>
          <w:rFonts w:ascii="Times New Roman" w:hAnsi="Times New Roman" w:cs="Times New Roman"/>
          <w:b/>
          <w:u w:val="single"/>
        </w:rPr>
        <w:t>Hematology</w:t>
      </w:r>
    </w:p>
    <w:tbl>
      <w:tblPr>
        <w:tblStyle w:val="TableGrid"/>
        <w:tblW w:w="9360" w:type="dxa"/>
        <w:tblLook w:val="0420" w:firstRow="1" w:lastRow="0" w:firstColumn="0" w:lastColumn="0" w:noHBand="0" w:noVBand="1"/>
      </w:tblPr>
      <w:tblGrid>
        <w:gridCol w:w="1872"/>
        <w:gridCol w:w="1872"/>
        <w:gridCol w:w="1872"/>
        <w:gridCol w:w="1872"/>
        <w:gridCol w:w="1872"/>
      </w:tblGrid>
      <w:tr w:rsidR="00597AD8" w:rsidRPr="00F219F1" w14:paraId="2AC58402" w14:textId="77777777" w:rsidTr="00597AD8">
        <w:trPr>
          <w:trHeight w:val="20"/>
        </w:trPr>
        <w:tc>
          <w:tcPr>
            <w:tcW w:w="1872" w:type="dxa"/>
          </w:tcPr>
          <w:p w14:paraId="7B635306" w14:textId="77777777" w:rsidR="00597AD8" w:rsidRDefault="00597AD8" w:rsidP="00F219F1">
            <w:pPr>
              <w:spacing w:line="360" w:lineRule="auto"/>
              <w:jc w:val="both"/>
              <w:rPr>
                <w:rFonts w:ascii="Times New Roman" w:hAnsi="Times New Roman" w:cs="Times New Roman"/>
              </w:rPr>
            </w:pPr>
          </w:p>
        </w:tc>
        <w:tc>
          <w:tcPr>
            <w:tcW w:w="3744" w:type="dxa"/>
            <w:gridSpan w:val="2"/>
            <w:vAlign w:val="center"/>
          </w:tcPr>
          <w:p w14:paraId="21613C6B" w14:textId="2301DFF5" w:rsidR="00597AD8" w:rsidRPr="00F219F1" w:rsidRDefault="00597AD8" w:rsidP="00597AD8">
            <w:pPr>
              <w:spacing w:line="360" w:lineRule="auto"/>
              <w:jc w:val="center"/>
              <w:rPr>
                <w:rFonts w:ascii="Times New Roman" w:hAnsi="Times New Roman" w:cs="Times New Roman"/>
                <w:b/>
                <w:bCs/>
              </w:rPr>
            </w:pPr>
            <w:r>
              <w:rPr>
                <w:rFonts w:ascii="Times New Roman" w:hAnsi="Times New Roman" w:cs="Times New Roman"/>
                <w:b/>
                <w:bCs/>
              </w:rPr>
              <w:t>Screening</w:t>
            </w:r>
          </w:p>
        </w:tc>
        <w:tc>
          <w:tcPr>
            <w:tcW w:w="3744" w:type="dxa"/>
            <w:gridSpan w:val="2"/>
            <w:vAlign w:val="center"/>
          </w:tcPr>
          <w:p w14:paraId="0032752A" w14:textId="106B7F63" w:rsidR="00597AD8" w:rsidRPr="00F219F1" w:rsidRDefault="00597AD8" w:rsidP="00597AD8">
            <w:pPr>
              <w:spacing w:line="360" w:lineRule="auto"/>
              <w:jc w:val="center"/>
              <w:rPr>
                <w:rFonts w:ascii="Times New Roman" w:hAnsi="Times New Roman" w:cs="Times New Roman"/>
                <w:b/>
                <w:bCs/>
              </w:rPr>
            </w:pPr>
            <w:r>
              <w:rPr>
                <w:rFonts w:ascii="Times New Roman" w:hAnsi="Times New Roman" w:cs="Times New Roman"/>
                <w:b/>
                <w:bCs/>
              </w:rPr>
              <w:t>Week 24</w:t>
            </w:r>
          </w:p>
        </w:tc>
      </w:tr>
      <w:tr w:rsidR="00F219F1" w:rsidRPr="00F219F1" w14:paraId="48BB9F6E" w14:textId="77777777" w:rsidTr="00597AD8">
        <w:trPr>
          <w:trHeight w:val="20"/>
        </w:trPr>
        <w:tc>
          <w:tcPr>
            <w:tcW w:w="1872" w:type="dxa"/>
            <w:hideMark/>
          </w:tcPr>
          <w:p w14:paraId="4486E6C9" w14:textId="3DF2D549" w:rsidR="00F219F1" w:rsidRPr="00F219F1" w:rsidRDefault="00F219F1" w:rsidP="00F219F1">
            <w:pPr>
              <w:spacing w:after="160" w:line="360" w:lineRule="auto"/>
              <w:jc w:val="both"/>
              <w:rPr>
                <w:rFonts w:ascii="Times New Roman" w:hAnsi="Times New Roman" w:cs="Times New Roman"/>
              </w:rPr>
            </w:pPr>
            <w:r>
              <w:rPr>
                <w:rFonts w:ascii="Times New Roman" w:hAnsi="Times New Roman" w:cs="Times New Roman"/>
              </w:rPr>
              <w:t>Parameter</w:t>
            </w:r>
          </w:p>
        </w:tc>
        <w:tc>
          <w:tcPr>
            <w:tcW w:w="1872" w:type="dxa"/>
            <w:hideMark/>
          </w:tcPr>
          <w:p w14:paraId="06508A4F"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b/>
                <w:bCs/>
              </w:rPr>
              <w:t>Test</w:t>
            </w:r>
          </w:p>
        </w:tc>
        <w:tc>
          <w:tcPr>
            <w:tcW w:w="1872" w:type="dxa"/>
            <w:hideMark/>
          </w:tcPr>
          <w:p w14:paraId="5AD6B1A5"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b/>
                <w:bCs/>
              </w:rPr>
              <w:t>Reference</w:t>
            </w:r>
          </w:p>
        </w:tc>
        <w:tc>
          <w:tcPr>
            <w:tcW w:w="1872" w:type="dxa"/>
            <w:hideMark/>
          </w:tcPr>
          <w:p w14:paraId="7969E293"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b/>
                <w:bCs/>
              </w:rPr>
              <w:t>Test</w:t>
            </w:r>
          </w:p>
        </w:tc>
        <w:tc>
          <w:tcPr>
            <w:tcW w:w="1872" w:type="dxa"/>
            <w:hideMark/>
          </w:tcPr>
          <w:p w14:paraId="6E262739"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b/>
                <w:bCs/>
              </w:rPr>
              <w:t>Reference</w:t>
            </w:r>
          </w:p>
        </w:tc>
      </w:tr>
      <w:tr w:rsidR="00F219F1" w:rsidRPr="00F219F1" w14:paraId="04173093" w14:textId="77777777" w:rsidTr="00597AD8">
        <w:trPr>
          <w:trHeight w:val="20"/>
        </w:trPr>
        <w:tc>
          <w:tcPr>
            <w:tcW w:w="1872" w:type="dxa"/>
            <w:hideMark/>
          </w:tcPr>
          <w:p w14:paraId="60E02430"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Hemoglobin (gm/dl)</w:t>
            </w:r>
          </w:p>
        </w:tc>
        <w:tc>
          <w:tcPr>
            <w:tcW w:w="1872" w:type="dxa"/>
            <w:hideMark/>
          </w:tcPr>
          <w:p w14:paraId="11D92E7D"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13.51± 1.97</w:t>
            </w:r>
          </w:p>
        </w:tc>
        <w:tc>
          <w:tcPr>
            <w:tcW w:w="1872" w:type="dxa"/>
            <w:hideMark/>
          </w:tcPr>
          <w:p w14:paraId="53D93E36"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13.55± 1.90</w:t>
            </w:r>
          </w:p>
        </w:tc>
        <w:tc>
          <w:tcPr>
            <w:tcW w:w="1872" w:type="dxa"/>
            <w:hideMark/>
          </w:tcPr>
          <w:p w14:paraId="50347E6D"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13.22± 1.73</w:t>
            </w:r>
          </w:p>
        </w:tc>
        <w:tc>
          <w:tcPr>
            <w:tcW w:w="1872" w:type="dxa"/>
            <w:hideMark/>
          </w:tcPr>
          <w:p w14:paraId="08E2E927"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13.28± 1.88</w:t>
            </w:r>
          </w:p>
        </w:tc>
      </w:tr>
      <w:tr w:rsidR="00F219F1" w:rsidRPr="00F219F1" w14:paraId="30411835" w14:textId="77777777" w:rsidTr="00597AD8">
        <w:trPr>
          <w:trHeight w:val="20"/>
        </w:trPr>
        <w:tc>
          <w:tcPr>
            <w:tcW w:w="1872" w:type="dxa"/>
            <w:hideMark/>
          </w:tcPr>
          <w:p w14:paraId="08AF1BBF"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RBC count (million/mm3)</w:t>
            </w:r>
          </w:p>
        </w:tc>
        <w:tc>
          <w:tcPr>
            <w:tcW w:w="1872" w:type="dxa"/>
            <w:hideMark/>
          </w:tcPr>
          <w:p w14:paraId="40C82589"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4.93± 0.55</w:t>
            </w:r>
          </w:p>
        </w:tc>
        <w:tc>
          <w:tcPr>
            <w:tcW w:w="1872" w:type="dxa"/>
            <w:hideMark/>
          </w:tcPr>
          <w:p w14:paraId="5954C69E"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4.87± 0.68</w:t>
            </w:r>
          </w:p>
        </w:tc>
        <w:tc>
          <w:tcPr>
            <w:tcW w:w="1872" w:type="dxa"/>
            <w:hideMark/>
          </w:tcPr>
          <w:p w14:paraId="2454910A"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4.83± 0.62</w:t>
            </w:r>
          </w:p>
        </w:tc>
        <w:tc>
          <w:tcPr>
            <w:tcW w:w="1872" w:type="dxa"/>
            <w:hideMark/>
          </w:tcPr>
          <w:p w14:paraId="5B4CE6DA"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4.79± 0.65</w:t>
            </w:r>
          </w:p>
        </w:tc>
      </w:tr>
      <w:tr w:rsidR="00F219F1" w:rsidRPr="00F219F1" w14:paraId="7DE9FEC7" w14:textId="77777777" w:rsidTr="00597AD8">
        <w:trPr>
          <w:trHeight w:val="20"/>
        </w:trPr>
        <w:tc>
          <w:tcPr>
            <w:tcW w:w="1872" w:type="dxa"/>
            <w:hideMark/>
          </w:tcPr>
          <w:p w14:paraId="4C4A6904"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Platelet count (/mm3)</w:t>
            </w:r>
          </w:p>
        </w:tc>
        <w:tc>
          <w:tcPr>
            <w:tcW w:w="1872" w:type="dxa"/>
            <w:hideMark/>
          </w:tcPr>
          <w:p w14:paraId="5DABAE65"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274387.5± 79656.18</w:t>
            </w:r>
          </w:p>
        </w:tc>
        <w:tc>
          <w:tcPr>
            <w:tcW w:w="1872" w:type="dxa"/>
            <w:hideMark/>
          </w:tcPr>
          <w:p w14:paraId="1E4E40C5"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268120.0± 73416.43</w:t>
            </w:r>
          </w:p>
        </w:tc>
        <w:tc>
          <w:tcPr>
            <w:tcW w:w="1872" w:type="dxa"/>
            <w:hideMark/>
          </w:tcPr>
          <w:p w14:paraId="3B178482"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289271.6± 72780.74</w:t>
            </w:r>
          </w:p>
        </w:tc>
        <w:tc>
          <w:tcPr>
            <w:tcW w:w="1872" w:type="dxa"/>
            <w:hideMark/>
          </w:tcPr>
          <w:p w14:paraId="104338E2"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287984.7± 78770.48</w:t>
            </w:r>
          </w:p>
        </w:tc>
      </w:tr>
      <w:tr w:rsidR="00F219F1" w:rsidRPr="00F219F1" w14:paraId="65E85AC7" w14:textId="77777777" w:rsidTr="00597AD8">
        <w:trPr>
          <w:trHeight w:val="20"/>
        </w:trPr>
        <w:tc>
          <w:tcPr>
            <w:tcW w:w="1872" w:type="dxa"/>
            <w:hideMark/>
          </w:tcPr>
          <w:p w14:paraId="14E01FD7"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Total WBC count (/mm3)</w:t>
            </w:r>
          </w:p>
        </w:tc>
        <w:tc>
          <w:tcPr>
            <w:tcW w:w="1872" w:type="dxa"/>
            <w:hideMark/>
          </w:tcPr>
          <w:p w14:paraId="75324535"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7796.73± 1803.64</w:t>
            </w:r>
          </w:p>
        </w:tc>
        <w:tc>
          <w:tcPr>
            <w:tcW w:w="1872" w:type="dxa"/>
            <w:hideMark/>
          </w:tcPr>
          <w:p w14:paraId="2495F4BF"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7967.97± 2000.44</w:t>
            </w:r>
          </w:p>
        </w:tc>
        <w:tc>
          <w:tcPr>
            <w:tcW w:w="1872" w:type="dxa"/>
            <w:hideMark/>
          </w:tcPr>
          <w:p w14:paraId="27DB0BD8"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7780.63± 1968.20</w:t>
            </w:r>
          </w:p>
        </w:tc>
        <w:tc>
          <w:tcPr>
            <w:tcW w:w="1872" w:type="dxa"/>
            <w:hideMark/>
          </w:tcPr>
          <w:p w14:paraId="196229C0"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7937.14± 2135.82</w:t>
            </w:r>
          </w:p>
        </w:tc>
      </w:tr>
      <w:tr w:rsidR="00F219F1" w:rsidRPr="00F219F1" w14:paraId="7A7AD4CD" w14:textId="77777777" w:rsidTr="00597AD8">
        <w:trPr>
          <w:trHeight w:val="20"/>
        </w:trPr>
        <w:tc>
          <w:tcPr>
            <w:tcW w:w="1872" w:type="dxa"/>
            <w:hideMark/>
          </w:tcPr>
          <w:p w14:paraId="1DEF6EB2"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Neutrophil Count (/mm3)</w:t>
            </w:r>
          </w:p>
        </w:tc>
        <w:tc>
          <w:tcPr>
            <w:tcW w:w="1872" w:type="dxa"/>
            <w:hideMark/>
          </w:tcPr>
          <w:p w14:paraId="05765372"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4609.60± 1256.67</w:t>
            </w:r>
          </w:p>
        </w:tc>
        <w:tc>
          <w:tcPr>
            <w:tcW w:w="1872" w:type="dxa"/>
            <w:hideMark/>
          </w:tcPr>
          <w:p w14:paraId="276BF968"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4959.86± 1557.16</w:t>
            </w:r>
          </w:p>
        </w:tc>
        <w:tc>
          <w:tcPr>
            <w:tcW w:w="1872" w:type="dxa"/>
            <w:hideMark/>
          </w:tcPr>
          <w:p w14:paraId="744BDF13"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4755.46± 1478.43</w:t>
            </w:r>
          </w:p>
        </w:tc>
        <w:tc>
          <w:tcPr>
            <w:tcW w:w="1872" w:type="dxa"/>
            <w:hideMark/>
          </w:tcPr>
          <w:p w14:paraId="1DB9C302" w14:textId="77777777" w:rsidR="00F219F1" w:rsidRPr="00F219F1" w:rsidRDefault="00F219F1" w:rsidP="00F219F1">
            <w:pPr>
              <w:spacing w:after="160" w:line="360" w:lineRule="auto"/>
              <w:jc w:val="both"/>
              <w:rPr>
                <w:rFonts w:ascii="Times New Roman" w:hAnsi="Times New Roman" w:cs="Times New Roman"/>
              </w:rPr>
            </w:pPr>
            <w:r w:rsidRPr="00F219F1">
              <w:rPr>
                <w:rFonts w:ascii="Times New Roman" w:hAnsi="Times New Roman" w:cs="Times New Roman"/>
              </w:rPr>
              <w:t>4859.62± 1723.19</w:t>
            </w:r>
          </w:p>
        </w:tc>
      </w:tr>
    </w:tbl>
    <w:p w14:paraId="13100C0B" w14:textId="552CF86D" w:rsidR="001C40B0" w:rsidRPr="00DD1660" w:rsidRDefault="00F219F1" w:rsidP="001C40B0">
      <w:pPr>
        <w:spacing w:line="360" w:lineRule="auto"/>
        <w:jc w:val="both"/>
        <w:rPr>
          <w:rFonts w:ascii="Times New Roman" w:hAnsi="Times New Roman" w:cs="Times New Roman"/>
          <w:b/>
          <w:u w:val="single"/>
        </w:rPr>
      </w:pPr>
      <w:r w:rsidRPr="00DD1660">
        <w:rPr>
          <w:rFonts w:ascii="Times New Roman" w:hAnsi="Times New Roman" w:cs="Times New Roman"/>
          <w:b/>
          <w:u w:val="single"/>
        </w:rPr>
        <w:lastRenderedPageBreak/>
        <w:t>Biochemistry</w:t>
      </w:r>
    </w:p>
    <w:tbl>
      <w:tblPr>
        <w:tblStyle w:val="TableGrid"/>
        <w:tblW w:w="9360" w:type="dxa"/>
        <w:tblLook w:val="0420" w:firstRow="1" w:lastRow="0" w:firstColumn="0" w:lastColumn="0" w:noHBand="0" w:noVBand="1"/>
      </w:tblPr>
      <w:tblGrid>
        <w:gridCol w:w="1872"/>
        <w:gridCol w:w="1872"/>
        <w:gridCol w:w="1872"/>
        <w:gridCol w:w="1872"/>
        <w:gridCol w:w="1872"/>
      </w:tblGrid>
      <w:tr w:rsidR="0051065D" w:rsidRPr="00F219F1" w14:paraId="72C3A15C" w14:textId="77777777" w:rsidTr="0051065D">
        <w:trPr>
          <w:trHeight w:val="20"/>
        </w:trPr>
        <w:tc>
          <w:tcPr>
            <w:tcW w:w="1872" w:type="dxa"/>
          </w:tcPr>
          <w:p w14:paraId="73064A39" w14:textId="77777777" w:rsidR="0051065D" w:rsidRDefault="0051065D" w:rsidP="00597AD8">
            <w:pPr>
              <w:spacing w:line="360" w:lineRule="auto"/>
              <w:jc w:val="both"/>
              <w:rPr>
                <w:rFonts w:ascii="Times New Roman" w:hAnsi="Times New Roman" w:cs="Times New Roman"/>
              </w:rPr>
            </w:pPr>
          </w:p>
        </w:tc>
        <w:tc>
          <w:tcPr>
            <w:tcW w:w="3744" w:type="dxa"/>
            <w:gridSpan w:val="2"/>
            <w:vAlign w:val="center"/>
          </w:tcPr>
          <w:p w14:paraId="4E9DFD90" w14:textId="06D5FC68" w:rsidR="0051065D" w:rsidRPr="00F219F1" w:rsidRDefault="0051065D" w:rsidP="0051065D">
            <w:pPr>
              <w:spacing w:line="360" w:lineRule="auto"/>
              <w:jc w:val="center"/>
              <w:rPr>
                <w:rFonts w:ascii="Times New Roman" w:hAnsi="Times New Roman" w:cs="Times New Roman"/>
                <w:b/>
                <w:bCs/>
              </w:rPr>
            </w:pPr>
            <w:r>
              <w:rPr>
                <w:rFonts w:ascii="Times New Roman" w:hAnsi="Times New Roman" w:cs="Times New Roman"/>
                <w:b/>
                <w:bCs/>
              </w:rPr>
              <w:t>Screening</w:t>
            </w:r>
          </w:p>
        </w:tc>
        <w:tc>
          <w:tcPr>
            <w:tcW w:w="3744" w:type="dxa"/>
            <w:gridSpan w:val="2"/>
            <w:vAlign w:val="center"/>
          </w:tcPr>
          <w:p w14:paraId="366C45EF" w14:textId="530AF973" w:rsidR="0051065D" w:rsidRPr="00F219F1" w:rsidRDefault="0051065D" w:rsidP="0051065D">
            <w:pPr>
              <w:spacing w:line="360" w:lineRule="auto"/>
              <w:jc w:val="center"/>
              <w:rPr>
                <w:rFonts w:ascii="Times New Roman" w:hAnsi="Times New Roman" w:cs="Times New Roman"/>
                <w:b/>
                <w:bCs/>
              </w:rPr>
            </w:pPr>
            <w:r>
              <w:rPr>
                <w:rFonts w:ascii="Times New Roman" w:hAnsi="Times New Roman" w:cs="Times New Roman"/>
                <w:b/>
                <w:bCs/>
              </w:rPr>
              <w:t>Week 24</w:t>
            </w:r>
          </w:p>
        </w:tc>
      </w:tr>
      <w:tr w:rsidR="00597AD8" w:rsidRPr="00F219F1" w14:paraId="58C1DC89" w14:textId="77777777" w:rsidTr="00597AD8">
        <w:trPr>
          <w:trHeight w:val="20"/>
        </w:trPr>
        <w:tc>
          <w:tcPr>
            <w:tcW w:w="1872" w:type="dxa"/>
          </w:tcPr>
          <w:p w14:paraId="12C7227E" w14:textId="247E79F0" w:rsidR="00597AD8" w:rsidRPr="00F219F1" w:rsidRDefault="00597AD8" w:rsidP="00597AD8">
            <w:pPr>
              <w:spacing w:line="360" w:lineRule="auto"/>
              <w:jc w:val="both"/>
              <w:rPr>
                <w:rFonts w:ascii="Times New Roman" w:hAnsi="Times New Roman" w:cs="Times New Roman"/>
              </w:rPr>
            </w:pPr>
            <w:r>
              <w:rPr>
                <w:rFonts w:ascii="Times New Roman" w:hAnsi="Times New Roman" w:cs="Times New Roman"/>
              </w:rPr>
              <w:t>Parameter</w:t>
            </w:r>
          </w:p>
        </w:tc>
        <w:tc>
          <w:tcPr>
            <w:tcW w:w="1872" w:type="dxa"/>
          </w:tcPr>
          <w:p w14:paraId="7C82F7B6" w14:textId="198BF17C" w:rsidR="00597AD8" w:rsidRPr="00F219F1" w:rsidRDefault="00597AD8" w:rsidP="00597AD8">
            <w:pPr>
              <w:spacing w:line="360" w:lineRule="auto"/>
              <w:jc w:val="both"/>
              <w:rPr>
                <w:rFonts w:ascii="Times New Roman" w:hAnsi="Times New Roman" w:cs="Times New Roman"/>
                <w:b/>
                <w:bCs/>
              </w:rPr>
            </w:pPr>
            <w:r w:rsidRPr="00F219F1">
              <w:rPr>
                <w:rFonts w:ascii="Times New Roman" w:hAnsi="Times New Roman" w:cs="Times New Roman"/>
                <w:b/>
                <w:bCs/>
              </w:rPr>
              <w:t>Test</w:t>
            </w:r>
          </w:p>
        </w:tc>
        <w:tc>
          <w:tcPr>
            <w:tcW w:w="1872" w:type="dxa"/>
          </w:tcPr>
          <w:p w14:paraId="47660D4F" w14:textId="28BBF4B2" w:rsidR="00597AD8" w:rsidRPr="00F219F1" w:rsidRDefault="00597AD8" w:rsidP="00597AD8">
            <w:pPr>
              <w:spacing w:line="360" w:lineRule="auto"/>
              <w:jc w:val="both"/>
              <w:rPr>
                <w:rFonts w:ascii="Times New Roman" w:hAnsi="Times New Roman" w:cs="Times New Roman"/>
                <w:b/>
                <w:bCs/>
              </w:rPr>
            </w:pPr>
            <w:r w:rsidRPr="00F219F1">
              <w:rPr>
                <w:rFonts w:ascii="Times New Roman" w:hAnsi="Times New Roman" w:cs="Times New Roman"/>
                <w:b/>
                <w:bCs/>
              </w:rPr>
              <w:t>Reference</w:t>
            </w:r>
          </w:p>
        </w:tc>
        <w:tc>
          <w:tcPr>
            <w:tcW w:w="1872" w:type="dxa"/>
          </w:tcPr>
          <w:p w14:paraId="311963D8" w14:textId="4DA7118D" w:rsidR="00597AD8" w:rsidRPr="00F219F1" w:rsidRDefault="00597AD8" w:rsidP="00597AD8">
            <w:pPr>
              <w:spacing w:line="360" w:lineRule="auto"/>
              <w:jc w:val="both"/>
              <w:rPr>
                <w:rFonts w:ascii="Times New Roman" w:hAnsi="Times New Roman" w:cs="Times New Roman"/>
                <w:b/>
                <w:bCs/>
              </w:rPr>
            </w:pPr>
            <w:r w:rsidRPr="00F219F1">
              <w:rPr>
                <w:rFonts w:ascii="Times New Roman" w:hAnsi="Times New Roman" w:cs="Times New Roman"/>
                <w:b/>
                <w:bCs/>
              </w:rPr>
              <w:t>Test</w:t>
            </w:r>
          </w:p>
        </w:tc>
        <w:tc>
          <w:tcPr>
            <w:tcW w:w="1872" w:type="dxa"/>
          </w:tcPr>
          <w:p w14:paraId="36182EA2" w14:textId="1D59339A" w:rsidR="00597AD8" w:rsidRPr="00F219F1" w:rsidRDefault="00597AD8" w:rsidP="00597AD8">
            <w:pPr>
              <w:spacing w:line="360" w:lineRule="auto"/>
              <w:jc w:val="both"/>
              <w:rPr>
                <w:rFonts w:ascii="Times New Roman" w:hAnsi="Times New Roman" w:cs="Times New Roman"/>
                <w:b/>
                <w:bCs/>
              </w:rPr>
            </w:pPr>
            <w:r w:rsidRPr="00F219F1">
              <w:rPr>
                <w:rFonts w:ascii="Times New Roman" w:hAnsi="Times New Roman" w:cs="Times New Roman"/>
                <w:b/>
                <w:bCs/>
              </w:rPr>
              <w:t>Reference</w:t>
            </w:r>
          </w:p>
        </w:tc>
      </w:tr>
      <w:tr w:rsidR="00597AD8" w:rsidRPr="00F219F1" w14:paraId="33745FC4" w14:textId="77777777" w:rsidTr="00597AD8">
        <w:trPr>
          <w:trHeight w:val="20"/>
        </w:trPr>
        <w:tc>
          <w:tcPr>
            <w:tcW w:w="1872" w:type="dxa"/>
            <w:hideMark/>
          </w:tcPr>
          <w:p w14:paraId="7D33D8F2"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Blood Urea Nitrogen (mg/dl)</w:t>
            </w:r>
          </w:p>
        </w:tc>
        <w:tc>
          <w:tcPr>
            <w:tcW w:w="1872" w:type="dxa"/>
            <w:hideMark/>
          </w:tcPr>
          <w:p w14:paraId="4916A8DC"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11.43± 4.20</w:t>
            </w:r>
          </w:p>
        </w:tc>
        <w:tc>
          <w:tcPr>
            <w:tcW w:w="1872" w:type="dxa"/>
            <w:hideMark/>
          </w:tcPr>
          <w:p w14:paraId="0558DDF6"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11.55± 4.25</w:t>
            </w:r>
          </w:p>
        </w:tc>
        <w:tc>
          <w:tcPr>
            <w:tcW w:w="1872" w:type="dxa"/>
            <w:hideMark/>
          </w:tcPr>
          <w:p w14:paraId="3D47D845"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10.71± 3.29</w:t>
            </w:r>
          </w:p>
        </w:tc>
        <w:tc>
          <w:tcPr>
            <w:tcW w:w="1872" w:type="dxa"/>
            <w:hideMark/>
          </w:tcPr>
          <w:p w14:paraId="0840A7DC"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10.52± 3.53</w:t>
            </w:r>
          </w:p>
        </w:tc>
      </w:tr>
      <w:tr w:rsidR="00597AD8" w:rsidRPr="00F219F1" w14:paraId="6AC89567" w14:textId="77777777" w:rsidTr="00597AD8">
        <w:trPr>
          <w:trHeight w:val="20"/>
        </w:trPr>
        <w:tc>
          <w:tcPr>
            <w:tcW w:w="1872" w:type="dxa"/>
            <w:hideMark/>
          </w:tcPr>
          <w:p w14:paraId="128AA890"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eGFR (ml/min)</w:t>
            </w:r>
          </w:p>
        </w:tc>
        <w:tc>
          <w:tcPr>
            <w:tcW w:w="1872" w:type="dxa"/>
            <w:hideMark/>
          </w:tcPr>
          <w:p w14:paraId="6C71654A"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102.85± 18.07</w:t>
            </w:r>
          </w:p>
        </w:tc>
        <w:tc>
          <w:tcPr>
            <w:tcW w:w="1872" w:type="dxa"/>
            <w:hideMark/>
          </w:tcPr>
          <w:p w14:paraId="5547C4F0"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97.48± 17.0</w:t>
            </w:r>
          </w:p>
        </w:tc>
        <w:tc>
          <w:tcPr>
            <w:tcW w:w="1872" w:type="dxa"/>
            <w:hideMark/>
          </w:tcPr>
          <w:p w14:paraId="3D5B0B2C"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100.96± 16.13</w:t>
            </w:r>
          </w:p>
        </w:tc>
        <w:tc>
          <w:tcPr>
            <w:tcW w:w="1872" w:type="dxa"/>
            <w:hideMark/>
          </w:tcPr>
          <w:p w14:paraId="68C8649C"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101.97± 13.96</w:t>
            </w:r>
          </w:p>
        </w:tc>
      </w:tr>
      <w:tr w:rsidR="00597AD8" w:rsidRPr="00F219F1" w14:paraId="43F91FFD" w14:textId="77777777" w:rsidTr="00597AD8">
        <w:trPr>
          <w:trHeight w:val="20"/>
        </w:trPr>
        <w:tc>
          <w:tcPr>
            <w:tcW w:w="1872" w:type="dxa"/>
            <w:hideMark/>
          </w:tcPr>
          <w:p w14:paraId="2C187D5E"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Total Bilirubin (mg/dL)</w:t>
            </w:r>
          </w:p>
        </w:tc>
        <w:tc>
          <w:tcPr>
            <w:tcW w:w="1872" w:type="dxa"/>
            <w:hideMark/>
          </w:tcPr>
          <w:p w14:paraId="428E36D2"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0.55± 0.26</w:t>
            </w:r>
          </w:p>
        </w:tc>
        <w:tc>
          <w:tcPr>
            <w:tcW w:w="1872" w:type="dxa"/>
            <w:hideMark/>
          </w:tcPr>
          <w:p w14:paraId="64D9EE8D"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0.57± 0.30</w:t>
            </w:r>
          </w:p>
        </w:tc>
        <w:tc>
          <w:tcPr>
            <w:tcW w:w="1872" w:type="dxa"/>
            <w:hideMark/>
          </w:tcPr>
          <w:p w14:paraId="17A19661"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0.59± 0.26</w:t>
            </w:r>
          </w:p>
        </w:tc>
        <w:tc>
          <w:tcPr>
            <w:tcW w:w="1872" w:type="dxa"/>
            <w:hideMark/>
          </w:tcPr>
          <w:p w14:paraId="2D12C415"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0.59± 0.35</w:t>
            </w:r>
          </w:p>
        </w:tc>
      </w:tr>
      <w:tr w:rsidR="00597AD8" w:rsidRPr="00F219F1" w14:paraId="253F66CF" w14:textId="77777777" w:rsidTr="00597AD8">
        <w:trPr>
          <w:trHeight w:val="20"/>
        </w:trPr>
        <w:tc>
          <w:tcPr>
            <w:tcW w:w="1872" w:type="dxa"/>
            <w:hideMark/>
          </w:tcPr>
          <w:p w14:paraId="474CF5E4"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AST (U/L)</w:t>
            </w:r>
          </w:p>
        </w:tc>
        <w:tc>
          <w:tcPr>
            <w:tcW w:w="1872" w:type="dxa"/>
            <w:hideMark/>
          </w:tcPr>
          <w:p w14:paraId="6E820285"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26.20± 22.42</w:t>
            </w:r>
          </w:p>
        </w:tc>
        <w:tc>
          <w:tcPr>
            <w:tcW w:w="1872" w:type="dxa"/>
            <w:hideMark/>
          </w:tcPr>
          <w:p w14:paraId="0CA7883A"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22.08± 8.98</w:t>
            </w:r>
          </w:p>
        </w:tc>
        <w:tc>
          <w:tcPr>
            <w:tcW w:w="1872" w:type="dxa"/>
            <w:hideMark/>
          </w:tcPr>
          <w:p w14:paraId="1221DFBB"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23.82± 12.88</w:t>
            </w:r>
          </w:p>
        </w:tc>
        <w:tc>
          <w:tcPr>
            <w:tcW w:w="1872" w:type="dxa"/>
            <w:hideMark/>
          </w:tcPr>
          <w:p w14:paraId="3890C76D"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22.24± 9.35</w:t>
            </w:r>
          </w:p>
        </w:tc>
      </w:tr>
      <w:tr w:rsidR="00597AD8" w:rsidRPr="00F219F1" w14:paraId="47773496" w14:textId="77777777" w:rsidTr="00597AD8">
        <w:trPr>
          <w:trHeight w:val="20"/>
        </w:trPr>
        <w:tc>
          <w:tcPr>
            <w:tcW w:w="1872" w:type="dxa"/>
            <w:hideMark/>
          </w:tcPr>
          <w:p w14:paraId="0C57CE3F"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ALT (U/L)</w:t>
            </w:r>
          </w:p>
        </w:tc>
        <w:tc>
          <w:tcPr>
            <w:tcW w:w="1872" w:type="dxa"/>
            <w:hideMark/>
          </w:tcPr>
          <w:p w14:paraId="1F8FFF76"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26.81± 19.39</w:t>
            </w:r>
          </w:p>
        </w:tc>
        <w:tc>
          <w:tcPr>
            <w:tcW w:w="1872" w:type="dxa"/>
            <w:hideMark/>
          </w:tcPr>
          <w:p w14:paraId="72480AA9"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23.28± 14.44</w:t>
            </w:r>
          </w:p>
        </w:tc>
        <w:tc>
          <w:tcPr>
            <w:tcW w:w="1872" w:type="dxa"/>
            <w:hideMark/>
          </w:tcPr>
          <w:p w14:paraId="50CDE975"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23.95± 17.77</w:t>
            </w:r>
          </w:p>
        </w:tc>
        <w:tc>
          <w:tcPr>
            <w:tcW w:w="1872" w:type="dxa"/>
            <w:hideMark/>
          </w:tcPr>
          <w:p w14:paraId="06821549"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21.81± 10.26</w:t>
            </w:r>
          </w:p>
        </w:tc>
      </w:tr>
      <w:tr w:rsidR="00597AD8" w:rsidRPr="00F219F1" w14:paraId="50429352" w14:textId="77777777" w:rsidTr="00597AD8">
        <w:trPr>
          <w:trHeight w:val="20"/>
        </w:trPr>
        <w:tc>
          <w:tcPr>
            <w:tcW w:w="1872" w:type="dxa"/>
            <w:hideMark/>
          </w:tcPr>
          <w:p w14:paraId="432938A2"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ALP (U/L)</w:t>
            </w:r>
          </w:p>
        </w:tc>
        <w:tc>
          <w:tcPr>
            <w:tcW w:w="1872" w:type="dxa"/>
            <w:hideMark/>
          </w:tcPr>
          <w:p w14:paraId="1F6E6609"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86.97± 32.13</w:t>
            </w:r>
          </w:p>
        </w:tc>
        <w:tc>
          <w:tcPr>
            <w:tcW w:w="1872" w:type="dxa"/>
            <w:hideMark/>
          </w:tcPr>
          <w:p w14:paraId="694D302C"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91.33± 29.98</w:t>
            </w:r>
          </w:p>
        </w:tc>
        <w:tc>
          <w:tcPr>
            <w:tcW w:w="1872" w:type="dxa"/>
            <w:hideMark/>
          </w:tcPr>
          <w:p w14:paraId="513DFE12"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93.33± 54.10</w:t>
            </w:r>
          </w:p>
        </w:tc>
        <w:tc>
          <w:tcPr>
            <w:tcW w:w="1872" w:type="dxa"/>
            <w:hideMark/>
          </w:tcPr>
          <w:p w14:paraId="5248DC91" w14:textId="77777777" w:rsidR="00597AD8" w:rsidRPr="00F219F1" w:rsidRDefault="00597AD8" w:rsidP="00597AD8">
            <w:pPr>
              <w:spacing w:after="160" w:line="360" w:lineRule="auto"/>
              <w:jc w:val="both"/>
              <w:rPr>
                <w:rFonts w:ascii="Times New Roman" w:hAnsi="Times New Roman" w:cs="Times New Roman"/>
              </w:rPr>
            </w:pPr>
            <w:r w:rsidRPr="00F219F1">
              <w:rPr>
                <w:rFonts w:ascii="Times New Roman" w:hAnsi="Times New Roman" w:cs="Times New Roman"/>
              </w:rPr>
              <w:t>89.33± 35.43</w:t>
            </w:r>
          </w:p>
        </w:tc>
      </w:tr>
      <w:tr w:rsidR="00597AD8" w:rsidRPr="00597AD8" w14:paraId="7A803483" w14:textId="77777777" w:rsidTr="00597AD8">
        <w:tblPrEx>
          <w:tblLook w:val="04A0" w:firstRow="1" w:lastRow="0" w:firstColumn="1" w:lastColumn="0" w:noHBand="0" w:noVBand="1"/>
        </w:tblPrEx>
        <w:trPr>
          <w:trHeight w:val="998"/>
        </w:trPr>
        <w:tc>
          <w:tcPr>
            <w:tcW w:w="1872" w:type="dxa"/>
            <w:hideMark/>
          </w:tcPr>
          <w:p w14:paraId="6FAF0B02"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b/>
                <w:bCs/>
              </w:rPr>
              <w:t>Creatinine (mg/dl)</w:t>
            </w:r>
          </w:p>
        </w:tc>
        <w:tc>
          <w:tcPr>
            <w:tcW w:w="1872" w:type="dxa"/>
            <w:hideMark/>
          </w:tcPr>
          <w:p w14:paraId="29464C28"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0.79± 0.18</w:t>
            </w:r>
          </w:p>
        </w:tc>
        <w:tc>
          <w:tcPr>
            <w:tcW w:w="1872" w:type="dxa"/>
            <w:hideMark/>
          </w:tcPr>
          <w:p w14:paraId="08E45AE6"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0.84± 0.19</w:t>
            </w:r>
          </w:p>
        </w:tc>
        <w:tc>
          <w:tcPr>
            <w:tcW w:w="1872" w:type="dxa"/>
            <w:hideMark/>
          </w:tcPr>
          <w:p w14:paraId="3B7FDE28"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0.81± 0.17</w:t>
            </w:r>
          </w:p>
        </w:tc>
        <w:tc>
          <w:tcPr>
            <w:tcW w:w="1872" w:type="dxa"/>
            <w:hideMark/>
          </w:tcPr>
          <w:p w14:paraId="337A6BA4"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0.78± 0.16</w:t>
            </w:r>
          </w:p>
        </w:tc>
      </w:tr>
      <w:tr w:rsidR="00597AD8" w:rsidRPr="00597AD8" w14:paraId="5C5AA892" w14:textId="77777777" w:rsidTr="00597AD8">
        <w:tblPrEx>
          <w:tblLook w:val="04A0" w:firstRow="1" w:lastRow="0" w:firstColumn="1" w:lastColumn="0" w:noHBand="0" w:noVBand="1"/>
        </w:tblPrEx>
        <w:trPr>
          <w:trHeight w:val="783"/>
        </w:trPr>
        <w:tc>
          <w:tcPr>
            <w:tcW w:w="1872" w:type="dxa"/>
            <w:hideMark/>
          </w:tcPr>
          <w:p w14:paraId="236B7FCD"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Sodium (mmol/L)</w:t>
            </w:r>
          </w:p>
        </w:tc>
        <w:tc>
          <w:tcPr>
            <w:tcW w:w="1872" w:type="dxa"/>
            <w:hideMark/>
          </w:tcPr>
          <w:p w14:paraId="6E1298D6"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138.67± 3.70</w:t>
            </w:r>
          </w:p>
        </w:tc>
        <w:tc>
          <w:tcPr>
            <w:tcW w:w="1872" w:type="dxa"/>
            <w:hideMark/>
          </w:tcPr>
          <w:p w14:paraId="5A7E40E0"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138.57± 3.25</w:t>
            </w:r>
          </w:p>
        </w:tc>
        <w:tc>
          <w:tcPr>
            <w:tcW w:w="1872" w:type="dxa"/>
            <w:hideMark/>
          </w:tcPr>
          <w:p w14:paraId="388BCA63"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138.14± 3.55</w:t>
            </w:r>
          </w:p>
        </w:tc>
        <w:tc>
          <w:tcPr>
            <w:tcW w:w="1872" w:type="dxa"/>
            <w:hideMark/>
          </w:tcPr>
          <w:p w14:paraId="65DFF8DA"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138.44± 3.24</w:t>
            </w:r>
          </w:p>
        </w:tc>
      </w:tr>
      <w:tr w:rsidR="00597AD8" w:rsidRPr="00597AD8" w14:paraId="78F919D7" w14:textId="77777777" w:rsidTr="00597AD8">
        <w:tblPrEx>
          <w:tblLook w:val="04A0" w:firstRow="1" w:lastRow="0" w:firstColumn="1" w:lastColumn="0" w:noHBand="0" w:noVBand="1"/>
        </w:tblPrEx>
        <w:trPr>
          <w:trHeight w:val="853"/>
        </w:trPr>
        <w:tc>
          <w:tcPr>
            <w:tcW w:w="1872" w:type="dxa"/>
            <w:hideMark/>
          </w:tcPr>
          <w:p w14:paraId="1D01E007"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Chloride (mmol/L)</w:t>
            </w:r>
          </w:p>
        </w:tc>
        <w:tc>
          <w:tcPr>
            <w:tcW w:w="1872" w:type="dxa"/>
            <w:hideMark/>
          </w:tcPr>
          <w:p w14:paraId="6BFC311A"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101.02± 4.45</w:t>
            </w:r>
          </w:p>
        </w:tc>
        <w:tc>
          <w:tcPr>
            <w:tcW w:w="1872" w:type="dxa"/>
            <w:hideMark/>
          </w:tcPr>
          <w:p w14:paraId="44F49401"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100.91± 3.18</w:t>
            </w:r>
          </w:p>
        </w:tc>
        <w:tc>
          <w:tcPr>
            <w:tcW w:w="1872" w:type="dxa"/>
            <w:hideMark/>
          </w:tcPr>
          <w:p w14:paraId="75DEB105"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101.15±3.10</w:t>
            </w:r>
          </w:p>
        </w:tc>
        <w:tc>
          <w:tcPr>
            <w:tcW w:w="1872" w:type="dxa"/>
            <w:hideMark/>
          </w:tcPr>
          <w:p w14:paraId="7B39F1AB"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101.27± 3.15</w:t>
            </w:r>
          </w:p>
        </w:tc>
      </w:tr>
      <w:tr w:rsidR="00597AD8" w:rsidRPr="00597AD8" w14:paraId="6F0ED777" w14:textId="77777777" w:rsidTr="00597AD8">
        <w:tblPrEx>
          <w:tblLook w:val="04A0" w:firstRow="1" w:lastRow="0" w:firstColumn="1" w:lastColumn="0" w:noHBand="0" w:noVBand="1"/>
        </w:tblPrEx>
        <w:trPr>
          <w:trHeight w:val="853"/>
        </w:trPr>
        <w:tc>
          <w:tcPr>
            <w:tcW w:w="1872" w:type="dxa"/>
            <w:hideMark/>
          </w:tcPr>
          <w:p w14:paraId="07613C87"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Potassium (mmol/L)</w:t>
            </w:r>
          </w:p>
        </w:tc>
        <w:tc>
          <w:tcPr>
            <w:tcW w:w="1872" w:type="dxa"/>
            <w:hideMark/>
          </w:tcPr>
          <w:p w14:paraId="385BBE6A"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4.37± 0.59</w:t>
            </w:r>
          </w:p>
        </w:tc>
        <w:tc>
          <w:tcPr>
            <w:tcW w:w="1872" w:type="dxa"/>
            <w:hideMark/>
          </w:tcPr>
          <w:p w14:paraId="32A4CB44"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4.35± 0.52</w:t>
            </w:r>
          </w:p>
        </w:tc>
        <w:tc>
          <w:tcPr>
            <w:tcW w:w="1872" w:type="dxa"/>
            <w:hideMark/>
          </w:tcPr>
          <w:p w14:paraId="7716B29C"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4.36± 0.46</w:t>
            </w:r>
          </w:p>
        </w:tc>
        <w:tc>
          <w:tcPr>
            <w:tcW w:w="1872" w:type="dxa"/>
            <w:hideMark/>
          </w:tcPr>
          <w:p w14:paraId="3CCF12BE"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4.42± 0.40</w:t>
            </w:r>
          </w:p>
        </w:tc>
      </w:tr>
      <w:tr w:rsidR="00597AD8" w:rsidRPr="00597AD8" w14:paraId="61F6CD71" w14:textId="77777777" w:rsidTr="00597AD8">
        <w:tblPrEx>
          <w:tblLook w:val="04A0" w:firstRow="1" w:lastRow="0" w:firstColumn="1" w:lastColumn="0" w:noHBand="0" w:noVBand="1"/>
        </w:tblPrEx>
        <w:trPr>
          <w:trHeight w:val="853"/>
        </w:trPr>
        <w:tc>
          <w:tcPr>
            <w:tcW w:w="1872" w:type="dxa"/>
            <w:hideMark/>
          </w:tcPr>
          <w:p w14:paraId="276CE545"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Serum Amylase (U/L)</w:t>
            </w:r>
          </w:p>
        </w:tc>
        <w:tc>
          <w:tcPr>
            <w:tcW w:w="1872" w:type="dxa"/>
            <w:hideMark/>
          </w:tcPr>
          <w:p w14:paraId="17A4576B"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68.49± 31.73</w:t>
            </w:r>
          </w:p>
        </w:tc>
        <w:tc>
          <w:tcPr>
            <w:tcW w:w="1872" w:type="dxa"/>
            <w:hideMark/>
          </w:tcPr>
          <w:p w14:paraId="16BA6510"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63.24± 24.81</w:t>
            </w:r>
          </w:p>
        </w:tc>
        <w:tc>
          <w:tcPr>
            <w:tcW w:w="1872" w:type="dxa"/>
            <w:hideMark/>
          </w:tcPr>
          <w:p w14:paraId="07C3CB57"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81.18± 142.44</w:t>
            </w:r>
          </w:p>
        </w:tc>
        <w:tc>
          <w:tcPr>
            <w:tcW w:w="1872" w:type="dxa"/>
            <w:hideMark/>
          </w:tcPr>
          <w:p w14:paraId="7D5C88BE"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69.53± 64.37</w:t>
            </w:r>
          </w:p>
        </w:tc>
      </w:tr>
      <w:tr w:rsidR="00597AD8" w:rsidRPr="00597AD8" w14:paraId="5856C1EF" w14:textId="77777777" w:rsidTr="00597AD8">
        <w:tblPrEx>
          <w:tblLook w:val="04A0" w:firstRow="1" w:lastRow="0" w:firstColumn="1" w:lastColumn="0" w:noHBand="0" w:noVBand="1"/>
        </w:tblPrEx>
        <w:trPr>
          <w:trHeight w:val="853"/>
        </w:trPr>
        <w:tc>
          <w:tcPr>
            <w:tcW w:w="1872" w:type="dxa"/>
            <w:hideMark/>
          </w:tcPr>
          <w:p w14:paraId="543461F5"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Serum Lipase (U/L)</w:t>
            </w:r>
          </w:p>
        </w:tc>
        <w:tc>
          <w:tcPr>
            <w:tcW w:w="1872" w:type="dxa"/>
            <w:hideMark/>
          </w:tcPr>
          <w:p w14:paraId="789EE225"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59.14± 56.27</w:t>
            </w:r>
          </w:p>
        </w:tc>
        <w:tc>
          <w:tcPr>
            <w:tcW w:w="1872" w:type="dxa"/>
            <w:hideMark/>
          </w:tcPr>
          <w:p w14:paraId="0256A619"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52.41± 46.05</w:t>
            </w:r>
          </w:p>
        </w:tc>
        <w:tc>
          <w:tcPr>
            <w:tcW w:w="1872" w:type="dxa"/>
            <w:hideMark/>
          </w:tcPr>
          <w:p w14:paraId="512EBBE9"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65.01± 47.87</w:t>
            </w:r>
          </w:p>
        </w:tc>
        <w:tc>
          <w:tcPr>
            <w:tcW w:w="1872" w:type="dxa"/>
            <w:hideMark/>
          </w:tcPr>
          <w:p w14:paraId="08EBC7A5" w14:textId="77777777" w:rsidR="00597AD8" w:rsidRPr="00597AD8" w:rsidRDefault="00597AD8" w:rsidP="00597AD8">
            <w:pPr>
              <w:spacing w:after="160" w:line="360" w:lineRule="auto"/>
              <w:jc w:val="both"/>
              <w:rPr>
                <w:rFonts w:ascii="Times New Roman" w:hAnsi="Times New Roman" w:cs="Times New Roman"/>
              </w:rPr>
            </w:pPr>
            <w:r w:rsidRPr="00597AD8">
              <w:rPr>
                <w:rFonts w:ascii="Times New Roman" w:hAnsi="Times New Roman" w:cs="Times New Roman"/>
              </w:rPr>
              <w:t>59.74± 42.66</w:t>
            </w:r>
          </w:p>
        </w:tc>
      </w:tr>
      <w:tr w:rsidR="00597AD8" w:rsidRPr="00597AD8" w14:paraId="650A0E0D" w14:textId="77777777" w:rsidTr="00597AD8">
        <w:tblPrEx>
          <w:tblLook w:val="04A0" w:firstRow="1" w:lastRow="0" w:firstColumn="1" w:lastColumn="0" w:noHBand="0" w:noVBand="1"/>
        </w:tblPrEx>
        <w:trPr>
          <w:trHeight w:val="853"/>
        </w:trPr>
        <w:tc>
          <w:tcPr>
            <w:tcW w:w="1872" w:type="dxa"/>
            <w:hideMark/>
          </w:tcPr>
          <w:p w14:paraId="135AC21F" w14:textId="77777777" w:rsidR="00597AD8" w:rsidRPr="00DD1660" w:rsidRDefault="00597AD8" w:rsidP="00597AD8">
            <w:pPr>
              <w:spacing w:after="160" w:line="360" w:lineRule="auto"/>
              <w:jc w:val="both"/>
              <w:rPr>
                <w:rFonts w:ascii="Times New Roman" w:hAnsi="Times New Roman" w:cs="Times New Roman"/>
              </w:rPr>
            </w:pPr>
            <w:r w:rsidRPr="00DD1660">
              <w:rPr>
                <w:rFonts w:ascii="Times New Roman" w:hAnsi="Times New Roman" w:cs="Times New Roman"/>
                <w:bCs/>
              </w:rPr>
              <w:t>Serum Calcitonin (ng/L)</w:t>
            </w:r>
          </w:p>
        </w:tc>
        <w:tc>
          <w:tcPr>
            <w:tcW w:w="1872" w:type="dxa"/>
            <w:hideMark/>
          </w:tcPr>
          <w:p w14:paraId="1BD5E001" w14:textId="77777777" w:rsidR="00597AD8" w:rsidRPr="00DD1660" w:rsidRDefault="00597AD8" w:rsidP="00597AD8">
            <w:pPr>
              <w:spacing w:after="160" w:line="360" w:lineRule="auto"/>
              <w:jc w:val="both"/>
              <w:rPr>
                <w:rFonts w:ascii="Times New Roman" w:hAnsi="Times New Roman" w:cs="Times New Roman"/>
              </w:rPr>
            </w:pPr>
            <w:r w:rsidRPr="00DD1660">
              <w:rPr>
                <w:rFonts w:ascii="Times New Roman" w:hAnsi="Times New Roman" w:cs="Times New Roman"/>
                <w:bCs/>
              </w:rPr>
              <w:t>4.58± 4.79</w:t>
            </w:r>
          </w:p>
        </w:tc>
        <w:tc>
          <w:tcPr>
            <w:tcW w:w="1872" w:type="dxa"/>
            <w:hideMark/>
          </w:tcPr>
          <w:p w14:paraId="76FF3770" w14:textId="77777777" w:rsidR="00597AD8" w:rsidRPr="00DD1660" w:rsidRDefault="00597AD8" w:rsidP="00597AD8">
            <w:pPr>
              <w:spacing w:after="160" w:line="360" w:lineRule="auto"/>
              <w:jc w:val="both"/>
              <w:rPr>
                <w:rFonts w:ascii="Times New Roman" w:hAnsi="Times New Roman" w:cs="Times New Roman"/>
              </w:rPr>
            </w:pPr>
            <w:r w:rsidRPr="00DD1660">
              <w:rPr>
                <w:rFonts w:ascii="Times New Roman" w:hAnsi="Times New Roman" w:cs="Times New Roman"/>
                <w:bCs/>
              </w:rPr>
              <w:t>4.82± 5.24</w:t>
            </w:r>
          </w:p>
        </w:tc>
        <w:tc>
          <w:tcPr>
            <w:tcW w:w="1872" w:type="dxa"/>
            <w:hideMark/>
          </w:tcPr>
          <w:p w14:paraId="37FEC2EB" w14:textId="77777777" w:rsidR="00597AD8" w:rsidRPr="00DD1660" w:rsidRDefault="00597AD8" w:rsidP="00597AD8">
            <w:pPr>
              <w:spacing w:after="160" w:line="360" w:lineRule="auto"/>
              <w:jc w:val="both"/>
              <w:rPr>
                <w:rFonts w:ascii="Times New Roman" w:hAnsi="Times New Roman" w:cs="Times New Roman"/>
              </w:rPr>
            </w:pPr>
            <w:r w:rsidRPr="00DD1660">
              <w:rPr>
                <w:rFonts w:ascii="Times New Roman" w:hAnsi="Times New Roman" w:cs="Times New Roman"/>
                <w:bCs/>
              </w:rPr>
              <w:t>4.72± 4.78</w:t>
            </w:r>
          </w:p>
        </w:tc>
        <w:tc>
          <w:tcPr>
            <w:tcW w:w="1872" w:type="dxa"/>
            <w:hideMark/>
          </w:tcPr>
          <w:p w14:paraId="43887555" w14:textId="77777777" w:rsidR="00597AD8" w:rsidRPr="00DD1660" w:rsidRDefault="00597AD8" w:rsidP="00597AD8">
            <w:pPr>
              <w:spacing w:after="160" w:line="360" w:lineRule="auto"/>
              <w:jc w:val="both"/>
              <w:rPr>
                <w:rFonts w:ascii="Times New Roman" w:hAnsi="Times New Roman" w:cs="Times New Roman"/>
              </w:rPr>
            </w:pPr>
            <w:r w:rsidRPr="00DD1660">
              <w:rPr>
                <w:rFonts w:ascii="Times New Roman" w:hAnsi="Times New Roman" w:cs="Times New Roman"/>
                <w:bCs/>
              </w:rPr>
              <w:t>4.36± 3.82</w:t>
            </w:r>
          </w:p>
        </w:tc>
      </w:tr>
    </w:tbl>
    <w:p w14:paraId="39435FF0" w14:textId="77777777" w:rsidR="00F219F1" w:rsidRPr="001C40B0" w:rsidRDefault="00F219F1" w:rsidP="001C40B0">
      <w:pPr>
        <w:spacing w:line="360" w:lineRule="auto"/>
        <w:jc w:val="both"/>
        <w:rPr>
          <w:rFonts w:ascii="Times New Roman" w:hAnsi="Times New Roman" w:cs="Times New Roman"/>
        </w:rPr>
      </w:pPr>
    </w:p>
    <w:sectPr w:rsidR="00F219F1" w:rsidRPr="001C40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7B"/>
    <w:rsid w:val="001C40B0"/>
    <w:rsid w:val="0051065D"/>
    <w:rsid w:val="00597AD8"/>
    <w:rsid w:val="00826E53"/>
    <w:rsid w:val="009D507B"/>
    <w:rsid w:val="00DD1660"/>
    <w:rsid w:val="00E71E6F"/>
    <w:rsid w:val="00F21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BCB2A"/>
  <w15:chartTrackingRefBased/>
  <w15:docId w15:val="{286796FD-6A76-4D76-A269-78F9845D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1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45028">
      <w:bodyDiv w:val="1"/>
      <w:marLeft w:val="0"/>
      <w:marRight w:val="0"/>
      <w:marTop w:val="0"/>
      <w:marBottom w:val="0"/>
      <w:divBdr>
        <w:top w:val="none" w:sz="0" w:space="0" w:color="auto"/>
        <w:left w:val="none" w:sz="0" w:space="0" w:color="auto"/>
        <w:bottom w:val="none" w:sz="0" w:space="0" w:color="auto"/>
        <w:right w:val="none" w:sz="0" w:space="0" w:color="auto"/>
      </w:divBdr>
    </w:div>
    <w:div w:id="644625072">
      <w:bodyDiv w:val="1"/>
      <w:marLeft w:val="0"/>
      <w:marRight w:val="0"/>
      <w:marTop w:val="0"/>
      <w:marBottom w:val="0"/>
      <w:divBdr>
        <w:top w:val="none" w:sz="0" w:space="0" w:color="auto"/>
        <w:left w:val="none" w:sz="0" w:space="0" w:color="auto"/>
        <w:bottom w:val="none" w:sz="0" w:space="0" w:color="auto"/>
        <w:right w:val="none" w:sz="0" w:space="0" w:color="auto"/>
      </w:divBdr>
    </w:div>
    <w:div w:id="899092169">
      <w:bodyDiv w:val="1"/>
      <w:marLeft w:val="0"/>
      <w:marRight w:val="0"/>
      <w:marTop w:val="0"/>
      <w:marBottom w:val="0"/>
      <w:divBdr>
        <w:top w:val="none" w:sz="0" w:space="0" w:color="auto"/>
        <w:left w:val="none" w:sz="0" w:space="0" w:color="auto"/>
        <w:bottom w:val="none" w:sz="0" w:space="0" w:color="auto"/>
        <w:right w:val="none" w:sz="0" w:space="0" w:color="auto"/>
      </w:divBdr>
    </w:div>
    <w:div w:id="1241525168">
      <w:bodyDiv w:val="1"/>
      <w:marLeft w:val="0"/>
      <w:marRight w:val="0"/>
      <w:marTop w:val="0"/>
      <w:marBottom w:val="0"/>
      <w:divBdr>
        <w:top w:val="none" w:sz="0" w:space="0" w:color="auto"/>
        <w:left w:val="none" w:sz="0" w:space="0" w:color="auto"/>
        <w:bottom w:val="none" w:sz="0" w:space="0" w:color="auto"/>
        <w:right w:val="none" w:sz="0" w:space="0" w:color="auto"/>
      </w:divBdr>
    </w:div>
    <w:div w:id="1814984260">
      <w:bodyDiv w:val="1"/>
      <w:marLeft w:val="0"/>
      <w:marRight w:val="0"/>
      <w:marTop w:val="0"/>
      <w:marBottom w:val="0"/>
      <w:divBdr>
        <w:top w:val="none" w:sz="0" w:space="0" w:color="auto"/>
        <w:left w:val="none" w:sz="0" w:space="0" w:color="auto"/>
        <w:bottom w:val="none" w:sz="0" w:space="0" w:color="auto"/>
        <w:right w:val="none" w:sz="0" w:space="0" w:color="auto"/>
      </w:divBdr>
    </w:div>
    <w:div w:id="199911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Mayur Mayabhate</dc:creator>
  <cp:keywords/>
  <dc:description/>
  <cp:lastModifiedBy>Mayur Mayabhate</cp:lastModifiedBy>
  <cp:revision>6</cp:revision>
  <dcterms:created xsi:type="dcterms:W3CDTF">2026-02-21T07:41:00Z</dcterms:created>
  <dcterms:modified xsi:type="dcterms:W3CDTF">2026-02-21T07:56:00Z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06b14095-cc44-46dd-ae2a-f53ca2ab7711</vt:lpwstr>
  </property>
</Properties>
</file>