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3A95" w14:textId="34BBFB5F" w:rsidR="00631C87" w:rsidRPr="005031C0" w:rsidRDefault="00631C87" w:rsidP="009911BF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031C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SUPPLEMENTARY </w:t>
      </w:r>
      <w:r w:rsidR="005F086E">
        <w:rPr>
          <w:rFonts w:ascii="Times New Roman" w:hAnsi="Times New Roman" w:cs="Times New Roman"/>
          <w:b/>
          <w:bCs/>
          <w:sz w:val="36"/>
          <w:szCs w:val="36"/>
          <w:u w:val="single"/>
        </w:rPr>
        <w:t>MATERIALS</w:t>
      </w:r>
    </w:p>
    <w:p w14:paraId="52C82C4A" w14:textId="6C0245D1" w:rsidR="005031C0" w:rsidRDefault="009534B7" w:rsidP="00991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11BF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5031C0" w:rsidRPr="009911B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9911B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031C0" w:rsidRPr="009911B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5031C0">
        <w:rPr>
          <w:rFonts w:ascii="Times New Roman" w:hAnsi="Times New Roman" w:cs="Times New Roman"/>
          <w:sz w:val="24"/>
          <w:szCs w:val="24"/>
        </w:rPr>
        <w:t xml:space="preserve"> </w:t>
      </w:r>
      <w:r w:rsidR="009911BF" w:rsidRPr="009911BF">
        <w:rPr>
          <w:rFonts w:ascii="Times New Roman" w:hAnsi="Times New Roman" w:cs="Times New Roman"/>
          <w:sz w:val="24"/>
          <w:szCs w:val="24"/>
        </w:rPr>
        <w:t>Sensitivity Analysis with Fixed 250-Day Follow-up</w:t>
      </w:r>
    </w:p>
    <w:tbl>
      <w:tblPr>
        <w:tblStyle w:val="GridTable1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983"/>
        <w:gridCol w:w="3168"/>
        <w:gridCol w:w="916"/>
      </w:tblGrid>
      <w:tr w:rsidR="009911BF" w:rsidRPr="009911BF" w14:paraId="60F3CC20" w14:textId="77777777" w:rsidTr="00EA33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tcBorders>
              <w:bottom w:val="none" w:sz="0" w:space="0" w:color="auto"/>
            </w:tcBorders>
            <w:shd w:val="clear" w:color="auto" w:fill="A5A5A5" w:themeFill="accent3"/>
            <w:vAlign w:val="center"/>
            <w:hideMark/>
          </w:tcPr>
          <w:p w14:paraId="1E4E0694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Outcome</w:t>
            </w:r>
          </w:p>
        </w:tc>
        <w:tc>
          <w:tcPr>
            <w:tcW w:w="1595" w:type="pct"/>
            <w:tcBorders>
              <w:bottom w:val="none" w:sz="0" w:space="0" w:color="auto"/>
            </w:tcBorders>
            <w:shd w:val="clear" w:color="auto" w:fill="A5A5A5" w:themeFill="accent3"/>
            <w:vAlign w:val="center"/>
            <w:hideMark/>
          </w:tcPr>
          <w:p w14:paraId="325F2293" w14:textId="77777777" w:rsidR="009911BF" w:rsidRPr="009911BF" w:rsidRDefault="009911BF" w:rsidP="009911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Primary Analysis HR (95% CI)</w:t>
            </w:r>
          </w:p>
        </w:tc>
        <w:tc>
          <w:tcPr>
            <w:tcW w:w="1694" w:type="pct"/>
            <w:tcBorders>
              <w:bottom w:val="none" w:sz="0" w:space="0" w:color="auto"/>
            </w:tcBorders>
            <w:shd w:val="clear" w:color="auto" w:fill="A5A5A5" w:themeFill="accent3"/>
            <w:vAlign w:val="center"/>
            <w:hideMark/>
          </w:tcPr>
          <w:p w14:paraId="06BE2DD5" w14:textId="77777777" w:rsidR="009911BF" w:rsidRPr="009911BF" w:rsidRDefault="009911BF" w:rsidP="009911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Sensitivity Analysis HR (95% CI)</w:t>
            </w:r>
          </w:p>
        </w:tc>
        <w:tc>
          <w:tcPr>
            <w:tcW w:w="490" w:type="pct"/>
            <w:tcBorders>
              <w:bottom w:val="none" w:sz="0" w:space="0" w:color="auto"/>
            </w:tcBorders>
            <w:shd w:val="clear" w:color="auto" w:fill="A5A5A5" w:themeFill="accent3"/>
            <w:vAlign w:val="center"/>
            <w:hideMark/>
          </w:tcPr>
          <w:p w14:paraId="48F10258" w14:textId="77777777" w:rsidR="009911BF" w:rsidRPr="009911BF" w:rsidRDefault="009911BF" w:rsidP="009911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P-value</w:t>
            </w:r>
          </w:p>
        </w:tc>
      </w:tr>
      <w:tr w:rsidR="009911BF" w:rsidRPr="009911BF" w14:paraId="2CDD4242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03EABF85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Falls</w:t>
            </w:r>
          </w:p>
        </w:tc>
        <w:tc>
          <w:tcPr>
            <w:tcW w:w="1595" w:type="pct"/>
            <w:vAlign w:val="center"/>
            <w:hideMark/>
          </w:tcPr>
          <w:p w14:paraId="5FC20743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0.90 (0.85–0.95)</w:t>
            </w:r>
          </w:p>
        </w:tc>
        <w:tc>
          <w:tcPr>
            <w:tcW w:w="1694" w:type="pct"/>
            <w:vAlign w:val="center"/>
            <w:hideMark/>
          </w:tcPr>
          <w:p w14:paraId="319D8D27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0.89 (0.84–0.95)</w:t>
            </w:r>
          </w:p>
        </w:tc>
        <w:tc>
          <w:tcPr>
            <w:tcW w:w="490" w:type="pct"/>
            <w:vAlign w:val="center"/>
            <w:hideMark/>
          </w:tcPr>
          <w:p w14:paraId="043CD5A8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3EA7AF6C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3F43A89B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Hip fracture</w:t>
            </w:r>
          </w:p>
        </w:tc>
        <w:tc>
          <w:tcPr>
            <w:tcW w:w="1595" w:type="pct"/>
            <w:vAlign w:val="center"/>
            <w:hideMark/>
          </w:tcPr>
          <w:p w14:paraId="21A818DA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 (0.69–0.89)</w:t>
            </w:r>
          </w:p>
        </w:tc>
        <w:tc>
          <w:tcPr>
            <w:tcW w:w="1694" w:type="pct"/>
            <w:vAlign w:val="center"/>
            <w:hideMark/>
          </w:tcPr>
          <w:p w14:paraId="48CE352B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0.77 (0.66–0.89)</w:t>
            </w:r>
          </w:p>
        </w:tc>
        <w:tc>
          <w:tcPr>
            <w:tcW w:w="490" w:type="pct"/>
            <w:vAlign w:val="center"/>
            <w:hideMark/>
          </w:tcPr>
          <w:p w14:paraId="29DA8186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23C30938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42018F7C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Acute kidney injury</w:t>
            </w:r>
          </w:p>
        </w:tc>
        <w:tc>
          <w:tcPr>
            <w:tcW w:w="1595" w:type="pct"/>
            <w:vAlign w:val="center"/>
            <w:hideMark/>
          </w:tcPr>
          <w:p w14:paraId="50EA6C4D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0.82 (0.78–0.85)</w:t>
            </w:r>
          </w:p>
        </w:tc>
        <w:tc>
          <w:tcPr>
            <w:tcW w:w="1694" w:type="pct"/>
            <w:vAlign w:val="center"/>
            <w:hideMark/>
          </w:tcPr>
          <w:p w14:paraId="4C49A12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0.82 (0.78–0.86)</w:t>
            </w:r>
          </w:p>
        </w:tc>
        <w:tc>
          <w:tcPr>
            <w:tcW w:w="490" w:type="pct"/>
            <w:vAlign w:val="center"/>
            <w:hideMark/>
          </w:tcPr>
          <w:p w14:paraId="3FB87DE8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5365A215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0C457E51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Urinary tract infection</w:t>
            </w:r>
          </w:p>
        </w:tc>
        <w:tc>
          <w:tcPr>
            <w:tcW w:w="1595" w:type="pct"/>
            <w:vAlign w:val="center"/>
            <w:hideMark/>
          </w:tcPr>
          <w:p w14:paraId="610B9C27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0.79 (0.75–0.83)</w:t>
            </w:r>
          </w:p>
        </w:tc>
        <w:tc>
          <w:tcPr>
            <w:tcW w:w="1694" w:type="pct"/>
            <w:vAlign w:val="center"/>
            <w:hideMark/>
          </w:tcPr>
          <w:p w14:paraId="15725CE3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0.77 (0.73–0.81)</w:t>
            </w:r>
          </w:p>
        </w:tc>
        <w:tc>
          <w:tcPr>
            <w:tcW w:w="490" w:type="pct"/>
            <w:vAlign w:val="center"/>
            <w:hideMark/>
          </w:tcPr>
          <w:p w14:paraId="5F622656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54695FB9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7D07EE98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Genital candidiasis</w:t>
            </w:r>
          </w:p>
        </w:tc>
        <w:tc>
          <w:tcPr>
            <w:tcW w:w="1595" w:type="pct"/>
            <w:vAlign w:val="center"/>
            <w:hideMark/>
          </w:tcPr>
          <w:p w14:paraId="34593DCC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1.70 (1.50–1.93)</w:t>
            </w:r>
          </w:p>
        </w:tc>
        <w:tc>
          <w:tcPr>
            <w:tcW w:w="1694" w:type="pct"/>
            <w:vAlign w:val="center"/>
            <w:hideMark/>
          </w:tcPr>
          <w:p w14:paraId="5EA48942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1.82 (1.57–2.10)</w:t>
            </w:r>
          </w:p>
        </w:tc>
        <w:tc>
          <w:tcPr>
            <w:tcW w:w="490" w:type="pct"/>
            <w:vAlign w:val="center"/>
            <w:hideMark/>
          </w:tcPr>
          <w:p w14:paraId="6932941F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0E5FC214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698A1CB6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Hypoglycemia</w:t>
            </w:r>
          </w:p>
        </w:tc>
        <w:tc>
          <w:tcPr>
            <w:tcW w:w="1595" w:type="pct"/>
            <w:vAlign w:val="center"/>
            <w:hideMark/>
          </w:tcPr>
          <w:p w14:paraId="727C7085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0.74 (0.67–0.82)</w:t>
            </w:r>
          </w:p>
        </w:tc>
        <w:tc>
          <w:tcPr>
            <w:tcW w:w="1694" w:type="pct"/>
            <w:vAlign w:val="center"/>
            <w:hideMark/>
          </w:tcPr>
          <w:p w14:paraId="2AF58891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0.69 (0.61–0.78)</w:t>
            </w:r>
          </w:p>
        </w:tc>
        <w:tc>
          <w:tcPr>
            <w:tcW w:w="490" w:type="pct"/>
            <w:vAlign w:val="center"/>
            <w:hideMark/>
          </w:tcPr>
          <w:p w14:paraId="2884EC08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48B9DA9F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0AA54492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Volume depletion</w:t>
            </w:r>
          </w:p>
        </w:tc>
        <w:tc>
          <w:tcPr>
            <w:tcW w:w="1595" w:type="pct"/>
            <w:vAlign w:val="center"/>
            <w:hideMark/>
          </w:tcPr>
          <w:p w14:paraId="01445D93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0.91 (0.86–0.97)</w:t>
            </w:r>
          </w:p>
        </w:tc>
        <w:tc>
          <w:tcPr>
            <w:tcW w:w="1694" w:type="pct"/>
            <w:vAlign w:val="center"/>
            <w:hideMark/>
          </w:tcPr>
          <w:p w14:paraId="36C67D4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0.91 (0.85–0.98)</w:t>
            </w:r>
          </w:p>
        </w:tc>
        <w:tc>
          <w:tcPr>
            <w:tcW w:w="490" w:type="pct"/>
            <w:vAlign w:val="center"/>
            <w:hideMark/>
          </w:tcPr>
          <w:p w14:paraId="77C12BCA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0.010</w:t>
            </w:r>
          </w:p>
        </w:tc>
      </w:tr>
      <w:tr w:rsidR="009911BF" w:rsidRPr="009911BF" w14:paraId="1967A80E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1D04D184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Hypotension</w:t>
            </w:r>
          </w:p>
        </w:tc>
        <w:tc>
          <w:tcPr>
            <w:tcW w:w="1595" w:type="pct"/>
            <w:vAlign w:val="center"/>
            <w:hideMark/>
          </w:tcPr>
          <w:p w14:paraId="5CE680EE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1.06 (1.00–1.12)</w:t>
            </w:r>
          </w:p>
        </w:tc>
        <w:tc>
          <w:tcPr>
            <w:tcW w:w="1694" w:type="pct"/>
            <w:vAlign w:val="center"/>
            <w:hideMark/>
          </w:tcPr>
          <w:p w14:paraId="11ED0B5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1.03 (0.97–1.10)</w:t>
            </w:r>
          </w:p>
        </w:tc>
        <w:tc>
          <w:tcPr>
            <w:tcW w:w="490" w:type="pct"/>
            <w:vAlign w:val="center"/>
            <w:hideMark/>
          </w:tcPr>
          <w:p w14:paraId="4DD9037D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0.332</w:t>
            </w:r>
          </w:p>
        </w:tc>
      </w:tr>
      <w:tr w:rsidR="009911BF" w:rsidRPr="009911BF" w14:paraId="01F6C980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38A6EC2A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Syncope</w:t>
            </w:r>
          </w:p>
        </w:tc>
        <w:tc>
          <w:tcPr>
            <w:tcW w:w="1595" w:type="pct"/>
            <w:vAlign w:val="center"/>
            <w:hideMark/>
          </w:tcPr>
          <w:p w14:paraId="76BEE13E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0.98 (0.91–1.06)</w:t>
            </w:r>
          </w:p>
        </w:tc>
        <w:tc>
          <w:tcPr>
            <w:tcW w:w="1694" w:type="pct"/>
            <w:vAlign w:val="center"/>
            <w:hideMark/>
          </w:tcPr>
          <w:p w14:paraId="13D40D80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 (0.88–1.05)</w:t>
            </w:r>
          </w:p>
        </w:tc>
        <w:tc>
          <w:tcPr>
            <w:tcW w:w="490" w:type="pct"/>
            <w:vAlign w:val="center"/>
            <w:hideMark/>
          </w:tcPr>
          <w:p w14:paraId="4916924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0.381</w:t>
            </w:r>
          </w:p>
        </w:tc>
      </w:tr>
      <w:tr w:rsidR="009911BF" w:rsidRPr="009911BF" w14:paraId="50259F11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739CD1D8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Stroke</w:t>
            </w:r>
          </w:p>
        </w:tc>
        <w:tc>
          <w:tcPr>
            <w:tcW w:w="1595" w:type="pct"/>
            <w:vAlign w:val="center"/>
            <w:hideMark/>
          </w:tcPr>
          <w:p w14:paraId="622B3AF6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0.88 (0.82–0.95)</w:t>
            </w:r>
          </w:p>
        </w:tc>
        <w:tc>
          <w:tcPr>
            <w:tcW w:w="1694" w:type="pct"/>
            <w:vAlign w:val="center"/>
            <w:hideMark/>
          </w:tcPr>
          <w:p w14:paraId="2F81EB13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0.85 (0.78–0.93)</w:t>
            </w:r>
          </w:p>
        </w:tc>
        <w:tc>
          <w:tcPr>
            <w:tcW w:w="490" w:type="pct"/>
            <w:vAlign w:val="center"/>
            <w:hideMark/>
          </w:tcPr>
          <w:p w14:paraId="26240D7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6BDA5AFE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4E542D49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Myocardial infarction</w:t>
            </w:r>
          </w:p>
        </w:tc>
        <w:tc>
          <w:tcPr>
            <w:tcW w:w="1595" w:type="pct"/>
            <w:vAlign w:val="center"/>
            <w:hideMark/>
          </w:tcPr>
          <w:p w14:paraId="0E5A28C2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1.03 (0.96–1.11)</w:t>
            </w:r>
          </w:p>
        </w:tc>
        <w:tc>
          <w:tcPr>
            <w:tcW w:w="1694" w:type="pct"/>
            <w:vAlign w:val="center"/>
            <w:hideMark/>
          </w:tcPr>
          <w:p w14:paraId="33DA48C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1.05 (0.96–1.15)</w:t>
            </w:r>
          </w:p>
        </w:tc>
        <w:tc>
          <w:tcPr>
            <w:tcW w:w="490" w:type="pct"/>
            <w:vAlign w:val="center"/>
            <w:hideMark/>
          </w:tcPr>
          <w:p w14:paraId="5827043C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0.256</w:t>
            </w:r>
          </w:p>
        </w:tc>
      </w:tr>
      <w:tr w:rsidR="009911BF" w:rsidRPr="009911BF" w14:paraId="4EF992EE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32E1C360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HF hospitalization</w:t>
            </w:r>
          </w:p>
        </w:tc>
        <w:tc>
          <w:tcPr>
            <w:tcW w:w="1595" w:type="pct"/>
            <w:vAlign w:val="center"/>
            <w:hideMark/>
          </w:tcPr>
          <w:p w14:paraId="1A111285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1.07 (1.02–1.12)</w:t>
            </w:r>
          </w:p>
        </w:tc>
        <w:tc>
          <w:tcPr>
            <w:tcW w:w="1694" w:type="pct"/>
            <w:vAlign w:val="center"/>
            <w:hideMark/>
          </w:tcPr>
          <w:p w14:paraId="1C002739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1.11 (1.04–1.17)</w:t>
            </w:r>
          </w:p>
        </w:tc>
        <w:tc>
          <w:tcPr>
            <w:tcW w:w="490" w:type="pct"/>
            <w:vAlign w:val="center"/>
            <w:hideMark/>
          </w:tcPr>
          <w:p w14:paraId="4CED844E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  <w:tr w:rsidR="009911BF" w:rsidRPr="009911BF" w14:paraId="393B35C0" w14:textId="77777777" w:rsidTr="00EA3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Align w:val="center"/>
            <w:hideMark/>
          </w:tcPr>
          <w:p w14:paraId="57869232" w14:textId="77777777" w:rsidR="009911BF" w:rsidRPr="009911BF" w:rsidRDefault="009911BF" w:rsidP="009911B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All-cause mortality</w:t>
            </w:r>
          </w:p>
        </w:tc>
        <w:tc>
          <w:tcPr>
            <w:tcW w:w="1595" w:type="pct"/>
            <w:vAlign w:val="center"/>
            <w:hideMark/>
          </w:tcPr>
          <w:p w14:paraId="60A36AEB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0.73 (0.70–0.76)</w:t>
            </w:r>
          </w:p>
        </w:tc>
        <w:tc>
          <w:tcPr>
            <w:tcW w:w="1694" w:type="pct"/>
            <w:vAlign w:val="center"/>
            <w:hideMark/>
          </w:tcPr>
          <w:p w14:paraId="7849A2A4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0.73 (0.69–0.76)</w:t>
            </w:r>
          </w:p>
        </w:tc>
        <w:tc>
          <w:tcPr>
            <w:tcW w:w="490" w:type="pct"/>
            <w:vAlign w:val="center"/>
            <w:hideMark/>
          </w:tcPr>
          <w:p w14:paraId="3BF175A6" w14:textId="77777777" w:rsidR="009911BF" w:rsidRPr="009911BF" w:rsidRDefault="009911BF" w:rsidP="009911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11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&lt;0.001</w:t>
            </w:r>
          </w:p>
        </w:tc>
      </w:tr>
    </w:tbl>
    <w:p w14:paraId="0F5A8286" w14:textId="0751A8D2" w:rsidR="009911BF" w:rsidRDefault="009911BF" w:rsidP="00991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9911BF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9911BF">
        <w:rPr>
          <w:rFonts w:ascii="Times New Roman" w:hAnsi="Times New Roman" w:cs="Times New Roman"/>
          <w:sz w:val="24"/>
          <w:szCs w:val="24"/>
        </w:rPr>
        <w:t xml:space="preserve"> Sensitivity analysis censored all outcomes at 250 days to address differential mean follow-up duration (259 days SGLT2i vs 279 days DPP-4i). HR = hazard ratio.</w:t>
      </w:r>
    </w:p>
    <w:p w14:paraId="0496F4C4" w14:textId="288951CA" w:rsidR="00B329FD" w:rsidRPr="005031C0" w:rsidRDefault="00B329FD" w:rsidP="002935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329FD" w:rsidRPr="005031C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F6AB9" w14:textId="77777777" w:rsidR="00137E0D" w:rsidRDefault="00137E0D" w:rsidP="00F16F69">
      <w:pPr>
        <w:spacing w:after="0" w:line="240" w:lineRule="auto"/>
      </w:pPr>
      <w:r>
        <w:separator/>
      </w:r>
    </w:p>
  </w:endnote>
  <w:endnote w:type="continuationSeparator" w:id="0">
    <w:p w14:paraId="31ADC6CB" w14:textId="77777777" w:rsidR="00137E0D" w:rsidRDefault="00137E0D" w:rsidP="00F1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038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68618A" w14:textId="26DDE962" w:rsidR="00F16F69" w:rsidRDefault="00F16F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495F2" w14:textId="77777777" w:rsidR="00F16F69" w:rsidRDefault="00F16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F9279" w14:textId="77777777" w:rsidR="00137E0D" w:rsidRDefault="00137E0D" w:rsidP="00F16F69">
      <w:pPr>
        <w:spacing w:after="0" w:line="240" w:lineRule="auto"/>
      </w:pPr>
      <w:r>
        <w:separator/>
      </w:r>
    </w:p>
  </w:footnote>
  <w:footnote w:type="continuationSeparator" w:id="0">
    <w:p w14:paraId="20B26672" w14:textId="77777777" w:rsidR="00137E0D" w:rsidRDefault="00137E0D" w:rsidP="00F16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6F"/>
    <w:rsid w:val="00086F23"/>
    <w:rsid w:val="000A4B78"/>
    <w:rsid w:val="00137E0D"/>
    <w:rsid w:val="001444D8"/>
    <w:rsid w:val="00293537"/>
    <w:rsid w:val="002E2A42"/>
    <w:rsid w:val="00356305"/>
    <w:rsid w:val="004364E7"/>
    <w:rsid w:val="004B0988"/>
    <w:rsid w:val="005031C0"/>
    <w:rsid w:val="005F086E"/>
    <w:rsid w:val="00602843"/>
    <w:rsid w:val="00631C87"/>
    <w:rsid w:val="00767464"/>
    <w:rsid w:val="007E6B92"/>
    <w:rsid w:val="008D5858"/>
    <w:rsid w:val="00921ECF"/>
    <w:rsid w:val="009534B7"/>
    <w:rsid w:val="009911BF"/>
    <w:rsid w:val="00A3736F"/>
    <w:rsid w:val="00A56353"/>
    <w:rsid w:val="00A6496E"/>
    <w:rsid w:val="00AB333C"/>
    <w:rsid w:val="00AF5E9A"/>
    <w:rsid w:val="00B0721F"/>
    <w:rsid w:val="00B329FD"/>
    <w:rsid w:val="00B810EF"/>
    <w:rsid w:val="00BA3579"/>
    <w:rsid w:val="00D3606E"/>
    <w:rsid w:val="00DC43D1"/>
    <w:rsid w:val="00E1150F"/>
    <w:rsid w:val="00EA330B"/>
    <w:rsid w:val="00F1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5349"/>
  <w15:chartTrackingRefBased/>
  <w15:docId w15:val="{A514AEC2-D37C-438A-B50F-F8AA880B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C87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3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3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3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3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3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36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36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36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36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3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3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3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3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3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3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7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36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7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36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7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36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73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3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3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F69"/>
    <w:rPr>
      <w:rFonts w:ascii="Calibri" w:eastAsia="Calibri" w:hAnsi="Calibri" w:cs="Calibri"/>
      <w:kern w:val="0"/>
      <w:sz w:val="22"/>
      <w:szCs w:val="22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6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F69"/>
    <w:rPr>
      <w:rFonts w:ascii="Calibri" w:eastAsia="Calibri" w:hAnsi="Calibri" w:cs="Calibri"/>
      <w:kern w:val="0"/>
      <w:sz w:val="22"/>
      <w:szCs w:val="22"/>
      <w:lang w:val="en-IN"/>
      <w14:ligatures w14:val="none"/>
    </w:rPr>
  </w:style>
  <w:style w:type="table" w:styleId="GridTable1Light">
    <w:name w:val="Grid Table 1 Light"/>
    <w:basedOn w:val="TableNormal"/>
    <w:uiPriority w:val="46"/>
    <w:rsid w:val="009911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 Hamadttu</dc:creator>
  <cp:keywords/>
  <dc:description/>
  <cp:lastModifiedBy>Ayman Hamadttu</cp:lastModifiedBy>
  <cp:revision>17</cp:revision>
  <dcterms:created xsi:type="dcterms:W3CDTF">2025-11-20T21:10:00Z</dcterms:created>
  <dcterms:modified xsi:type="dcterms:W3CDTF">2026-04-06T13:40:00Z</dcterms:modified>
</cp:coreProperties>
</file>