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1AB1A0" w14:textId="77777777" w:rsidR="00795585" w:rsidRPr="007E5D9A" w:rsidRDefault="00000000">
      <w:pPr>
        <w:spacing w:line="360" w:lineRule="auto"/>
        <w:rPr>
          <w:rFonts w:ascii="Times New Roman" w:hAnsi="Times New Roman" w:cs="Times New Roman"/>
          <w:b/>
          <w:bCs/>
          <w:color w:val="000000"/>
          <w:sz w:val="28"/>
          <w:szCs w:val="28"/>
        </w:rPr>
      </w:pPr>
      <w:r w:rsidRPr="007E5D9A">
        <w:rPr>
          <w:rFonts w:ascii="Times New Roman" w:hAnsi="Times New Roman" w:cs="Times New Roman"/>
          <w:b/>
          <w:bCs/>
          <w:color w:val="000000"/>
          <w:sz w:val="28"/>
          <w:szCs w:val="28"/>
        </w:rPr>
        <w:t>Literature Search Strategy</w:t>
      </w:r>
    </w:p>
    <w:p w14:paraId="6011CC22" w14:textId="77777777" w:rsidR="00795585" w:rsidRPr="007E5D9A" w:rsidRDefault="00000000">
      <w:pPr>
        <w:spacing w:line="360" w:lineRule="auto"/>
        <w:rPr>
          <w:rFonts w:ascii="Times New Roman" w:hAnsi="Times New Roman" w:cs="Times New Roman"/>
          <w:sz w:val="24"/>
        </w:rPr>
      </w:pPr>
      <w:r w:rsidRPr="007E5D9A">
        <w:rPr>
          <w:rFonts w:ascii="Times New Roman" w:hAnsi="Times New Roman" w:cs="Times New Roman"/>
          <w:sz w:val="24"/>
        </w:rPr>
        <w:t xml:space="preserve">We conducted a comprehensive narrative review of the published literature following established guidelines for narrative reviews. Our search strategy was designed to capture the breadth of evidence on the interconnections between metabolic dysfunction-associated </w:t>
      </w:r>
      <w:proofErr w:type="spellStart"/>
      <w:r w:rsidRPr="007E5D9A">
        <w:rPr>
          <w:rFonts w:ascii="Times New Roman" w:hAnsi="Times New Roman" w:cs="Times New Roman"/>
          <w:sz w:val="24"/>
        </w:rPr>
        <w:t>steatotic</w:t>
      </w:r>
      <w:proofErr w:type="spellEnd"/>
      <w:r w:rsidRPr="007E5D9A">
        <w:rPr>
          <w:rFonts w:ascii="Times New Roman" w:hAnsi="Times New Roman" w:cs="Times New Roman"/>
          <w:sz w:val="24"/>
        </w:rPr>
        <w:t xml:space="preserve"> liver disease (MASLD), cardiovascular disease, chronic kidney disease, and metabolic syndrome.</w:t>
      </w:r>
    </w:p>
    <w:p w14:paraId="7DE94F26" w14:textId="77777777" w:rsidR="00795585" w:rsidRPr="007E5D9A" w:rsidRDefault="00000000">
      <w:pPr>
        <w:spacing w:line="360" w:lineRule="auto"/>
        <w:rPr>
          <w:rFonts w:ascii="Times New Roman" w:hAnsi="Times New Roman" w:cs="Times New Roman"/>
          <w:sz w:val="24"/>
        </w:rPr>
      </w:pPr>
      <w:r w:rsidRPr="007E5D9A">
        <w:rPr>
          <w:rFonts w:ascii="Times New Roman" w:hAnsi="Times New Roman" w:cs="Times New Roman"/>
          <w:sz w:val="24"/>
        </w:rPr>
        <w:t>Search Terms and Boolean Operators We employed the following search strings across databases:</w:t>
      </w:r>
    </w:p>
    <w:p w14:paraId="1CB87D8E" w14:textId="77777777" w:rsidR="00795585" w:rsidRPr="007E5D9A" w:rsidRDefault="00000000">
      <w:pPr>
        <w:spacing w:line="360" w:lineRule="auto"/>
        <w:rPr>
          <w:rFonts w:ascii="Times New Roman" w:hAnsi="Times New Roman" w:cs="Times New Roman"/>
          <w:b/>
          <w:bCs/>
          <w:sz w:val="24"/>
        </w:rPr>
      </w:pPr>
      <w:r w:rsidRPr="007E5D9A">
        <w:rPr>
          <w:rFonts w:ascii="Times New Roman" w:hAnsi="Times New Roman" w:cs="Times New Roman"/>
          <w:b/>
          <w:bCs/>
          <w:sz w:val="24"/>
        </w:rPr>
        <w:t>Primary search terms:</w:t>
      </w:r>
    </w:p>
    <w:p w14:paraId="6EC11FEB" w14:textId="77777777" w:rsidR="00795585" w:rsidRPr="007E5D9A" w:rsidRDefault="00000000">
      <w:pPr>
        <w:pStyle w:val="HTML"/>
        <w:widowControl/>
        <w:spacing w:before="105" w:after="105" w:line="360" w:lineRule="auto"/>
        <w:textAlignment w:val="baseline"/>
        <w:rPr>
          <w:rFonts w:ascii="Times New Roman" w:eastAsia="monospace" w:hAnsi="Times New Roman"/>
          <w:color w:val="1A1A1A"/>
          <w:spacing w:val="4"/>
          <w:sz w:val="24"/>
          <w:szCs w:val="24"/>
        </w:rPr>
      </w:pPr>
      <w:r w:rsidRPr="007E5D9A">
        <w:rPr>
          <w:rStyle w:val="HTML0"/>
          <w:rFonts w:ascii="Times New Roman" w:eastAsia="monospace" w:hAnsi="Times New Roman"/>
          <w:color w:val="1A1A1A"/>
          <w:spacing w:val="4"/>
          <w:sz w:val="24"/>
          <w:szCs w:val="24"/>
        </w:rPr>
        <w:t xml:space="preserve">1. ("metabolic dysfunction-associated </w:t>
      </w:r>
      <w:proofErr w:type="spellStart"/>
      <w:r w:rsidRPr="007E5D9A">
        <w:rPr>
          <w:rStyle w:val="HTML0"/>
          <w:rFonts w:ascii="Times New Roman" w:eastAsia="monospace" w:hAnsi="Times New Roman"/>
          <w:color w:val="1A1A1A"/>
          <w:spacing w:val="4"/>
          <w:sz w:val="24"/>
          <w:szCs w:val="24"/>
        </w:rPr>
        <w:t>steatotic</w:t>
      </w:r>
      <w:proofErr w:type="spellEnd"/>
      <w:r w:rsidRPr="007E5D9A">
        <w:rPr>
          <w:rStyle w:val="HTML0"/>
          <w:rFonts w:ascii="Times New Roman" w:eastAsia="monospace" w:hAnsi="Times New Roman"/>
          <w:color w:val="1A1A1A"/>
          <w:spacing w:val="4"/>
          <w:sz w:val="24"/>
          <w:szCs w:val="24"/>
        </w:rPr>
        <w:t xml:space="preserve"> liver disease" OR "MASLD" OR "non-alcoholic fatty liver disease" OR "NAFLD" OR "metabolic dysfunction-associated steatohepatitis" OR "MASH" OR "non-alcoholic steatohepatitis" OR "NASH" OR "hepatic steatosis" OR "liver steatosis") AND ("cardiovascular disease" OR "cardiovascular-kidney-metabolic" OR "CKM" OR "cardio-renal-hepatic-metabolic" OR "CRHM" OR "cardiovascular-renal-hepatic-metabolic")</w:t>
      </w:r>
    </w:p>
    <w:p w14:paraId="164B39DC" w14:textId="77777777" w:rsidR="00795585" w:rsidRPr="007E5D9A" w:rsidRDefault="00000000">
      <w:pPr>
        <w:pStyle w:val="HTML"/>
        <w:widowControl/>
        <w:spacing w:before="105" w:after="105" w:line="360" w:lineRule="auto"/>
        <w:textAlignment w:val="baseline"/>
        <w:rPr>
          <w:rFonts w:ascii="Times New Roman" w:eastAsia="monospace" w:hAnsi="Times New Roman"/>
          <w:color w:val="1A1A1A"/>
          <w:spacing w:val="4"/>
          <w:sz w:val="24"/>
          <w:szCs w:val="24"/>
        </w:rPr>
      </w:pPr>
      <w:r w:rsidRPr="007E5D9A">
        <w:rPr>
          <w:rFonts w:ascii="Times New Roman" w:hAnsi="Times New Roman"/>
          <w:sz w:val="24"/>
          <w:szCs w:val="24"/>
        </w:rPr>
        <w:t xml:space="preserve">2. </w:t>
      </w:r>
      <w:r w:rsidRPr="007E5D9A">
        <w:rPr>
          <w:rStyle w:val="HTML0"/>
          <w:rFonts w:ascii="Times New Roman" w:eastAsia="monospace" w:hAnsi="Times New Roman"/>
          <w:color w:val="1A1A1A"/>
          <w:spacing w:val="4"/>
          <w:sz w:val="24"/>
          <w:szCs w:val="24"/>
        </w:rPr>
        <w:t>("cardiorenal syndrome" OR "cardiorenal axis" OR "cardio-renal" OR "heart-kidney interaction") AND ("metabolic syndrome" OR "insulin resistance" OR "MASLD" OR "MASH" OR "NAFLD" OR "NASH")</w:t>
      </w:r>
    </w:p>
    <w:p w14:paraId="1272F3FA" w14:textId="77777777" w:rsidR="00795585" w:rsidRPr="007E5D9A" w:rsidRDefault="00000000">
      <w:pPr>
        <w:spacing w:line="360" w:lineRule="auto"/>
        <w:rPr>
          <w:rFonts w:ascii="Times New Roman" w:hAnsi="Times New Roman" w:cs="Times New Roman"/>
          <w:sz w:val="24"/>
        </w:rPr>
      </w:pPr>
      <w:r w:rsidRPr="007E5D9A">
        <w:rPr>
          <w:rFonts w:ascii="Times New Roman" w:hAnsi="Times New Roman" w:cs="Times New Roman"/>
          <w:sz w:val="24"/>
        </w:rPr>
        <w:t xml:space="preserve">3. </w:t>
      </w:r>
      <w:r w:rsidRPr="007E5D9A">
        <w:rPr>
          <w:rStyle w:val="HTML0"/>
          <w:rFonts w:ascii="Times New Roman" w:eastAsia="monospace" w:hAnsi="Times New Roman" w:cs="Times New Roman"/>
          <w:color w:val="1A1A1A"/>
          <w:spacing w:val="4"/>
          <w:sz w:val="24"/>
        </w:rPr>
        <w:t xml:space="preserve">("chronic kidney disease" OR "CKD" OR "renal dysfunction" OR "kidney disease") AND ("metabolic dysfunction-associated </w:t>
      </w:r>
      <w:proofErr w:type="spellStart"/>
      <w:r w:rsidRPr="007E5D9A">
        <w:rPr>
          <w:rStyle w:val="HTML0"/>
          <w:rFonts w:ascii="Times New Roman" w:eastAsia="monospace" w:hAnsi="Times New Roman" w:cs="Times New Roman"/>
          <w:color w:val="1A1A1A"/>
          <w:spacing w:val="4"/>
          <w:sz w:val="24"/>
        </w:rPr>
        <w:t>steatotic</w:t>
      </w:r>
      <w:proofErr w:type="spellEnd"/>
      <w:r w:rsidRPr="007E5D9A">
        <w:rPr>
          <w:rStyle w:val="HTML0"/>
          <w:rFonts w:ascii="Times New Roman" w:eastAsia="monospace" w:hAnsi="Times New Roman" w:cs="Times New Roman"/>
          <w:color w:val="1A1A1A"/>
          <w:spacing w:val="4"/>
          <w:sz w:val="24"/>
        </w:rPr>
        <w:t xml:space="preserve"> liver disease" OR "MASLD" OR "MASH" OR "NAFLD" OR "NASH" OR "hepatorenal" OR "liver fibrosis" OR "cirrhosis")</w:t>
      </w:r>
    </w:p>
    <w:p w14:paraId="65551B12" w14:textId="77777777" w:rsidR="00795585" w:rsidRPr="007E5D9A" w:rsidRDefault="00000000">
      <w:pPr>
        <w:spacing w:line="360" w:lineRule="auto"/>
        <w:rPr>
          <w:rFonts w:ascii="Times New Roman" w:hAnsi="Times New Roman" w:cs="Times New Roman"/>
          <w:sz w:val="24"/>
        </w:rPr>
      </w:pPr>
      <w:r w:rsidRPr="007E5D9A">
        <w:rPr>
          <w:rFonts w:ascii="Times New Roman" w:hAnsi="Times New Roman" w:cs="Times New Roman"/>
          <w:b/>
          <w:bCs/>
          <w:sz w:val="24"/>
        </w:rPr>
        <w:t xml:space="preserve">Databases Searched: </w:t>
      </w:r>
      <w:r w:rsidRPr="007E5D9A">
        <w:rPr>
          <w:rFonts w:ascii="Times New Roman" w:hAnsi="Times New Roman" w:cs="Times New Roman"/>
          <w:sz w:val="24"/>
        </w:rPr>
        <w:t>PubMed/MEDLINE, Embase, Web of Science, Cochrane Library, Scopus (from inception to March 2026)</w:t>
      </w:r>
    </w:p>
    <w:p w14:paraId="0C18DA72" w14:textId="77777777" w:rsidR="00795585" w:rsidRPr="007E5D9A" w:rsidRDefault="00000000">
      <w:pPr>
        <w:spacing w:line="360" w:lineRule="auto"/>
        <w:rPr>
          <w:rFonts w:ascii="Times New Roman" w:hAnsi="Times New Roman" w:cs="Times New Roman"/>
          <w:sz w:val="24"/>
        </w:rPr>
      </w:pPr>
      <w:r w:rsidRPr="007E5D9A">
        <w:rPr>
          <w:rFonts w:ascii="Times New Roman" w:hAnsi="Times New Roman" w:cs="Times New Roman"/>
          <w:b/>
          <w:bCs/>
          <w:sz w:val="24"/>
        </w:rPr>
        <w:t xml:space="preserve">Inclusion Criteria: </w:t>
      </w:r>
      <w:r w:rsidRPr="007E5D9A">
        <w:rPr>
          <w:rFonts w:ascii="Times New Roman" w:hAnsi="Times New Roman" w:cs="Times New Roman"/>
          <w:sz w:val="24"/>
        </w:rPr>
        <w:t>Original research articles, systematic reviews, meta-analyses, and expert consensus statements published in English with direct clinical relevance to human disease.</w:t>
      </w:r>
    </w:p>
    <w:p w14:paraId="0BDD9CB5" w14:textId="77777777" w:rsidR="00795585" w:rsidRPr="007E5D9A" w:rsidRDefault="00000000">
      <w:pPr>
        <w:spacing w:line="360" w:lineRule="auto"/>
        <w:rPr>
          <w:rFonts w:ascii="Times New Roman" w:hAnsi="Times New Roman" w:cs="Times New Roman"/>
          <w:sz w:val="24"/>
        </w:rPr>
      </w:pPr>
      <w:r w:rsidRPr="007E5D9A">
        <w:rPr>
          <w:rFonts w:ascii="Times New Roman" w:hAnsi="Times New Roman" w:cs="Times New Roman"/>
          <w:b/>
          <w:bCs/>
          <w:sz w:val="24"/>
        </w:rPr>
        <w:t>Study Selection:</w:t>
      </w:r>
      <w:r w:rsidRPr="007E5D9A">
        <w:rPr>
          <w:rFonts w:ascii="Times New Roman" w:hAnsi="Times New Roman" w:cs="Times New Roman"/>
          <w:sz w:val="24"/>
        </w:rPr>
        <w:t xml:space="preserve"> Two authors (Y.G. and Y.Z.) independently screened titles and </w:t>
      </w:r>
      <w:r w:rsidRPr="007E5D9A">
        <w:rPr>
          <w:rFonts w:ascii="Times New Roman" w:hAnsi="Times New Roman" w:cs="Times New Roman"/>
          <w:sz w:val="24"/>
        </w:rPr>
        <w:lastRenderedPageBreak/>
        <w:t>abstracts. Disagreements were resolved through discussion with a third author (S.L.)."</w:t>
      </w:r>
    </w:p>
    <w:p w14:paraId="211FDE88" w14:textId="77777777" w:rsidR="00795585" w:rsidRPr="007E5D9A" w:rsidRDefault="00795585">
      <w:pPr>
        <w:spacing w:line="360" w:lineRule="auto"/>
        <w:rPr>
          <w:rFonts w:ascii="Times New Roman" w:hAnsi="Times New Roman" w:cs="Times New Roman"/>
          <w:sz w:val="24"/>
        </w:rPr>
      </w:pPr>
    </w:p>
    <w:p w14:paraId="0E9BE5C4" w14:textId="77777777" w:rsidR="00795585" w:rsidRPr="007E5D9A" w:rsidRDefault="00000000">
      <w:pPr>
        <w:spacing w:line="360" w:lineRule="auto"/>
        <w:rPr>
          <w:rFonts w:ascii="Times New Roman" w:hAnsi="Times New Roman" w:cs="Times New Roman"/>
          <w:b/>
          <w:bCs/>
          <w:color w:val="000000"/>
          <w:sz w:val="28"/>
          <w:szCs w:val="28"/>
        </w:rPr>
      </w:pPr>
      <w:r w:rsidRPr="007E5D9A">
        <w:rPr>
          <w:rFonts w:ascii="Times New Roman" w:hAnsi="Times New Roman" w:cs="Times New Roman"/>
          <w:b/>
          <w:bCs/>
          <w:color w:val="000000"/>
          <w:sz w:val="28"/>
          <w:szCs w:val="28"/>
        </w:rPr>
        <w:t>Table S1. Comparative Framework Analysis: CKM, CRHM, and MMCK Syndromes</w:t>
      </w:r>
    </w:p>
    <w:tbl>
      <w:tblPr>
        <w:tblStyle w:val="a8"/>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29"/>
        <w:gridCol w:w="2093"/>
        <w:gridCol w:w="1930"/>
        <w:gridCol w:w="2470"/>
      </w:tblGrid>
      <w:tr w:rsidR="00795585" w:rsidRPr="007E5D9A" w14:paraId="71F63D8F" w14:textId="77777777">
        <w:trPr>
          <w:jc w:val="center"/>
        </w:trPr>
        <w:tc>
          <w:tcPr>
            <w:tcW w:w="2160" w:type="dxa"/>
            <w:tcBorders>
              <w:top w:val="single" w:sz="4" w:space="0" w:color="auto"/>
              <w:bottom w:val="single" w:sz="4" w:space="0" w:color="auto"/>
            </w:tcBorders>
          </w:tcPr>
          <w:p w14:paraId="0DCA5823" w14:textId="77777777" w:rsidR="00795585" w:rsidRPr="007E5D9A" w:rsidRDefault="00000000">
            <w:pPr>
              <w:jc w:val="center"/>
              <w:rPr>
                <w:rFonts w:ascii="Times New Roman" w:hAnsi="Times New Roman" w:cs="Times New Roman"/>
              </w:rPr>
            </w:pPr>
            <w:r w:rsidRPr="007E5D9A">
              <w:rPr>
                <w:rFonts w:ascii="Times New Roman" w:hAnsi="Times New Roman" w:cs="Times New Roman"/>
                <w:b/>
                <w:sz w:val="20"/>
              </w:rPr>
              <w:t>Feature</w:t>
            </w:r>
          </w:p>
        </w:tc>
        <w:tc>
          <w:tcPr>
            <w:tcW w:w="2160" w:type="dxa"/>
            <w:tcBorders>
              <w:top w:val="single" w:sz="4" w:space="0" w:color="auto"/>
              <w:bottom w:val="single" w:sz="4" w:space="0" w:color="auto"/>
            </w:tcBorders>
          </w:tcPr>
          <w:p w14:paraId="26A3F894" w14:textId="77777777" w:rsidR="00795585" w:rsidRPr="007E5D9A" w:rsidRDefault="00000000">
            <w:pPr>
              <w:jc w:val="center"/>
              <w:rPr>
                <w:rFonts w:ascii="Times New Roman" w:hAnsi="Times New Roman" w:cs="Times New Roman"/>
              </w:rPr>
            </w:pPr>
            <w:r w:rsidRPr="007E5D9A">
              <w:rPr>
                <w:rFonts w:ascii="Times New Roman" w:hAnsi="Times New Roman" w:cs="Times New Roman"/>
                <w:b/>
                <w:sz w:val="20"/>
              </w:rPr>
              <w:t>CKM Syndrome</w:t>
            </w:r>
            <w:r w:rsidRPr="007E5D9A">
              <w:rPr>
                <w:rFonts w:ascii="Times New Roman" w:hAnsi="Times New Roman" w:cs="Times New Roman"/>
                <w:b/>
                <w:sz w:val="20"/>
              </w:rPr>
              <w:br/>
              <w:t>(AHA 2023)</w:t>
            </w:r>
          </w:p>
        </w:tc>
        <w:tc>
          <w:tcPr>
            <w:tcW w:w="2160" w:type="dxa"/>
            <w:tcBorders>
              <w:top w:val="single" w:sz="4" w:space="0" w:color="auto"/>
              <w:bottom w:val="single" w:sz="4" w:space="0" w:color="auto"/>
            </w:tcBorders>
          </w:tcPr>
          <w:p w14:paraId="7B8412A4" w14:textId="77777777" w:rsidR="00795585" w:rsidRPr="007E5D9A" w:rsidRDefault="00000000">
            <w:pPr>
              <w:jc w:val="center"/>
              <w:rPr>
                <w:rFonts w:ascii="Times New Roman" w:hAnsi="Times New Roman" w:cs="Times New Roman"/>
              </w:rPr>
            </w:pPr>
            <w:r w:rsidRPr="007E5D9A">
              <w:rPr>
                <w:rFonts w:ascii="Times New Roman" w:hAnsi="Times New Roman" w:cs="Times New Roman"/>
                <w:b/>
                <w:sz w:val="20"/>
              </w:rPr>
              <w:t>CRHM Syndrome</w:t>
            </w:r>
            <w:r w:rsidRPr="007E5D9A">
              <w:rPr>
                <w:rFonts w:ascii="Times New Roman" w:hAnsi="Times New Roman" w:cs="Times New Roman"/>
                <w:b/>
                <w:sz w:val="20"/>
              </w:rPr>
              <w:br/>
              <w:t>(Theodorakis &amp;</w:t>
            </w:r>
            <w:r w:rsidRPr="007E5D9A">
              <w:rPr>
                <w:rFonts w:ascii="Times New Roman" w:hAnsi="Times New Roman" w:cs="Times New Roman"/>
                <w:b/>
                <w:sz w:val="20"/>
              </w:rPr>
              <w:br/>
              <w:t>Nikolaou, 2025)</w:t>
            </w:r>
          </w:p>
        </w:tc>
        <w:tc>
          <w:tcPr>
            <w:tcW w:w="2160" w:type="dxa"/>
            <w:tcBorders>
              <w:top w:val="single" w:sz="4" w:space="0" w:color="auto"/>
              <w:bottom w:val="single" w:sz="4" w:space="0" w:color="auto"/>
            </w:tcBorders>
          </w:tcPr>
          <w:p w14:paraId="14CC055B" w14:textId="77777777" w:rsidR="00795585" w:rsidRPr="007E5D9A" w:rsidRDefault="00000000">
            <w:pPr>
              <w:jc w:val="center"/>
              <w:rPr>
                <w:rFonts w:ascii="Times New Roman" w:hAnsi="Times New Roman" w:cs="Times New Roman"/>
              </w:rPr>
            </w:pPr>
            <w:r w:rsidRPr="007E5D9A">
              <w:rPr>
                <w:rFonts w:ascii="Times New Roman" w:hAnsi="Times New Roman" w:cs="Times New Roman"/>
                <w:b/>
                <w:sz w:val="20"/>
              </w:rPr>
              <w:t>MMCK Syndrome</w:t>
            </w:r>
            <w:r w:rsidRPr="007E5D9A">
              <w:rPr>
                <w:rFonts w:ascii="Times New Roman" w:hAnsi="Times New Roman" w:cs="Times New Roman"/>
                <w:b/>
                <w:sz w:val="20"/>
              </w:rPr>
              <w:br/>
              <w:t>(Proposed)</w:t>
            </w:r>
          </w:p>
        </w:tc>
      </w:tr>
      <w:tr w:rsidR="00795585" w:rsidRPr="007E5D9A" w14:paraId="70D60154" w14:textId="77777777">
        <w:trPr>
          <w:jc w:val="center"/>
        </w:trPr>
        <w:tc>
          <w:tcPr>
            <w:tcW w:w="2160" w:type="dxa"/>
            <w:tcBorders>
              <w:top w:val="single" w:sz="4" w:space="0" w:color="auto"/>
            </w:tcBorders>
          </w:tcPr>
          <w:p w14:paraId="0EA49E6C" w14:textId="77777777" w:rsidR="00795585" w:rsidRPr="007E5D9A" w:rsidRDefault="00000000">
            <w:pPr>
              <w:jc w:val="left"/>
              <w:rPr>
                <w:rFonts w:ascii="Times New Roman" w:hAnsi="Times New Roman" w:cs="Times New Roman"/>
              </w:rPr>
            </w:pPr>
            <w:r w:rsidRPr="007E5D9A">
              <w:rPr>
                <w:rFonts w:ascii="Times New Roman" w:hAnsi="Times New Roman" w:cs="Times New Roman"/>
                <w:b/>
                <w:sz w:val="20"/>
              </w:rPr>
              <w:t>Conceptual Origin</w:t>
            </w:r>
          </w:p>
        </w:tc>
        <w:tc>
          <w:tcPr>
            <w:tcW w:w="2160" w:type="dxa"/>
            <w:tcBorders>
              <w:top w:val="single" w:sz="4" w:space="0" w:color="auto"/>
            </w:tcBorders>
          </w:tcPr>
          <w:p w14:paraId="5C5E584B" w14:textId="77777777" w:rsidR="00795585" w:rsidRPr="007E5D9A" w:rsidRDefault="00000000">
            <w:pPr>
              <w:jc w:val="left"/>
              <w:rPr>
                <w:rFonts w:ascii="Times New Roman" w:hAnsi="Times New Roman" w:cs="Times New Roman"/>
              </w:rPr>
            </w:pPr>
            <w:r w:rsidRPr="007E5D9A">
              <w:rPr>
                <w:rFonts w:ascii="Times New Roman" w:hAnsi="Times New Roman" w:cs="Times New Roman"/>
                <w:sz w:val="19"/>
              </w:rPr>
              <w:t>Cardiorenal-metabolic triad; hepatic component acknowledged but implicit</w:t>
            </w:r>
          </w:p>
        </w:tc>
        <w:tc>
          <w:tcPr>
            <w:tcW w:w="2160" w:type="dxa"/>
            <w:tcBorders>
              <w:top w:val="single" w:sz="4" w:space="0" w:color="auto"/>
            </w:tcBorders>
          </w:tcPr>
          <w:p w14:paraId="2A6E24E4" w14:textId="77777777" w:rsidR="00795585" w:rsidRPr="007E5D9A" w:rsidRDefault="00000000">
            <w:pPr>
              <w:jc w:val="left"/>
              <w:rPr>
                <w:rFonts w:ascii="Times New Roman" w:hAnsi="Times New Roman" w:cs="Times New Roman"/>
              </w:rPr>
            </w:pPr>
            <w:r w:rsidRPr="007E5D9A">
              <w:rPr>
                <w:rFonts w:ascii="Times New Roman" w:hAnsi="Times New Roman" w:cs="Times New Roman"/>
                <w:sz w:val="19"/>
              </w:rPr>
              <w:t>Parallel four-organ dysfunction model (cardiac, renal, hepatic, metabolic)</w:t>
            </w:r>
          </w:p>
        </w:tc>
        <w:tc>
          <w:tcPr>
            <w:tcW w:w="2160" w:type="dxa"/>
            <w:tcBorders>
              <w:top w:val="single" w:sz="4" w:space="0" w:color="auto"/>
            </w:tcBorders>
          </w:tcPr>
          <w:p w14:paraId="5E8A0B07" w14:textId="77777777" w:rsidR="00795585" w:rsidRPr="007E5D9A" w:rsidRDefault="00000000">
            <w:pPr>
              <w:jc w:val="left"/>
              <w:rPr>
                <w:rFonts w:ascii="Times New Roman" w:hAnsi="Times New Roman" w:cs="Times New Roman"/>
              </w:rPr>
            </w:pPr>
            <w:r w:rsidRPr="007E5D9A">
              <w:rPr>
                <w:rFonts w:ascii="Times New Roman" w:hAnsi="Times New Roman" w:cs="Times New Roman"/>
                <w:sz w:val="19"/>
              </w:rPr>
              <w:t>Metabolism-centric operational extension with MASLD as independent risk-modifying axis</w:t>
            </w:r>
          </w:p>
        </w:tc>
      </w:tr>
      <w:tr w:rsidR="00795585" w:rsidRPr="007E5D9A" w14:paraId="32BD150A" w14:textId="77777777">
        <w:trPr>
          <w:jc w:val="center"/>
        </w:trPr>
        <w:tc>
          <w:tcPr>
            <w:tcW w:w="2160" w:type="dxa"/>
          </w:tcPr>
          <w:p w14:paraId="5CFDE209" w14:textId="77777777" w:rsidR="00795585" w:rsidRPr="007E5D9A" w:rsidRDefault="00000000">
            <w:pPr>
              <w:jc w:val="left"/>
              <w:rPr>
                <w:rFonts w:ascii="Times New Roman" w:hAnsi="Times New Roman" w:cs="Times New Roman"/>
              </w:rPr>
            </w:pPr>
            <w:r w:rsidRPr="007E5D9A">
              <w:rPr>
                <w:rFonts w:ascii="Times New Roman" w:hAnsi="Times New Roman" w:cs="Times New Roman"/>
                <w:b/>
                <w:sz w:val="20"/>
              </w:rPr>
              <w:t>Liver Assessment</w:t>
            </w:r>
          </w:p>
        </w:tc>
        <w:tc>
          <w:tcPr>
            <w:tcW w:w="2160" w:type="dxa"/>
          </w:tcPr>
          <w:p w14:paraId="12D54A1D" w14:textId="77777777" w:rsidR="00795585" w:rsidRPr="007E5D9A" w:rsidRDefault="00000000">
            <w:pPr>
              <w:jc w:val="left"/>
              <w:rPr>
                <w:rFonts w:ascii="Times New Roman" w:hAnsi="Times New Roman" w:cs="Times New Roman"/>
              </w:rPr>
            </w:pPr>
            <w:r w:rsidRPr="007E5D9A">
              <w:rPr>
                <w:rFonts w:ascii="Times New Roman" w:hAnsi="Times New Roman" w:cs="Times New Roman"/>
                <w:sz w:val="19"/>
              </w:rPr>
              <w:t>Metabolic risk factors only; no direct hepatic staging</w:t>
            </w:r>
          </w:p>
        </w:tc>
        <w:tc>
          <w:tcPr>
            <w:tcW w:w="2160" w:type="dxa"/>
          </w:tcPr>
          <w:p w14:paraId="1B890205" w14:textId="77777777" w:rsidR="00795585" w:rsidRPr="007E5D9A" w:rsidRDefault="00000000">
            <w:pPr>
              <w:jc w:val="left"/>
              <w:rPr>
                <w:rFonts w:ascii="Times New Roman" w:hAnsi="Times New Roman" w:cs="Times New Roman"/>
              </w:rPr>
            </w:pPr>
            <w:r w:rsidRPr="007E5D9A">
              <w:rPr>
                <w:rFonts w:ascii="Times New Roman" w:hAnsi="Times New Roman" w:cs="Times New Roman"/>
                <w:sz w:val="19"/>
              </w:rPr>
              <w:t>Conceptually included; no operational staging algorithm</w:t>
            </w:r>
          </w:p>
        </w:tc>
        <w:tc>
          <w:tcPr>
            <w:tcW w:w="2160" w:type="dxa"/>
          </w:tcPr>
          <w:p w14:paraId="721F383B" w14:textId="77777777" w:rsidR="00795585" w:rsidRPr="007E5D9A" w:rsidRDefault="00000000">
            <w:pPr>
              <w:jc w:val="left"/>
              <w:rPr>
                <w:rFonts w:ascii="Times New Roman" w:hAnsi="Times New Roman" w:cs="Times New Roman"/>
              </w:rPr>
            </w:pPr>
            <w:r w:rsidRPr="007E5D9A">
              <w:rPr>
                <w:rFonts w:ascii="Times New Roman" w:hAnsi="Times New Roman" w:cs="Times New Roman"/>
                <w:sz w:val="19"/>
              </w:rPr>
              <w:t>Mandatory FIB-4/VCTE fibrosis staging with L-Score (0–3) integrated into multi-organ scoring</w:t>
            </w:r>
          </w:p>
        </w:tc>
      </w:tr>
      <w:tr w:rsidR="00795585" w:rsidRPr="007E5D9A" w14:paraId="2377FB1F" w14:textId="77777777">
        <w:trPr>
          <w:jc w:val="center"/>
        </w:trPr>
        <w:tc>
          <w:tcPr>
            <w:tcW w:w="2160" w:type="dxa"/>
          </w:tcPr>
          <w:p w14:paraId="1ADCDFCD" w14:textId="77777777" w:rsidR="00795585" w:rsidRPr="007E5D9A" w:rsidRDefault="00000000">
            <w:pPr>
              <w:jc w:val="left"/>
              <w:rPr>
                <w:rFonts w:ascii="Times New Roman" w:hAnsi="Times New Roman" w:cs="Times New Roman"/>
              </w:rPr>
            </w:pPr>
            <w:r w:rsidRPr="007E5D9A">
              <w:rPr>
                <w:rFonts w:ascii="Times New Roman" w:hAnsi="Times New Roman" w:cs="Times New Roman"/>
                <w:b/>
                <w:sz w:val="20"/>
              </w:rPr>
              <w:t>Risk Stratification</w:t>
            </w:r>
          </w:p>
        </w:tc>
        <w:tc>
          <w:tcPr>
            <w:tcW w:w="2160" w:type="dxa"/>
          </w:tcPr>
          <w:p w14:paraId="268273AC" w14:textId="77777777" w:rsidR="00795585" w:rsidRPr="007E5D9A" w:rsidRDefault="00000000">
            <w:pPr>
              <w:jc w:val="left"/>
              <w:rPr>
                <w:rFonts w:ascii="Times New Roman" w:hAnsi="Times New Roman" w:cs="Times New Roman"/>
              </w:rPr>
            </w:pPr>
            <w:r w:rsidRPr="007E5D9A">
              <w:rPr>
                <w:rFonts w:ascii="Times New Roman" w:hAnsi="Times New Roman" w:cs="Times New Roman"/>
                <w:sz w:val="19"/>
              </w:rPr>
              <w:t>Qualitative health stages (0–4)</w:t>
            </w:r>
          </w:p>
        </w:tc>
        <w:tc>
          <w:tcPr>
            <w:tcW w:w="2160" w:type="dxa"/>
          </w:tcPr>
          <w:p w14:paraId="759C49CC" w14:textId="77777777" w:rsidR="00795585" w:rsidRPr="007E5D9A" w:rsidRDefault="00000000">
            <w:pPr>
              <w:jc w:val="left"/>
              <w:rPr>
                <w:rFonts w:ascii="Times New Roman" w:hAnsi="Times New Roman" w:cs="Times New Roman"/>
              </w:rPr>
            </w:pPr>
            <w:r w:rsidRPr="007E5D9A">
              <w:rPr>
                <w:rFonts w:ascii="Times New Roman" w:hAnsi="Times New Roman" w:cs="Times New Roman"/>
                <w:sz w:val="19"/>
              </w:rPr>
              <w:t>Conceptual staging without quantitative scoring</w:t>
            </w:r>
          </w:p>
        </w:tc>
        <w:tc>
          <w:tcPr>
            <w:tcW w:w="2160" w:type="dxa"/>
          </w:tcPr>
          <w:p w14:paraId="07C81FC8" w14:textId="77777777" w:rsidR="00795585" w:rsidRPr="007E5D9A" w:rsidRDefault="00000000">
            <w:pPr>
              <w:jc w:val="left"/>
              <w:rPr>
                <w:rFonts w:ascii="Times New Roman" w:hAnsi="Times New Roman" w:cs="Times New Roman"/>
              </w:rPr>
            </w:pPr>
            <w:r w:rsidRPr="007E5D9A">
              <w:rPr>
                <w:rFonts w:ascii="Times New Roman" w:hAnsi="Times New Roman" w:cs="Times New Roman"/>
                <w:sz w:val="19"/>
              </w:rPr>
              <w:t>Quantitative MORS (L+C+B+K, range 0–12) with bedside-applicable stage assignment</w:t>
            </w:r>
          </w:p>
        </w:tc>
      </w:tr>
      <w:tr w:rsidR="00795585" w:rsidRPr="007E5D9A" w14:paraId="32072096" w14:textId="77777777">
        <w:trPr>
          <w:jc w:val="center"/>
        </w:trPr>
        <w:tc>
          <w:tcPr>
            <w:tcW w:w="2160" w:type="dxa"/>
          </w:tcPr>
          <w:p w14:paraId="4CE9A855" w14:textId="77777777" w:rsidR="00795585" w:rsidRPr="007E5D9A" w:rsidRDefault="00000000">
            <w:pPr>
              <w:jc w:val="left"/>
              <w:rPr>
                <w:rFonts w:ascii="Times New Roman" w:hAnsi="Times New Roman" w:cs="Times New Roman"/>
              </w:rPr>
            </w:pPr>
            <w:r w:rsidRPr="007E5D9A">
              <w:rPr>
                <w:rFonts w:ascii="Times New Roman" w:hAnsi="Times New Roman" w:cs="Times New Roman"/>
                <w:b/>
                <w:sz w:val="20"/>
              </w:rPr>
              <w:t>Fibrosis Integration</w:t>
            </w:r>
          </w:p>
        </w:tc>
        <w:tc>
          <w:tcPr>
            <w:tcW w:w="2160" w:type="dxa"/>
          </w:tcPr>
          <w:p w14:paraId="3AEB9713" w14:textId="77777777" w:rsidR="00795585" w:rsidRPr="007E5D9A" w:rsidRDefault="00000000">
            <w:pPr>
              <w:jc w:val="left"/>
              <w:rPr>
                <w:rFonts w:ascii="Times New Roman" w:hAnsi="Times New Roman" w:cs="Times New Roman"/>
              </w:rPr>
            </w:pPr>
            <w:r w:rsidRPr="007E5D9A">
              <w:rPr>
                <w:rFonts w:ascii="Times New Roman" w:hAnsi="Times New Roman" w:cs="Times New Roman"/>
                <w:sz w:val="19"/>
              </w:rPr>
              <w:t>Not incorporated</w:t>
            </w:r>
          </w:p>
        </w:tc>
        <w:tc>
          <w:tcPr>
            <w:tcW w:w="2160" w:type="dxa"/>
          </w:tcPr>
          <w:p w14:paraId="7B0F97B4" w14:textId="77777777" w:rsidR="00795585" w:rsidRPr="007E5D9A" w:rsidRDefault="00000000">
            <w:pPr>
              <w:jc w:val="left"/>
              <w:rPr>
                <w:rFonts w:ascii="Times New Roman" w:hAnsi="Times New Roman" w:cs="Times New Roman"/>
              </w:rPr>
            </w:pPr>
            <w:r w:rsidRPr="007E5D9A">
              <w:rPr>
                <w:rFonts w:ascii="Times New Roman" w:hAnsi="Times New Roman" w:cs="Times New Roman"/>
                <w:sz w:val="19"/>
              </w:rPr>
              <w:t>Modified staging mentioned; no specific thresholds</w:t>
            </w:r>
          </w:p>
        </w:tc>
        <w:tc>
          <w:tcPr>
            <w:tcW w:w="2160" w:type="dxa"/>
          </w:tcPr>
          <w:p w14:paraId="203BD27F" w14:textId="77777777" w:rsidR="00795585" w:rsidRPr="007E5D9A" w:rsidRDefault="00000000">
            <w:pPr>
              <w:jc w:val="left"/>
              <w:rPr>
                <w:rFonts w:ascii="Times New Roman" w:hAnsi="Times New Roman" w:cs="Times New Roman"/>
              </w:rPr>
            </w:pPr>
            <w:r w:rsidRPr="007E5D9A">
              <w:rPr>
                <w:rFonts w:ascii="Times New Roman" w:hAnsi="Times New Roman" w:cs="Times New Roman"/>
                <w:sz w:val="19"/>
              </w:rPr>
              <w:t>FIB-4/VCTE-based stratification with population-specific cutoffs; fibrosis stage directly modifies MMCK stage</w:t>
            </w:r>
          </w:p>
        </w:tc>
      </w:tr>
      <w:tr w:rsidR="00795585" w:rsidRPr="007E5D9A" w14:paraId="537F89BF" w14:textId="77777777">
        <w:trPr>
          <w:jc w:val="center"/>
        </w:trPr>
        <w:tc>
          <w:tcPr>
            <w:tcW w:w="2160" w:type="dxa"/>
          </w:tcPr>
          <w:p w14:paraId="5679FB26" w14:textId="77777777" w:rsidR="00795585" w:rsidRPr="007E5D9A" w:rsidRDefault="00000000">
            <w:pPr>
              <w:jc w:val="left"/>
              <w:rPr>
                <w:rFonts w:ascii="Times New Roman" w:hAnsi="Times New Roman" w:cs="Times New Roman"/>
              </w:rPr>
            </w:pPr>
            <w:r w:rsidRPr="007E5D9A">
              <w:rPr>
                <w:rFonts w:ascii="Times New Roman" w:hAnsi="Times New Roman" w:cs="Times New Roman"/>
                <w:b/>
                <w:sz w:val="20"/>
              </w:rPr>
              <w:t>Therapeutic Thresholds</w:t>
            </w:r>
          </w:p>
        </w:tc>
        <w:tc>
          <w:tcPr>
            <w:tcW w:w="2160" w:type="dxa"/>
          </w:tcPr>
          <w:p w14:paraId="20A4C6C9" w14:textId="77777777" w:rsidR="00795585" w:rsidRPr="007E5D9A" w:rsidRDefault="00000000">
            <w:pPr>
              <w:jc w:val="left"/>
              <w:rPr>
                <w:rFonts w:ascii="Times New Roman" w:hAnsi="Times New Roman" w:cs="Times New Roman"/>
              </w:rPr>
            </w:pPr>
            <w:r w:rsidRPr="007E5D9A">
              <w:rPr>
                <w:rFonts w:ascii="Times New Roman" w:hAnsi="Times New Roman" w:cs="Times New Roman"/>
                <w:sz w:val="19"/>
              </w:rPr>
              <w:t>Guideline-directed by individual disease</w:t>
            </w:r>
          </w:p>
        </w:tc>
        <w:tc>
          <w:tcPr>
            <w:tcW w:w="2160" w:type="dxa"/>
          </w:tcPr>
          <w:p w14:paraId="6C6AC8A9" w14:textId="77777777" w:rsidR="00795585" w:rsidRPr="007E5D9A" w:rsidRDefault="00000000">
            <w:pPr>
              <w:jc w:val="left"/>
              <w:rPr>
                <w:rFonts w:ascii="Times New Roman" w:hAnsi="Times New Roman" w:cs="Times New Roman"/>
              </w:rPr>
            </w:pPr>
            <w:r w:rsidRPr="007E5D9A">
              <w:rPr>
                <w:rFonts w:ascii="Times New Roman" w:hAnsi="Times New Roman" w:cs="Times New Roman"/>
                <w:sz w:val="19"/>
              </w:rPr>
              <w:t>Not defined</w:t>
            </w:r>
          </w:p>
        </w:tc>
        <w:tc>
          <w:tcPr>
            <w:tcW w:w="2160" w:type="dxa"/>
          </w:tcPr>
          <w:p w14:paraId="57A0EBB6" w14:textId="77777777" w:rsidR="00795585" w:rsidRPr="007E5D9A" w:rsidRDefault="00000000">
            <w:pPr>
              <w:jc w:val="left"/>
              <w:rPr>
                <w:rFonts w:ascii="Times New Roman" w:hAnsi="Times New Roman" w:cs="Times New Roman"/>
              </w:rPr>
            </w:pPr>
            <w:r w:rsidRPr="007E5D9A">
              <w:rPr>
                <w:rFonts w:ascii="Times New Roman" w:hAnsi="Times New Roman" w:cs="Times New Roman"/>
                <w:sz w:val="19"/>
              </w:rPr>
              <w:t xml:space="preserve">Stage-specific, organ-specific thresholds (BP/UACR for </w:t>
            </w:r>
            <w:proofErr w:type="spellStart"/>
            <w:r w:rsidRPr="007E5D9A">
              <w:rPr>
                <w:rFonts w:ascii="Times New Roman" w:hAnsi="Times New Roman" w:cs="Times New Roman"/>
                <w:sz w:val="19"/>
              </w:rPr>
              <w:t>ACEi</w:t>
            </w:r>
            <w:proofErr w:type="spellEnd"/>
            <w:r w:rsidRPr="007E5D9A">
              <w:rPr>
                <w:rFonts w:ascii="Times New Roman" w:hAnsi="Times New Roman" w:cs="Times New Roman"/>
                <w:sz w:val="19"/>
              </w:rPr>
              <w:t>/ARB; eGFR/UACR for SGLT2i; BMI/ASCVD for GLP-1 RA; FIB-4/VCTE for hepatology referral)</w:t>
            </w:r>
          </w:p>
        </w:tc>
      </w:tr>
      <w:tr w:rsidR="00795585" w:rsidRPr="007E5D9A" w14:paraId="04AC0C5A" w14:textId="77777777">
        <w:trPr>
          <w:jc w:val="center"/>
        </w:trPr>
        <w:tc>
          <w:tcPr>
            <w:tcW w:w="2160" w:type="dxa"/>
          </w:tcPr>
          <w:p w14:paraId="5ED43C0D" w14:textId="77777777" w:rsidR="00795585" w:rsidRPr="007E5D9A" w:rsidRDefault="00000000">
            <w:pPr>
              <w:jc w:val="left"/>
              <w:rPr>
                <w:rFonts w:ascii="Times New Roman" w:hAnsi="Times New Roman" w:cs="Times New Roman"/>
              </w:rPr>
            </w:pPr>
            <w:r w:rsidRPr="007E5D9A">
              <w:rPr>
                <w:rFonts w:ascii="Times New Roman" w:hAnsi="Times New Roman" w:cs="Times New Roman"/>
                <w:b/>
                <w:sz w:val="20"/>
              </w:rPr>
              <w:t>Multidisciplinary Model</w:t>
            </w:r>
          </w:p>
        </w:tc>
        <w:tc>
          <w:tcPr>
            <w:tcW w:w="2160" w:type="dxa"/>
          </w:tcPr>
          <w:p w14:paraId="0F10AC7F" w14:textId="77777777" w:rsidR="00795585" w:rsidRPr="007E5D9A" w:rsidRDefault="00000000">
            <w:pPr>
              <w:jc w:val="left"/>
              <w:rPr>
                <w:rFonts w:ascii="Times New Roman" w:hAnsi="Times New Roman" w:cs="Times New Roman"/>
              </w:rPr>
            </w:pPr>
            <w:r w:rsidRPr="007E5D9A">
              <w:rPr>
                <w:rFonts w:ascii="Times New Roman" w:hAnsi="Times New Roman" w:cs="Times New Roman"/>
                <w:sz w:val="19"/>
              </w:rPr>
              <w:t>Recommended in principle</w:t>
            </w:r>
          </w:p>
        </w:tc>
        <w:tc>
          <w:tcPr>
            <w:tcW w:w="2160" w:type="dxa"/>
          </w:tcPr>
          <w:p w14:paraId="0DB63B96" w14:textId="77777777" w:rsidR="00795585" w:rsidRPr="007E5D9A" w:rsidRDefault="00000000">
            <w:pPr>
              <w:jc w:val="left"/>
              <w:rPr>
                <w:rFonts w:ascii="Times New Roman" w:hAnsi="Times New Roman" w:cs="Times New Roman"/>
              </w:rPr>
            </w:pPr>
            <w:r w:rsidRPr="007E5D9A">
              <w:rPr>
                <w:rFonts w:ascii="Times New Roman" w:hAnsi="Times New Roman" w:cs="Times New Roman"/>
                <w:sz w:val="19"/>
              </w:rPr>
              <w:t>Recommended in principle</w:t>
            </w:r>
          </w:p>
        </w:tc>
        <w:tc>
          <w:tcPr>
            <w:tcW w:w="2160" w:type="dxa"/>
          </w:tcPr>
          <w:p w14:paraId="2318ACDB" w14:textId="77777777" w:rsidR="00795585" w:rsidRPr="007E5D9A" w:rsidRDefault="00000000">
            <w:pPr>
              <w:jc w:val="left"/>
              <w:rPr>
                <w:rFonts w:ascii="Times New Roman" w:hAnsi="Times New Roman" w:cs="Times New Roman"/>
              </w:rPr>
            </w:pPr>
            <w:r w:rsidRPr="007E5D9A">
              <w:rPr>
                <w:rFonts w:ascii="Times New Roman" w:hAnsi="Times New Roman" w:cs="Times New Roman"/>
                <w:sz w:val="19"/>
              </w:rPr>
              <w:t>Structured MDT with defined members, tiered meeting frequencies (monthly/quarterly/biannual), MORS-based EHR triggers, designated coordinator</w:t>
            </w:r>
          </w:p>
        </w:tc>
      </w:tr>
      <w:tr w:rsidR="00795585" w:rsidRPr="007E5D9A" w14:paraId="32CDDD15" w14:textId="77777777">
        <w:trPr>
          <w:jc w:val="center"/>
        </w:trPr>
        <w:tc>
          <w:tcPr>
            <w:tcW w:w="2160" w:type="dxa"/>
          </w:tcPr>
          <w:p w14:paraId="57629469" w14:textId="77777777" w:rsidR="00795585" w:rsidRPr="007E5D9A" w:rsidRDefault="00000000">
            <w:pPr>
              <w:jc w:val="left"/>
              <w:rPr>
                <w:rFonts w:ascii="Times New Roman" w:hAnsi="Times New Roman" w:cs="Times New Roman"/>
              </w:rPr>
            </w:pPr>
            <w:r w:rsidRPr="007E5D9A">
              <w:rPr>
                <w:rFonts w:ascii="Times New Roman" w:hAnsi="Times New Roman" w:cs="Times New Roman"/>
                <w:b/>
                <w:sz w:val="20"/>
              </w:rPr>
              <w:t>Measurable Endpoints</w:t>
            </w:r>
          </w:p>
        </w:tc>
        <w:tc>
          <w:tcPr>
            <w:tcW w:w="2160" w:type="dxa"/>
          </w:tcPr>
          <w:p w14:paraId="7BE4776D" w14:textId="77777777" w:rsidR="00795585" w:rsidRPr="007E5D9A" w:rsidRDefault="00000000">
            <w:pPr>
              <w:jc w:val="left"/>
              <w:rPr>
                <w:rFonts w:ascii="Times New Roman" w:hAnsi="Times New Roman" w:cs="Times New Roman"/>
              </w:rPr>
            </w:pPr>
            <w:r w:rsidRPr="007E5D9A">
              <w:rPr>
                <w:rFonts w:ascii="Times New Roman" w:hAnsi="Times New Roman" w:cs="Times New Roman"/>
                <w:sz w:val="19"/>
              </w:rPr>
              <w:t>Not provided</w:t>
            </w:r>
          </w:p>
        </w:tc>
        <w:tc>
          <w:tcPr>
            <w:tcW w:w="2160" w:type="dxa"/>
          </w:tcPr>
          <w:p w14:paraId="06C69766" w14:textId="77777777" w:rsidR="00795585" w:rsidRPr="007E5D9A" w:rsidRDefault="00000000">
            <w:pPr>
              <w:jc w:val="left"/>
              <w:rPr>
                <w:rFonts w:ascii="Times New Roman" w:hAnsi="Times New Roman" w:cs="Times New Roman"/>
              </w:rPr>
            </w:pPr>
            <w:r w:rsidRPr="007E5D9A">
              <w:rPr>
                <w:rFonts w:ascii="Times New Roman" w:hAnsi="Times New Roman" w:cs="Times New Roman"/>
                <w:sz w:val="19"/>
              </w:rPr>
              <w:t>Not provided</w:t>
            </w:r>
          </w:p>
        </w:tc>
        <w:tc>
          <w:tcPr>
            <w:tcW w:w="2160" w:type="dxa"/>
          </w:tcPr>
          <w:p w14:paraId="0BAACED8" w14:textId="77777777" w:rsidR="00795585" w:rsidRPr="007E5D9A" w:rsidRDefault="00000000">
            <w:pPr>
              <w:jc w:val="left"/>
              <w:rPr>
                <w:rFonts w:ascii="Times New Roman" w:hAnsi="Times New Roman" w:cs="Times New Roman"/>
              </w:rPr>
            </w:pPr>
            <w:r w:rsidRPr="007E5D9A">
              <w:rPr>
                <w:rFonts w:ascii="Times New Roman" w:hAnsi="Times New Roman" w:cs="Times New Roman"/>
                <w:sz w:val="19"/>
              </w:rPr>
              <w:t xml:space="preserve">Three-tiered framework: process measures (screening/prescribing rates), </w:t>
            </w:r>
            <w:r w:rsidRPr="007E5D9A">
              <w:rPr>
                <w:rFonts w:ascii="Times New Roman" w:hAnsi="Times New Roman" w:cs="Times New Roman"/>
                <w:sz w:val="19"/>
              </w:rPr>
              <w:lastRenderedPageBreak/>
              <w:t>intermediate outcomes (MORS change ≥20%, metabolic targets, VCTE stability), clinical endpoints (MACE, kidney/liver events, mortality)</w:t>
            </w:r>
          </w:p>
        </w:tc>
      </w:tr>
      <w:tr w:rsidR="00795585" w:rsidRPr="007E5D9A" w14:paraId="32E1829C" w14:textId="77777777">
        <w:trPr>
          <w:jc w:val="center"/>
        </w:trPr>
        <w:tc>
          <w:tcPr>
            <w:tcW w:w="2160" w:type="dxa"/>
            <w:tcBorders>
              <w:bottom w:val="single" w:sz="4" w:space="0" w:color="auto"/>
            </w:tcBorders>
          </w:tcPr>
          <w:p w14:paraId="1EA73357" w14:textId="77777777" w:rsidR="00795585" w:rsidRPr="007E5D9A" w:rsidRDefault="00000000">
            <w:pPr>
              <w:jc w:val="left"/>
              <w:rPr>
                <w:rFonts w:ascii="Times New Roman" w:hAnsi="Times New Roman" w:cs="Times New Roman"/>
              </w:rPr>
            </w:pPr>
            <w:r w:rsidRPr="007E5D9A">
              <w:rPr>
                <w:rFonts w:ascii="Times New Roman" w:hAnsi="Times New Roman" w:cs="Times New Roman"/>
                <w:b/>
                <w:sz w:val="20"/>
              </w:rPr>
              <w:lastRenderedPageBreak/>
              <w:t>Clinical Utility</w:t>
            </w:r>
          </w:p>
        </w:tc>
        <w:tc>
          <w:tcPr>
            <w:tcW w:w="2160" w:type="dxa"/>
            <w:tcBorders>
              <w:bottom w:val="single" w:sz="4" w:space="0" w:color="auto"/>
            </w:tcBorders>
          </w:tcPr>
          <w:p w14:paraId="0F6959BD" w14:textId="77777777" w:rsidR="00795585" w:rsidRPr="007E5D9A" w:rsidRDefault="00000000">
            <w:pPr>
              <w:jc w:val="left"/>
              <w:rPr>
                <w:rFonts w:ascii="Times New Roman" w:hAnsi="Times New Roman" w:cs="Times New Roman"/>
              </w:rPr>
            </w:pPr>
            <w:r w:rsidRPr="007E5D9A">
              <w:rPr>
                <w:rFonts w:ascii="Times New Roman" w:hAnsi="Times New Roman" w:cs="Times New Roman"/>
                <w:sz w:val="19"/>
              </w:rPr>
              <w:t>Conceptual framework requiring specialist interpretation</w:t>
            </w:r>
          </w:p>
        </w:tc>
        <w:tc>
          <w:tcPr>
            <w:tcW w:w="2160" w:type="dxa"/>
            <w:tcBorders>
              <w:bottom w:val="single" w:sz="4" w:space="0" w:color="auto"/>
            </w:tcBorders>
          </w:tcPr>
          <w:p w14:paraId="57A465ED" w14:textId="77777777" w:rsidR="00795585" w:rsidRPr="007E5D9A" w:rsidRDefault="00000000">
            <w:pPr>
              <w:jc w:val="left"/>
              <w:rPr>
                <w:rFonts w:ascii="Times New Roman" w:hAnsi="Times New Roman" w:cs="Times New Roman"/>
              </w:rPr>
            </w:pPr>
            <w:r w:rsidRPr="007E5D9A">
              <w:rPr>
                <w:rFonts w:ascii="Times New Roman" w:hAnsi="Times New Roman" w:cs="Times New Roman"/>
                <w:sz w:val="19"/>
              </w:rPr>
              <w:t>Conceptual framework for specialist awareness</w:t>
            </w:r>
          </w:p>
        </w:tc>
        <w:tc>
          <w:tcPr>
            <w:tcW w:w="2160" w:type="dxa"/>
            <w:tcBorders>
              <w:bottom w:val="single" w:sz="4" w:space="0" w:color="auto"/>
            </w:tcBorders>
          </w:tcPr>
          <w:p w14:paraId="58E70CC3" w14:textId="77777777" w:rsidR="00795585" w:rsidRPr="007E5D9A" w:rsidRDefault="00000000">
            <w:pPr>
              <w:jc w:val="left"/>
              <w:rPr>
                <w:rFonts w:ascii="Times New Roman" w:hAnsi="Times New Roman" w:cs="Times New Roman"/>
              </w:rPr>
            </w:pPr>
            <w:r w:rsidRPr="007E5D9A">
              <w:rPr>
                <w:rFonts w:ascii="Times New Roman" w:hAnsi="Times New Roman" w:cs="Times New Roman"/>
                <w:sz w:val="19"/>
              </w:rPr>
              <w:t>Operationalizable system with linked management algorithms for primary care and cardiology integration</w:t>
            </w:r>
          </w:p>
        </w:tc>
      </w:tr>
    </w:tbl>
    <w:p w14:paraId="105C787C" w14:textId="77777777" w:rsidR="00795585" w:rsidRPr="007E5D9A" w:rsidRDefault="00795585">
      <w:pPr>
        <w:rPr>
          <w:rFonts w:ascii="Times New Roman" w:hAnsi="Times New Roman" w:cs="Times New Roman"/>
        </w:rPr>
      </w:pPr>
    </w:p>
    <w:p w14:paraId="4686F068" w14:textId="77777777" w:rsidR="00795585" w:rsidRPr="007E5D9A" w:rsidRDefault="00000000">
      <w:pPr>
        <w:rPr>
          <w:rFonts w:ascii="Times New Roman" w:hAnsi="Times New Roman" w:cs="Times New Roman"/>
        </w:rPr>
      </w:pPr>
      <w:r w:rsidRPr="007E5D9A">
        <w:rPr>
          <w:rFonts w:ascii="Times New Roman" w:hAnsi="Times New Roman" w:cs="Times New Roman"/>
          <w:i/>
          <w:sz w:val="18"/>
        </w:rPr>
        <w:t xml:space="preserve">Abbreviations: CKM, Cardiovascular-Kidney-Metabolic; CRHM, Cardiovascular-Renal-Hepatic-Metabolic; MMCK, Metabolic disorder-MASLD-Cardiovascular disease-Kidney disease; MORS, Multi-Organ Risk Score; MASLD, Metabolic dysfunction-associated </w:t>
      </w:r>
      <w:proofErr w:type="spellStart"/>
      <w:r w:rsidRPr="007E5D9A">
        <w:rPr>
          <w:rFonts w:ascii="Times New Roman" w:hAnsi="Times New Roman" w:cs="Times New Roman"/>
          <w:i/>
          <w:sz w:val="18"/>
        </w:rPr>
        <w:t>steatotic</w:t>
      </w:r>
      <w:proofErr w:type="spellEnd"/>
      <w:r w:rsidRPr="007E5D9A">
        <w:rPr>
          <w:rFonts w:ascii="Times New Roman" w:hAnsi="Times New Roman" w:cs="Times New Roman"/>
          <w:i/>
          <w:sz w:val="18"/>
        </w:rPr>
        <w:t xml:space="preserve"> liver disease; FIB-4, Fibrosis-4 index; VCTE, vibration-controlled transient elastography; EHR, electronic health record; MDT, multidisciplinary team; MACE, major adverse cardiovascular events; </w:t>
      </w:r>
      <w:proofErr w:type="spellStart"/>
      <w:r w:rsidRPr="007E5D9A">
        <w:rPr>
          <w:rFonts w:ascii="Times New Roman" w:hAnsi="Times New Roman" w:cs="Times New Roman"/>
          <w:i/>
          <w:sz w:val="18"/>
        </w:rPr>
        <w:t>ACEi</w:t>
      </w:r>
      <w:proofErr w:type="spellEnd"/>
      <w:r w:rsidRPr="007E5D9A">
        <w:rPr>
          <w:rFonts w:ascii="Times New Roman" w:hAnsi="Times New Roman" w:cs="Times New Roman"/>
          <w:i/>
          <w:sz w:val="18"/>
        </w:rPr>
        <w:t>, angiotensin-converting enzyme inhibitor; ARB, angiotensin receptor blocker; SGLT2i, sodium-glucose cotransporter-2 inhibitor; GLP-1 RA, glucagon-like peptide-1 receptor agonist.</w:t>
      </w:r>
    </w:p>
    <w:p w14:paraId="51EF270D" w14:textId="77777777" w:rsidR="00795585" w:rsidRPr="007E5D9A" w:rsidRDefault="00795585">
      <w:pPr>
        <w:spacing w:line="360" w:lineRule="auto"/>
        <w:rPr>
          <w:rFonts w:ascii="Times New Roman" w:hAnsi="Times New Roman" w:cs="Times New Roman"/>
          <w:b/>
          <w:bCs/>
          <w:color w:val="000000"/>
          <w:sz w:val="28"/>
          <w:szCs w:val="28"/>
        </w:rPr>
      </w:pPr>
    </w:p>
    <w:p w14:paraId="790C18C8" w14:textId="77777777" w:rsidR="00795585" w:rsidRPr="007E5D9A" w:rsidRDefault="00000000">
      <w:pPr>
        <w:spacing w:line="360" w:lineRule="auto"/>
        <w:rPr>
          <w:rFonts w:ascii="Times New Roman" w:hAnsi="Times New Roman" w:cs="Times New Roman"/>
          <w:b/>
          <w:bCs/>
          <w:color w:val="000000"/>
          <w:sz w:val="28"/>
          <w:szCs w:val="28"/>
        </w:rPr>
      </w:pPr>
      <w:r w:rsidRPr="007E5D9A">
        <w:rPr>
          <w:rFonts w:ascii="Times New Roman" w:hAnsi="Times New Roman" w:cs="Times New Roman"/>
          <w:b/>
          <w:bCs/>
          <w:color w:val="000000"/>
          <w:sz w:val="28"/>
          <w:szCs w:val="28"/>
        </w:rPr>
        <w:t>Table S2. Tiered Biomarker Panel for MMCK Inflammatory Pathway Validation</w:t>
      </w:r>
    </w:p>
    <w:p w14:paraId="601FA2D8" w14:textId="77777777" w:rsidR="00795585" w:rsidRPr="007E5D9A" w:rsidRDefault="00795585">
      <w:pPr>
        <w:widowControl/>
        <w:shd w:val="clear" w:color="auto" w:fill="FFFFFF"/>
        <w:spacing w:after="119"/>
        <w:jc w:val="left"/>
        <w:textAlignment w:val="baseline"/>
        <w:rPr>
          <w:rFonts w:ascii="Times New Roman" w:eastAsia="Noto Sans" w:hAnsi="Times New Roman" w:cs="Times New Roman"/>
          <w:spacing w:val="4"/>
          <w:szCs w:val="21"/>
        </w:rPr>
      </w:pPr>
    </w:p>
    <w:tbl>
      <w:tblPr>
        <w:tblW w:w="0" w:type="auto"/>
        <w:tblCellMar>
          <w:left w:w="0" w:type="dxa"/>
          <w:right w:w="0" w:type="dxa"/>
        </w:tblCellMar>
        <w:tblLook w:val="04A0" w:firstRow="1" w:lastRow="0" w:firstColumn="1" w:lastColumn="0" w:noHBand="0" w:noVBand="1"/>
      </w:tblPr>
      <w:tblGrid>
        <w:gridCol w:w="1300"/>
        <w:gridCol w:w="1081"/>
        <w:gridCol w:w="2999"/>
        <w:gridCol w:w="1574"/>
        <w:gridCol w:w="1500"/>
      </w:tblGrid>
      <w:tr w:rsidR="00795585" w:rsidRPr="007E5D9A" w14:paraId="18C1B0D9" w14:textId="77777777">
        <w:trPr>
          <w:tblHeader/>
        </w:trPr>
        <w:tc>
          <w:tcPr>
            <w:tcW w:w="0" w:type="auto"/>
            <w:tcBorders>
              <w:top w:val="single" w:sz="4" w:space="0" w:color="auto"/>
              <w:left w:val="nil"/>
              <w:bottom w:val="single" w:sz="4" w:space="0" w:color="auto"/>
              <w:right w:val="nil"/>
            </w:tcBorders>
            <w:tcMar>
              <w:top w:w="74" w:type="dxa"/>
              <w:left w:w="74" w:type="dxa"/>
              <w:bottom w:w="74" w:type="dxa"/>
              <w:right w:w="74" w:type="dxa"/>
            </w:tcMar>
          </w:tcPr>
          <w:p w14:paraId="38B731C7" w14:textId="77777777" w:rsidR="00795585" w:rsidRPr="007E5D9A" w:rsidRDefault="00000000">
            <w:pPr>
              <w:widowControl/>
              <w:jc w:val="left"/>
              <w:textAlignment w:val="top"/>
              <w:rPr>
                <w:rFonts w:ascii="Times New Roman" w:hAnsi="Times New Roman" w:cs="Times New Roman"/>
                <w:b/>
                <w:bCs/>
              </w:rPr>
            </w:pPr>
            <w:r w:rsidRPr="007E5D9A">
              <w:rPr>
                <w:rFonts w:ascii="Times New Roman" w:eastAsia="宋体" w:hAnsi="Times New Roman" w:cs="Times New Roman"/>
                <w:b/>
                <w:bCs/>
                <w:kern w:val="0"/>
                <w:sz w:val="24"/>
                <w:lang w:bidi="ar"/>
              </w:rPr>
              <w:t>Tier</w:t>
            </w:r>
          </w:p>
        </w:tc>
        <w:tc>
          <w:tcPr>
            <w:tcW w:w="0" w:type="auto"/>
            <w:tcBorders>
              <w:top w:val="single" w:sz="4" w:space="0" w:color="auto"/>
              <w:bottom w:val="single" w:sz="4" w:space="0" w:color="auto"/>
              <w:right w:val="nil"/>
            </w:tcBorders>
            <w:tcMar>
              <w:top w:w="74" w:type="dxa"/>
              <w:left w:w="74" w:type="dxa"/>
              <w:bottom w:w="74" w:type="dxa"/>
              <w:right w:w="74" w:type="dxa"/>
            </w:tcMar>
          </w:tcPr>
          <w:p w14:paraId="66FD7C0D" w14:textId="77777777" w:rsidR="00795585" w:rsidRPr="007E5D9A" w:rsidRDefault="00000000">
            <w:pPr>
              <w:widowControl/>
              <w:jc w:val="left"/>
              <w:textAlignment w:val="top"/>
              <w:rPr>
                <w:rFonts w:ascii="Times New Roman" w:hAnsi="Times New Roman" w:cs="Times New Roman"/>
                <w:b/>
                <w:bCs/>
              </w:rPr>
            </w:pPr>
            <w:r w:rsidRPr="007E5D9A">
              <w:rPr>
                <w:rFonts w:ascii="Times New Roman" w:eastAsia="宋体" w:hAnsi="Times New Roman" w:cs="Times New Roman"/>
                <w:b/>
                <w:bCs/>
                <w:kern w:val="0"/>
                <w:sz w:val="24"/>
                <w:lang w:bidi="ar"/>
              </w:rPr>
              <w:t>Biomarker</w:t>
            </w:r>
          </w:p>
        </w:tc>
        <w:tc>
          <w:tcPr>
            <w:tcW w:w="0" w:type="auto"/>
            <w:tcBorders>
              <w:top w:val="single" w:sz="4" w:space="0" w:color="auto"/>
              <w:bottom w:val="single" w:sz="4" w:space="0" w:color="auto"/>
              <w:right w:val="nil"/>
            </w:tcBorders>
            <w:tcMar>
              <w:top w:w="74" w:type="dxa"/>
              <w:left w:w="74" w:type="dxa"/>
              <w:bottom w:w="74" w:type="dxa"/>
              <w:right w:w="74" w:type="dxa"/>
            </w:tcMar>
          </w:tcPr>
          <w:p w14:paraId="258CF9FB" w14:textId="77777777" w:rsidR="00795585" w:rsidRPr="007E5D9A" w:rsidRDefault="00000000">
            <w:pPr>
              <w:widowControl/>
              <w:jc w:val="left"/>
              <w:textAlignment w:val="top"/>
              <w:rPr>
                <w:rFonts w:ascii="Times New Roman" w:hAnsi="Times New Roman" w:cs="Times New Roman"/>
                <w:b/>
                <w:bCs/>
              </w:rPr>
            </w:pPr>
            <w:r w:rsidRPr="007E5D9A">
              <w:rPr>
                <w:rFonts w:ascii="Times New Roman" w:eastAsia="宋体" w:hAnsi="Times New Roman" w:cs="Times New Roman"/>
                <w:b/>
                <w:bCs/>
                <w:kern w:val="0"/>
                <w:sz w:val="24"/>
                <w:lang w:bidi="ar"/>
              </w:rPr>
              <w:t>Assay Method</w:t>
            </w:r>
          </w:p>
        </w:tc>
        <w:tc>
          <w:tcPr>
            <w:tcW w:w="0" w:type="auto"/>
            <w:tcBorders>
              <w:top w:val="single" w:sz="4" w:space="0" w:color="auto"/>
              <w:bottom w:val="single" w:sz="4" w:space="0" w:color="auto"/>
              <w:right w:val="nil"/>
            </w:tcBorders>
            <w:tcMar>
              <w:top w:w="74" w:type="dxa"/>
              <w:left w:w="74" w:type="dxa"/>
              <w:bottom w:w="74" w:type="dxa"/>
              <w:right w:w="74" w:type="dxa"/>
            </w:tcMar>
          </w:tcPr>
          <w:p w14:paraId="2C5EE44E" w14:textId="77777777" w:rsidR="00795585" w:rsidRPr="007E5D9A" w:rsidRDefault="00000000">
            <w:pPr>
              <w:widowControl/>
              <w:jc w:val="left"/>
              <w:textAlignment w:val="top"/>
              <w:rPr>
                <w:rFonts w:ascii="Times New Roman" w:hAnsi="Times New Roman" w:cs="Times New Roman"/>
                <w:b/>
                <w:bCs/>
              </w:rPr>
            </w:pPr>
            <w:r w:rsidRPr="007E5D9A">
              <w:rPr>
                <w:rFonts w:ascii="Times New Roman" w:eastAsia="宋体" w:hAnsi="Times New Roman" w:cs="Times New Roman"/>
                <w:b/>
                <w:bCs/>
                <w:kern w:val="0"/>
                <w:sz w:val="24"/>
                <w:lang w:bidi="ar"/>
              </w:rPr>
              <w:t>Clinical/Research Threshold</w:t>
            </w:r>
          </w:p>
        </w:tc>
        <w:tc>
          <w:tcPr>
            <w:tcW w:w="0" w:type="auto"/>
            <w:tcBorders>
              <w:top w:val="single" w:sz="4" w:space="0" w:color="auto"/>
              <w:bottom w:val="single" w:sz="4" w:space="0" w:color="auto"/>
              <w:right w:val="nil"/>
            </w:tcBorders>
            <w:tcMar>
              <w:top w:w="74" w:type="dxa"/>
              <w:left w:w="74" w:type="dxa"/>
              <w:bottom w:w="74" w:type="dxa"/>
              <w:right w:w="74" w:type="dxa"/>
            </w:tcMar>
          </w:tcPr>
          <w:p w14:paraId="4F69612C" w14:textId="77777777" w:rsidR="00795585" w:rsidRPr="007E5D9A" w:rsidRDefault="00000000">
            <w:pPr>
              <w:widowControl/>
              <w:jc w:val="left"/>
              <w:textAlignment w:val="top"/>
              <w:rPr>
                <w:rFonts w:ascii="Times New Roman" w:hAnsi="Times New Roman" w:cs="Times New Roman"/>
                <w:b/>
                <w:bCs/>
              </w:rPr>
            </w:pPr>
            <w:r w:rsidRPr="007E5D9A">
              <w:rPr>
                <w:rFonts w:ascii="Times New Roman" w:eastAsia="宋体" w:hAnsi="Times New Roman" w:cs="Times New Roman"/>
                <w:b/>
                <w:bCs/>
                <w:kern w:val="0"/>
                <w:sz w:val="24"/>
                <w:lang w:bidi="ar"/>
              </w:rPr>
              <w:t>MMCK Pathway Validated</w:t>
            </w:r>
          </w:p>
        </w:tc>
      </w:tr>
      <w:tr w:rsidR="00795585" w:rsidRPr="007E5D9A" w14:paraId="55E118C9" w14:textId="77777777">
        <w:tc>
          <w:tcPr>
            <w:tcW w:w="0" w:type="auto"/>
            <w:tcBorders>
              <w:top w:val="single" w:sz="4" w:space="0" w:color="auto"/>
              <w:left w:val="nil"/>
              <w:bottom w:val="nil"/>
              <w:right w:val="nil"/>
            </w:tcBorders>
            <w:tcMar>
              <w:top w:w="74" w:type="dxa"/>
              <w:left w:w="74" w:type="dxa"/>
              <w:bottom w:w="74" w:type="dxa"/>
              <w:right w:w="74" w:type="dxa"/>
            </w:tcMar>
          </w:tcPr>
          <w:p w14:paraId="59AA42D5" w14:textId="77777777" w:rsidR="00795585" w:rsidRPr="007E5D9A" w:rsidRDefault="00000000">
            <w:pPr>
              <w:widowControl/>
              <w:jc w:val="left"/>
              <w:textAlignment w:val="top"/>
              <w:rPr>
                <w:rFonts w:ascii="Times New Roman" w:hAnsi="Times New Roman" w:cs="Times New Roman"/>
              </w:rPr>
            </w:pPr>
            <w:r w:rsidRPr="007E5D9A">
              <w:rPr>
                <w:rStyle w:val="a9"/>
                <w:rFonts w:ascii="Times New Roman" w:eastAsia="宋体" w:hAnsi="Times New Roman" w:cs="Times New Roman"/>
                <w:bCs/>
                <w:kern w:val="0"/>
                <w:sz w:val="24"/>
                <w:lang w:bidi="ar"/>
              </w:rPr>
              <w:t>1. Core Clinical Panel</w:t>
            </w:r>
          </w:p>
        </w:tc>
        <w:tc>
          <w:tcPr>
            <w:tcW w:w="0" w:type="auto"/>
            <w:tcBorders>
              <w:top w:val="single" w:sz="4" w:space="0" w:color="auto"/>
              <w:bottom w:val="nil"/>
              <w:right w:val="nil"/>
            </w:tcBorders>
            <w:tcMar>
              <w:top w:w="74" w:type="dxa"/>
              <w:left w:w="74" w:type="dxa"/>
              <w:bottom w:w="74" w:type="dxa"/>
              <w:right w:w="74" w:type="dxa"/>
            </w:tcMar>
          </w:tcPr>
          <w:p w14:paraId="73D2C296" w14:textId="77777777" w:rsidR="00795585" w:rsidRPr="007E5D9A" w:rsidRDefault="00000000">
            <w:pPr>
              <w:widowControl/>
              <w:jc w:val="left"/>
              <w:textAlignment w:val="top"/>
              <w:rPr>
                <w:rFonts w:ascii="Times New Roman" w:hAnsi="Times New Roman" w:cs="Times New Roman"/>
              </w:rPr>
            </w:pPr>
            <w:proofErr w:type="spellStart"/>
            <w:r w:rsidRPr="007E5D9A">
              <w:rPr>
                <w:rFonts w:ascii="Times New Roman" w:eastAsia="宋体" w:hAnsi="Times New Roman" w:cs="Times New Roman"/>
                <w:kern w:val="0"/>
                <w:sz w:val="24"/>
                <w:lang w:bidi="ar"/>
              </w:rPr>
              <w:t>hs</w:t>
            </w:r>
            <w:proofErr w:type="spellEnd"/>
            <w:r w:rsidRPr="007E5D9A">
              <w:rPr>
                <w:rFonts w:ascii="Times New Roman" w:eastAsia="宋体" w:hAnsi="Times New Roman" w:cs="Times New Roman"/>
                <w:kern w:val="0"/>
                <w:sz w:val="24"/>
                <w:lang w:bidi="ar"/>
              </w:rPr>
              <w:t>-CRP</w:t>
            </w:r>
          </w:p>
        </w:tc>
        <w:tc>
          <w:tcPr>
            <w:tcW w:w="0" w:type="auto"/>
            <w:tcBorders>
              <w:top w:val="single" w:sz="4" w:space="0" w:color="auto"/>
              <w:bottom w:val="nil"/>
              <w:right w:val="nil"/>
            </w:tcBorders>
            <w:tcMar>
              <w:top w:w="74" w:type="dxa"/>
              <w:left w:w="74" w:type="dxa"/>
              <w:bottom w:w="74" w:type="dxa"/>
              <w:right w:w="74" w:type="dxa"/>
            </w:tcMar>
          </w:tcPr>
          <w:p w14:paraId="777FF331" w14:textId="77777777" w:rsidR="00795585" w:rsidRPr="007E5D9A" w:rsidRDefault="00000000">
            <w:pPr>
              <w:widowControl/>
              <w:jc w:val="left"/>
              <w:textAlignment w:val="top"/>
              <w:rPr>
                <w:rFonts w:ascii="Times New Roman" w:hAnsi="Times New Roman" w:cs="Times New Roman"/>
              </w:rPr>
            </w:pPr>
            <w:r w:rsidRPr="007E5D9A">
              <w:rPr>
                <w:rFonts w:ascii="Times New Roman" w:eastAsia="宋体" w:hAnsi="Times New Roman" w:cs="Times New Roman"/>
                <w:kern w:val="0"/>
                <w:sz w:val="24"/>
                <w:lang w:bidi="ar"/>
              </w:rPr>
              <w:t>Immunoturbidimetry/High-sensitivity ELISA</w:t>
            </w:r>
          </w:p>
        </w:tc>
        <w:tc>
          <w:tcPr>
            <w:tcW w:w="0" w:type="auto"/>
            <w:tcBorders>
              <w:top w:val="single" w:sz="4" w:space="0" w:color="auto"/>
              <w:bottom w:val="nil"/>
              <w:right w:val="nil"/>
            </w:tcBorders>
            <w:tcMar>
              <w:top w:w="74" w:type="dxa"/>
              <w:left w:w="74" w:type="dxa"/>
              <w:bottom w:w="74" w:type="dxa"/>
              <w:right w:w="74" w:type="dxa"/>
            </w:tcMar>
          </w:tcPr>
          <w:p w14:paraId="02A1A500" w14:textId="77777777" w:rsidR="00795585" w:rsidRPr="007E5D9A" w:rsidRDefault="00000000">
            <w:pPr>
              <w:widowControl/>
              <w:jc w:val="left"/>
              <w:textAlignment w:val="top"/>
              <w:rPr>
                <w:rFonts w:ascii="Times New Roman" w:hAnsi="Times New Roman" w:cs="Times New Roman"/>
              </w:rPr>
            </w:pPr>
            <w:r w:rsidRPr="007E5D9A">
              <w:rPr>
                <w:rFonts w:ascii="Times New Roman" w:eastAsia="宋体" w:hAnsi="Times New Roman" w:cs="Times New Roman"/>
                <w:kern w:val="0"/>
                <w:sz w:val="24"/>
                <w:lang w:bidi="ar"/>
              </w:rPr>
              <w:t>&gt;2 mg/L</w:t>
            </w:r>
          </w:p>
        </w:tc>
        <w:tc>
          <w:tcPr>
            <w:tcW w:w="0" w:type="auto"/>
            <w:tcBorders>
              <w:top w:val="single" w:sz="4" w:space="0" w:color="auto"/>
              <w:bottom w:val="nil"/>
              <w:right w:val="nil"/>
            </w:tcBorders>
            <w:tcMar>
              <w:top w:w="74" w:type="dxa"/>
              <w:left w:w="74" w:type="dxa"/>
              <w:bottom w:w="74" w:type="dxa"/>
              <w:right w:w="74" w:type="dxa"/>
            </w:tcMar>
          </w:tcPr>
          <w:p w14:paraId="0E43B0C4" w14:textId="77777777" w:rsidR="00795585" w:rsidRPr="007E5D9A" w:rsidRDefault="00000000">
            <w:pPr>
              <w:widowControl/>
              <w:jc w:val="left"/>
              <w:textAlignment w:val="top"/>
              <w:rPr>
                <w:rFonts w:ascii="Times New Roman" w:hAnsi="Times New Roman" w:cs="Times New Roman"/>
              </w:rPr>
            </w:pPr>
            <w:r w:rsidRPr="007E5D9A">
              <w:rPr>
                <w:rFonts w:ascii="Times New Roman" w:eastAsia="宋体" w:hAnsi="Times New Roman" w:cs="Times New Roman"/>
                <w:kern w:val="0"/>
                <w:sz w:val="24"/>
                <w:lang w:bidi="ar"/>
              </w:rPr>
              <w:t>Systemic low-grade inflammation</w:t>
            </w:r>
            <w:r w:rsidRPr="007E5D9A">
              <w:rPr>
                <w:rFonts w:ascii="Times New Roman" w:eastAsia="宋体" w:hAnsi="Times New Roman" w:cs="Times New Roman"/>
                <w:kern w:val="0"/>
                <w:sz w:val="24"/>
                <w:lang w:bidi="ar"/>
              </w:rPr>
              <w:fldChar w:fldCharType="begin"/>
            </w:r>
            <w:r w:rsidRPr="007E5D9A">
              <w:rPr>
                <w:rFonts w:ascii="Times New Roman" w:eastAsia="宋体" w:hAnsi="Times New Roman" w:cs="Times New Roman"/>
                <w:kern w:val="0"/>
                <w:sz w:val="24"/>
                <w:lang w:bidi="ar"/>
              </w:rPr>
              <w:instrText xml:space="preserve"> ADDIN ZOTERO_ITEM CSL_CITATION {"citationID":"axQtXM21","properties":{"formattedCitation":"[1]","plainCitation":"[1]","noteIndex":0},"citationItems":[{"id":"PT63WDpC/Shh2jeZm","uris":["http://zotero.org/users/local/pKm3rcyL/items/4ZFTS4H8"],"itemData":{"id":9486,"type":"article-journal","abstract":"Abstract\n              —Inflammation plays a major role in atherothrombosis, and measurement of inflammatory markers such as high-sensitivity C-reactive protein (HSCRP) may provide a novel method for detecting individuals at high risk of plaque rupture. Several large-scale prospective studies demonstrate that HSCRP is a strong independent predictor of future myocardial infarction and stroke among apparently healthy men and women and that the addition of HSCRP to standard lipid screening may improve global risk prediction among those with high as well as low cholesterol levels. Because agents such as aspirin and statins seem to attenuate inflammatory risk, HSCRP may also have utility in targeting proven therapies for primary prevention. Inexpensive commercial assays for HSCRP are now available; they have shown variability and classification accuracy similar to that of cholesterol screening. Risk prediction algorithms using a simple quintile approach to HSCRP evaluation have been developed for outpatient use. Thus, although limitations inherent to inflammatory screening remain, available data suggest that HSCRP has the potential to play an important role as an adjunct for global risk assessment in the primary prevention of cardiovascular disease.","container-title":"Circulation","DOI":"10.1161/01.CIR.103.13.1813","ISSN":"0009-7322, 1524-4539","issue":"13","journalAbbreviation":"Circulation","language":"en","page":"1813-1818","source":"DOI.org (Crossref)","title":"High-Sensitivity C-Reactive Protein: Potential Adjunct for Global Risk Assessment in the Primary Prevention of Cardiovascular Disease","title-short":"High-Sensitivity C-Reactive Protein","volume":"103","author":[{"family":"Ridker","given":"Paul M."}],"issued":{"date-parts":[["2001",4,3]]}}}],"schema":"https://github.com/citation-style-language/schema/raw/master/csl-citation.json"} </w:instrText>
            </w:r>
            <w:r w:rsidRPr="007E5D9A">
              <w:rPr>
                <w:rFonts w:ascii="Times New Roman" w:eastAsia="宋体" w:hAnsi="Times New Roman" w:cs="Times New Roman"/>
                <w:kern w:val="0"/>
                <w:sz w:val="24"/>
                <w:lang w:bidi="ar"/>
              </w:rPr>
              <w:fldChar w:fldCharType="separate"/>
            </w:r>
            <w:r w:rsidRPr="007E5D9A">
              <w:rPr>
                <w:rFonts w:ascii="Times New Roman" w:hAnsi="Times New Roman" w:cs="Times New Roman"/>
                <w:sz w:val="24"/>
              </w:rPr>
              <w:t>[1]</w:t>
            </w:r>
            <w:r w:rsidRPr="007E5D9A">
              <w:rPr>
                <w:rFonts w:ascii="Times New Roman" w:eastAsia="宋体" w:hAnsi="Times New Roman" w:cs="Times New Roman"/>
                <w:kern w:val="0"/>
                <w:sz w:val="24"/>
                <w:lang w:bidi="ar"/>
              </w:rPr>
              <w:fldChar w:fldCharType="end"/>
            </w:r>
          </w:p>
        </w:tc>
      </w:tr>
      <w:tr w:rsidR="00795585" w:rsidRPr="007E5D9A" w14:paraId="14EB5515" w14:textId="77777777">
        <w:tc>
          <w:tcPr>
            <w:tcW w:w="0" w:type="auto"/>
            <w:tcBorders>
              <w:left w:val="nil"/>
              <w:bottom w:val="nil"/>
              <w:right w:val="nil"/>
            </w:tcBorders>
            <w:tcMar>
              <w:top w:w="74" w:type="dxa"/>
              <w:left w:w="74" w:type="dxa"/>
              <w:bottom w:w="74" w:type="dxa"/>
              <w:right w:w="74" w:type="dxa"/>
            </w:tcMar>
          </w:tcPr>
          <w:p w14:paraId="3780AFBC" w14:textId="77777777" w:rsidR="00795585" w:rsidRPr="007E5D9A" w:rsidRDefault="00000000">
            <w:pPr>
              <w:widowControl/>
              <w:jc w:val="left"/>
              <w:textAlignment w:val="top"/>
              <w:rPr>
                <w:rFonts w:ascii="Times New Roman" w:hAnsi="Times New Roman" w:cs="Times New Roman"/>
              </w:rPr>
            </w:pPr>
            <w:r w:rsidRPr="007E5D9A">
              <w:rPr>
                <w:rFonts w:ascii="Times New Roman" w:eastAsia="宋体" w:hAnsi="Times New Roman" w:cs="Times New Roman"/>
                <w:kern w:val="0"/>
                <w:sz w:val="24"/>
                <w:lang w:bidi="ar"/>
              </w:rPr>
              <w:t>(Routine Metabolic Inflammation)</w:t>
            </w:r>
          </w:p>
        </w:tc>
        <w:tc>
          <w:tcPr>
            <w:tcW w:w="0" w:type="auto"/>
            <w:tcBorders>
              <w:bottom w:val="nil"/>
              <w:right w:val="nil"/>
            </w:tcBorders>
            <w:tcMar>
              <w:top w:w="74" w:type="dxa"/>
              <w:left w:w="74" w:type="dxa"/>
              <w:bottom w:w="74" w:type="dxa"/>
              <w:right w:w="74" w:type="dxa"/>
            </w:tcMar>
          </w:tcPr>
          <w:p w14:paraId="5EE29B88" w14:textId="77777777" w:rsidR="00795585" w:rsidRPr="007E5D9A" w:rsidRDefault="00000000">
            <w:pPr>
              <w:widowControl/>
              <w:jc w:val="left"/>
              <w:textAlignment w:val="top"/>
              <w:rPr>
                <w:rFonts w:ascii="Times New Roman" w:hAnsi="Times New Roman" w:cs="Times New Roman"/>
              </w:rPr>
            </w:pPr>
            <w:r w:rsidRPr="007E5D9A">
              <w:rPr>
                <w:rFonts w:ascii="Times New Roman" w:eastAsia="宋体" w:hAnsi="Times New Roman" w:cs="Times New Roman"/>
                <w:kern w:val="0"/>
                <w:sz w:val="24"/>
                <w:lang w:bidi="ar"/>
              </w:rPr>
              <w:t>IL-6</w:t>
            </w:r>
          </w:p>
        </w:tc>
        <w:tc>
          <w:tcPr>
            <w:tcW w:w="0" w:type="auto"/>
            <w:tcBorders>
              <w:bottom w:val="nil"/>
              <w:right w:val="nil"/>
            </w:tcBorders>
            <w:tcMar>
              <w:top w:w="74" w:type="dxa"/>
              <w:left w:w="74" w:type="dxa"/>
              <w:bottom w:w="74" w:type="dxa"/>
              <w:right w:w="74" w:type="dxa"/>
            </w:tcMar>
          </w:tcPr>
          <w:p w14:paraId="3675A140" w14:textId="77777777" w:rsidR="00795585" w:rsidRPr="007E5D9A" w:rsidRDefault="00000000">
            <w:pPr>
              <w:widowControl/>
              <w:jc w:val="left"/>
              <w:textAlignment w:val="top"/>
              <w:rPr>
                <w:rFonts w:ascii="Times New Roman" w:hAnsi="Times New Roman" w:cs="Times New Roman"/>
              </w:rPr>
            </w:pPr>
            <w:r w:rsidRPr="007E5D9A">
              <w:rPr>
                <w:rFonts w:ascii="Times New Roman" w:eastAsia="宋体" w:hAnsi="Times New Roman" w:cs="Times New Roman"/>
                <w:kern w:val="0"/>
                <w:sz w:val="24"/>
                <w:lang w:bidi="ar"/>
              </w:rPr>
              <w:t>Chemiluminescence immunoassay</w:t>
            </w:r>
          </w:p>
        </w:tc>
        <w:tc>
          <w:tcPr>
            <w:tcW w:w="0" w:type="auto"/>
            <w:tcBorders>
              <w:bottom w:val="nil"/>
              <w:right w:val="nil"/>
            </w:tcBorders>
            <w:tcMar>
              <w:top w:w="74" w:type="dxa"/>
              <w:left w:w="74" w:type="dxa"/>
              <w:bottom w:w="74" w:type="dxa"/>
              <w:right w:w="74" w:type="dxa"/>
            </w:tcMar>
          </w:tcPr>
          <w:p w14:paraId="59B7DCDB" w14:textId="77777777" w:rsidR="00795585" w:rsidRPr="007E5D9A" w:rsidRDefault="00000000">
            <w:pPr>
              <w:widowControl/>
              <w:jc w:val="left"/>
              <w:textAlignment w:val="top"/>
              <w:rPr>
                <w:rFonts w:ascii="Times New Roman" w:hAnsi="Times New Roman" w:cs="Times New Roman"/>
              </w:rPr>
            </w:pPr>
            <w:r w:rsidRPr="007E5D9A">
              <w:rPr>
                <w:rFonts w:ascii="Times New Roman" w:eastAsia="宋体" w:hAnsi="Times New Roman" w:cs="Times New Roman"/>
                <w:kern w:val="0"/>
                <w:sz w:val="24"/>
                <w:lang w:bidi="ar"/>
              </w:rPr>
              <w:t xml:space="preserve">&gt;3 </w:t>
            </w:r>
            <w:proofErr w:type="spellStart"/>
            <w:r w:rsidRPr="007E5D9A">
              <w:rPr>
                <w:rFonts w:ascii="Times New Roman" w:eastAsia="宋体" w:hAnsi="Times New Roman" w:cs="Times New Roman"/>
                <w:kern w:val="0"/>
                <w:sz w:val="24"/>
                <w:lang w:bidi="ar"/>
              </w:rPr>
              <w:t>pg</w:t>
            </w:r>
            <w:proofErr w:type="spellEnd"/>
            <w:r w:rsidRPr="007E5D9A">
              <w:rPr>
                <w:rFonts w:ascii="Times New Roman" w:eastAsia="宋体" w:hAnsi="Times New Roman" w:cs="Times New Roman"/>
                <w:kern w:val="0"/>
                <w:sz w:val="24"/>
                <w:lang w:bidi="ar"/>
              </w:rPr>
              <w:t>/mL</w:t>
            </w:r>
          </w:p>
        </w:tc>
        <w:tc>
          <w:tcPr>
            <w:tcW w:w="0" w:type="auto"/>
            <w:tcBorders>
              <w:bottom w:val="nil"/>
              <w:right w:val="nil"/>
            </w:tcBorders>
            <w:tcMar>
              <w:top w:w="74" w:type="dxa"/>
              <w:left w:w="74" w:type="dxa"/>
              <w:bottom w:w="74" w:type="dxa"/>
              <w:right w:w="74" w:type="dxa"/>
            </w:tcMar>
          </w:tcPr>
          <w:p w14:paraId="7DA097C5" w14:textId="77777777" w:rsidR="00795585" w:rsidRPr="007E5D9A" w:rsidRDefault="00000000">
            <w:pPr>
              <w:widowControl/>
              <w:jc w:val="left"/>
              <w:textAlignment w:val="top"/>
              <w:rPr>
                <w:rFonts w:ascii="Times New Roman" w:hAnsi="Times New Roman" w:cs="Times New Roman"/>
              </w:rPr>
            </w:pPr>
            <w:r w:rsidRPr="007E5D9A">
              <w:rPr>
                <w:rFonts w:ascii="Times New Roman" w:eastAsia="宋体" w:hAnsi="Times New Roman" w:cs="Times New Roman"/>
                <w:kern w:val="0"/>
                <w:sz w:val="24"/>
                <w:lang w:bidi="ar"/>
              </w:rPr>
              <w:t>Macrophage activation, acute-phase response</w:t>
            </w:r>
            <w:r w:rsidRPr="007E5D9A">
              <w:rPr>
                <w:rFonts w:ascii="Times New Roman" w:eastAsia="宋体" w:hAnsi="Times New Roman" w:cs="Times New Roman"/>
                <w:kern w:val="0"/>
                <w:sz w:val="24"/>
                <w:lang w:bidi="ar"/>
              </w:rPr>
              <w:fldChar w:fldCharType="begin"/>
            </w:r>
            <w:r w:rsidRPr="007E5D9A">
              <w:rPr>
                <w:rFonts w:ascii="Times New Roman" w:eastAsia="宋体" w:hAnsi="Times New Roman" w:cs="Times New Roman"/>
                <w:kern w:val="0"/>
                <w:sz w:val="24"/>
                <w:lang w:bidi="ar"/>
              </w:rPr>
              <w:instrText xml:space="preserve"> ADDIN ZOTERO_ITEM CSL_CITATION {"citationID":"r85SXGZp","properties":{"formattedCitation":"[2]","plainCitation":"[2]","noteIndex":0},"citationItems":[{"id":"PT63WDpC/wup4XJjj","uris":["http://zotero.org/users/local/pKm3rcyL/items/W4ZD8FW6"],"itemData":{"id":9448,"type":"article-journal","container-title":"Nature","DOI":"10.1038/nature05485","ISSN":"0028-0836, 1476-4687","issue":"7121","journalAbbreviation":"Nature","language":"en","page":"860-867","source":"DOI.org (Crossref)","title":"Inflammation and metabolic disorders","volume":"444","author":[{"family":"Hotamisligil","given":"Gökhan S."}],"issued":{"date-parts":[["2006",12,14]]}}}],"schema":"https://github.com/citation-style-language/schema/raw/master/csl-citation.json"} </w:instrText>
            </w:r>
            <w:r w:rsidRPr="007E5D9A">
              <w:rPr>
                <w:rFonts w:ascii="Times New Roman" w:eastAsia="宋体" w:hAnsi="Times New Roman" w:cs="Times New Roman"/>
                <w:kern w:val="0"/>
                <w:sz w:val="24"/>
                <w:lang w:bidi="ar"/>
              </w:rPr>
              <w:fldChar w:fldCharType="separate"/>
            </w:r>
            <w:r w:rsidRPr="007E5D9A">
              <w:rPr>
                <w:rFonts w:ascii="Times New Roman" w:hAnsi="Times New Roman" w:cs="Times New Roman"/>
                <w:sz w:val="24"/>
              </w:rPr>
              <w:t>[2]</w:t>
            </w:r>
            <w:r w:rsidRPr="007E5D9A">
              <w:rPr>
                <w:rFonts w:ascii="Times New Roman" w:eastAsia="宋体" w:hAnsi="Times New Roman" w:cs="Times New Roman"/>
                <w:kern w:val="0"/>
                <w:sz w:val="24"/>
                <w:lang w:bidi="ar"/>
              </w:rPr>
              <w:fldChar w:fldCharType="end"/>
            </w:r>
          </w:p>
        </w:tc>
      </w:tr>
      <w:tr w:rsidR="00795585" w:rsidRPr="007E5D9A" w14:paraId="7F89B64B" w14:textId="77777777">
        <w:tc>
          <w:tcPr>
            <w:tcW w:w="0" w:type="auto"/>
            <w:tcBorders>
              <w:left w:val="nil"/>
              <w:bottom w:val="nil"/>
              <w:right w:val="nil"/>
            </w:tcBorders>
            <w:tcMar>
              <w:top w:w="74" w:type="dxa"/>
              <w:left w:w="74" w:type="dxa"/>
              <w:bottom w:w="74" w:type="dxa"/>
              <w:right w:w="74" w:type="dxa"/>
            </w:tcMar>
          </w:tcPr>
          <w:p w14:paraId="232BCB7D" w14:textId="77777777" w:rsidR="00795585" w:rsidRPr="007E5D9A" w:rsidRDefault="00795585">
            <w:pPr>
              <w:jc w:val="left"/>
              <w:rPr>
                <w:rFonts w:ascii="Times New Roman" w:hAnsi="Times New Roman" w:cs="Times New Roman"/>
                <w:sz w:val="24"/>
              </w:rPr>
            </w:pPr>
          </w:p>
        </w:tc>
        <w:tc>
          <w:tcPr>
            <w:tcW w:w="0" w:type="auto"/>
            <w:tcBorders>
              <w:bottom w:val="nil"/>
              <w:right w:val="nil"/>
            </w:tcBorders>
            <w:tcMar>
              <w:top w:w="74" w:type="dxa"/>
              <w:left w:w="74" w:type="dxa"/>
              <w:bottom w:w="74" w:type="dxa"/>
              <w:right w:w="74" w:type="dxa"/>
            </w:tcMar>
          </w:tcPr>
          <w:p w14:paraId="622A517A" w14:textId="77777777" w:rsidR="00795585" w:rsidRPr="007E5D9A" w:rsidRDefault="00000000">
            <w:pPr>
              <w:widowControl/>
              <w:jc w:val="left"/>
              <w:textAlignment w:val="top"/>
              <w:rPr>
                <w:rFonts w:ascii="Times New Roman" w:hAnsi="Times New Roman" w:cs="Times New Roman"/>
              </w:rPr>
            </w:pPr>
            <w:r w:rsidRPr="007E5D9A">
              <w:rPr>
                <w:rFonts w:ascii="Times New Roman" w:eastAsia="宋体" w:hAnsi="Times New Roman" w:cs="Times New Roman"/>
                <w:kern w:val="0"/>
                <w:sz w:val="24"/>
                <w:lang w:bidi="ar"/>
              </w:rPr>
              <w:t>TNF-α</w:t>
            </w:r>
          </w:p>
        </w:tc>
        <w:tc>
          <w:tcPr>
            <w:tcW w:w="0" w:type="auto"/>
            <w:tcBorders>
              <w:bottom w:val="nil"/>
              <w:right w:val="nil"/>
            </w:tcBorders>
            <w:tcMar>
              <w:top w:w="74" w:type="dxa"/>
              <w:left w:w="74" w:type="dxa"/>
              <w:bottom w:w="74" w:type="dxa"/>
              <w:right w:w="74" w:type="dxa"/>
            </w:tcMar>
          </w:tcPr>
          <w:p w14:paraId="0C8491B6" w14:textId="77777777" w:rsidR="00795585" w:rsidRPr="007E5D9A" w:rsidRDefault="00000000">
            <w:pPr>
              <w:widowControl/>
              <w:jc w:val="left"/>
              <w:textAlignment w:val="top"/>
              <w:rPr>
                <w:rFonts w:ascii="Times New Roman" w:hAnsi="Times New Roman" w:cs="Times New Roman"/>
              </w:rPr>
            </w:pPr>
            <w:r w:rsidRPr="007E5D9A">
              <w:rPr>
                <w:rFonts w:ascii="Times New Roman" w:eastAsia="宋体" w:hAnsi="Times New Roman" w:cs="Times New Roman"/>
                <w:kern w:val="0"/>
                <w:sz w:val="24"/>
                <w:lang w:bidi="ar"/>
              </w:rPr>
              <w:t>ELISA</w:t>
            </w:r>
          </w:p>
        </w:tc>
        <w:tc>
          <w:tcPr>
            <w:tcW w:w="0" w:type="auto"/>
            <w:tcBorders>
              <w:bottom w:val="nil"/>
              <w:right w:val="nil"/>
            </w:tcBorders>
            <w:tcMar>
              <w:top w:w="74" w:type="dxa"/>
              <w:left w:w="74" w:type="dxa"/>
              <w:bottom w:w="74" w:type="dxa"/>
              <w:right w:w="74" w:type="dxa"/>
            </w:tcMar>
          </w:tcPr>
          <w:p w14:paraId="54D6A52B" w14:textId="77777777" w:rsidR="00795585" w:rsidRPr="007E5D9A" w:rsidRDefault="00000000">
            <w:pPr>
              <w:widowControl/>
              <w:jc w:val="left"/>
              <w:textAlignment w:val="top"/>
              <w:rPr>
                <w:rFonts w:ascii="Times New Roman" w:hAnsi="Times New Roman" w:cs="Times New Roman"/>
              </w:rPr>
            </w:pPr>
            <w:r w:rsidRPr="007E5D9A">
              <w:rPr>
                <w:rFonts w:ascii="Times New Roman" w:eastAsia="宋体" w:hAnsi="Times New Roman" w:cs="Times New Roman"/>
                <w:kern w:val="0"/>
                <w:sz w:val="24"/>
                <w:lang w:bidi="ar"/>
              </w:rPr>
              <w:t xml:space="preserve">&gt;2.5 </w:t>
            </w:r>
            <w:proofErr w:type="spellStart"/>
            <w:r w:rsidRPr="007E5D9A">
              <w:rPr>
                <w:rFonts w:ascii="Times New Roman" w:eastAsia="宋体" w:hAnsi="Times New Roman" w:cs="Times New Roman"/>
                <w:kern w:val="0"/>
                <w:sz w:val="24"/>
                <w:lang w:bidi="ar"/>
              </w:rPr>
              <w:t>pg</w:t>
            </w:r>
            <w:proofErr w:type="spellEnd"/>
            <w:r w:rsidRPr="007E5D9A">
              <w:rPr>
                <w:rFonts w:ascii="Times New Roman" w:eastAsia="宋体" w:hAnsi="Times New Roman" w:cs="Times New Roman"/>
                <w:kern w:val="0"/>
                <w:sz w:val="24"/>
                <w:lang w:bidi="ar"/>
              </w:rPr>
              <w:t>/mL</w:t>
            </w:r>
          </w:p>
        </w:tc>
        <w:tc>
          <w:tcPr>
            <w:tcW w:w="0" w:type="auto"/>
            <w:tcBorders>
              <w:bottom w:val="nil"/>
              <w:right w:val="nil"/>
            </w:tcBorders>
            <w:tcMar>
              <w:top w:w="74" w:type="dxa"/>
              <w:left w:w="74" w:type="dxa"/>
              <w:bottom w:w="74" w:type="dxa"/>
              <w:right w:w="74" w:type="dxa"/>
            </w:tcMar>
          </w:tcPr>
          <w:p w14:paraId="498B4959" w14:textId="77777777" w:rsidR="00795585" w:rsidRPr="007E5D9A" w:rsidRDefault="00000000">
            <w:pPr>
              <w:widowControl/>
              <w:jc w:val="left"/>
              <w:textAlignment w:val="top"/>
              <w:rPr>
                <w:rFonts w:ascii="Times New Roman" w:hAnsi="Times New Roman" w:cs="Times New Roman"/>
              </w:rPr>
            </w:pPr>
            <w:r w:rsidRPr="007E5D9A">
              <w:rPr>
                <w:rFonts w:ascii="Times New Roman" w:eastAsia="宋体" w:hAnsi="Times New Roman" w:cs="Times New Roman"/>
                <w:kern w:val="0"/>
                <w:sz w:val="24"/>
                <w:lang w:bidi="ar"/>
              </w:rPr>
              <w:t>Pro-inflammatory cytokine signaling</w:t>
            </w:r>
            <w:r w:rsidRPr="007E5D9A">
              <w:rPr>
                <w:rFonts w:ascii="Times New Roman" w:eastAsia="宋体" w:hAnsi="Times New Roman" w:cs="Times New Roman"/>
                <w:kern w:val="0"/>
                <w:sz w:val="24"/>
                <w:lang w:bidi="ar"/>
              </w:rPr>
              <w:fldChar w:fldCharType="begin"/>
            </w:r>
            <w:r w:rsidRPr="007E5D9A">
              <w:rPr>
                <w:rFonts w:ascii="Times New Roman" w:eastAsia="宋体" w:hAnsi="Times New Roman" w:cs="Times New Roman"/>
                <w:kern w:val="0"/>
                <w:sz w:val="24"/>
                <w:lang w:bidi="ar"/>
              </w:rPr>
              <w:instrText xml:space="preserve"> ADDIN ZOTERO_ITEM CSL_CITATION {"citationID":"uQhctXxA","properties":{"formattedCitation":"[2]","plainCitation":"[2]","noteIndex":0},"citationItems":[{"id":"PT63WDpC/wup4XJjj","uris":["http://zotero.org/users/local/pKm3rcyL/items/W4ZD8FW6"],"itemData":{"id":9448,"type":"article-journal","container-title":"Nature","DOI":"10.1038/nature05485","ISSN":"0028-0836, 1476-4687","issue":"7121","journalAbbreviation":"Nature","language":"en","page":"860-867","source":"DOI.org (Crossref)","title":"Inflammation and metabolic disorders","volume":"444","author":[{"family":"Hotamisligil","given":"Gökhan S."}],"issued":{"date-parts":[["2006",12,14]]}}}],"schema":"https://github.com/citation-style-language/schema/raw/master/csl-citation.json"} </w:instrText>
            </w:r>
            <w:r w:rsidRPr="007E5D9A">
              <w:rPr>
                <w:rFonts w:ascii="Times New Roman" w:eastAsia="宋体" w:hAnsi="Times New Roman" w:cs="Times New Roman"/>
                <w:kern w:val="0"/>
                <w:sz w:val="24"/>
                <w:lang w:bidi="ar"/>
              </w:rPr>
              <w:fldChar w:fldCharType="separate"/>
            </w:r>
            <w:r w:rsidRPr="007E5D9A">
              <w:rPr>
                <w:rFonts w:ascii="Times New Roman" w:hAnsi="Times New Roman" w:cs="Times New Roman"/>
                <w:sz w:val="24"/>
              </w:rPr>
              <w:t>[2]</w:t>
            </w:r>
            <w:r w:rsidRPr="007E5D9A">
              <w:rPr>
                <w:rFonts w:ascii="Times New Roman" w:eastAsia="宋体" w:hAnsi="Times New Roman" w:cs="Times New Roman"/>
                <w:kern w:val="0"/>
                <w:sz w:val="24"/>
                <w:lang w:bidi="ar"/>
              </w:rPr>
              <w:fldChar w:fldCharType="end"/>
            </w:r>
          </w:p>
        </w:tc>
      </w:tr>
      <w:tr w:rsidR="00795585" w:rsidRPr="007E5D9A" w14:paraId="70307319" w14:textId="77777777">
        <w:tc>
          <w:tcPr>
            <w:tcW w:w="0" w:type="auto"/>
            <w:tcBorders>
              <w:left w:val="nil"/>
              <w:bottom w:val="nil"/>
              <w:right w:val="nil"/>
            </w:tcBorders>
            <w:tcMar>
              <w:top w:w="74" w:type="dxa"/>
              <w:left w:w="74" w:type="dxa"/>
              <w:bottom w:w="74" w:type="dxa"/>
              <w:right w:w="74" w:type="dxa"/>
            </w:tcMar>
          </w:tcPr>
          <w:p w14:paraId="612348B7" w14:textId="77777777" w:rsidR="00795585" w:rsidRPr="007E5D9A" w:rsidRDefault="00795585">
            <w:pPr>
              <w:jc w:val="left"/>
              <w:rPr>
                <w:rFonts w:ascii="Times New Roman" w:hAnsi="Times New Roman" w:cs="Times New Roman"/>
                <w:sz w:val="24"/>
              </w:rPr>
            </w:pPr>
          </w:p>
        </w:tc>
        <w:tc>
          <w:tcPr>
            <w:tcW w:w="0" w:type="auto"/>
            <w:tcBorders>
              <w:bottom w:val="nil"/>
              <w:right w:val="nil"/>
            </w:tcBorders>
            <w:tcMar>
              <w:top w:w="74" w:type="dxa"/>
              <w:left w:w="74" w:type="dxa"/>
              <w:bottom w:w="74" w:type="dxa"/>
              <w:right w:w="74" w:type="dxa"/>
            </w:tcMar>
          </w:tcPr>
          <w:p w14:paraId="21A97CDC" w14:textId="77777777" w:rsidR="00795585" w:rsidRPr="007E5D9A" w:rsidRDefault="00000000">
            <w:pPr>
              <w:widowControl/>
              <w:jc w:val="left"/>
              <w:textAlignment w:val="top"/>
              <w:rPr>
                <w:rFonts w:ascii="Times New Roman" w:hAnsi="Times New Roman" w:cs="Times New Roman"/>
              </w:rPr>
            </w:pPr>
            <w:r w:rsidRPr="007E5D9A">
              <w:rPr>
                <w:rFonts w:ascii="Times New Roman" w:eastAsia="宋体" w:hAnsi="Times New Roman" w:cs="Times New Roman"/>
                <w:kern w:val="0"/>
                <w:sz w:val="24"/>
                <w:lang w:bidi="ar"/>
              </w:rPr>
              <w:t>Adiponectin</w:t>
            </w:r>
          </w:p>
        </w:tc>
        <w:tc>
          <w:tcPr>
            <w:tcW w:w="0" w:type="auto"/>
            <w:tcBorders>
              <w:bottom w:val="nil"/>
              <w:right w:val="nil"/>
            </w:tcBorders>
            <w:tcMar>
              <w:top w:w="74" w:type="dxa"/>
              <w:left w:w="74" w:type="dxa"/>
              <w:bottom w:w="74" w:type="dxa"/>
              <w:right w:w="74" w:type="dxa"/>
            </w:tcMar>
          </w:tcPr>
          <w:p w14:paraId="7E27B85E" w14:textId="77777777" w:rsidR="00795585" w:rsidRPr="007E5D9A" w:rsidRDefault="00000000">
            <w:pPr>
              <w:widowControl/>
              <w:jc w:val="left"/>
              <w:textAlignment w:val="top"/>
              <w:rPr>
                <w:rFonts w:ascii="Times New Roman" w:hAnsi="Times New Roman" w:cs="Times New Roman"/>
              </w:rPr>
            </w:pPr>
            <w:r w:rsidRPr="007E5D9A">
              <w:rPr>
                <w:rFonts w:ascii="Times New Roman" w:eastAsia="宋体" w:hAnsi="Times New Roman" w:cs="Times New Roman"/>
                <w:kern w:val="0"/>
                <w:sz w:val="24"/>
                <w:lang w:bidi="ar"/>
              </w:rPr>
              <w:t>ELISA</w:t>
            </w:r>
          </w:p>
        </w:tc>
        <w:tc>
          <w:tcPr>
            <w:tcW w:w="0" w:type="auto"/>
            <w:tcBorders>
              <w:bottom w:val="nil"/>
              <w:right w:val="nil"/>
            </w:tcBorders>
            <w:tcMar>
              <w:top w:w="74" w:type="dxa"/>
              <w:left w:w="74" w:type="dxa"/>
              <w:bottom w:w="74" w:type="dxa"/>
              <w:right w:w="74" w:type="dxa"/>
            </w:tcMar>
          </w:tcPr>
          <w:p w14:paraId="54D8F40B" w14:textId="77777777" w:rsidR="00795585" w:rsidRPr="007E5D9A" w:rsidRDefault="00000000">
            <w:pPr>
              <w:widowControl/>
              <w:jc w:val="left"/>
              <w:textAlignment w:val="top"/>
              <w:rPr>
                <w:rFonts w:ascii="Times New Roman" w:hAnsi="Times New Roman" w:cs="Times New Roman"/>
              </w:rPr>
            </w:pPr>
            <w:r w:rsidRPr="007E5D9A">
              <w:rPr>
                <w:rFonts w:ascii="Times New Roman" w:eastAsia="宋体" w:hAnsi="Times New Roman" w:cs="Times New Roman"/>
                <w:kern w:val="0"/>
                <w:sz w:val="24"/>
                <w:lang w:bidi="ar"/>
              </w:rPr>
              <w:t xml:space="preserve">&lt;4 </w:t>
            </w:r>
            <w:proofErr w:type="spellStart"/>
            <w:r w:rsidRPr="007E5D9A">
              <w:rPr>
                <w:rFonts w:ascii="Times New Roman" w:eastAsia="宋体" w:hAnsi="Times New Roman" w:cs="Times New Roman"/>
                <w:kern w:val="0"/>
                <w:sz w:val="24"/>
                <w:lang w:bidi="ar"/>
              </w:rPr>
              <w:t>μg</w:t>
            </w:r>
            <w:proofErr w:type="spellEnd"/>
            <w:r w:rsidRPr="007E5D9A">
              <w:rPr>
                <w:rFonts w:ascii="Times New Roman" w:eastAsia="宋体" w:hAnsi="Times New Roman" w:cs="Times New Roman"/>
                <w:kern w:val="0"/>
                <w:sz w:val="24"/>
                <w:lang w:bidi="ar"/>
              </w:rPr>
              <w:t>/mL (M)</w:t>
            </w:r>
            <w:r w:rsidRPr="007E5D9A">
              <w:rPr>
                <w:rFonts w:ascii="Times New Roman" w:eastAsia="宋体" w:hAnsi="Times New Roman" w:cs="Times New Roman"/>
                <w:kern w:val="0"/>
                <w:sz w:val="24"/>
                <w:lang w:bidi="ar"/>
              </w:rPr>
              <w:br/>
              <w:t xml:space="preserve">&lt;6 </w:t>
            </w:r>
            <w:proofErr w:type="spellStart"/>
            <w:r w:rsidRPr="007E5D9A">
              <w:rPr>
                <w:rFonts w:ascii="Times New Roman" w:eastAsia="宋体" w:hAnsi="Times New Roman" w:cs="Times New Roman"/>
                <w:kern w:val="0"/>
                <w:sz w:val="24"/>
                <w:lang w:bidi="ar"/>
              </w:rPr>
              <w:t>μg</w:t>
            </w:r>
            <w:proofErr w:type="spellEnd"/>
            <w:r w:rsidRPr="007E5D9A">
              <w:rPr>
                <w:rFonts w:ascii="Times New Roman" w:eastAsia="宋体" w:hAnsi="Times New Roman" w:cs="Times New Roman"/>
                <w:kern w:val="0"/>
                <w:sz w:val="24"/>
                <w:lang w:bidi="ar"/>
              </w:rPr>
              <w:t>/mL (F)</w:t>
            </w:r>
          </w:p>
        </w:tc>
        <w:tc>
          <w:tcPr>
            <w:tcW w:w="0" w:type="auto"/>
            <w:tcBorders>
              <w:bottom w:val="nil"/>
              <w:right w:val="nil"/>
            </w:tcBorders>
            <w:tcMar>
              <w:top w:w="74" w:type="dxa"/>
              <w:left w:w="74" w:type="dxa"/>
              <w:bottom w:w="74" w:type="dxa"/>
              <w:right w:w="74" w:type="dxa"/>
            </w:tcMar>
          </w:tcPr>
          <w:p w14:paraId="22173A9E" w14:textId="77777777" w:rsidR="00795585" w:rsidRPr="007E5D9A" w:rsidRDefault="00000000">
            <w:pPr>
              <w:widowControl/>
              <w:jc w:val="left"/>
              <w:textAlignment w:val="top"/>
              <w:rPr>
                <w:rFonts w:ascii="Times New Roman" w:hAnsi="Times New Roman" w:cs="Times New Roman"/>
              </w:rPr>
            </w:pPr>
            <w:r w:rsidRPr="007E5D9A">
              <w:rPr>
                <w:rFonts w:ascii="Times New Roman" w:eastAsia="宋体" w:hAnsi="Times New Roman" w:cs="Times New Roman"/>
                <w:kern w:val="0"/>
                <w:sz w:val="24"/>
                <w:lang w:bidi="ar"/>
              </w:rPr>
              <w:t xml:space="preserve">Adipose tissue dysfunction, </w:t>
            </w:r>
            <w:r w:rsidRPr="007E5D9A">
              <w:rPr>
                <w:rFonts w:ascii="Times New Roman" w:eastAsia="宋体" w:hAnsi="Times New Roman" w:cs="Times New Roman"/>
                <w:kern w:val="0"/>
                <w:sz w:val="24"/>
                <w:lang w:bidi="ar"/>
              </w:rPr>
              <w:lastRenderedPageBreak/>
              <w:t>insulin sensitivity</w:t>
            </w:r>
            <w:r w:rsidRPr="007E5D9A">
              <w:rPr>
                <w:rFonts w:ascii="Times New Roman" w:eastAsia="宋体" w:hAnsi="Times New Roman" w:cs="Times New Roman"/>
                <w:kern w:val="0"/>
                <w:sz w:val="24"/>
                <w:lang w:bidi="ar"/>
              </w:rPr>
              <w:fldChar w:fldCharType="begin"/>
            </w:r>
            <w:r w:rsidRPr="007E5D9A">
              <w:rPr>
                <w:rFonts w:ascii="Times New Roman" w:eastAsia="宋体" w:hAnsi="Times New Roman" w:cs="Times New Roman"/>
                <w:kern w:val="0"/>
                <w:sz w:val="24"/>
                <w:lang w:bidi="ar"/>
              </w:rPr>
              <w:instrText xml:space="preserve"> ADDIN ZOTERO_ITEM CSL_CITATION {"citationID":"XfHE50W6","properties":{"formattedCitation":"[3]","plainCitation":"[3]","noteIndex":0},"citationItems":[{"id":"PT63WDpC/dIuuHjjM","uris":["http://zotero.org/users/local/pKm3rcyL/items/ZWXIU22K"],"itemData":{"id":9450,"type":"article-journal","abstract":"Abstract\n              —Adiponectin is a novel, adipose-specific protein abundantly present in the circulation, and it has antiatherogenic properties. We analyzed the plasma adiponectin concentrations in age- and body mass index (BMI)–matched nondiabetic and type 2 diabetic subjects with and without coronary artery disease (CAD). Plasma levels of adiponectin in the diabetic subjects without CAD were lower than those in nondiabetic subjects (6.6±0.4 versus 7.9±0.5 μg/mL in men, 7.6±0.7 versus 11.7±1.0 μg/mL in women;\n              P\n              &lt;0.001). The plasma adiponectin concentrations of diabetic patients with CAD were lower than those of diabetic patients without CAD (4.0±0.4 versus 6.6±0.4 μg/mL,\n              P\n              &lt;0.001 in men; 6.3±0.8 versus 7.6±0.7 μg/mL in women). In contrast, plasma levels of leptin did not differ between diabetic patients with and without CAD. The presence of microangiopathy did not affect the plasma adiponectin levels in diabetic patients. Significant, univariate, inverse correlations were observed between adiponectin levels and fasting plasma insulin (\n              r\n              =−0.18,\n              P\n              &lt;0.01) and glucose (\n              r\n              =−0.26,\n              P\n              &lt;0.001) levels. In multivariate analysis, plasma insulin did not independently affect the plasma adiponectin levels. BMI, serum triglyceride concentration, and the presence of diabetes or CAD remained significantly related to plasma adiponectin concentrations. Weight reduction significantly elevated plasma adiponectin levels in the diabetic subjects as well as the nondiabetic subjects. These results suggest that the decreased plasma adiponectin concentrations in diabetes may be an indicator of macroangiopathy.","container-title":"Arteriosclerosis, Thrombosis, and Vascular Biology","DOI":"10.1161/01.ATV.20.6.1595","ISSN":"1079-5642, 1524-4636","issue":"6","journalAbbreviation":"ATVB","language":"en","page":"1595-1599","source":"DOI.org (Crossref)","title":"Plasma Concentrations of a Novel, Adipose-Specific Protein, Adiponectin, in Type 2 Diabetic Patients","volume":"20","author":[{"family":"Hotta","given":"Kikuko"},{"family":"Funahashi","given":"Tohru"},{"family":"Arita","given":"Yukio"},{"family":"Takahashi","given":"Masahiko"},{"family":"Matsuda","given":"Morihiro"},{"family":"Okamoto","given":"Yoshihisa"},{"family":"Iwahashi","given":"Hiromi"},{"family":"Kuriyama","given":"Hiroshi"},{"family":"Ouchi","given":"Noriyuki"},{"family":"Maeda","given":"Kazuhisa"},{"family":"Nishida","given":"Makoto"},{"family":"Kihara","given":"Shinji"},{"family":"Sakai","given":"Naohiko"},{"family":"Nakajima","given":"Tadahisa"},{"family":"Hasegawa","given":"Kyoichi"},{"family":"Muraguchi","given":"Masahiro"},{"family":"Ohmoto","given":"Yasukazu"},{"family":"Nakamura","given":"Tadashi"},{"family":"Yamashita","given":"Shizuya"},{"family":"Hanafusa","given":"Toshiaki"},{"family":"Matsuzawa","given":"Yuji"}],"issued":{"date-parts":[["2000",6]]}}}],"schema":"https://github.com/citation-style-language/schema/raw/master/csl-citation.json"} </w:instrText>
            </w:r>
            <w:r w:rsidRPr="007E5D9A">
              <w:rPr>
                <w:rFonts w:ascii="Times New Roman" w:eastAsia="宋体" w:hAnsi="Times New Roman" w:cs="Times New Roman"/>
                <w:kern w:val="0"/>
                <w:sz w:val="24"/>
                <w:lang w:bidi="ar"/>
              </w:rPr>
              <w:fldChar w:fldCharType="separate"/>
            </w:r>
            <w:r w:rsidRPr="007E5D9A">
              <w:rPr>
                <w:rFonts w:ascii="Times New Roman" w:hAnsi="Times New Roman" w:cs="Times New Roman"/>
                <w:sz w:val="24"/>
              </w:rPr>
              <w:t>[3]</w:t>
            </w:r>
            <w:r w:rsidRPr="007E5D9A">
              <w:rPr>
                <w:rFonts w:ascii="Times New Roman" w:eastAsia="宋体" w:hAnsi="Times New Roman" w:cs="Times New Roman"/>
                <w:kern w:val="0"/>
                <w:sz w:val="24"/>
                <w:lang w:bidi="ar"/>
              </w:rPr>
              <w:fldChar w:fldCharType="end"/>
            </w:r>
          </w:p>
        </w:tc>
      </w:tr>
      <w:tr w:rsidR="00795585" w:rsidRPr="007E5D9A" w14:paraId="242357F4" w14:textId="77777777">
        <w:tc>
          <w:tcPr>
            <w:tcW w:w="0" w:type="auto"/>
            <w:tcBorders>
              <w:left w:val="nil"/>
              <w:bottom w:val="nil"/>
              <w:right w:val="nil"/>
            </w:tcBorders>
            <w:tcMar>
              <w:top w:w="74" w:type="dxa"/>
              <w:left w:w="74" w:type="dxa"/>
              <w:bottom w:w="74" w:type="dxa"/>
              <w:right w:w="74" w:type="dxa"/>
            </w:tcMar>
          </w:tcPr>
          <w:p w14:paraId="0DBC6CAA" w14:textId="77777777" w:rsidR="00795585" w:rsidRPr="007E5D9A" w:rsidRDefault="00000000">
            <w:pPr>
              <w:widowControl/>
              <w:jc w:val="left"/>
              <w:textAlignment w:val="top"/>
              <w:rPr>
                <w:rFonts w:ascii="Times New Roman" w:hAnsi="Times New Roman" w:cs="Times New Roman"/>
              </w:rPr>
            </w:pPr>
            <w:r w:rsidRPr="007E5D9A">
              <w:rPr>
                <w:rStyle w:val="a9"/>
                <w:rFonts w:ascii="Times New Roman" w:eastAsia="宋体" w:hAnsi="Times New Roman" w:cs="Times New Roman"/>
                <w:bCs/>
                <w:kern w:val="0"/>
                <w:sz w:val="24"/>
                <w:lang w:bidi="ar"/>
              </w:rPr>
              <w:lastRenderedPageBreak/>
              <w:t>2. Extended Research Panel</w:t>
            </w:r>
          </w:p>
        </w:tc>
        <w:tc>
          <w:tcPr>
            <w:tcW w:w="0" w:type="auto"/>
            <w:tcBorders>
              <w:bottom w:val="nil"/>
              <w:right w:val="nil"/>
            </w:tcBorders>
            <w:tcMar>
              <w:top w:w="74" w:type="dxa"/>
              <w:left w:w="74" w:type="dxa"/>
              <w:bottom w:w="74" w:type="dxa"/>
              <w:right w:w="74" w:type="dxa"/>
            </w:tcMar>
          </w:tcPr>
          <w:p w14:paraId="10A15C80" w14:textId="77777777" w:rsidR="00795585" w:rsidRPr="007E5D9A" w:rsidRDefault="00000000">
            <w:pPr>
              <w:widowControl/>
              <w:jc w:val="left"/>
              <w:textAlignment w:val="top"/>
              <w:rPr>
                <w:rFonts w:ascii="Times New Roman" w:hAnsi="Times New Roman" w:cs="Times New Roman"/>
              </w:rPr>
            </w:pPr>
            <w:r w:rsidRPr="007E5D9A">
              <w:rPr>
                <w:rFonts w:ascii="Times New Roman" w:eastAsia="宋体" w:hAnsi="Times New Roman" w:cs="Times New Roman"/>
                <w:kern w:val="0"/>
                <w:sz w:val="24"/>
                <w:lang w:bidi="ar"/>
              </w:rPr>
              <w:t>MCP-1</w:t>
            </w:r>
          </w:p>
        </w:tc>
        <w:tc>
          <w:tcPr>
            <w:tcW w:w="0" w:type="auto"/>
            <w:tcBorders>
              <w:bottom w:val="nil"/>
              <w:right w:val="nil"/>
            </w:tcBorders>
            <w:tcMar>
              <w:top w:w="74" w:type="dxa"/>
              <w:left w:w="74" w:type="dxa"/>
              <w:bottom w:w="74" w:type="dxa"/>
              <w:right w:w="74" w:type="dxa"/>
            </w:tcMar>
          </w:tcPr>
          <w:p w14:paraId="19664A75" w14:textId="77777777" w:rsidR="00795585" w:rsidRPr="007E5D9A" w:rsidRDefault="00000000">
            <w:pPr>
              <w:widowControl/>
              <w:jc w:val="left"/>
              <w:textAlignment w:val="top"/>
              <w:rPr>
                <w:rFonts w:ascii="Times New Roman" w:hAnsi="Times New Roman" w:cs="Times New Roman"/>
              </w:rPr>
            </w:pPr>
            <w:r w:rsidRPr="007E5D9A">
              <w:rPr>
                <w:rFonts w:ascii="Times New Roman" w:eastAsia="宋体" w:hAnsi="Times New Roman" w:cs="Times New Roman"/>
                <w:kern w:val="0"/>
                <w:sz w:val="24"/>
                <w:lang w:bidi="ar"/>
              </w:rPr>
              <w:t>ELISA</w:t>
            </w:r>
          </w:p>
        </w:tc>
        <w:tc>
          <w:tcPr>
            <w:tcW w:w="0" w:type="auto"/>
            <w:tcBorders>
              <w:bottom w:val="nil"/>
              <w:right w:val="nil"/>
            </w:tcBorders>
            <w:tcMar>
              <w:top w:w="74" w:type="dxa"/>
              <w:left w:w="74" w:type="dxa"/>
              <w:bottom w:w="74" w:type="dxa"/>
              <w:right w:w="74" w:type="dxa"/>
            </w:tcMar>
          </w:tcPr>
          <w:p w14:paraId="04432793" w14:textId="77777777" w:rsidR="00795585" w:rsidRPr="007E5D9A" w:rsidRDefault="00000000">
            <w:pPr>
              <w:widowControl/>
              <w:jc w:val="left"/>
              <w:textAlignment w:val="top"/>
              <w:rPr>
                <w:rFonts w:ascii="Times New Roman" w:hAnsi="Times New Roman" w:cs="Times New Roman"/>
              </w:rPr>
            </w:pPr>
            <w:r w:rsidRPr="007E5D9A">
              <w:rPr>
                <w:rFonts w:ascii="Times New Roman" w:eastAsia="宋体" w:hAnsi="Times New Roman" w:cs="Times New Roman"/>
                <w:kern w:val="0"/>
                <w:sz w:val="24"/>
                <w:lang w:bidi="ar"/>
              </w:rPr>
              <w:t xml:space="preserve">&gt;200 </w:t>
            </w:r>
            <w:proofErr w:type="spellStart"/>
            <w:r w:rsidRPr="007E5D9A">
              <w:rPr>
                <w:rFonts w:ascii="Times New Roman" w:eastAsia="宋体" w:hAnsi="Times New Roman" w:cs="Times New Roman"/>
                <w:kern w:val="0"/>
                <w:sz w:val="24"/>
                <w:lang w:bidi="ar"/>
              </w:rPr>
              <w:t>pg</w:t>
            </w:r>
            <w:proofErr w:type="spellEnd"/>
            <w:r w:rsidRPr="007E5D9A">
              <w:rPr>
                <w:rFonts w:ascii="Times New Roman" w:eastAsia="宋体" w:hAnsi="Times New Roman" w:cs="Times New Roman"/>
                <w:kern w:val="0"/>
                <w:sz w:val="24"/>
                <w:lang w:bidi="ar"/>
              </w:rPr>
              <w:t>/mL</w:t>
            </w:r>
          </w:p>
        </w:tc>
        <w:tc>
          <w:tcPr>
            <w:tcW w:w="0" w:type="auto"/>
            <w:tcBorders>
              <w:bottom w:val="nil"/>
              <w:right w:val="nil"/>
            </w:tcBorders>
            <w:tcMar>
              <w:top w:w="74" w:type="dxa"/>
              <w:left w:w="74" w:type="dxa"/>
              <w:bottom w:w="74" w:type="dxa"/>
              <w:right w:w="74" w:type="dxa"/>
            </w:tcMar>
          </w:tcPr>
          <w:p w14:paraId="1F51E74E" w14:textId="77777777" w:rsidR="00795585" w:rsidRPr="007E5D9A" w:rsidRDefault="00000000">
            <w:pPr>
              <w:widowControl/>
              <w:jc w:val="left"/>
              <w:textAlignment w:val="top"/>
              <w:rPr>
                <w:rFonts w:ascii="Times New Roman" w:hAnsi="Times New Roman" w:cs="Times New Roman"/>
              </w:rPr>
            </w:pPr>
            <w:r w:rsidRPr="007E5D9A">
              <w:rPr>
                <w:rFonts w:ascii="Times New Roman" w:eastAsia="宋体" w:hAnsi="Times New Roman" w:cs="Times New Roman"/>
                <w:kern w:val="0"/>
                <w:sz w:val="24"/>
                <w:lang w:bidi="ar"/>
              </w:rPr>
              <w:t>Monocyte recruitment, vascular inflammation</w:t>
            </w:r>
            <w:r w:rsidRPr="007E5D9A">
              <w:rPr>
                <w:rFonts w:ascii="Times New Roman" w:eastAsia="宋体" w:hAnsi="Times New Roman" w:cs="Times New Roman"/>
                <w:kern w:val="0"/>
                <w:sz w:val="24"/>
                <w:lang w:bidi="ar"/>
              </w:rPr>
              <w:fldChar w:fldCharType="begin"/>
            </w:r>
            <w:r w:rsidRPr="007E5D9A">
              <w:rPr>
                <w:rFonts w:ascii="Times New Roman" w:eastAsia="宋体" w:hAnsi="Times New Roman" w:cs="Times New Roman"/>
                <w:kern w:val="0"/>
                <w:sz w:val="24"/>
                <w:lang w:bidi="ar"/>
              </w:rPr>
              <w:instrText xml:space="preserve"> ADDIN ZOTERO_ITEM CSL_CITATION {"citationID":"tq2top04","properties":{"formattedCitation":"[4]","plainCitation":"[4]","noteIndex":0},"citationItems":[{"id":"PT63WDpC/MJBz77rV","uris":["http://zotero.org/users/local/pKm3rcyL/items/EBFBNXUX"],"itemData":{"id":9452,"type":"article-journal","container-title":"Cytokine","DOI":"10.1016/j.cyto.2017.02.001","ISSN":"10434666","journalAbbreviation":"Cytokine","language":"en","page":"71-78","source":"DOI.org (Crossref)","title":"The production of monocyte chemoattractant protein-1 (MCP-1)/CCL2 in tumor microenvironments","volume":"98","author":[{"family":"Yoshimura","given":"Teizo"}],"issued":{"date-parts":[["2017",10]]}}}],"schema":"https://github.com/citation-style-language/schema/raw/master/csl-citation.json"} </w:instrText>
            </w:r>
            <w:r w:rsidRPr="007E5D9A">
              <w:rPr>
                <w:rFonts w:ascii="Times New Roman" w:eastAsia="宋体" w:hAnsi="Times New Roman" w:cs="Times New Roman"/>
                <w:kern w:val="0"/>
                <w:sz w:val="24"/>
                <w:lang w:bidi="ar"/>
              </w:rPr>
              <w:fldChar w:fldCharType="separate"/>
            </w:r>
            <w:r w:rsidRPr="007E5D9A">
              <w:rPr>
                <w:rFonts w:ascii="Times New Roman" w:hAnsi="Times New Roman" w:cs="Times New Roman"/>
                <w:sz w:val="24"/>
              </w:rPr>
              <w:t>[4]</w:t>
            </w:r>
            <w:r w:rsidRPr="007E5D9A">
              <w:rPr>
                <w:rFonts w:ascii="Times New Roman" w:eastAsia="宋体" w:hAnsi="Times New Roman" w:cs="Times New Roman"/>
                <w:kern w:val="0"/>
                <w:sz w:val="24"/>
                <w:lang w:bidi="ar"/>
              </w:rPr>
              <w:fldChar w:fldCharType="end"/>
            </w:r>
          </w:p>
        </w:tc>
      </w:tr>
      <w:tr w:rsidR="00795585" w:rsidRPr="007E5D9A" w14:paraId="408E9D9B" w14:textId="77777777">
        <w:tc>
          <w:tcPr>
            <w:tcW w:w="0" w:type="auto"/>
            <w:tcBorders>
              <w:left w:val="nil"/>
              <w:bottom w:val="nil"/>
              <w:right w:val="nil"/>
            </w:tcBorders>
            <w:tcMar>
              <w:top w:w="74" w:type="dxa"/>
              <w:left w:w="74" w:type="dxa"/>
              <w:bottom w:w="74" w:type="dxa"/>
              <w:right w:w="74" w:type="dxa"/>
            </w:tcMar>
          </w:tcPr>
          <w:p w14:paraId="7AF20374" w14:textId="77777777" w:rsidR="00795585" w:rsidRPr="007E5D9A" w:rsidRDefault="00000000">
            <w:pPr>
              <w:widowControl/>
              <w:jc w:val="left"/>
              <w:textAlignment w:val="top"/>
              <w:rPr>
                <w:rFonts w:ascii="Times New Roman" w:hAnsi="Times New Roman" w:cs="Times New Roman"/>
              </w:rPr>
            </w:pPr>
            <w:r w:rsidRPr="007E5D9A">
              <w:rPr>
                <w:rFonts w:ascii="Times New Roman" w:eastAsia="宋体" w:hAnsi="Times New Roman" w:cs="Times New Roman"/>
                <w:kern w:val="0"/>
                <w:sz w:val="24"/>
                <w:lang w:bidi="ar"/>
              </w:rPr>
              <w:t>(Mechanistic Depth)</w:t>
            </w:r>
          </w:p>
        </w:tc>
        <w:tc>
          <w:tcPr>
            <w:tcW w:w="0" w:type="auto"/>
            <w:tcBorders>
              <w:bottom w:val="nil"/>
              <w:right w:val="nil"/>
            </w:tcBorders>
            <w:tcMar>
              <w:top w:w="74" w:type="dxa"/>
              <w:left w:w="74" w:type="dxa"/>
              <w:bottom w:w="74" w:type="dxa"/>
              <w:right w:w="74" w:type="dxa"/>
            </w:tcMar>
          </w:tcPr>
          <w:p w14:paraId="317B74D9" w14:textId="77777777" w:rsidR="00795585" w:rsidRPr="007E5D9A" w:rsidRDefault="00000000">
            <w:pPr>
              <w:widowControl/>
              <w:jc w:val="left"/>
              <w:textAlignment w:val="top"/>
              <w:rPr>
                <w:rFonts w:ascii="Times New Roman" w:hAnsi="Times New Roman" w:cs="Times New Roman"/>
              </w:rPr>
            </w:pPr>
            <w:r w:rsidRPr="007E5D9A">
              <w:rPr>
                <w:rFonts w:ascii="Times New Roman" w:eastAsia="宋体" w:hAnsi="Times New Roman" w:cs="Times New Roman"/>
                <w:kern w:val="0"/>
                <w:sz w:val="24"/>
                <w:lang w:bidi="ar"/>
              </w:rPr>
              <w:t>MMP-9</w:t>
            </w:r>
          </w:p>
        </w:tc>
        <w:tc>
          <w:tcPr>
            <w:tcW w:w="0" w:type="auto"/>
            <w:tcBorders>
              <w:bottom w:val="nil"/>
              <w:right w:val="nil"/>
            </w:tcBorders>
            <w:tcMar>
              <w:top w:w="74" w:type="dxa"/>
              <w:left w:w="74" w:type="dxa"/>
              <w:bottom w:w="74" w:type="dxa"/>
              <w:right w:w="74" w:type="dxa"/>
            </w:tcMar>
          </w:tcPr>
          <w:p w14:paraId="683E7E79" w14:textId="77777777" w:rsidR="00795585" w:rsidRPr="007E5D9A" w:rsidRDefault="00000000">
            <w:pPr>
              <w:widowControl/>
              <w:jc w:val="left"/>
              <w:textAlignment w:val="top"/>
              <w:rPr>
                <w:rFonts w:ascii="Times New Roman" w:hAnsi="Times New Roman" w:cs="Times New Roman"/>
              </w:rPr>
            </w:pPr>
            <w:r w:rsidRPr="007E5D9A">
              <w:rPr>
                <w:rFonts w:ascii="Times New Roman" w:eastAsia="宋体" w:hAnsi="Times New Roman" w:cs="Times New Roman"/>
                <w:kern w:val="0"/>
                <w:sz w:val="24"/>
                <w:lang w:bidi="ar"/>
              </w:rPr>
              <w:t>Zymography/Activity assay</w:t>
            </w:r>
          </w:p>
        </w:tc>
        <w:tc>
          <w:tcPr>
            <w:tcW w:w="0" w:type="auto"/>
            <w:tcBorders>
              <w:bottom w:val="nil"/>
              <w:right w:val="nil"/>
            </w:tcBorders>
            <w:tcMar>
              <w:top w:w="74" w:type="dxa"/>
              <w:left w:w="74" w:type="dxa"/>
              <w:bottom w:w="74" w:type="dxa"/>
              <w:right w:w="74" w:type="dxa"/>
            </w:tcMar>
          </w:tcPr>
          <w:p w14:paraId="4086D966" w14:textId="77777777" w:rsidR="00795585" w:rsidRPr="007E5D9A" w:rsidRDefault="00000000">
            <w:pPr>
              <w:widowControl/>
              <w:jc w:val="left"/>
              <w:textAlignment w:val="top"/>
              <w:rPr>
                <w:rFonts w:ascii="Times New Roman" w:hAnsi="Times New Roman" w:cs="Times New Roman"/>
              </w:rPr>
            </w:pPr>
            <w:r w:rsidRPr="007E5D9A">
              <w:rPr>
                <w:rFonts w:ascii="Times New Roman" w:eastAsia="宋体" w:hAnsi="Times New Roman" w:cs="Times New Roman"/>
                <w:kern w:val="0"/>
                <w:sz w:val="24"/>
                <w:lang w:bidi="ar"/>
              </w:rPr>
              <w:t>&gt;50 ng/mL (active)</w:t>
            </w:r>
          </w:p>
        </w:tc>
        <w:tc>
          <w:tcPr>
            <w:tcW w:w="0" w:type="auto"/>
            <w:tcBorders>
              <w:bottom w:val="nil"/>
              <w:right w:val="nil"/>
            </w:tcBorders>
            <w:tcMar>
              <w:top w:w="74" w:type="dxa"/>
              <w:left w:w="74" w:type="dxa"/>
              <w:bottom w:w="74" w:type="dxa"/>
              <w:right w:w="74" w:type="dxa"/>
            </w:tcMar>
          </w:tcPr>
          <w:p w14:paraId="104EF80C" w14:textId="77777777" w:rsidR="00795585" w:rsidRPr="007E5D9A" w:rsidRDefault="00000000">
            <w:pPr>
              <w:widowControl/>
              <w:jc w:val="left"/>
              <w:textAlignment w:val="top"/>
              <w:rPr>
                <w:rFonts w:ascii="Times New Roman" w:hAnsi="Times New Roman" w:cs="Times New Roman"/>
              </w:rPr>
            </w:pPr>
            <w:r w:rsidRPr="007E5D9A">
              <w:rPr>
                <w:rFonts w:ascii="Times New Roman" w:eastAsia="宋体" w:hAnsi="Times New Roman" w:cs="Times New Roman"/>
                <w:kern w:val="0"/>
                <w:sz w:val="24"/>
                <w:lang w:bidi="ar"/>
              </w:rPr>
              <w:t>ECM remodeling, fibrotic progression</w:t>
            </w:r>
            <w:r w:rsidRPr="007E5D9A">
              <w:rPr>
                <w:rFonts w:ascii="Times New Roman" w:eastAsia="宋体" w:hAnsi="Times New Roman" w:cs="Times New Roman"/>
                <w:kern w:val="0"/>
                <w:sz w:val="24"/>
                <w:lang w:bidi="ar"/>
              </w:rPr>
              <w:fldChar w:fldCharType="begin"/>
            </w:r>
            <w:r w:rsidRPr="007E5D9A">
              <w:rPr>
                <w:rFonts w:ascii="Times New Roman" w:eastAsia="宋体" w:hAnsi="Times New Roman" w:cs="Times New Roman"/>
                <w:kern w:val="0"/>
                <w:sz w:val="24"/>
                <w:lang w:bidi="ar"/>
              </w:rPr>
              <w:instrText xml:space="preserve"> ADDIN ZOTERO_ITEM CSL_CITATION {"citationID":"rxkubBy5","properties":{"formattedCitation":"[5]","plainCitation":"[5]","noteIndex":0},"citationItems":[{"id":"PT63WDpC/0Yym5PKn","uris":["http://zotero.org/users/local/pKm3rcyL/items/M9BBYNUA"],"itemData":{"id":9456,"type":"article-journal","container-title":"Journal of Biological Chemistry","DOI":"10.1074/jbc.274.31.21491","ISSN":"00219258","issue":"31","journalAbbreviation":"Journal of Biological Chemistry","language":"en","license":"https://www.elsevier.com/tdm/userlicense/1.0/","page":"21491-21494","source":"DOI.org (Crossref)","title":"Matrix Metalloproteinases","volume":"274","author":[{"family":"Nagase","given":"Hideaki"},{"family":"Woessner","given":"J. Frederick"}],"issued":{"date-parts":[["1999",7]]}}}],"schema":"https://github.com/citation-style-language/schema/raw/master/csl-citation.json"} </w:instrText>
            </w:r>
            <w:r w:rsidRPr="007E5D9A">
              <w:rPr>
                <w:rFonts w:ascii="Times New Roman" w:eastAsia="宋体" w:hAnsi="Times New Roman" w:cs="Times New Roman"/>
                <w:kern w:val="0"/>
                <w:sz w:val="24"/>
                <w:lang w:bidi="ar"/>
              </w:rPr>
              <w:fldChar w:fldCharType="separate"/>
            </w:r>
            <w:r w:rsidRPr="007E5D9A">
              <w:rPr>
                <w:rFonts w:ascii="Times New Roman" w:hAnsi="Times New Roman" w:cs="Times New Roman"/>
                <w:sz w:val="24"/>
              </w:rPr>
              <w:t>[5]</w:t>
            </w:r>
            <w:r w:rsidRPr="007E5D9A">
              <w:rPr>
                <w:rFonts w:ascii="Times New Roman" w:eastAsia="宋体" w:hAnsi="Times New Roman" w:cs="Times New Roman"/>
                <w:kern w:val="0"/>
                <w:sz w:val="24"/>
                <w:lang w:bidi="ar"/>
              </w:rPr>
              <w:fldChar w:fldCharType="end"/>
            </w:r>
          </w:p>
        </w:tc>
      </w:tr>
      <w:tr w:rsidR="00795585" w:rsidRPr="007E5D9A" w14:paraId="32CFF1EE" w14:textId="77777777">
        <w:tc>
          <w:tcPr>
            <w:tcW w:w="0" w:type="auto"/>
            <w:tcBorders>
              <w:left w:val="nil"/>
              <w:bottom w:val="nil"/>
              <w:right w:val="nil"/>
            </w:tcBorders>
            <w:tcMar>
              <w:top w:w="74" w:type="dxa"/>
              <w:left w:w="74" w:type="dxa"/>
              <w:bottom w:w="74" w:type="dxa"/>
              <w:right w:w="74" w:type="dxa"/>
            </w:tcMar>
          </w:tcPr>
          <w:p w14:paraId="3A411475" w14:textId="77777777" w:rsidR="00795585" w:rsidRPr="007E5D9A" w:rsidRDefault="00795585">
            <w:pPr>
              <w:jc w:val="left"/>
              <w:rPr>
                <w:rFonts w:ascii="Times New Roman" w:hAnsi="Times New Roman" w:cs="Times New Roman"/>
                <w:sz w:val="24"/>
              </w:rPr>
            </w:pPr>
          </w:p>
        </w:tc>
        <w:tc>
          <w:tcPr>
            <w:tcW w:w="0" w:type="auto"/>
            <w:tcBorders>
              <w:bottom w:val="nil"/>
              <w:right w:val="nil"/>
            </w:tcBorders>
            <w:tcMar>
              <w:top w:w="74" w:type="dxa"/>
              <w:left w:w="74" w:type="dxa"/>
              <w:bottom w:w="74" w:type="dxa"/>
              <w:right w:w="74" w:type="dxa"/>
            </w:tcMar>
          </w:tcPr>
          <w:p w14:paraId="6DBA9B7A" w14:textId="77777777" w:rsidR="00795585" w:rsidRPr="007E5D9A" w:rsidRDefault="00000000">
            <w:pPr>
              <w:widowControl/>
              <w:jc w:val="left"/>
              <w:textAlignment w:val="top"/>
              <w:rPr>
                <w:rFonts w:ascii="Times New Roman" w:hAnsi="Times New Roman" w:cs="Times New Roman"/>
              </w:rPr>
            </w:pPr>
            <w:r w:rsidRPr="007E5D9A">
              <w:rPr>
                <w:rFonts w:ascii="Times New Roman" w:eastAsia="宋体" w:hAnsi="Times New Roman" w:cs="Times New Roman"/>
                <w:kern w:val="0"/>
                <w:sz w:val="24"/>
                <w:lang w:bidi="ar"/>
              </w:rPr>
              <w:t>NGAL</w:t>
            </w:r>
          </w:p>
        </w:tc>
        <w:tc>
          <w:tcPr>
            <w:tcW w:w="0" w:type="auto"/>
            <w:tcBorders>
              <w:bottom w:val="nil"/>
              <w:right w:val="nil"/>
            </w:tcBorders>
            <w:tcMar>
              <w:top w:w="74" w:type="dxa"/>
              <w:left w:w="74" w:type="dxa"/>
              <w:bottom w:w="74" w:type="dxa"/>
              <w:right w:w="74" w:type="dxa"/>
            </w:tcMar>
          </w:tcPr>
          <w:p w14:paraId="2AEB8265" w14:textId="77777777" w:rsidR="00795585" w:rsidRPr="007E5D9A" w:rsidRDefault="00000000">
            <w:pPr>
              <w:widowControl/>
              <w:jc w:val="left"/>
              <w:textAlignment w:val="top"/>
              <w:rPr>
                <w:rFonts w:ascii="Times New Roman" w:hAnsi="Times New Roman" w:cs="Times New Roman"/>
              </w:rPr>
            </w:pPr>
            <w:r w:rsidRPr="007E5D9A">
              <w:rPr>
                <w:rFonts w:ascii="Times New Roman" w:eastAsia="宋体" w:hAnsi="Times New Roman" w:cs="Times New Roman"/>
                <w:kern w:val="0"/>
                <w:sz w:val="24"/>
                <w:lang w:bidi="ar"/>
              </w:rPr>
              <w:t>ELISA</w:t>
            </w:r>
          </w:p>
        </w:tc>
        <w:tc>
          <w:tcPr>
            <w:tcW w:w="0" w:type="auto"/>
            <w:tcBorders>
              <w:bottom w:val="nil"/>
              <w:right w:val="nil"/>
            </w:tcBorders>
            <w:tcMar>
              <w:top w:w="74" w:type="dxa"/>
              <w:left w:w="74" w:type="dxa"/>
              <w:bottom w:w="74" w:type="dxa"/>
              <w:right w:w="74" w:type="dxa"/>
            </w:tcMar>
          </w:tcPr>
          <w:p w14:paraId="27F625E6" w14:textId="77777777" w:rsidR="00795585" w:rsidRPr="007E5D9A" w:rsidRDefault="00000000">
            <w:pPr>
              <w:widowControl/>
              <w:jc w:val="left"/>
              <w:textAlignment w:val="top"/>
              <w:rPr>
                <w:rFonts w:ascii="Times New Roman" w:hAnsi="Times New Roman" w:cs="Times New Roman"/>
              </w:rPr>
            </w:pPr>
            <w:r w:rsidRPr="007E5D9A">
              <w:rPr>
                <w:rFonts w:ascii="Times New Roman" w:eastAsia="宋体" w:hAnsi="Times New Roman" w:cs="Times New Roman"/>
                <w:kern w:val="0"/>
                <w:sz w:val="24"/>
                <w:lang w:bidi="ar"/>
              </w:rPr>
              <w:t>&gt;150 ng/mL (plasma)</w:t>
            </w:r>
          </w:p>
        </w:tc>
        <w:tc>
          <w:tcPr>
            <w:tcW w:w="0" w:type="auto"/>
            <w:tcBorders>
              <w:bottom w:val="nil"/>
              <w:right w:val="nil"/>
            </w:tcBorders>
            <w:tcMar>
              <w:top w:w="74" w:type="dxa"/>
              <w:left w:w="74" w:type="dxa"/>
              <w:bottom w:w="74" w:type="dxa"/>
              <w:right w:w="74" w:type="dxa"/>
            </w:tcMar>
          </w:tcPr>
          <w:p w14:paraId="2918ADCA" w14:textId="77777777" w:rsidR="00795585" w:rsidRPr="007E5D9A" w:rsidRDefault="00000000">
            <w:pPr>
              <w:widowControl/>
              <w:jc w:val="left"/>
              <w:textAlignment w:val="top"/>
              <w:rPr>
                <w:rFonts w:ascii="Times New Roman" w:hAnsi="Times New Roman" w:cs="Times New Roman"/>
              </w:rPr>
            </w:pPr>
            <w:r w:rsidRPr="007E5D9A">
              <w:rPr>
                <w:rFonts w:ascii="Times New Roman" w:eastAsia="宋体" w:hAnsi="Times New Roman" w:cs="Times New Roman"/>
                <w:kern w:val="0"/>
                <w:sz w:val="24"/>
                <w:lang w:bidi="ar"/>
              </w:rPr>
              <w:t>Neutrophil activation, renal tubular stress</w:t>
            </w:r>
            <w:r w:rsidRPr="007E5D9A">
              <w:rPr>
                <w:rFonts w:ascii="Times New Roman" w:eastAsia="宋体" w:hAnsi="Times New Roman" w:cs="Times New Roman"/>
                <w:kern w:val="0"/>
                <w:sz w:val="24"/>
                <w:lang w:bidi="ar"/>
              </w:rPr>
              <w:fldChar w:fldCharType="begin"/>
            </w:r>
            <w:r w:rsidRPr="007E5D9A">
              <w:rPr>
                <w:rFonts w:ascii="Times New Roman" w:eastAsia="宋体" w:hAnsi="Times New Roman" w:cs="Times New Roman"/>
                <w:kern w:val="0"/>
                <w:sz w:val="24"/>
                <w:lang w:bidi="ar"/>
              </w:rPr>
              <w:instrText xml:space="preserve"> ADDIN ZOTERO_ITEM CSL_CITATION {"citationID":"Bzk8tztK","properties":{"formattedCitation":"[6]","plainCitation":"[6]","noteIndex":0},"citationItems":[{"id":"PT63WDpC/4APCKkCA","uris":["http://zotero.org/users/local/pKm3rcyL/items/DF257CZW"],"itemData":{"id":9458,"type":"article-journal","container-title":"Scandinavian Journal of Clinical and Laboratory Investigation","DOI":"10.1080/00365510802150158","ISSN":"0036-5513, 1502-7686","issue":"sup241","journalAbbreviation":"Scandinavian Journal of Clinical and Laboratory Investigation","language":"en","page":"89-94","source":"DOI.org (Crossref)","title":"Neutrophil gelatinase‐associated lipocalin (NGAL): A new marker of kidney disease","title-short":"Neutrophil gelatinase‐associated lipocalin (NGAL)","volume":"68","author":[{"family":"Devarajan","given":"Peasad"}],"issued":{"date-parts":[["2008",1]]}}}],"schema":"https://github.com/citation-style-language/schema/raw/master/csl-citation.json"} </w:instrText>
            </w:r>
            <w:r w:rsidRPr="007E5D9A">
              <w:rPr>
                <w:rFonts w:ascii="Times New Roman" w:eastAsia="宋体" w:hAnsi="Times New Roman" w:cs="Times New Roman"/>
                <w:kern w:val="0"/>
                <w:sz w:val="24"/>
                <w:lang w:bidi="ar"/>
              </w:rPr>
              <w:fldChar w:fldCharType="separate"/>
            </w:r>
            <w:r w:rsidRPr="007E5D9A">
              <w:rPr>
                <w:rFonts w:ascii="Times New Roman" w:hAnsi="Times New Roman" w:cs="Times New Roman"/>
                <w:sz w:val="24"/>
              </w:rPr>
              <w:t>[6]</w:t>
            </w:r>
            <w:r w:rsidRPr="007E5D9A">
              <w:rPr>
                <w:rFonts w:ascii="Times New Roman" w:eastAsia="宋体" w:hAnsi="Times New Roman" w:cs="Times New Roman"/>
                <w:kern w:val="0"/>
                <w:sz w:val="24"/>
                <w:lang w:bidi="ar"/>
              </w:rPr>
              <w:fldChar w:fldCharType="end"/>
            </w:r>
          </w:p>
        </w:tc>
      </w:tr>
      <w:tr w:rsidR="00795585" w:rsidRPr="007E5D9A" w14:paraId="1DEAD90B" w14:textId="77777777">
        <w:tc>
          <w:tcPr>
            <w:tcW w:w="0" w:type="auto"/>
            <w:tcBorders>
              <w:left w:val="nil"/>
              <w:bottom w:val="nil"/>
              <w:right w:val="nil"/>
            </w:tcBorders>
            <w:tcMar>
              <w:top w:w="74" w:type="dxa"/>
              <w:left w:w="74" w:type="dxa"/>
              <w:bottom w:w="74" w:type="dxa"/>
              <w:right w:w="74" w:type="dxa"/>
            </w:tcMar>
          </w:tcPr>
          <w:p w14:paraId="6E80FF3D" w14:textId="77777777" w:rsidR="00795585" w:rsidRPr="007E5D9A" w:rsidRDefault="00795585">
            <w:pPr>
              <w:jc w:val="left"/>
              <w:rPr>
                <w:rFonts w:ascii="Times New Roman" w:hAnsi="Times New Roman" w:cs="Times New Roman"/>
                <w:sz w:val="24"/>
              </w:rPr>
            </w:pPr>
          </w:p>
        </w:tc>
        <w:tc>
          <w:tcPr>
            <w:tcW w:w="0" w:type="auto"/>
            <w:tcBorders>
              <w:bottom w:val="nil"/>
              <w:right w:val="nil"/>
            </w:tcBorders>
            <w:tcMar>
              <w:top w:w="74" w:type="dxa"/>
              <w:left w:w="74" w:type="dxa"/>
              <w:bottom w:w="74" w:type="dxa"/>
              <w:right w:w="74" w:type="dxa"/>
            </w:tcMar>
          </w:tcPr>
          <w:p w14:paraId="65CCC7CF" w14:textId="77777777" w:rsidR="00795585" w:rsidRPr="007E5D9A" w:rsidRDefault="00000000">
            <w:pPr>
              <w:widowControl/>
              <w:jc w:val="left"/>
              <w:textAlignment w:val="top"/>
              <w:rPr>
                <w:rFonts w:ascii="Times New Roman" w:hAnsi="Times New Roman" w:cs="Times New Roman"/>
              </w:rPr>
            </w:pPr>
            <w:proofErr w:type="spellStart"/>
            <w:r w:rsidRPr="007E5D9A">
              <w:rPr>
                <w:rFonts w:ascii="Times New Roman" w:eastAsia="宋体" w:hAnsi="Times New Roman" w:cs="Times New Roman"/>
                <w:kern w:val="0"/>
                <w:sz w:val="24"/>
                <w:lang w:bidi="ar"/>
              </w:rPr>
              <w:t>suPAR</w:t>
            </w:r>
            <w:proofErr w:type="spellEnd"/>
          </w:p>
        </w:tc>
        <w:tc>
          <w:tcPr>
            <w:tcW w:w="0" w:type="auto"/>
            <w:tcBorders>
              <w:bottom w:val="nil"/>
              <w:right w:val="nil"/>
            </w:tcBorders>
            <w:tcMar>
              <w:top w:w="74" w:type="dxa"/>
              <w:left w:w="74" w:type="dxa"/>
              <w:bottom w:w="74" w:type="dxa"/>
              <w:right w:w="74" w:type="dxa"/>
            </w:tcMar>
          </w:tcPr>
          <w:p w14:paraId="7C1A4BC1" w14:textId="77777777" w:rsidR="00795585" w:rsidRPr="007E5D9A" w:rsidRDefault="00000000">
            <w:pPr>
              <w:widowControl/>
              <w:jc w:val="left"/>
              <w:textAlignment w:val="top"/>
              <w:rPr>
                <w:rFonts w:ascii="Times New Roman" w:hAnsi="Times New Roman" w:cs="Times New Roman"/>
              </w:rPr>
            </w:pPr>
            <w:r w:rsidRPr="007E5D9A">
              <w:rPr>
                <w:rFonts w:ascii="Times New Roman" w:eastAsia="宋体" w:hAnsi="Times New Roman" w:cs="Times New Roman"/>
                <w:kern w:val="0"/>
                <w:sz w:val="24"/>
                <w:lang w:bidi="ar"/>
              </w:rPr>
              <w:t>ELISA</w:t>
            </w:r>
          </w:p>
        </w:tc>
        <w:tc>
          <w:tcPr>
            <w:tcW w:w="0" w:type="auto"/>
            <w:tcBorders>
              <w:bottom w:val="nil"/>
              <w:right w:val="nil"/>
            </w:tcBorders>
            <w:tcMar>
              <w:top w:w="74" w:type="dxa"/>
              <w:left w:w="74" w:type="dxa"/>
              <w:bottom w:w="74" w:type="dxa"/>
              <w:right w:w="74" w:type="dxa"/>
            </w:tcMar>
          </w:tcPr>
          <w:p w14:paraId="17D9191C" w14:textId="77777777" w:rsidR="00795585" w:rsidRPr="007E5D9A" w:rsidRDefault="00000000">
            <w:pPr>
              <w:widowControl/>
              <w:jc w:val="left"/>
              <w:textAlignment w:val="top"/>
              <w:rPr>
                <w:rFonts w:ascii="Times New Roman" w:hAnsi="Times New Roman" w:cs="Times New Roman"/>
              </w:rPr>
            </w:pPr>
            <w:r w:rsidRPr="007E5D9A">
              <w:rPr>
                <w:rFonts w:ascii="Times New Roman" w:eastAsia="宋体" w:hAnsi="Times New Roman" w:cs="Times New Roman"/>
                <w:kern w:val="0"/>
                <w:sz w:val="24"/>
                <w:lang w:bidi="ar"/>
              </w:rPr>
              <w:t>&gt;3.0 ng/mL</w:t>
            </w:r>
          </w:p>
        </w:tc>
        <w:tc>
          <w:tcPr>
            <w:tcW w:w="0" w:type="auto"/>
            <w:tcBorders>
              <w:bottom w:val="nil"/>
              <w:right w:val="nil"/>
            </w:tcBorders>
            <w:tcMar>
              <w:top w:w="74" w:type="dxa"/>
              <w:left w:w="74" w:type="dxa"/>
              <w:bottom w:w="74" w:type="dxa"/>
              <w:right w:w="74" w:type="dxa"/>
            </w:tcMar>
          </w:tcPr>
          <w:p w14:paraId="7EA51385" w14:textId="77777777" w:rsidR="00795585" w:rsidRPr="007E5D9A" w:rsidRDefault="00000000">
            <w:pPr>
              <w:widowControl/>
              <w:jc w:val="left"/>
              <w:textAlignment w:val="top"/>
              <w:rPr>
                <w:rFonts w:ascii="Times New Roman" w:hAnsi="Times New Roman" w:cs="Times New Roman"/>
              </w:rPr>
            </w:pPr>
            <w:r w:rsidRPr="007E5D9A">
              <w:rPr>
                <w:rFonts w:ascii="Times New Roman" w:eastAsia="宋体" w:hAnsi="Times New Roman" w:cs="Times New Roman"/>
                <w:kern w:val="0"/>
                <w:sz w:val="24"/>
                <w:lang w:bidi="ar"/>
              </w:rPr>
              <w:t>Immune activation, CKD progression risk</w:t>
            </w:r>
            <w:r w:rsidRPr="007E5D9A">
              <w:rPr>
                <w:rFonts w:ascii="Times New Roman" w:eastAsia="宋体" w:hAnsi="Times New Roman" w:cs="Times New Roman"/>
                <w:kern w:val="0"/>
                <w:sz w:val="24"/>
                <w:lang w:bidi="ar"/>
              </w:rPr>
              <w:fldChar w:fldCharType="begin"/>
            </w:r>
            <w:r w:rsidRPr="007E5D9A">
              <w:rPr>
                <w:rFonts w:ascii="Times New Roman" w:eastAsia="宋体" w:hAnsi="Times New Roman" w:cs="Times New Roman"/>
                <w:kern w:val="0"/>
                <w:sz w:val="24"/>
                <w:lang w:bidi="ar"/>
              </w:rPr>
              <w:instrText xml:space="preserve"> ADDIN ZOTERO_ITEM CSL_CITATION {"citationID":"p8keZWDV","properties":{"formattedCitation":"[7]","plainCitation":"[7]","noteIndex":0},"citationItems":[{"id":"PT63WDpC/kDH5LnWO","uris":["http://zotero.org/users/local/pKm3rcyL/items/FJ93T6DF"],"itemData":{"id":9460,"type":"article-journal","container-title":"New England Journal of Medicine","DOI":"10.1056/NEJMoa1506362","ISSN":"0028-4793, 1533-4406","issue":"20","journalAbbreviation":"N Engl J Med","language":"en","page":"1916-1925","source":"DOI.org (Crossref)","title":"Soluble Urokinase Receptor and Chronic Kidney Disease","volume":"373","author":[{"family":"Hayek","given":"Salim S."},{"family":"Sever","given":"Sanja"},{"family":"Ko","given":"Yi-An"},{"family":"Trachtman","given":"Howard"},{"family":"Awad","given":"Mosaab"},{"family":"Wadhwani","given":"Shikha"},{"family":"Altintas","given":"Mehmet M."},{"family":"Wei","given":"Changli"},{"family":"Hotton","given":"Anna L."},{"family":"French","given":"Audrey L."},{"family":"Sperling","given":"Laurence S."},{"family":"Lerakis","given":"Stamatios"},{"family":"Quyyumi","given":"Arshed A."},{"family":"Reiser","given":"Jochen"}],"issued":{"date-parts":[["2015",11,12]]}}}],"schema":"https://github.com/citation-style-language/schema/raw/master/csl-citation.json"} </w:instrText>
            </w:r>
            <w:r w:rsidRPr="007E5D9A">
              <w:rPr>
                <w:rFonts w:ascii="Times New Roman" w:eastAsia="宋体" w:hAnsi="Times New Roman" w:cs="Times New Roman"/>
                <w:kern w:val="0"/>
                <w:sz w:val="24"/>
                <w:lang w:bidi="ar"/>
              </w:rPr>
              <w:fldChar w:fldCharType="separate"/>
            </w:r>
            <w:r w:rsidRPr="007E5D9A">
              <w:rPr>
                <w:rFonts w:ascii="Times New Roman" w:hAnsi="Times New Roman" w:cs="Times New Roman"/>
                <w:sz w:val="24"/>
              </w:rPr>
              <w:t>[7]</w:t>
            </w:r>
            <w:r w:rsidRPr="007E5D9A">
              <w:rPr>
                <w:rFonts w:ascii="Times New Roman" w:eastAsia="宋体" w:hAnsi="Times New Roman" w:cs="Times New Roman"/>
                <w:kern w:val="0"/>
                <w:sz w:val="24"/>
                <w:lang w:bidi="ar"/>
              </w:rPr>
              <w:fldChar w:fldCharType="end"/>
            </w:r>
          </w:p>
        </w:tc>
      </w:tr>
      <w:tr w:rsidR="00795585" w:rsidRPr="007E5D9A" w14:paraId="78F2BF4E" w14:textId="77777777">
        <w:tc>
          <w:tcPr>
            <w:tcW w:w="0" w:type="auto"/>
            <w:tcBorders>
              <w:left w:val="nil"/>
              <w:bottom w:val="nil"/>
              <w:right w:val="nil"/>
            </w:tcBorders>
            <w:tcMar>
              <w:top w:w="74" w:type="dxa"/>
              <w:left w:w="74" w:type="dxa"/>
              <w:bottom w:w="74" w:type="dxa"/>
              <w:right w:w="74" w:type="dxa"/>
            </w:tcMar>
          </w:tcPr>
          <w:p w14:paraId="55953B0F" w14:textId="77777777" w:rsidR="00795585" w:rsidRPr="007E5D9A" w:rsidRDefault="00000000">
            <w:pPr>
              <w:widowControl/>
              <w:jc w:val="left"/>
              <w:textAlignment w:val="top"/>
              <w:rPr>
                <w:rFonts w:ascii="Times New Roman" w:hAnsi="Times New Roman" w:cs="Times New Roman"/>
              </w:rPr>
            </w:pPr>
            <w:r w:rsidRPr="007E5D9A">
              <w:rPr>
                <w:rStyle w:val="a9"/>
                <w:rFonts w:ascii="Times New Roman" w:eastAsia="宋体" w:hAnsi="Times New Roman" w:cs="Times New Roman"/>
                <w:bCs/>
                <w:kern w:val="0"/>
                <w:sz w:val="24"/>
                <w:lang w:bidi="ar"/>
              </w:rPr>
              <w:t>3. MCK-Specific Mediators</w:t>
            </w:r>
          </w:p>
        </w:tc>
        <w:tc>
          <w:tcPr>
            <w:tcW w:w="0" w:type="auto"/>
            <w:tcBorders>
              <w:bottom w:val="nil"/>
              <w:right w:val="nil"/>
            </w:tcBorders>
            <w:tcMar>
              <w:top w:w="74" w:type="dxa"/>
              <w:left w:w="74" w:type="dxa"/>
              <w:bottom w:w="74" w:type="dxa"/>
              <w:right w:w="74" w:type="dxa"/>
            </w:tcMar>
          </w:tcPr>
          <w:p w14:paraId="590793E7" w14:textId="77777777" w:rsidR="00795585" w:rsidRPr="007E5D9A" w:rsidRDefault="00000000">
            <w:pPr>
              <w:widowControl/>
              <w:jc w:val="left"/>
              <w:textAlignment w:val="top"/>
              <w:rPr>
                <w:rFonts w:ascii="Times New Roman" w:hAnsi="Times New Roman" w:cs="Times New Roman"/>
              </w:rPr>
            </w:pPr>
            <w:r w:rsidRPr="007E5D9A">
              <w:rPr>
                <w:rFonts w:ascii="Times New Roman" w:eastAsia="宋体" w:hAnsi="Times New Roman" w:cs="Times New Roman"/>
                <w:kern w:val="0"/>
                <w:sz w:val="24"/>
                <w:lang w:bidi="ar"/>
              </w:rPr>
              <w:t>FGF21</w:t>
            </w:r>
          </w:p>
        </w:tc>
        <w:tc>
          <w:tcPr>
            <w:tcW w:w="0" w:type="auto"/>
            <w:tcBorders>
              <w:bottom w:val="nil"/>
              <w:right w:val="nil"/>
            </w:tcBorders>
            <w:tcMar>
              <w:top w:w="74" w:type="dxa"/>
              <w:left w:w="74" w:type="dxa"/>
              <w:bottom w:w="74" w:type="dxa"/>
              <w:right w:w="74" w:type="dxa"/>
            </w:tcMar>
          </w:tcPr>
          <w:p w14:paraId="12C1DC83" w14:textId="77777777" w:rsidR="00795585" w:rsidRPr="007E5D9A" w:rsidRDefault="00000000">
            <w:pPr>
              <w:widowControl/>
              <w:jc w:val="left"/>
              <w:textAlignment w:val="top"/>
              <w:rPr>
                <w:rFonts w:ascii="Times New Roman" w:hAnsi="Times New Roman" w:cs="Times New Roman"/>
              </w:rPr>
            </w:pPr>
            <w:r w:rsidRPr="007E5D9A">
              <w:rPr>
                <w:rFonts w:ascii="Times New Roman" w:eastAsia="宋体" w:hAnsi="Times New Roman" w:cs="Times New Roman"/>
                <w:kern w:val="0"/>
                <w:sz w:val="24"/>
                <w:lang w:bidi="ar"/>
              </w:rPr>
              <w:t>ELISA/Chemiluminescence</w:t>
            </w:r>
          </w:p>
        </w:tc>
        <w:tc>
          <w:tcPr>
            <w:tcW w:w="0" w:type="auto"/>
            <w:tcBorders>
              <w:bottom w:val="nil"/>
              <w:right w:val="nil"/>
            </w:tcBorders>
            <w:tcMar>
              <w:top w:w="74" w:type="dxa"/>
              <w:left w:w="74" w:type="dxa"/>
              <w:bottom w:w="74" w:type="dxa"/>
              <w:right w:w="74" w:type="dxa"/>
            </w:tcMar>
          </w:tcPr>
          <w:p w14:paraId="32354E08" w14:textId="77777777" w:rsidR="00795585" w:rsidRPr="007E5D9A" w:rsidRDefault="00000000">
            <w:pPr>
              <w:widowControl/>
              <w:jc w:val="left"/>
              <w:textAlignment w:val="top"/>
              <w:rPr>
                <w:rFonts w:ascii="Times New Roman" w:hAnsi="Times New Roman" w:cs="Times New Roman"/>
              </w:rPr>
            </w:pPr>
            <w:r w:rsidRPr="007E5D9A">
              <w:rPr>
                <w:rFonts w:ascii="Times New Roman" w:eastAsia="宋体" w:hAnsi="Times New Roman" w:cs="Times New Roman"/>
                <w:kern w:val="0"/>
                <w:sz w:val="24"/>
                <w:lang w:bidi="ar"/>
              </w:rPr>
              <w:t xml:space="preserve">&gt;200 </w:t>
            </w:r>
            <w:proofErr w:type="spellStart"/>
            <w:r w:rsidRPr="007E5D9A">
              <w:rPr>
                <w:rFonts w:ascii="Times New Roman" w:eastAsia="宋体" w:hAnsi="Times New Roman" w:cs="Times New Roman"/>
                <w:kern w:val="0"/>
                <w:sz w:val="24"/>
                <w:lang w:bidi="ar"/>
              </w:rPr>
              <w:t>pg</w:t>
            </w:r>
            <w:proofErr w:type="spellEnd"/>
            <w:r w:rsidRPr="007E5D9A">
              <w:rPr>
                <w:rFonts w:ascii="Times New Roman" w:eastAsia="宋体" w:hAnsi="Times New Roman" w:cs="Times New Roman"/>
                <w:kern w:val="0"/>
                <w:sz w:val="24"/>
                <w:lang w:bidi="ar"/>
              </w:rPr>
              <w:t>/mL</w:t>
            </w:r>
          </w:p>
        </w:tc>
        <w:tc>
          <w:tcPr>
            <w:tcW w:w="0" w:type="auto"/>
            <w:tcBorders>
              <w:bottom w:val="nil"/>
              <w:right w:val="nil"/>
            </w:tcBorders>
            <w:tcMar>
              <w:top w:w="74" w:type="dxa"/>
              <w:left w:w="74" w:type="dxa"/>
              <w:bottom w:w="74" w:type="dxa"/>
              <w:right w:w="74" w:type="dxa"/>
            </w:tcMar>
          </w:tcPr>
          <w:p w14:paraId="41FF4479" w14:textId="77777777" w:rsidR="00795585" w:rsidRPr="007E5D9A" w:rsidRDefault="00000000">
            <w:pPr>
              <w:widowControl/>
              <w:jc w:val="left"/>
              <w:textAlignment w:val="top"/>
              <w:rPr>
                <w:rFonts w:ascii="Times New Roman" w:hAnsi="Times New Roman" w:cs="Times New Roman"/>
              </w:rPr>
            </w:pPr>
            <w:proofErr w:type="spellStart"/>
            <w:r w:rsidRPr="007E5D9A">
              <w:rPr>
                <w:rFonts w:ascii="Times New Roman" w:eastAsia="宋体" w:hAnsi="Times New Roman" w:cs="Times New Roman"/>
                <w:kern w:val="0"/>
                <w:sz w:val="24"/>
                <w:lang w:bidi="ar"/>
              </w:rPr>
              <w:t>Hepatokine</w:t>
            </w:r>
            <w:proofErr w:type="spellEnd"/>
            <w:r w:rsidRPr="007E5D9A">
              <w:rPr>
                <w:rFonts w:ascii="Times New Roman" w:eastAsia="宋体" w:hAnsi="Times New Roman" w:cs="Times New Roman"/>
                <w:kern w:val="0"/>
                <w:sz w:val="24"/>
                <w:lang w:bidi="ar"/>
              </w:rPr>
              <w:t xml:space="preserve"> </w:t>
            </w:r>
            <w:proofErr w:type="spellStart"/>
            <w:r w:rsidRPr="007E5D9A">
              <w:rPr>
                <w:rFonts w:ascii="Times New Roman" w:eastAsia="宋体" w:hAnsi="Times New Roman" w:cs="Times New Roman"/>
                <w:kern w:val="0"/>
                <w:sz w:val="24"/>
                <w:lang w:bidi="ar"/>
              </w:rPr>
              <w:t>cardioprotection</w:t>
            </w:r>
            <w:proofErr w:type="spellEnd"/>
            <w:r w:rsidRPr="007E5D9A">
              <w:rPr>
                <w:rFonts w:ascii="Times New Roman" w:eastAsia="宋体" w:hAnsi="Times New Roman" w:cs="Times New Roman"/>
                <w:kern w:val="0"/>
                <w:sz w:val="24"/>
                <w:lang w:bidi="ar"/>
              </w:rPr>
              <w:t xml:space="preserve">, </w:t>
            </w:r>
            <w:proofErr w:type="spellStart"/>
            <w:r w:rsidRPr="007E5D9A">
              <w:rPr>
                <w:rFonts w:ascii="Times New Roman" w:eastAsia="宋体" w:hAnsi="Times New Roman" w:cs="Times New Roman"/>
                <w:kern w:val="0"/>
                <w:sz w:val="24"/>
                <w:lang w:bidi="ar"/>
              </w:rPr>
              <w:t>HFpEF</w:t>
            </w:r>
            <w:proofErr w:type="spellEnd"/>
            <w:r w:rsidRPr="007E5D9A">
              <w:rPr>
                <w:rFonts w:ascii="Times New Roman" w:eastAsia="宋体" w:hAnsi="Times New Roman" w:cs="Times New Roman"/>
                <w:kern w:val="0"/>
                <w:sz w:val="24"/>
                <w:lang w:bidi="ar"/>
              </w:rPr>
              <w:t xml:space="preserve"> severity</w:t>
            </w:r>
            <w:r w:rsidRPr="007E5D9A">
              <w:rPr>
                <w:rFonts w:ascii="Times New Roman" w:eastAsia="宋体" w:hAnsi="Times New Roman" w:cs="Times New Roman"/>
                <w:kern w:val="0"/>
                <w:sz w:val="24"/>
                <w:lang w:bidi="ar"/>
              </w:rPr>
              <w:fldChar w:fldCharType="begin"/>
            </w:r>
            <w:r w:rsidRPr="007E5D9A">
              <w:rPr>
                <w:rFonts w:ascii="Times New Roman" w:eastAsia="宋体" w:hAnsi="Times New Roman" w:cs="Times New Roman"/>
                <w:kern w:val="0"/>
                <w:sz w:val="24"/>
                <w:lang w:bidi="ar"/>
              </w:rPr>
              <w:instrText xml:space="preserve"> ADDIN ZOTERO_ITEM CSL_CITATION {"citationID":"llOabKID","properties":{"formattedCitation":"[8,9]","plainCitation":"[8,9]","noteIndex":0},"citationItems":[{"id":"PT63WDpC/nUIkH7bq","uris":["http://zotero.org/users/local/pKm3rcyL/items/PHP2INQG"],"itemData":{"id":9504,"type":"article-journal","container-title":"Journal of the American College of Cardiology","DOI":"10.1016/j.jacc.2008.07.051","ISSN":"07351097","issue":"19","journalAbbreviation":"Journal of the American College of Cardiology","language":"en","page":"1527-1539","source":"DOI.org (Crossref)","title":"Cardiorenal Syndrome","volume":"52","author":[{"family":"Ronco","given":"Claudio"},{"family":"Haapio","given":"Mikko"},{"family":"House","given":"Andrew A."},{"family":"Anavekar","given":"Nagesh"},{"family":"Bellomo","given":"Rinaldo"}],"issued":{"date-parts":[["2008",11]]}},"label":"page"},{"id":"PT63WDpC/STFyfnkV","uris":["http://zotero.org/users/local/pKm3rcyL/items/NJWFPDG5"],"itemData":{"id":9518,"type":"article-journal","container-title":"New England Journal of Medicine","DOI":"10.1056/NEJMoa2306963","ISSN":"0028-4793, 1533-4406","issue":"12","journalAbbreviation":"N Engl J Med","language":"en","license":"http://www.nejmgroup.org/legal/terms-of-use.htm","page":"1069-1084","source":"DOI.org (Crossref)","title":"Semaglutide in Patients with Heart Failure with Preserved Ejection Fraction and Obesity","volume":"389","author":[{"family":"Kosiborod","given":"Mikhail N."},{"family":"Abildstrøm","given":"Steen Z."},{"family":"Borlaug","given":"Barry A."},{"family":"Butler","given":"Javed"},{"family":"Rasmussen","given":"Søren"},{"family":"Davies","given":"Melanie"},{"family":"Hovingh","given":"G. Kees"},{"family":"Kitzman","given":"Dalane W."},{"family":"Lindegaard","given":"Marie L."},{"family":"Møller","given":"Daniél V."},{"family":"Shah","given":"Sanjiv J."},{"family":"Treppendahl","given":"Marianne B."},{"family":"Verma","given":"Subodh"},{"family":"Abhayaratna","given":"Walter"},{"family":"Ahmed","given":"Fozia Z."},{"family":"Chopra","given":"Vijay"},{"family":"Ezekowitz","given":"Justin"},{"family":"Fu","given":"Michael"},{"family":"Ito","given":"Hiroshi"},{"family":"Lelonek","given":"Małgorzata"},{"family":"Melenovsky","given":"Vojtech"},{"family":"Merkely","given":"Bela"},{"family":"Núñez","given":"Julio"},{"family":"Perna","given":"Eduardo"},{"family":"Schou","given":"Morten"},{"family":"Senni","given":"Michele"},{"family":"Sharma","given":"Kavita"},{"family":"Van Der Meer","given":"Peter"},{"family":"Von Lewinski","given":"Dirk"},{"family":"Wolf","given":"Dennis"},{"family":"Petrie","given":"Mark C"}],"issued":{"date-parts":[["2023",9,21]]}},"label":"page"}],"schema":"https://github.com/citation-style-language/schema/raw/master/csl-citation.json"} </w:instrText>
            </w:r>
            <w:r w:rsidRPr="007E5D9A">
              <w:rPr>
                <w:rFonts w:ascii="Times New Roman" w:eastAsia="宋体" w:hAnsi="Times New Roman" w:cs="Times New Roman"/>
                <w:kern w:val="0"/>
                <w:sz w:val="24"/>
                <w:lang w:bidi="ar"/>
              </w:rPr>
              <w:fldChar w:fldCharType="separate"/>
            </w:r>
            <w:r w:rsidRPr="007E5D9A">
              <w:rPr>
                <w:rFonts w:ascii="Times New Roman" w:hAnsi="Times New Roman" w:cs="Times New Roman"/>
                <w:sz w:val="24"/>
              </w:rPr>
              <w:t>[8,9]</w:t>
            </w:r>
            <w:r w:rsidRPr="007E5D9A">
              <w:rPr>
                <w:rFonts w:ascii="Times New Roman" w:eastAsia="宋体" w:hAnsi="Times New Roman" w:cs="Times New Roman"/>
                <w:kern w:val="0"/>
                <w:sz w:val="24"/>
                <w:lang w:bidi="ar"/>
              </w:rPr>
              <w:fldChar w:fldCharType="end"/>
            </w:r>
          </w:p>
        </w:tc>
      </w:tr>
      <w:tr w:rsidR="00795585" w:rsidRPr="007E5D9A" w14:paraId="1BC30A62" w14:textId="77777777">
        <w:tc>
          <w:tcPr>
            <w:tcW w:w="0" w:type="auto"/>
            <w:tcBorders>
              <w:left w:val="nil"/>
              <w:bottom w:val="nil"/>
              <w:right w:val="nil"/>
            </w:tcBorders>
            <w:tcMar>
              <w:top w:w="74" w:type="dxa"/>
              <w:left w:w="74" w:type="dxa"/>
              <w:bottom w:w="74" w:type="dxa"/>
              <w:right w:w="74" w:type="dxa"/>
            </w:tcMar>
          </w:tcPr>
          <w:p w14:paraId="13A1FC04" w14:textId="77777777" w:rsidR="00795585" w:rsidRPr="007E5D9A" w:rsidRDefault="00000000">
            <w:pPr>
              <w:widowControl/>
              <w:jc w:val="left"/>
              <w:textAlignment w:val="top"/>
              <w:rPr>
                <w:rFonts w:ascii="Times New Roman" w:hAnsi="Times New Roman" w:cs="Times New Roman"/>
              </w:rPr>
            </w:pPr>
            <w:r w:rsidRPr="007E5D9A">
              <w:rPr>
                <w:rFonts w:ascii="Times New Roman" w:eastAsia="宋体" w:hAnsi="Times New Roman" w:cs="Times New Roman"/>
                <w:kern w:val="0"/>
                <w:sz w:val="24"/>
                <w:lang w:bidi="ar"/>
              </w:rPr>
              <w:t>(Organ Crosstalk Validation)</w:t>
            </w:r>
          </w:p>
        </w:tc>
        <w:tc>
          <w:tcPr>
            <w:tcW w:w="0" w:type="auto"/>
            <w:tcBorders>
              <w:bottom w:val="nil"/>
              <w:right w:val="nil"/>
            </w:tcBorders>
            <w:tcMar>
              <w:top w:w="74" w:type="dxa"/>
              <w:left w:w="74" w:type="dxa"/>
              <w:bottom w:w="74" w:type="dxa"/>
              <w:right w:w="74" w:type="dxa"/>
            </w:tcMar>
          </w:tcPr>
          <w:p w14:paraId="484DCF7D" w14:textId="77777777" w:rsidR="00795585" w:rsidRPr="007E5D9A" w:rsidRDefault="00000000">
            <w:pPr>
              <w:widowControl/>
              <w:jc w:val="left"/>
              <w:textAlignment w:val="top"/>
              <w:rPr>
                <w:rFonts w:ascii="Times New Roman" w:hAnsi="Times New Roman" w:cs="Times New Roman"/>
              </w:rPr>
            </w:pPr>
            <w:r w:rsidRPr="007E5D9A">
              <w:rPr>
                <w:rFonts w:ascii="Times New Roman" w:eastAsia="宋体" w:hAnsi="Times New Roman" w:cs="Times New Roman"/>
                <w:kern w:val="0"/>
                <w:sz w:val="24"/>
                <w:lang w:bidi="ar"/>
              </w:rPr>
              <w:t>Fetuin-A</w:t>
            </w:r>
          </w:p>
        </w:tc>
        <w:tc>
          <w:tcPr>
            <w:tcW w:w="0" w:type="auto"/>
            <w:tcBorders>
              <w:bottom w:val="nil"/>
              <w:right w:val="nil"/>
            </w:tcBorders>
            <w:tcMar>
              <w:top w:w="74" w:type="dxa"/>
              <w:left w:w="74" w:type="dxa"/>
              <w:bottom w:w="74" w:type="dxa"/>
              <w:right w:w="74" w:type="dxa"/>
            </w:tcMar>
          </w:tcPr>
          <w:p w14:paraId="6C1DC46D" w14:textId="77777777" w:rsidR="00795585" w:rsidRPr="007E5D9A" w:rsidRDefault="00000000">
            <w:pPr>
              <w:widowControl/>
              <w:jc w:val="left"/>
              <w:textAlignment w:val="top"/>
              <w:rPr>
                <w:rFonts w:ascii="Times New Roman" w:hAnsi="Times New Roman" w:cs="Times New Roman"/>
              </w:rPr>
            </w:pPr>
            <w:r w:rsidRPr="007E5D9A">
              <w:rPr>
                <w:rFonts w:ascii="Times New Roman" w:eastAsia="宋体" w:hAnsi="Times New Roman" w:cs="Times New Roman"/>
                <w:kern w:val="0"/>
                <w:sz w:val="24"/>
                <w:lang w:bidi="ar"/>
              </w:rPr>
              <w:t>ELISA</w:t>
            </w:r>
          </w:p>
        </w:tc>
        <w:tc>
          <w:tcPr>
            <w:tcW w:w="0" w:type="auto"/>
            <w:tcBorders>
              <w:bottom w:val="nil"/>
              <w:right w:val="nil"/>
            </w:tcBorders>
            <w:tcMar>
              <w:top w:w="74" w:type="dxa"/>
              <w:left w:w="74" w:type="dxa"/>
              <w:bottom w:w="74" w:type="dxa"/>
              <w:right w:w="74" w:type="dxa"/>
            </w:tcMar>
          </w:tcPr>
          <w:p w14:paraId="4D057784" w14:textId="77777777" w:rsidR="00795585" w:rsidRPr="007E5D9A" w:rsidRDefault="00000000">
            <w:pPr>
              <w:widowControl/>
              <w:jc w:val="left"/>
              <w:textAlignment w:val="top"/>
              <w:rPr>
                <w:rFonts w:ascii="Times New Roman" w:hAnsi="Times New Roman" w:cs="Times New Roman"/>
              </w:rPr>
            </w:pPr>
            <w:r w:rsidRPr="007E5D9A">
              <w:rPr>
                <w:rFonts w:ascii="Times New Roman" w:eastAsia="宋体" w:hAnsi="Times New Roman" w:cs="Times New Roman"/>
                <w:kern w:val="0"/>
                <w:sz w:val="24"/>
                <w:lang w:bidi="ar"/>
              </w:rPr>
              <w:t>&gt;0.6 g/L</w:t>
            </w:r>
          </w:p>
        </w:tc>
        <w:tc>
          <w:tcPr>
            <w:tcW w:w="0" w:type="auto"/>
            <w:tcBorders>
              <w:bottom w:val="nil"/>
              <w:right w:val="nil"/>
            </w:tcBorders>
            <w:tcMar>
              <w:top w:w="74" w:type="dxa"/>
              <w:left w:w="74" w:type="dxa"/>
              <w:bottom w:w="74" w:type="dxa"/>
              <w:right w:w="74" w:type="dxa"/>
            </w:tcMar>
          </w:tcPr>
          <w:p w14:paraId="65C6EEC6" w14:textId="77777777" w:rsidR="00795585" w:rsidRPr="007E5D9A" w:rsidRDefault="00000000">
            <w:pPr>
              <w:widowControl/>
              <w:jc w:val="left"/>
              <w:textAlignment w:val="top"/>
              <w:rPr>
                <w:rFonts w:ascii="Times New Roman" w:hAnsi="Times New Roman" w:cs="Times New Roman"/>
              </w:rPr>
            </w:pPr>
            <w:r w:rsidRPr="007E5D9A">
              <w:rPr>
                <w:rFonts w:ascii="Times New Roman" w:eastAsia="宋体" w:hAnsi="Times New Roman" w:cs="Times New Roman"/>
                <w:kern w:val="0"/>
                <w:sz w:val="24"/>
                <w:lang w:bidi="ar"/>
              </w:rPr>
              <w:t>Hepatic insulin resistance, vascular calcification</w:t>
            </w:r>
            <w:r w:rsidRPr="007E5D9A">
              <w:rPr>
                <w:rFonts w:ascii="Times New Roman" w:eastAsia="宋体" w:hAnsi="Times New Roman" w:cs="Times New Roman"/>
                <w:kern w:val="0"/>
                <w:sz w:val="24"/>
                <w:lang w:bidi="ar"/>
              </w:rPr>
              <w:fldChar w:fldCharType="begin"/>
            </w:r>
            <w:r w:rsidRPr="007E5D9A">
              <w:rPr>
                <w:rFonts w:ascii="Times New Roman" w:eastAsia="宋体" w:hAnsi="Times New Roman" w:cs="Times New Roman"/>
                <w:kern w:val="0"/>
                <w:sz w:val="24"/>
                <w:lang w:bidi="ar"/>
              </w:rPr>
              <w:instrText xml:space="preserve"> ADDIN ZOTERO_ITEM CSL_CITATION {"citationID":"5WbeFUSW","properties":{"formattedCitation":"[10]","plainCitation":"[10]","noteIndex":0},"citationItems":[{"id":"PT63WDpC/fEUnyGkj","uris":["http://zotero.org/users/local/pKm3rcyL/items/5JSJVDML"],"itemData":{"id":9462,"type":"article-journal","abstract":"OBJECTIVE—The α2-Heremans-Schmid glycoprotein (AHSG; fetuin-A in animals) impairs insulin signaling in vitro and in rodents. Whether AHSG is associated with insulin resistance in humans is under investigation. In an animal model of diet-induced obesity that is commonly associated with hepatic steatosis, an increase in Ahsg mRNA expression was observed in the liver. Therefore, we hypothesized that the AHSG plasma protein, which is exclusively secreted by the liver in humans, may not only be associated with insulin resistance but also with fat accumulation in the liver.\n            RESEARCH DESIGN AND METHODS—Data from 106 healthy Caucasians without type 2 diabetes were included in cross-sectional analyses. A subgroup of 47 individuals had data from a longitudinal study. Insulin sensitivity was measured by a euglycemic-hyperinsulinemic clamp, and liver fat was determined by 1H magnetic resonance spectroscopy.\n            RESULTS—AHSG plasma levels, adjusted for age, sex, and percentage of body fat, were higher in subjects with impaired glucose tolerance compared with subjects with normal glucose tolerance (P = 0.006). AHSG plasma levels were negatively associated with insulin sensitivity (r = −0.22, P = 0.03) in cross-sectional analyses. Moreover, they were positively associated with liver fat (r = 0.27, P = 0.01). In longitudinal analyses, under weight loss, a decrease in liver fat was accompanied by a decrease in AHSG plasma concentrations. Furthermore, high AHSG levels at baseline predicted less increase in insulin sensitivity (P = 0.02).\n            CONCLUSIONS—We found that high AHSG plasma levels are associated with insulin resistance in humans. Moreover, AHSG plasma levels are elevated in subjects with fat accumulation in the liver. This is consistent with a potential role of AHSG as a link between fatty liver and insulin resistance.","container-title":"Diabetes Care","DOI":"10.2337/diacare.29.04.06.dc05-1938","ISSN":"0149-5992, 1935-5548","issue":"4","language":"en","page":"853-857","source":"DOI.org (Crossref)","title":"α2-Heremans-Schmid Glycoprotein/ Fetuin-A Is Associated With Insulin Resistance and Fat Accumulation in the Liver in Humans","volume":"29","author":[{"family":"Stefan","given":"Norbert"},{"family":"Hennige","given":"Anita M."},{"family":"Staiger","given":"Harald"},{"family":"Machann","given":"Jürgen"},{"family":"Schick","given":"Fritz"},{"family":"Kröber","given":"Stefan M."},{"family":"Machicao","given":"Fausto"},{"family":"Fritsche","given":"Andreas"},{"family":"Häring","given":"Hans-Ulrich"}],"issued":{"date-parts":[["2006",4,1]]}}}],"schema":"https://github.com/citation-style-language/schema/raw/master/csl-citation.json"} </w:instrText>
            </w:r>
            <w:r w:rsidRPr="007E5D9A">
              <w:rPr>
                <w:rFonts w:ascii="Times New Roman" w:eastAsia="宋体" w:hAnsi="Times New Roman" w:cs="Times New Roman"/>
                <w:kern w:val="0"/>
                <w:sz w:val="24"/>
                <w:lang w:bidi="ar"/>
              </w:rPr>
              <w:fldChar w:fldCharType="separate"/>
            </w:r>
            <w:r w:rsidRPr="007E5D9A">
              <w:rPr>
                <w:rFonts w:ascii="Times New Roman" w:hAnsi="Times New Roman" w:cs="Times New Roman"/>
                <w:sz w:val="24"/>
              </w:rPr>
              <w:t>[10]</w:t>
            </w:r>
            <w:r w:rsidRPr="007E5D9A">
              <w:rPr>
                <w:rFonts w:ascii="Times New Roman" w:eastAsia="宋体" w:hAnsi="Times New Roman" w:cs="Times New Roman"/>
                <w:kern w:val="0"/>
                <w:sz w:val="24"/>
                <w:lang w:bidi="ar"/>
              </w:rPr>
              <w:fldChar w:fldCharType="end"/>
            </w:r>
          </w:p>
        </w:tc>
      </w:tr>
      <w:tr w:rsidR="00795585" w:rsidRPr="007E5D9A" w14:paraId="589ACC58" w14:textId="77777777">
        <w:tc>
          <w:tcPr>
            <w:tcW w:w="0" w:type="auto"/>
            <w:tcBorders>
              <w:left w:val="nil"/>
              <w:bottom w:val="nil"/>
              <w:right w:val="nil"/>
            </w:tcBorders>
            <w:tcMar>
              <w:top w:w="74" w:type="dxa"/>
              <w:left w:w="74" w:type="dxa"/>
              <w:bottom w:w="74" w:type="dxa"/>
              <w:right w:w="74" w:type="dxa"/>
            </w:tcMar>
          </w:tcPr>
          <w:p w14:paraId="24720D06" w14:textId="77777777" w:rsidR="00795585" w:rsidRPr="007E5D9A" w:rsidRDefault="00795585">
            <w:pPr>
              <w:jc w:val="left"/>
              <w:rPr>
                <w:rFonts w:ascii="Times New Roman" w:hAnsi="Times New Roman" w:cs="Times New Roman"/>
                <w:sz w:val="24"/>
              </w:rPr>
            </w:pPr>
          </w:p>
        </w:tc>
        <w:tc>
          <w:tcPr>
            <w:tcW w:w="0" w:type="auto"/>
            <w:tcBorders>
              <w:bottom w:val="nil"/>
              <w:right w:val="nil"/>
            </w:tcBorders>
            <w:tcMar>
              <w:top w:w="74" w:type="dxa"/>
              <w:left w:w="74" w:type="dxa"/>
              <w:bottom w:w="74" w:type="dxa"/>
              <w:right w:w="74" w:type="dxa"/>
            </w:tcMar>
          </w:tcPr>
          <w:p w14:paraId="466A543B" w14:textId="77777777" w:rsidR="00795585" w:rsidRPr="007E5D9A" w:rsidRDefault="00000000">
            <w:pPr>
              <w:widowControl/>
              <w:jc w:val="left"/>
              <w:textAlignment w:val="top"/>
              <w:rPr>
                <w:rFonts w:ascii="Times New Roman" w:hAnsi="Times New Roman" w:cs="Times New Roman"/>
              </w:rPr>
            </w:pPr>
            <w:proofErr w:type="spellStart"/>
            <w:r w:rsidRPr="007E5D9A">
              <w:rPr>
                <w:rFonts w:ascii="Times New Roman" w:eastAsia="宋体" w:hAnsi="Times New Roman" w:cs="Times New Roman"/>
                <w:kern w:val="0"/>
                <w:sz w:val="24"/>
                <w:lang w:bidi="ar"/>
              </w:rPr>
              <w:t>Zonulin</w:t>
            </w:r>
            <w:proofErr w:type="spellEnd"/>
          </w:p>
        </w:tc>
        <w:tc>
          <w:tcPr>
            <w:tcW w:w="0" w:type="auto"/>
            <w:tcBorders>
              <w:bottom w:val="nil"/>
              <w:right w:val="nil"/>
            </w:tcBorders>
            <w:tcMar>
              <w:top w:w="74" w:type="dxa"/>
              <w:left w:w="74" w:type="dxa"/>
              <w:bottom w:w="74" w:type="dxa"/>
              <w:right w:w="74" w:type="dxa"/>
            </w:tcMar>
          </w:tcPr>
          <w:p w14:paraId="782E25FC" w14:textId="77777777" w:rsidR="00795585" w:rsidRPr="007E5D9A" w:rsidRDefault="00000000">
            <w:pPr>
              <w:widowControl/>
              <w:jc w:val="left"/>
              <w:textAlignment w:val="top"/>
              <w:rPr>
                <w:rFonts w:ascii="Times New Roman" w:hAnsi="Times New Roman" w:cs="Times New Roman"/>
              </w:rPr>
            </w:pPr>
            <w:r w:rsidRPr="007E5D9A">
              <w:rPr>
                <w:rFonts w:ascii="Times New Roman" w:eastAsia="宋体" w:hAnsi="Times New Roman" w:cs="Times New Roman"/>
                <w:kern w:val="0"/>
                <w:sz w:val="24"/>
                <w:lang w:bidi="ar"/>
              </w:rPr>
              <w:t>ELISA</w:t>
            </w:r>
          </w:p>
        </w:tc>
        <w:tc>
          <w:tcPr>
            <w:tcW w:w="0" w:type="auto"/>
            <w:tcBorders>
              <w:bottom w:val="nil"/>
              <w:right w:val="nil"/>
            </w:tcBorders>
            <w:tcMar>
              <w:top w:w="74" w:type="dxa"/>
              <w:left w:w="74" w:type="dxa"/>
              <w:bottom w:w="74" w:type="dxa"/>
              <w:right w:w="74" w:type="dxa"/>
            </w:tcMar>
          </w:tcPr>
          <w:p w14:paraId="1D742A7D" w14:textId="77777777" w:rsidR="00795585" w:rsidRPr="007E5D9A" w:rsidRDefault="00000000">
            <w:pPr>
              <w:widowControl/>
              <w:jc w:val="left"/>
              <w:textAlignment w:val="top"/>
              <w:rPr>
                <w:rFonts w:ascii="Times New Roman" w:hAnsi="Times New Roman" w:cs="Times New Roman"/>
              </w:rPr>
            </w:pPr>
            <w:r w:rsidRPr="007E5D9A">
              <w:rPr>
                <w:rFonts w:ascii="Times New Roman" w:eastAsia="宋体" w:hAnsi="Times New Roman" w:cs="Times New Roman"/>
                <w:kern w:val="0"/>
                <w:sz w:val="24"/>
                <w:lang w:bidi="ar"/>
              </w:rPr>
              <w:t>&gt;10 ng/mL</w:t>
            </w:r>
          </w:p>
        </w:tc>
        <w:tc>
          <w:tcPr>
            <w:tcW w:w="0" w:type="auto"/>
            <w:tcBorders>
              <w:bottom w:val="nil"/>
              <w:right w:val="nil"/>
            </w:tcBorders>
            <w:tcMar>
              <w:top w:w="74" w:type="dxa"/>
              <w:left w:w="74" w:type="dxa"/>
              <w:bottom w:w="74" w:type="dxa"/>
              <w:right w:w="74" w:type="dxa"/>
            </w:tcMar>
          </w:tcPr>
          <w:p w14:paraId="0C8EAD4B" w14:textId="77777777" w:rsidR="00795585" w:rsidRPr="007E5D9A" w:rsidRDefault="00000000">
            <w:pPr>
              <w:widowControl/>
              <w:jc w:val="left"/>
              <w:textAlignment w:val="top"/>
              <w:rPr>
                <w:rFonts w:ascii="Times New Roman" w:hAnsi="Times New Roman" w:cs="Times New Roman"/>
              </w:rPr>
            </w:pPr>
            <w:r w:rsidRPr="007E5D9A">
              <w:rPr>
                <w:rFonts w:ascii="Times New Roman" w:eastAsia="宋体" w:hAnsi="Times New Roman" w:cs="Times New Roman"/>
                <w:kern w:val="0"/>
                <w:sz w:val="24"/>
                <w:lang w:bidi="ar"/>
              </w:rPr>
              <w:t>Gut barrier integrity, metabolic endotoxemia</w:t>
            </w:r>
            <w:r w:rsidRPr="007E5D9A">
              <w:rPr>
                <w:rFonts w:ascii="Times New Roman" w:eastAsia="宋体" w:hAnsi="Times New Roman" w:cs="Times New Roman"/>
                <w:kern w:val="0"/>
                <w:sz w:val="24"/>
                <w:lang w:bidi="ar"/>
              </w:rPr>
              <w:fldChar w:fldCharType="begin"/>
            </w:r>
            <w:r w:rsidRPr="007E5D9A">
              <w:rPr>
                <w:rFonts w:ascii="Times New Roman" w:eastAsia="宋体" w:hAnsi="Times New Roman" w:cs="Times New Roman"/>
                <w:kern w:val="0"/>
                <w:sz w:val="24"/>
                <w:lang w:bidi="ar"/>
              </w:rPr>
              <w:instrText xml:space="preserve"> ADDIN ZOTERO_ITEM CSL_CITATION {"citationID":"NpMsyfYU","properties":{"formattedCitation":"[11]","plainCitation":"[11]","noteIndex":0},"citationItems":[{"id":"PT63WDpC/8agSw2e2","uris":["http://zotero.org/users/local/pKm3rcyL/items/JXCIEFW4"],"itemData":{"id":9519,"type":"article-journal","container-title":"Circulation","DOI":"10.1161/CIRCULATIONAHA.125.075872","ISSN":"0009-7322, 1524-4539","issue":"19","journalAbbreviation":"Circulation","language":"en","source":"DOI.org (Crossref)","title":"Response by Zile et al to Letter Regarding Article, “Effects of Tirzepatide on the Clinical Trajectory of Patients With Heart Failure, Preserved Ejection Fraction, and Obesity”","URL":"https://www.ahajournals.org/doi/10.1161/CIRCULATIONAHA.125.075872","volume":"152","author":[{"family":"Zile","given":"Michael R."},{"family":"Borlaug","given":"Barry A."},{"family":"Kramer","given":"Christopher M."},{"family":"Packer","given":"Milton"}],"accessed":{"date-parts":[["2026",4,27]]},"issued":{"date-parts":[["2025",11,11]]}}}],"schema":"https://github.com/citation-style-language/schema/raw/master/csl-citation.json"} </w:instrText>
            </w:r>
            <w:r w:rsidRPr="007E5D9A">
              <w:rPr>
                <w:rFonts w:ascii="Times New Roman" w:eastAsia="宋体" w:hAnsi="Times New Roman" w:cs="Times New Roman"/>
                <w:kern w:val="0"/>
                <w:sz w:val="24"/>
                <w:lang w:bidi="ar"/>
              </w:rPr>
              <w:fldChar w:fldCharType="separate"/>
            </w:r>
            <w:r w:rsidRPr="007E5D9A">
              <w:rPr>
                <w:rFonts w:ascii="Times New Roman" w:hAnsi="Times New Roman" w:cs="Times New Roman"/>
                <w:sz w:val="24"/>
              </w:rPr>
              <w:t>[11]</w:t>
            </w:r>
            <w:r w:rsidRPr="007E5D9A">
              <w:rPr>
                <w:rFonts w:ascii="Times New Roman" w:eastAsia="宋体" w:hAnsi="Times New Roman" w:cs="Times New Roman"/>
                <w:kern w:val="0"/>
                <w:sz w:val="24"/>
                <w:lang w:bidi="ar"/>
              </w:rPr>
              <w:fldChar w:fldCharType="end"/>
            </w:r>
          </w:p>
        </w:tc>
      </w:tr>
      <w:tr w:rsidR="00795585" w:rsidRPr="007E5D9A" w14:paraId="23CA50B8" w14:textId="77777777">
        <w:tc>
          <w:tcPr>
            <w:tcW w:w="0" w:type="auto"/>
            <w:tcBorders>
              <w:left w:val="nil"/>
              <w:bottom w:val="nil"/>
              <w:right w:val="nil"/>
            </w:tcBorders>
            <w:tcMar>
              <w:top w:w="74" w:type="dxa"/>
              <w:left w:w="74" w:type="dxa"/>
              <w:bottom w:w="74" w:type="dxa"/>
              <w:right w:w="74" w:type="dxa"/>
            </w:tcMar>
          </w:tcPr>
          <w:p w14:paraId="459E2B5A" w14:textId="77777777" w:rsidR="00795585" w:rsidRPr="007E5D9A" w:rsidRDefault="00795585">
            <w:pPr>
              <w:jc w:val="left"/>
              <w:rPr>
                <w:rFonts w:ascii="Times New Roman" w:hAnsi="Times New Roman" w:cs="Times New Roman"/>
                <w:sz w:val="24"/>
              </w:rPr>
            </w:pPr>
          </w:p>
        </w:tc>
        <w:tc>
          <w:tcPr>
            <w:tcW w:w="0" w:type="auto"/>
            <w:tcBorders>
              <w:bottom w:val="nil"/>
              <w:right w:val="nil"/>
            </w:tcBorders>
            <w:tcMar>
              <w:top w:w="74" w:type="dxa"/>
              <w:left w:w="74" w:type="dxa"/>
              <w:bottom w:w="74" w:type="dxa"/>
              <w:right w:w="74" w:type="dxa"/>
            </w:tcMar>
          </w:tcPr>
          <w:p w14:paraId="5FF1FE4D" w14:textId="77777777" w:rsidR="00795585" w:rsidRPr="007E5D9A" w:rsidRDefault="00000000">
            <w:pPr>
              <w:widowControl/>
              <w:jc w:val="left"/>
              <w:textAlignment w:val="top"/>
              <w:rPr>
                <w:rFonts w:ascii="Times New Roman" w:hAnsi="Times New Roman" w:cs="Times New Roman"/>
              </w:rPr>
            </w:pPr>
            <w:r w:rsidRPr="007E5D9A">
              <w:rPr>
                <w:rFonts w:ascii="Times New Roman" w:eastAsia="宋体" w:hAnsi="Times New Roman" w:cs="Times New Roman"/>
                <w:kern w:val="0"/>
                <w:sz w:val="24"/>
                <w:lang w:bidi="ar"/>
              </w:rPr>
              <w:t>LBP</w:t>
            </w:r>
          </w:p>
        </w:tc>
        <w:tc>
          <w:tcPr>
            <w:tcW w:w="0" w:type="auto"/>
            <w:tcBorders>
              <w:bottom w:val="nil"/>
              <w:right w:val="nil"/>
            </w:tcBorders>
            <w:tcMar>
              <w:top w:w="74" w:type="dxa"/>
              <w:left w:w="74" w:type="dxa"/>
              <w:bottom w:w="74" w:type="dxa"/>
              <w:right w:w="74" w:type="dxa"/>
            </w:tcMar>
          </w:tcPr>
          <w:p w14:paraId="61B5AB4F" w14:textId="77777777" w:rsidR="00795585" w:rsidRPr="007E5D9A" w:rsidRDefault="00000000">
            <w:pPr>
              <w:widowControl/>
              <w:jc w:val="left"/>
              <w:textAlignment w:val="top"/>
              <w:rPr>
                <w:rFonts w:ascii="Times New Roman" w:hAnsi="Times New Roman" w:cs="Times New Roman"/>
              </w:rPr>
            </w:pPr>
            <w:r w:rsidRPr="007E5D9A">
              <w:rPr>
                <w:rFonts w:ascii="Times New Roman" w:eastAsia="宋体" w:hAnsi="Times New Roman" w:cs="Times New Roman"/>
                <w:kern w:val="0"/>
                <w:sz w:val="24"/>
                <w:lang w:bidi="ar"/>
              </w:rPr>
              <w:t>ELISA</w:t>
            </w:r>
          </w:p>
        </w:tc>
        <w:tc>
          <w:tcPr>
            <w:tcW w:w="0" w:type="auto"/>
            <w:tcBorders>
              <w:bottom w:val="nil"/>
              <w:right w:val="nil"/>
            </w:tcBorders>
            <w:tcMar>
              <w:top w:w="74" w:type="dxa"/>
              <w:left w:w="74" w:type="dxa"/>
              <w:bottom w:w="74" w:type="dxa"/>
              <w:right w:w="74" w:type="dxa"/>
            </w:tcMar>
          </w:tcPr>
          <w:p w14:paraId="1179DFA7" w14:textId="77777777" w:rsidR="00795585" w:rsidRPr="007E5D9A" w:rsidRDefault="00000000">
            <w:pPr>
              <w:widowControl/>
              <w:jc w:val="left"/>
              <w:textAlignment w:val="top"/>
              <w:rPr>
                <w:rFonts w:ascii="Times New Roman" w:hAnsi="Times New Roman" w:cs="Times New Roman"/>
              </w:rPr>
            </w:pPr>
            <w:r w:rsidRPr="007E5D9A">
              <w:rPr>
                <w:rFonts w:ascii="Times New Roman" w:eastAsia="宋体" w:hAnsi="Times New Roman" w:cs="Times New Roman"/>
                <w:kern w:val="0"/>
                <w:sz w:val="24"/>
                <w:lang w:bidi="ar"/>
              </w:rPr>
              <w:t xml:space="preserve">&gt;20 </w:t>
            </w:r>
            <w:proofErr w:type="spellStart"/>
            <w:r w:rsidRPr="007E5D9A">
              <w:rPr>
                <w:rFonts w:ascii="Times New Roman" w:eastAsia="宋体" w:hAnsi="Times New Roman" w:cs="Times New Roman"/>
                <w:kern w:val="0"/>
                <w:sz w:val="24"/>
                <w:lang w:bidi="ar"/>
              </w:rPr>
              <w:t>μg</w:t>
            </w:r>
            <w:proofErr w:type="spellEnd"/>
            <w:r w:rsidRPr="007E5D9A">
              <w:rPr>
                <w:rFonts w:ascii="Times New Roman" w:eastAsia="宋体" w:hAnsi="Times New Roman" w:cs="Times New Roman"/>
                <w:kern w:val="0"/>
                <w:sz w:val="24"/>
                <w:lang w:bidi="ar"/>
              </w:rPr>
              <w:t>/mL</w:t>
            </w:r>
          </w:p>
        </w:tc>
        <w:tc>
          <w:tcPr>
            <w:tcW w:w="0" w:type="auto"/>
            <w:tcBorders>
              <w:bottom w:val="nil"/>
              <w:right w:val="nil"/>
            </w:tcBorders>
            <w:tcMar>
              <w:top w:w="74" w:type="dxa"/>
              <w:left w:w="74" w:type="dxa"/>
              <w:bottom w:w="74" w:type="dxa"/>
              <w:right w:w="74" w:type="dxa"/>
            </w:tcMar>
          </w:tcPr>
          <w:p w14:paraId="0B85B701" w14:textId="77777777" w:rsidR="00795585" w:rsidRPr="007E5D9A" w:rsidRDefault="00000000">
            <w:pPr>
              <w:widowControl/>
              <w:jc w:val="left"/>
              <w:textAlignment w:val="top"/>
              <w:rPr>
                <w:rFonts w:ascii="Times New Roman" w:hAnsi="Times New Roman" w:cs="Times New Roman"/>
              </w:rPr>
            </w:pPr>
            <w:r w:rsidRPr="007E5D9A">
              <w:rPr>
                <w:rFonts w:ascii="Times New Roman" w:eastAsia="宋体" w:hAnsi="Times New Roman" w:cs="Times New Roman"/>
                <w:kern w:val="0"/>
                <w:sz w:val="24"/>
                <w:lang w:bidi="ar"/>
              </w:rPr>
              <w:t>Bacterial translocation, TLR4 activation</w:t>
            </w:r>
            <w:r w:rsidRPr="007E5D9A">
              <w:rPr>
                <w:rFonts w:ascii="Times New Roman" w:eastAsia="宋体" w:hAnsi="Times New Roman" w:cs="Times New Roman"/>
                <w:kern w:val="0"/>
                <w:sz w:val="24"/>
                <w:lang w:bidi="ar"/>
              </w:rPr>
              <w:fldChar w:fldCharType="begin"/>
            </w:r>
            <w:r w:rsidRPr="007E5D9A">
              <w:rPr>
                <w:rFonts w:ascii="Times New Roman" w:eastAsia="宋体" w:hAnsi="Times New Roman" w:cs="Times New Roman"/>
                <w:kern w:val="0"/>
                <w:sz w:val="24"/>
                <w:lang w:bidi="ar"/>
              </w:rPr>
              <w:instrText xml:space="preserve"> ADDIN ZOTERO_ITEM CSL_CITATION {"citationID":"PqsX01R3","properties":{"formattedCitation":"[11]","plainCitation":"[11]","noteIndex":0},"citationItems":[{"id":"PT63WDpC/8agSw2e2","uris":["http://zotero.org/users/local/pKm3rcyL/items/JXCIEFW4"],"itemData":{"id":9519,"type":"article-journal","container-title":"Circulation","DOI":"10.1161/CIRCULATIONAHA.125.075872","ISSN":"0009-7322, 1524-4539","issue":"19","journalAbbreviation":"Circulation","language":"en","source":"DOI.org (Crossref)","title":"Response by Zile et al to Letter Regarding Article, “Effects of Tirzepatide on the Clinical Trajectory of Patients With Heart Failure, Preserved Ejection Fraction, and Obesity”","URL":"https://www.ahajournals.org/doi/10.1161/CIRCULATIONAHA.125.075872","volume":"152","author":[{"family":"Zile","given":"Michael R."},{"family":"Borlaug","given":"Barry A."},{"family":"Kramer","given":"Christopher M."},{"family":"Packer","given":"Milton"}],"accessed":{"date-parts":[["2026",4,27]]},"issued":{"date-parts":[["2025",11,11]]}}}],"schema":"https://github.com/citation-style-language/schema/raw/master/csl-citation.json"} </w:instrText>
            </w:r>
            <w:r w:rsidRPr="007E5D9A">
              <w:rPr>
                <w:rFonts w:ascii="Times New Roman" w:eastAsia="宋体" w:hAnsi="Times New Roman" w:cs="Times New Roman"/>
                <w:kern w:val="0"/>
                <w:sz w:val="24"/>
                <w:lang w:bidi="ar"/>
              </w:rPr>
              <w:fldChar w:fldCharType="separate"/>
            </w:r>
            <w:r w:rsidRPr="007E5D9A">
              <w:rPr>
                <w:rFonts w:ascii="Times New Roman" w:hAnsi="Times New Roman" w:cs="Times New Roman"/>
                <w:sz w:val="24"/>
              </w:rPr>
              <w:t>[11]</w:t>
            </w:r>
            <w:r w:rsidRPr="007E5D9A">
              <w:rPr>
                <w:rFonts w:ascii="Times New Roman" w:eastAsia="宋体" w:hAnsi="Times New Roman" w:cs="Times New Roman"/>
                <w:kern w:val="0"/>
                <w:sz w:val="24"/>
                <w:lang w:bidi="ar"/>
              </w:rPr>
              <w:fldChar w:fldCharType="end"/>
            </w:r>
          </w:p>
        </w:tc>
      </w:tr>
      <w:tr w:rsidR="00795585" w:rsidRPr="007E5D9A" w14:paraId="05C1B8C1" w14:textId="77777777">
        <w:tc>
          <w:tcPr>
            <w:tcW w:w="0" w:type="auto"/>
            <w:tcBorders>
              <w:left w:val="nil"/>
              <w:bottom w:val="nil"/>
              <w:right w:val="nil"/>
            </w:tcBorders>
            <w:tcMar>
              <w:top w:w="74" w:type="dxa"/>
              <w:left w:w="74" w:type="dxa"/>
              <w:bottom w:w="74" w:type="dxa"/>
              <w:right w:w="74" w:type="dxa"/>
            </w:tcMar>
          </w:tcPr>
          <w:p w14:paraId="238774E4" w14:textId="77777777" w:rsidR="00795585" w:rsidRPr="007E5D9A" w:rsidRDefault="00795585">
            <w:pPr>
              <w:jc w:val="left"/>
              <w:rPr>
                <w:rFonts w:ascii="Times New Roman" w:hAnsi="Times New Roman" w:cs="Times New Roman"/>
                <w:sz w:val="24"/>
              </w:rPr>
            </w:pPr>
          </w:p>
        </w:tc>
        <w:tc>
          <w:tcPr>
            <w:tcW w:w="0" w:type="auto"/>
            <w:tcBorders>
              <w:bottom w:val="nil"/>
              <w:right w:val="nil"/>
            </w:tcBorders>
            <w:tcMar>
              <w:top w:w="74" w:type="dxa"/>
              <w:left w:w="74" w:type="dxa"/>
              <w:bottom w:w="74" w:type="dxa"/>
              <w:right w:w="74" w:type="dxa"/>
            </w:tcMar>
          </w:tcPr>
          <w:p w14:paraId="1E9C24B3" w14:textId="77777777" w:rsidR="00795585" w:rsidRPr="007E5D9A" w:rsidRDefault="00000000">
            <w:pPr>
              <w:widowControl/>
              <w:jc w:val="left"/>
              <w:textAlignment w:val="top"/>
              <w:rPr>
                <w:rFonts w:ascii="Times New Roman" w:hAnsi="Times New Roman" w:cs="Times New Roman"/>
              </w:rPr>
            </w:pPr>
            <w:r w:rsidRPr="007E5D9A">
              <w:rPr>
                <w:rFonts w:ascii="Times New Roman" w:eastAsia="宋体" w:hAnsi="Times New Roman" w:cs="Times New Roman"/>
                <w:kern w:val="0"/>
                <w:sz w:val="24"/>
                <w:lang w:bidi="ar"/>
              </w:rPr>
              <w:t>sST2</w:t>
            </w:r>
          </w:p>
        </w:tc>
        <w:tc>
          <w:tcPr>
            <w:tcW w:w="0" w:type="auto"/>
            <w:tcBorders>
              <w:bottom w:val="nil"/>
              <w:right w:val="nil"/>
            </w:tcBorders>
            <w:tcMar>
              <w:top w:w="74" w:type="dxa"/>
              <w:left w:w="74" w:type="dxa"/>
              <w:bottom w:w="74" w:type="dxa"/>
              <w:right w:w="74" w:type="dxa"/>
            </w:tcMar>
          </w:tcPr>
          <w:p w14:paraId="6738A0A5" w14:textId="77777777" w:rsidR="00795585" w:rsidRPr="007E5D9A" w:rsidRDefault="00000000">
            <w:pPr>
              <w:widowControl/>
              <w:jc w:val="left"/>
              <w:textAlignment w:val="top"/>
              <w:rPr>
                <w:rFonts w:ascii="Times New Roman" w:hAnsi="Times New Roman" w:cs="Times New Roman"/>
              </w:rPr>
            </w:pPr>
            <w:r w:rsidRPr="007E5D9A">
              <w:rPr>
                <w:rFonts w:ascii="Times New Roman" w:eastAsia="宋体" w:hAnsi="Times New Roman" w:cs="Times New Roman"/>
                <w:kern w:val="0"/>
                <w:sz w:val="24"/>
                <w:lang w:bidi="ar"/>
              </w:rPr>
              <w:t>ELISA</w:t>
            </w:r>
          </w:p>
        </w:tc>
        <w:tc>
          <w:tcPr>
            <w:tcW w:w="0" w:type="auto"/>
            <w:tcBorders>
              <w:bottom w:val="nil"/>
              <w:right w:val="nil"/>
            </w:tcBorders>
            <w:tcMar>
              <w:top w:w="74" w:type="dxa"/>
              <w:left w:w="74" w:type="dxa"/>
              <w:bottom w:w="74" w:type="dxa"/>
              <w:right w:w="74" w:type="dxa"/>
            </w:tcMar>
          </w:tcPr>
          <w:p w14:paraId="0277CDEF" w14:textId="77777777" w:rsidR="00795585" w:rsidRPr="007E5D9A" w:rsidRDefault="00000000">
            <w:pPr>
              <w:widowControl/>
              <w:jc w:val="left"/>
              <w:textAlignment w:val="top"/>
              <w:rPr>
                <w:rFonts w:ascii="Times New Roman" w:hAnsi="Times New Roman" w:cs="Times New Roman"/>
              </w:rPr>
            </w:pPr>
            <w:r w:rsidRPr="007E5D9A">
              <w:rPr>
                <w:rFonts w:ascii="Times New Roman" w:eastAsia="宋体" w:hAnsi="Times New Roman" w:cs="Times New Roman"/>
                <w:kern w:val="0"/>
                <w:sz w:val="24"/>
                <w:lang w:bidi="ar"/>
              </w:rPr>
              <w:t>&gt;35 ng/mL</w:t>
            </w:r>
          </w:p>
        </w:tc>
        <w:tc>
          <w:tcPr>
            <w:tcW w:w="0" w:type="auto"/>
            <w:tcBorders>
              <w:bottom w:val="nil"/>
              <w:right w:val="nil"/>
            </w:tcBorders>
            <w:tcMar>
              <w:top w:w="74" w:type="dxa"/>
              <w:left w:w="74" w:type="dxa"/>
              <w:bottom w:w="74" w:type="dxa"/>
              <w:right w:w="74" w:type="dxa"/>
            </w:tcMar>
          </w:tcPr>
          <w:p w14:paraId="49240431" w14:textId="77777777" w:rsidR="00795585" w:rsidRPr="007E5D9A" w:rsidRDefault="00000000">
            <w:pPr>
              <w:widowControl/>
              <w:jc w:val="left"/>
              <w:textAlignment w:val="top"/>
              <w:rPr>
                <w:rFonts w:ascii="Times New Roman" w:hAnsi="Times New Roman" w:cs="Times New Roman"/>
              </w:rPr>
            </w:pPr>
            <w:r w:rsidRPr="007E5D9A">
              <w:rPr>
                <w:rFonts w:ascii="Times New Roman" w:eastAsia="宋体" w:hAnsi="Times New Roman" w:cs="Times New Roman"/>
                <w:kern w:val="0"/>
                <w:sz w:val="24"/>
                <w:lang w:bidi="ar"/>
              </w:rPr>
              <w:t>Cardiac fibrosis, volume overload (</w:t>
            </w:r>
            <w:proofErr w:type="spellStart"/>
            <w:r w:rsidRPr="007E5D9A">
              <w:rPr>
                <w:rFonts w:ascii="Times New Roman" w:eastAsia="宋体" w:hAnsi="Times New Roman" w:cs="Times New Roman"/>
                <w:kern w:val="0"/>
                <w:sz w:val="24"/>
                <w:lang w:bidi="ar"/>
              </w:rPr>
              <w:t>HFpEF</w:t>
            </w:r>
            <w:proofErr w:type="spellEnd"/>
            <w:r w:rsidRPr="007E5D9A">
              <w:rPr>
                <w:rFonts w:ascii="Times New Roman" w:eastAsia="宋体" w:hAnsi="Times New Roman" w:cs="Times New Roman"/>
                <w:kern w:val="0"/>
                <w:sz w:val="24"/>
                <w:lang w:bidi="ar"/>
              </w:rPr>
              <w:t>)</w:t>
            </w:r>
            <w:r w:rsidRPr="007E5D9A">
              <w:rPr>
                <w:rFonts w:ascii="Times New Roman" w:eastAsia="宋体" w:hAnsi="Times New Roman" w:cs="Times New Roman"/>
                <w:kern w:val="0"/>
                <w:sz w:val="24"/>
                <w:lang w:bidi="ar"/>
              </w:rPr>
              <w:fldChar w:fldCharType="begin"/>
            </w:r>
            <w:r w:rsidRPr="007E5D9A">
              <w:rPr>
                <w:rFonts w:ascii="Times New Roman" w:eastAsia="宋体" w:hAnsi="Times New Roman" w:cs="Times New Roman"/>
                <w:kern w:val="0"/>
                <w:sz w:val="24"/>
                <w:lang w:bidi="ar"/>
              </w:rPr>
              <w:instrText xml:space="preserve"> ADDIN ZOTERO_ITEM CSL_CITATION {"citationID":"vhE172I8","properties":{"formattedCitation":"[12]","plainCitation":"[12]","noteIndex":0},"citationItems":[{"id":"PT63WDpC/U4EznkoP","uris":["http://zotero.org/users/local/pKm3rcyL/items/RNA6DKIV"],"itemData":{"id":9465,"type":"article-journal","language":"en","source":"Zotero","title":"Soluble ST2 for Prognosis and Monitoring in Heart Failure","author":[{"family":"Bayés-Genís","given":"Antoni"},{"family":"Núñez","given":"Julio"},{"family":"Lupón","given":"Josep"}]}}],"schema":"https://github.com/citation-style-language/schema/raw/master/csl-citation.json"} </w:instrText>
            </w:r>
            <w:r w:rsidRPr="007E5D9A">
              <w:rPr>
                <w:rFonts w:ascii="Times New Roman" w:eastAsia="宋体" w:hAnsi="Times New Roman" w:cs="Times New Roman"/>
                <w:kern w:val="0"/>
                <w:sz w:val="24"/>
                <w:lang w:bidi="ar"/>
              </w:rPr>
              <w:fldChar w:fldCharType="separate"/>
            </w:r>
            <w:r w:rsidRPr="007E5D9A">
              <w:rPr>
                <w:rFonts w:ascii="Times New Roman" w:hAnsi="Times New Roman" w:cs="Times New Roman"/>
                <w:sz w:val="24"/>
              </w:rPr>
              <w:t>[12]</w:t>
            </w:r>
            <w:r w:rsidRPr="007E5D9A">
              <w:rPr>
                <w:rFonts w:ascii="Times New Roman" w:eastAsia="宋体" w:hAnsi="Times New Roman" w:cs="Times New Roman"/>
                <w:kern w:val="0"/>
                <w:sz w:val="24"/>
                <w:lang w:bidi="ar"/>
              </w:rPr>
              <w:fldChar w:fldCharType="end"/>
            </w:r>
          </w:p>
        </w:tc>
      </w:tr>
      <w:tr w:rsidR="00795585" w:rsidRPr="007E5D9A" w14:paraId="2E68B2E4" w14:textId="77777777">
        <w:tc>
          <w:tcPr>
            <w:tcW w:w="0" w:type="auto"/>
            <w:tcBorders>
              <w:left w:val="nil"/>
              <w:right w:val="nil"/>
            </w:tcBorders>
            <w:tcMar>
              <w:top w:w="74" w:type="dxa"/>
              <w:left w:w="74" w:type="dxa"/>
              <w:bottom w:w="74" w:type="dxa"/>
              <w:right w:w="74" w:type="dxa"/>
            </w:tcMar>
          </w:tcPr>
          <w:p w14:paraId="73D96C46" w14:textId="77777777" w:rsidR="00795585" w:rsidRPr="007E5D9A" w:rsidRDefault="00795585">
            <w:pPr>
              <w:jc w:val="left"/>
              <w:rPr>
                <w:rFonts w:ascii="Times New Roman" w:hAnsi="Times New Roman" w:cs="Times New Roman"/>
                <w:sz w:val="24"/>
              </w:rPr>
            </w:pPr>
          </w:p>
        </w:tc>
        <w:tc>
          <w:tcPr>
            <w:tcW w:w="0" w:type="auto"/>
            <w:tcBorders>
              <w:right w:val="nil"/>
            </w:tcBorders>
            <w:tcMar>
              <w:top w:w="74" w:type="dxa"/>
              <w:left w:w="74" w:type="dxa"/>
              <w:bottom w:w="74" w:type="dxa"/>
              <w:right w:w="74" w:type="dxa"/>
            </w:tcMar>
          </w:tcPr>
          <w:p w14:paraId="771BA10D" w14:textId="77777777" w:rsidR="00795585" w:rsidRPr="007E5D9A" w:rsidRDefault="00000000">
            <w:pPr>
              <w:widowControl/>
              <w:jc w:val="left"/>
              <w:textAlignment w:val="top"/>
              <w:rPr>
                <w:rFonts w:ascii="Times New Roman" w:hAnsi="Times New Roman" w:cs="Times New Roman"/>
              </w:rPr>
            </w:pPr>
            <w:r w:rsidRPr="007E5D9A">
              <w:rPr>
                <w:rFonts w:ascii="Times New Roman" w:eastAsia="宋体" w:hAnsi="Times New Roman" w:cs="Times New Roman"/>
                <w:kern w:val="0"/>
                <w:sz w:val="24"/>
                <w:lang w:bidi="ar"/>
              </w:rPr>
              <w:t>GDF-15</w:t>
            </w:r>
          </w:p>
        </w:tc>
        <w:tc>
          <w:tcPr>
            <w:tcW w:w="0" w:type="auto"/>
            <w:tcBorders>
              <w:right w:val="nil"/>
            </w:tcBorders>
            <w:tcMar>
              <w:top w:w="74" w:type="dxa"/>
              <w:left w:w="74" w:type="dxa"/>
              <w:bottom w:w="74" w:type="dxa"/>
              <w:right w:w="74" w:type="dxa"/>
            </w:tcMar>
          </w:tcPr>
          <w:p w14:paraId="79FE7804" w14:textId="77777777" w:rsidR="00795585" w:rsidRPr="007E5D9A" w:rsidRDefault="00000000">
            <w:pPr>
              <w:widowControl/>
              <w:jc w:val="left"/>
              <w:textAlignment w:val="top"/>
              <w:rPr>
                <w:rFonts w:ascii="Times New Roman" w:hAnsi="Times New Roman" w:cs="Times New Roman"/>
              </w:rPr>
            </w:pPr>
            <w:r w:rsidRPr="007E5D9A">
              <w:rPr>
                <w:rFonts w:ascii="Times New Roman" w:eastAsia="宋体" w:hAnsi="Times New Roman" w:cs="Times New Roman"/>
                <w:kern w:val="0"/>
                <w:sz w:val="24"/>
                <w:lang w:bidi="ar"/>
              </w:rPr>
              <w:t>ELISA</w:t>
            </w:r>
          </w:p>
        </w:tc>
        <w:tc>
          <w:tcPr>
            <w:tcW w:w="0" w:type="auto"/>
            <w:tcBorders>
              <w:right w:val="nil"/>
            </w:tcBorders>
            <w:tcMar>
              <w:top w:w="74" w:type="dxa"/>
              <w:left w:w="74" w:type="dxa"/>
              <w:bottom w:w="74" w:type="dxa"/>
              <w:right w:w="74" w:type="dxa"/>
            </w:tcMar>
          </w:tcPr>
          <w:p w14:paraId="324F1AE1" w14:textId="77777777" w:rsidR="00795585" w:rsidRPr="007E5D9A" w:rsidRDefault="00000000">
            <w:pPr>
              <w:widowControl/>
              <w:jc w:val="left"/>
              <w:textAlignment w:val="top"/>
              <w:rPr>
                <w:rFonts w:ascii="Times New Roman" w:hAnsi="Times New Roman" w:cs="Times New Roman"/>
              </w:rPr>
            </w:pPr>
            <w:r w:rsidRPr="007E5D9A">
              <w:rPr>
                <w:rFonts w:ascii="Times New Roman" w:eastAsia="宋体" w:hAnsi="Times New Roman" w:cs="Times New Roman"/>
                <w:kern w:val="0"/>
                <w:sz w:val="24"/>
                <w:lang w:bidi="ar"/>
              </w:rPr>
              <w:t>&gt;1,200 ng/L</w:t>
            </w:r>
          </w:p>
        </w:tc>
        <w:tc>
          <w:tcPr>
            <w:tcW w:w="0" w:type="auto"/>
            <w:tcBorders>
              <w:right w:val="nil"/>
            </w:tcBorders>
            <w:tcMar>
              <w:top w:w="74" w:type="dxa"/>
              <w:left w:w="74" w:type="dxa"/>
              <w:bottom w:w="74" w:type="dxa"/>
              <w:right w:w="74" w:type="dxa"/>
            </w:tcMar>
          </w:tcPr>
          <w:p w14:paraId="1FC6F318" w14:textId="77777777" w:rsidR="00795585" w:rsidRPr="007E5D9A" w:rsidRDefault="00000000">
            <w:pPr>
              <w:widowControl/>
              <w:jc w:val="left"/>
              <w:textAlignment w:val="top"/>
              <w:rPr>
                <w:rFonts w:ascii="Times New Roman" w:hAnsi="Times New Roman" w:cs="Times New Roman"/>
              </w:rPr>
            </w:pPr>
            <w:r w:rsidRPr="007E5D9A">
              <w:rPr>
                <w:rFonts w:ascii="Times New Roman" w:eastAsia="宋体" w:hAnsi="Times New Roman" w:cs="Times New Roman"/>
                <w:kern w:val="0"/>
                <w:sz w:val="24"/>
                <w:lang w:bidi="ar"/>
              </w:rPr>
              <w:t>Mitochondrial dysfunction, cardiometabolic stress</w:t>
            </w:r>
            <w:r w:rsidRPr="007E5D9A">
              <w:rPr>
                <w:rFonts w:ascii="Times New Roman" w:eastAsia="宋体" w:hAnsi="Times New Roman" w:cs="Times New Roman"/>
                <w:kern w:val="0"/>
                <w:sz w:val="24"/>
                <w:lang w:bidi="ar"/>
              </w:rPr>
              <w:fldChar w:fldCharType="begin"/>
            </w:r>
            <w:r w:rsidRPr="007E5D9A">
              <w:rPr>
                <w:rFonts w:ascii="Times New Roman" w:eastAsia="宋体" w:hAnsi="Times New Roman" w:cs="Times New Roman"/>
                <w:kern w:val="0"/>
                <w:sz w:val="24"/>
                <w:lang w:bidi="ar"/>
              </w:rPr>
              <w:instrText xml:space="preserve"> ADDIN ZOTERO_ITEM CSL_CITATION {"citationID":"yBEMWWnr","properties":{"formattedCitation":"[13]","plainCitation":"[13]","noteIndex":0},"citationItems":[{"id":"PT63WDpC/vGoa42GF","uris":["http://zotero.org/users/local/pKm3rcyL/items/8648876M"],"itemData":{"id":9466,"type":"article-journal","container-title":"Basic Research in Cardiology","DOI":"10.1007/s00395-007-0662-3","ISSN":"0300-8428, 1435-1803","issue":"5","journalAbbreviation":"Basic Res Cardiol","language":"en","license":"http://www.springer.com/tdm","page":"412-415","source":"DOI.org (Crossref)","title":"Growth-differentiation factor-15 in cardiovascular disease: From bench to bedside, and back","title-short":"Growth-differentiation factor-15 in cardiovascular disease","volume":"102","author":[{"family":"Wollert","given":"K. C."}],"issued":{"date-parts":[["2007",9]]}}}],"schema":"https://github.com/citation-style-language/schema/raw/master/csl-citation.json"} </w:instrText>
            </w:r>
            <w:r w:rsidRPr="007E5D9A">
              <w:rPr>
                <w:rFonts w:ascii="Times New Roman" w:eastAsia="宋体" w:hAnsi="Times New Roman" w:cs="Times New Roman"/>
                <w:kern w:val="0"/>
                <w:sz w:val="24"/>
                <w:lang w:bidi="ar"/>
              </w:rPr>
              <w:fldChar w:fldCharType="separate"/>
            </w:r>
            <w:r w:rsidRPr="007E5D9A">
              <w:rPr>
                <w:rFonts w:ascii="Times New Roman" w:hAnsi="Times New Roman" w:cs="Times New Roman"/>
                <w:sz w:val="24"/>
              </w:rPr>
              <w:t>[13]</w:t>
            </w:r>
            <w:r w:rsidRPr="007E5D9A">
              <w:rPr>
                <w:rFonts w:ascii="Times New Roman" w:eastAsia="宋体" w:hAnsi="Times New Roman" w:cs="Times New Roman"/>
                <w:kern w:val="0"/>
                <w:sz w:val="24"/>
                <w:lang w:bidi="ar"/>
              </w:rPr>
              <w:fldChar w:fldCharType="end"/>
            </w:r>
          </w:p>
        </w:tc>
      </w:tr>
      <w:tr w:rsidR="00795585" w:rsidRPr="007E5D9A" w14:paraId="2087A685" w14:textId="77777777">
        <w:tc>
          <w:tcPr>
            <w:tcW w:w="0" w:type="auto"/>
            <w:tcBorders>
              <w:left w:val="nil"/>
              <w:bottom w:val="single" w:sz="4" w:space="0" w:color="auto"/>
              <w:right w:val="nil"/>
            </w:tcBorders>
            <w:tcMar>
              <w:top w:w="74" w:type="dxa"/>
              <w:left w:w="74" w:type="dxa"/>
              <w:bottom w:w="74" w:type="dxa"/>
              <w:right w:w="74" w:type="dxa"/>
            </w:tcMar>
          </w:tcPr>
          <w:p w14:paraId="01A3A023" w14:textId="77777777" w:rsidR="00795585" w:rsidRPr="007E5D9A" w:rsidRDefault="00795585">
            <w:pPr>
              <w:jc w:val="left"/>
              <w:rPr>
                <w:rFonts w:ascii="Times New Roman" w:hAnsi="Times New Roman" w:cs="Times New Roman"/>
                <w:sz w:val="24"/>
              </w:rPr>
            </w:pPr>
          </w:p>
        </w:tc>
        <w:tc>
          <w:tcPr>
            <w:tcW w:w="0" w:type="auto"/>
            <w:tcBorders>
              <w:bottom w:val="single" w:sz="4" w:space="0" w:color="auto"/>
              <w:right w:val="nil"/>
            </w:tcBorders>
            <w:tcMar>
              <w:top w:w="74" w:type="dxa"/>
              <w:left w:w="74" w:type="dxa"/>
              <w:bottom w:w="74" w:type="dxa"/>
              <w:right w:w="74" w:type="dxa"/>
            </w:tcMar>
          </w:tcPr>
          <w:p w14:paraId="7D4300E1" w14:textId="77777777" w:rsidR="00795585" w:rsidRPr="007E5D9A" w:rsidRDefault="00000000">
            <w:pPr>
              <w:widowControl/>
              <w:jc w:val="left"/>
              <w:textAlignment w:val="top"/>
              <w:rPr>
                <w:rFonts w:ascii="Times New Roman" w:hAnsi="Times New Roman" w:cs="Times New Roman"/>
              </w:rPr>
            </w:pPr>
            <w:r w:rsidRPr="007E5D9A">
              <w:rPr>
                <w:rFonts w:ascii="Times New Roman" w:eastAsia="宋体" w:hAnsi="Times New Roman" w:cs="Times New Roman"/>
                <w:kern w:val="0"/>
                <w:sz w:val="24"/>
                <w:lang w:bidi="ar"/>
              </w:rPr>
              <w:t>Uric acid</w:t>
            </w:r>
          </w:p>
        </w:tc>
        <w:tc>
          <w:tcPr>
            <w:tcW w:w="0" w:type="auto"/>
            <w:tcBorders>
              <w:bottom w:val="single" w:sz="4" w:space="0" w:color="auto"/>
              <w:right w:val="nil"/>
            </w:tcBorders>
            <w:tcMar>
              <w:top w:w="74" w:type="dxa"/>
              <w:left w:w="74" w:type="dxa"/>
              <w:bottom w:w="74" w:type="dxa"/>
              <w:right w:w="74" w:type="dxa"/>
            </w:tcMar>
          </w:tcPr>
          <w:p w14:paraId="0E85B15A" w14:textId="77777777" w:rsidR="00795585" w:rsidRPr="007E5D9A" w:rsidRDefault="00000000">
            <w:pPr>
              <w:widowControl/>
              <w:jc w:val="left"/>
              <w:textAlignment w:val="top"/>
              <w:rPr>
                <w:rFonts w:ascii="Times New Roman" w:hAnsi="Times New Roman" w:cs="Times New Roman"/>
              </w:rPr>
            </w:pPr>
            <w:r w:rsidRPr="007E5D9A">
              <w:rPr>
                <w:rFonts w:ascii="Times New Roman" w:eastAsia="宋体" w:hAnsi="Times New Roman" w:cs="Times New Roman"/>
                <w:kern w:val="0"/>
                <w:sz w:val="24"/>
                <w:lang w:bidi="ar"/>
              </w:rPr>
              <w:t>Uricase/</w:t>
            </w:r>
            <w:proofErr w:type="spellStart"/>
            <w:r w:rsidRPr="007E5D9A">
              <w:rPr>
                <w:rFonts w:ascii="Times New Roman" w:eastAsia="宋体" w:hAnsi="Times New Roman" w:cs="Times New Roman"/>
                <w:kern w:val="0"/>
                <w:sz w:val="24"/>
                <w:lang w:bidi="ar"/>
              </w:rPr>
              <w:t>Pspectrophotometry</w:t>
            </w:r>
            <w:proofErr w:type="spellEnd"/>
          </w:p>
        </w:tc>
        <w:tc>
          <w:tcPr>
            <w:tcW w:w="0" w:type="auto"/>
            <w:tcBorders>
              <w:bottom w:val="single" w:sz="4" w:space="0" w:color="auto"/>
              <w:right w:val="nil"/>
            </w:tcBorders>
            <w:tcMar>
              <w:top w:w="74" w:type="dxa"/>
              <w:left w:w="74" w:type="dxa"/>
              <w:bottom w:w="74" w:type="dxa"/>
              <w:right w:w="74" w:type="dxa"/>
            </w:tcMar>
          </w:tcPr>
          <w:p w14:paraId="39F18138" w14:textId="77777777" w:rsidR="00795585" w:rsidRPr="007E5D9A" w:rsidRDefault="00000000">
            <w:pPr>
              <w:widowControl/>
              <w:jc w:val="left"/>
              <w:textAlignment w:val="top"/>
              <w:rPr>
                <w:rFonts w:ascii="Times New Roman" w:hAnsi="Times New Roman" w:cs="Times New Roman"/>
              </w:rPr>
            </w:pPr>
            <w:r w:rsidRPr="007E5D9A">
              <w:rPr>
                <w:rFonts w:ascii="Times New Roman" w:eastAsia="宋体" w:hAnsi="Times New Roman" w:cs="Times New Roman"/>
                <w:kern w:val="0"/>
                <w:sz w:val="24"/>
                <w:lang w:bidi="ar"/>
              </w:rPr>
              <w:t>&gt;7 mg/dL (M)</w:t>
            </w:r>
            <w:r w:rsidRPr="007E5D9A">
              <w:rPr>
                <w:rFonts w:ascii="Times New Roman" w:eastAsia="宋体" w:hAnsi="Times New Roman" w:cs="Times New Roman"/>
                <w:kern w:val="0"/>
                <w:sz w:val="24"/>
                <w:lang w:bidi="ar"/>
              </w:rPr>
              <w:br/>
              <w:t>&gt;6 mg/dL (F)</w:t>
            </w:r>
          </w:p>
        </w:tc>
        <w:tc>
          <w:tcPr>
            <w:tcW w:w="0" w:type="auto"/>
            <w:tcBorders>
              <w:bottom w:val="single" w:sz="4" w:space="0" w:color="auto"/>
              <w:right w:val="nil"/>
            </w:tcBorders>
            <w:tcMar>
              <w:top w:w="74" w:type="dxa"/>
              <w:left w:w="74" w:type="dxa"/>
              <w:bottom w:w="74" w:type="dxa"/>
              <w:right w:w="74" w:type="dxa"/>
            </w:tcMar>
          </w:tcPr>
          <w:p w14:paraId="00F70BAD" w14:textId="77777777" w:rsidR="00795585" w:rsidRPr="007E5D9A" w:rsidRDefault="00000000">
            <w:pPr>
              <w:widowControl/>
              <w:jc w:val="left"/>
              <w:textAlignment w:val="top"/>
              <w:rPr>
                <w:rFonts w:ascii="Times New Roman" w:hAnsi="Times New Roman" w:cs="Times New Roman"/>
              </w:rPr>
            </w:pPr>
            <w:r w:rsidRPr="007E5D9A">
              <w:rPr>
                <w:rFonts w:ascii="Times New Roman" w:eastAsia="宋体" w:hAnsi="Times New Roman" w:cs="Times New Roman"/>
                <w:kern w:val="0"/>
                <w:sz w:val="24"/>
                <w:lang w:bidi="ar"/>
              </w:rPr>
              <w:t>Endothelial dysfunction, oxidative stress</w:t>
            </w:r>
            <w:r w:rsidRPr="007E5D9A">
              <w:rPr>
                <w:rFonts w:ascii="Times New Roman" w:eastAsia="宋体" w:hAnsi="Times New Roman" w:cs="Times New Roman"/>
                <w:kern w:val="0"/>
                <w:sz w:val="24"/>
                <w:lang w:bidi="ar"/>
              </w:rPr>
              <w:fldChar w:fldCharType="begin"/>
            </w:r>
            <w:r w:rsidRPr="007E5D9A">
              <w:rPr>
                <w:rFonts w:ascii="Times New Roman" w:eastAsia="宋体" w:hAnsi="Times New Roman" w:cs="Times New Roman"/>
                <w:kern w:val="0"/>
                <w:sz w:val="24"/>
                <w:lang w:bidi="ar"/>
              </w:rPr>
              <w:instrText xml:space="preserve"> ADDIN ZOTERO_ITEM CSL_CITATION {"citationID":"WgDCOoIE","properties":{"formattedCitation":"[14,15]","plainCitation":"[14,15]","noteIndex":0},"citationItems":[{"id":"PT63WDpC/xKj2Vzfh","uris":["http://zotero.org/users/local/pKm3rcyL/items/XL6S9GQ7"],"itemData":{"id":9510,"type":"article-journal","container-title":"Medical Clinics of North America","DOI":"10.1016/j.mcna.2016.08.017","ISSN":"00257125","issue":"1","journalAbbreviation":"Medical Clinics of North America","language":"en","page":"117-127","source":"DOI.org (Crossref)","title":"Local Renin Angiotensin Aldosterone Systems and Cardiovascular Diseases","volume":"101","author":[{"family":"De Mello","given":"Walmor C."}],"issued":{"date-parts":[["2017",1]]}},"label":"page"},{"id":"PT63WDpC/vJ2FTPDA","uris":["http://zotero.org/users/local/pKm3rcyL/items/SPP5DGI2"],"itemData":{"id":9468,"type":"article-journal","container-title":"Journal of Hypertension","DOI":"10.1097/HJH.0000000000000701","ISSN":"0263-6352","issue":"9","language":"en","page":"1729-1741","source":"DOI.org (Crossref)","title":"Serum uric acid and the risk of cardiovascular and renal disease","volume":"33","author":[{"family":"Borghi","given":"Claudio"},{"family":"Rosei","given":"Enrico Agabiti"},{"family":"Bardin","given":"Thomas"},{"family":"Dawson","given":"Jesse"},{"family":"Dominiczak","given":"Anna"},{"family":"Kielstein","given":"Jan T."},{"family":"Manolis","given":"Athanasios J."},{"family":"Perez-Ruiz","given":"Fernando"},{"family":"Mancia","given":"Giuseppe"}],"issued":{"date-parts":[["2015",9]]}},"label":"page"}],"schema":"https://github.com/citation-style-language/schema/raw/master/csl-citation.json"} </w:instrText>
            </w:r>
            <w:r w:rsidRPr="007E5D9A">
              <w:rPr>
                <w:rFonts w:ascii="Times New Roman" w:eastAsia="宋体" w:hAnsi="Times New Roman" w:cs="Times New Roman"/>
                <w:kern w:val="0"/>
                <w:sz w:val="24"/>
                <w:lang w:bidi="ar"/>
              </w:rPr>
              <w:fldChar w:fldCharType="separate"/>
            </w:r>
            <w:r w:rsidRPr="007E5D9A">
              <w:rPr>
                <w:rFonts w:ascii="Times New Roman" w:hAnsi="Times New Roman" w:cs="Times New Roman"/>
                <w:sz w:val="24"/>
              </w:rPr>
              <w:t>[14,15]</w:t>
            </w:r>
            <w:r w:rsidRPr="007E5D9A">
              <w:rPr>
                <w:rFonts w:ascii="Times New Roman" w:eastAsia="宋体" w:hAnsi="Times New Roman" w:cs="Times New Roman"/>
                <w:kern w:val="0"/>
                <w:sz w:val="24"/>
                <w:lang w:bidi="ar"/>
              </w:rPr>
              <w:fldChar w:fldCharType="end"/>
            </w:r>
          </w:p>
        </w:tc>
      </w:tr>
    </w:tbl>
    <w:p w14:paraId="0F0BF86A" w14:textId="77777777" w:rsidR="00795585" w:rsidRPr="007E5D9A" w:rsidRDefault="00795585">
      <w:pPr>
        <w:widowControl/>
        <w:shd w:val="clear" w:color="auto" w:fill="FFFFFF"/>
        <w:spacing w:after="119"/>
        <w:rPr>
          <w:rFonts w:ascii="Times New Roman" w:eastAsia="Noto Sans" w:hAnsi="Times New Roman" w:cs="Times New Roman"/>
          <w:spacing w:val="4"/>
          <w:szCs w:val="21"/>
        </w:rPr>
      </w:pPr>
    </w:p>
    <w:p w14:paraId="0C32A977" w14:textId="77777777" w:rsidR="00795585" w:rsidRPr="007E5D9A" w:rsidRDefault="00795585">
      <w:pPr>
        <w:spacing w:line="360" w:lineRule="auto"/>
        <w:rPr>
          <w:rFonts w:ascii="Times New Roman" w:hAnsi="Times New Roman" w:cs="Times New Roman"/>
          <w:sz w:val="24"/>
        </w:rPr>
      </w:pPr>
    </w:p>
    <w:p w14:paraId="5B4DE2A4" w14:textId="77777777" w:rsidR="00795585" w:rsidRPr="007E5D9A" w:rsidRDefault="00000000">
      <w:pPr>
        <w:spacing w:line="360" w:lineRule="auto"/>
        <w:rPr>
          <w:rFonts w:ascii="Times New Roman" w:hAnsi="Times New Roman" w:cs="Times New Roman"/>
          <w:b/>
          <w:bCs/>
          <w:color w:val="000000"/>
          <w:sz w:val="28"/>
          <w:szCs w:val="28"/>
        </w:rPr>
      </w:pPr>
      <w:r w:rsidRPr="007E5D9A">
        <w:rPr>
          <w:rFonts w:ascii="Times New Roman" w:hAnsi="Times New Roman" w:cs="Times New Roman"/>
          <w:b/>
          <w:bCs/>
          <w:color w:val="000000"/>
          <w:sz w:val="28"/>
          <w:szCs w:val="28"/>
        </w:rPr>
        <w:t>Table S3. Summary of Key Molecular Pathways in Cardiorenal Syndrome</w:t>
      </w:r>
    </w:p>
    <w:p w14:paraId="540A3AF3" w14:textId="77777777" w:rsidR="00795585" w:rsidRPr="007E5D9A" w:rsidRDefault="00795585">
      <w:pPr>
        <w:rPr>
          <w:rFonts w:ascii="Times New Roman" w:hAnsi="Times New Roman" w:cs="Times New Roman"/>
          <w:sz w:val="24"/>
        </w:rPr>
      </w:pPr>
    </w:p>
    <w:tbl>
      <w:tblPr>
        <w:tblW w:w="0" w:type="auto"/>
        <w:tblCellMar>
          <w:left w:w="0" w:type="dxa"/>
          <w:right w:w="0" w:type="dxa"/>
        </w:tblCellMar>
        <w:tblLook w:val="04A0" w:firstRow="1" w:lastRow="0" w:firstColumn="1" w:lastColumn="0" w:noHBand="0" w:noVBand="1"/>
      </w:tblPr>
      <w:tblGrid>
        <w:gridCol w:w="1730"/>
        <w:gridCol w:w="2668"/>
        <w:gridCol w:w="2022"/>
        <w:gridCol w:w="2034"/>
      </w:tblGrid>
      <w:tr w:rsidR="00795585" w:rsidRPr="007E5D9A" w14:paraId="2EC873F8" w14:textId="77777777">
        <w:trPr>
          <w:tblHeader/>
        </w:trPr>
        <w:tc>
          <w:tcPr>
            <w:tcW w:w="0" w:type="auto"/>
            <w:tcBorders>
              <w:top w:val="single" w:sz="4" w:space="0" w:color="auto"/>
              <w:left w:val="nil"/>
              <w:bottom w:val="single" w:sz="4" w:space="0" w:color="auto"/>
              <w:right w:val="nil"/>
            </w:tcBorders>
            <w:tcMar>
              <w:top w:w="74" w:type="dxa"/>
              <w:left w:w="74" w:type="dxa"/>
              <w:bottom w:w="74" w:type="dxa"/>
              <w:right w:w="74" w:type="dxa"/>
            </w:tcMar>
          </w:tcPr>
          <w:p w14:paraId="48A53720" w14:textId="77777777" w:rsidR="00795585" w:rsidRPr="007E5D9A" w:rsidRDefault="00000000">
            <w:pPr>
              <w:widowControl/>
              <w:jc w:val="left"/>
              <w:textAlignment w:val="baseline"/>
              <w:rPr>
                <w:rFonts w:ascii="Times New Roman" w:hAnsi="Times New Roman" w:cs="Times New Roman"/>
                <w:b/>
                <w:bCs/>
              </w:rPr>
            </w:pPr>
            <w:r w:rsidRPr="007E5D9A">
              <w:rPr>
                <w:rFonts w:ascii="Times New Roman" w:eastAsia="宋体" w:hAnsi="Times New Roman" w:cs="Times New Roman"/>
                <w:b/>
                <w:bCs/>
                <w:kern w:val="0"/>
                <w:sz w:val="24"/>
                <w:lang w:bidi="ar"/>
              </w:rPr>
              <w:t>Pathway Category</w:t>
            </w:r>
          </w:p>
        </w:tc>
        <w:tc>
          <w:tcPr>
            <w:tcW w:w="0" w:type="auto"/>
            <w:tcBorders>
              <w:top w:val="single" w:sz="4" w:space="0" w:color="auto"/>
              <w:bottom w:val="single" w:sz="4" w:space="0" w:color="auto"/>
              <w:right w:val="nil"/>
            </w:tcBorders>
            <w:tcMar>
              <w:top w:w="74" w:type="dxa"/>
              <w:left w:w="74" w:type="dxa"/>
              <w:bottom w:w="74" w:type="dxa"/>
              <w:right w:w="74" w:type="dxa"/>
            </w:tcMar>
          </w:tcPr>
          <w:p w14:paraId="0662F6C4" w14:textId="77777777" w:rsidR="00795585" w:rsidRPr="007E5D9A" w:rsidRDefault="00000000">
            <w:pPr>
              <w:widowControl/>
              <w:jc w:val="left"/>
              <w:textAlignment w:val="baseline"/>
              <w:rPr>
                <w:rFonts w:ascii="Times New Roman" w:hAnsi="Times New Roman" w:cs="Times New Roman"/>
                <w:b/>
                <w:bCs/>
              </w:rPr>
            </w:pPr>
            <w:r w:rsidRPr="007E5D9A">
              <w:rPr>
                <w:rFonts w:ascii="Times New Roman" w:eastAsia="宋体" w:hAnsi="Times New Roman" w:cs="Times New Roman"/>
                <w:b/>
                <w:bCs/>
                <w:kern w:val="0"/>
                <w:sz w:val="24"/>
                <w:lang w:bidi="ar"/>
              </w:rPr>
              <w:t>Specific Pathway/Molecule</w:t>
            </w:r>
          </w:p>
        </w:tc>
        <w:tc>
          <w:tcPr>
            <w:tcW w:w="0" w:type="auto"/>
            <w:tcBorders>
              <w:top w:val="single" w:sz="4" w:space="0" w:color="auto"/>
              <w:bottom w:val="single" w:sz="4" w:space="0" w:color="auto"/>
              <w:right w:val="nil"/>
            </w:tcBorders>
            <w:tcMar>
              <w:top w:w="74" w:type="dxa"/>
              <w:left w:w="74" w:type="dxa"/>
              <w:bottom w:w="74" w:type="dxa"/>
              <w:right w:w="74" w:type="dxa"/>
            </w:tcMar>
          </w:tcPr>
          <w:p w14:paraId="443046FE" w14:textId="77777777" w:rsidR="00795585" w:rsidRPr="007E5D9A" w:rsidRDefault="00000000">
            <w:pPr>
              <w:widowControl/>
              <w:jc w:val="left"/>
              <w:textAlignment w:val="baseline"/>
              <w:rPr>
                <w:rFonts w:ascii="Times New Roman" w:hAnsi="Times New Roman" w:cs="Times New Roman"/>
                <w:b/>
                <w:bCs/>
              </w:rPr>
            </w:pPr>
            <w:r w:rsidRPr="007E5D9A">
              <w:rPr>
                <w:rFonts w:ascii="Times New Roman" w:eastAsia="宋体" w:hAnsi="Times New Roman" w:cs="Times New Roman"/>
                <w:b/>
                <w:bCs/>
                <w:kern w:val="0"/>
                <w:sz w:val="24"/>
                <w:lang w:bidi="ar"/>
              </w:rPr>
              <w:t>Main Mechanism of Action</w:t>
            </w:r>
          </w:p>
        </w:tc>
        <w:tc>
          <w:tcPr>
            <w:tcW w:w="0" w:type="auto"/>
            <w:tcBorders>
              <w:top w:val="single" w:sz="4" w:space="0" w:color="auto"/>
              <w:bottom w:val="single" w:sz="4" w:space="0" w:color="auto"/>
              <w:right w:val="nil"/>
            </w:tcBorders>
            <w:tcMar>
              <w:top w:w="74" w:type="dxa"/>
              <w:left w:w="74" w:type="dxa"/>
              <w:bottom w:w="74" w:type="dxa"/>
              <w:right w:w="74" w:type="dxa"/>
            </w:tcMar>
          </w:tcPr>
          <w:p w14:paraId="3388795D" w14:textId="77777777" w:rsidR="00795585" w:rsidRPr="007E5D9A" w:rsidRDefault="00000000">
            <w:pPr>
              <w:widowControl/>
              <w:jc w:val="left"/>
              <w:textAlignment w:val="baseline"/>
              <w:rPr>
                <w:rFonts w:ascii="Times New Roman" w:hAnsi="Times New Roman" w:cs="Times New Roman"/>
                <w:b/>
                <w:bCs/>
              </w:rPr>
            </w:pPr>
            <w:r w:rsidRPr="007E5D9A">
              <w:rPr>
                <w:rFonts w:ascii="Times New Roman" w:eastAsia="宋体" w:hAnsi="Times New Roman" w:cs="Times New Roman"/>
                <w:b/>
                <w:bCs/>
                <w:kern w:val="0"/>
                <w:sz w:val="24"/>
                <w:lang w:bidi="ar"/>
              </w:rPr>
              <w:t>Target Organ Effects</w:t>
            </w:r>
          </w:p>
        </w:tc>
      </w:tr>
      <w:tr w:rsidR="00795585" w:rsidRPr="007E5D9A" w14:paraId="6A49E530" w14:textId="77777777">
        <w:tc>
          <w:tcPr>
            <w:tcW w:w="0" w:type="auto"/>
            <w:tcBorders>
              <w:top w:val="single" w:sz="4" w:space="0" w:color="auto"/>
              <w:left w:val="nil"/>
              <w:bottom w:val="nil"/>
              <w:right w:val="nil"/>
            </w:tcBorders>
            <w:tcMar>
              <w:top w:w="74" w:type="dxa"/>
              <w:left w:w="74" w:type="dxa"/>
              <w:bottom w:w="74" w:type="dxa"/>
              <w:right w:w="74" w:type="dxa"/>
            </w:tcMar>
          </w:tcPr>
          <w:p w14:paraId="059B29BD" w14:textId="77777777" w:rsidR="00795585" w:rsidRPr="007E5D9A" w:rsidRDefault="00000000">
            <w:pPr>
              <w:widowControl/>
              <w:jc w:val="left"/>
              <w:textAlignment w:val="baseline"/>
              <w:rPr>
                <w:rFonts w:ascii="Times New Roman" w:hAnsi="Times New Roman" w:cs="Times New Roman"/>
              </w:rPr>
            </w:pPr>
            <w:r w:rsidRPr="007E5D9A">
              <w:rPr>
                <w:rStyle w:val="a9"/>
                <w:rFonts w:ascii="Times New Roman" w:eastAsia="宋体" w:hAnsi="Times New Roman" w:cs="Times New Roman"/>
                <w:bCs/>
                <w:kern w:val="0"/>
                <w:sz w:val="24"/>
                <w:lang w:bidi="ar"/>
              </w:rPr>
              <w:t>Neuroendocrine Activation</w:t>
            </w:r>
          </w:p>
        </w:tc>
        <w:tc>
          <w:tcPr>
            <w:tcW w:w="0" w:type="auto"/>
            <w:tcBorders>
              <w:top w:val="single" w:sz="4" w:space="0" w:color="auto"/>
              <w:bottom w:val="nil"/>
              <w:right w:val="nil"/>
            </w:tcBorders>
            <w:tcMar>
              <w:top w:w="74" w:type="dxa"/>
              <w:left w:w="74" w:type="dxa"/>
              <w:bottom w:w="74" w:type="dxa"/>
              <w:right w:w="74" w:type="dxa"/>
            </w:tcMar>
          </w:tcPr>
          <w:p w14:paraId="48AFF33D" w14:textId="77777777" w:rsidR="00795585" w:rsidRPr="007E5D9A" w:rsidRDefault="00000000">
            <w:pPr>
              <w:widowControl/>
              <w:jc w:val="left"/>
              <w:textAlignment w:val="baseline"/>
              <w:rPr>
                <w:rFonts w:ascii="Times New Roman" w:hAnsi="Times New Roman" w:cs="Times New Roman"/>
              </w:rPr>
            </w:pPr>
            <w:r w:rsidRPr="007E5D9A">
              <w:rPr>
                <w:rFonts w:ascii="Times New Roman" w:eastAsia="宋体" w:hAnsi="Times New Roman" w:cs="Times New Roman"/>
                <w:kern w:val="0"/>
                <w:sz w:val="24"/>
                <w:lang w:bidi="ar"/>
              </w:rPr>
              <w:t>RAAS (Ang II/AT1R)</w:t>
            </w:r>
            <w:r w:rsidRPr="007E5D9A">
              <w:rPr>
                <w:rFonts w:ascii="Times New Roman" w:eastAsia="宋体" w:hAnsi="Times New Roman" w:cs="Times New Roman"/>
                <w:kern w:val="0"/>
                <w:sz w:val="24"/>
                <w:lang w:bidi="ar"/>
              </w:rPr>
              <w:fldChar w:fldCharType="begin"/>
            </w:r>
            <w:r w:rsidRPr="007E5D9A">
              <w:rPr>
                <w:rFonts w:ascii="Times New Roman" w:eastAsia="宋体" w:hAnsi="Times New Roman" w:cs="Times New Roman"/>
                <w:kern w:val="0"/>
                <w:sz w:val="24"/>
                <w:lang w:bidi="ar"/>
              </w:rPr>
              <w:instrText xml:space="preserve"> ADDIN ZOTERO_ITEM CSL_CITATION {"citationID":"oKKIJoFd","properties":{"formattedCitation":"[16,17]","plainCitation":"[16,17]","noteIndex":0},"citationItems":[{"id":"PT63WDpC/1vJt5E3y","uris":["http://zotero.org/users/local/pKm3rcyL/items/3U822CTL"],"itemData":{"id":8913,"type":"article-journal","container-title":"The American Journal of Managed Care","issue":"Suppl 10","page":"S181-S188","title":"An overview of cardiovascular-kidney-metabolic syndrome","volume":"30","author":[{"family":"Ferdinand","given":"Keith C."}],"issued":{"date-parts":[["2024"]]}},"label":"page"},{"id":"PT63WDpC/4zwqw7AX","uris":["http://zotero.org/users/local/pKm3rcyL/items/REZR2GUH"],"itemData":{"id":9066,"type":"article-journal","abstract":"The intersection of cardiovascular disease, metabolic disorders and chronic kidney disease represents a complex clinical picture challenging healthcare systems worldwide. Metabolic-dysfunction-associated steatotic liver disease (MASLD) often manifests sequentially or concomitantly with these diseases, and may share underlying mechanisms and risk factors. Growing evidence suggests that new therapies could have benefits across these diseases, but trial sponsors and investigators tend to be reluctant to include patients with comorbidities-particularly liver diseases-in clinical trials. In this Perspective, we call for inclusion of patients with MASLD and measurement of liver outcomes in cardio-kidney-metabolic trials, when data suggest mechanistically plausible benefits and liver and cardiovascular safety. We discuss the implications of this new paradigm for clinical trial design and considerations for regulatory approval. Finally, we outline the challenges to implementing such an approach and provide recommendations for future clinical trial conduct.","container-title":"Nature Medicine","DOI":"10.1038/s41591-024-03223-z","ISSN":"1546-170X","issue":"9","journalAbbreviation":"Nat Med","language":"eng","page":"2423-2431","source":"PubMed","title":"Integrating liver endpoints in clinical trials of cardiovascular and kidney disease","volume":"30","author":[{"family":"Zannad","given":"Faiez"},{"family":"Sanyal","given":"Arun J."},{"family":"Butler","given":"Javed"},{"family":"Miller","given":"Veronica"},{"family":"Harrison","given":"Stephen A."}],"issued":{"date-parts":[["2024",9]]}},"label":"page"}],"schema":"https://github.com/citation-style-language/schema/raw/master/csl-citation.json"} </w:instrText>
            </w:r>
            <w:r w:rsidRPr="007E5D9A">
              <w:rPr>
                <w:rFonts w:ascii="Times New Roman" w:eastAsia="宋体" w:hAnsi="Times New Roman" w:cs="Times New Roman"/>
                <w:kern w:val="0"/>
                <w:sz w:val="24"/>
                <w:lang w:bidi="ar"/>
              </w:rPr>
              <w:fldChar w:fldCharType="separate"/>
            </w:r>
            <w:r w:rsidRPr="007E5D9A">
              <w:rPr>
                <w:rFonts w:ascii="Times New Roman" w:hAnsi="Times New Roman" w:cs="Times New Roman"/>
                <w:sz w:val="24"/>
              </w:rPr>
              <w:t>[16,17]</w:t>
            </w:r>
            <w:r w:rsidRPr="007E5D9A">
              <w:rPr>
                <w:rFonts w:ascii="Times New Roman" w:eastAsia="宋体" w:hAnsi="Times New Roman" w:cs="Times New Roman"/>
                <w:kern w:val="0"/>
                <w:sz w:val="24"/>
                <w:lang w:bidi="ar"/>
              </w:rPr>
              <w:fldChar w:fldCharType="end"/>
            </w:r>
          </w:p>
        </w:tc>
        <w:tc>
          <w:tcPr>
            <w:tcW w:w="0" w:type="auto"/>
            <w:tcBorders>
              <w:top w:val="single" w:sz="4" w:space="0" w:color="auto"/>
              <w:bottom w:val="nil"/>
              <w:right w:val="nil"/>
            </w:tcBorders>
            <w:tcMar>
              <w:top w:w="74" w:type="dxa"/>
              <w:left w:w="74" w:type="dxa"/>
              <w:bottom w:w="74" w:type="dxa"/>
              <w:right w:w="74" w:type="dxa"/>
            </w:tcMar>
          </w:tcPr>
          <w:p w14:paraId="5DDB6B10" w14:textId="77777777" w:rsidR="00795585" w:rsidRPr="007E5D9A" w:rsidRDefault="00000000">
            <w:pPr>
              <w:widowControl/>
              <w:jc w:val="left"/>
              <w:textAlignment w:val="baseline"/>
              <w:rPr>
                <w:rFonts w:ascii="Times New Roman" w:hAnsi="Times New Roman" w:cs="Times New Roman"/>
              </w:rPr>
            </w:pPr>
            <w:r w:rsidRPr="007E5D9A">
              <w:rPr>
                <w:rFonts w:ascii="Times New Roman" w:eastAsia="宋体" w:hAnsi="Times New Roman" w:cs="Times New Roman"/>
                <w:kern w:val="0"/>
                <w:sz w:val="24"/>
                <w:lang w:bidi="ar"/>
              </w:rPr>
              <w:t>Stimulates NADPH oxidase → ROS production</w:t>
            </w:r>
            <w:r w:rsidRPr="007E5D9A">
              <w:rPr>
                <w:rFonts w:ascii="Times New Roman" w:eastAsia="宋体" w:hAnsi="Times New Roman" w:cs="Times New Roman"/>
                <w:kern w:val="0"/>
                <w:sz w:val="24"/>
                <w:lang w:bidi="ar"/>
              </w:rPr>
              <w:fldChar w:fldCharType="begin"/>
            </w:r>
            <w:r w:rsidRPr="007E5D9A">
              <w:rPr>
                <w:rFonts w:ascii="Times New Roman" w:eastAsia="宋体" w:hAnsi="Times New Roman" w:cs="Times New Roman"/>
                <w:kern w:val="0"/>
                <w:sz w:val="24"/>
                <w:lang w:bidi="ar"/>
              </w:rPr>
              <w:instrText xml:space="preserve"> ADDIN ZOTERO_ITEM CSL_CITATION {"citationID":"qC1Tm6Iq","properties":{"formattedCitation":"[18]","plainCitation":"[18]","noteIndex":0},"citationItems":[{"id":"PT63WDpC/UJJTDOVl","uris":["http://zotero.org/users/local/pKm3rcyL/items/U6TALEY6"],"itemData":{"id":9064,"type":"article-journal","abstract":"BACKGROUND: Cardiovascular-kidney-metabolic (CKM) syndrome is a recently proposed condition encompassing metabolic dysfunction, chronic kidney disease, and cardiovascular diseases including coronary artery disease (CAD). Although concomitant metabolic dysfunction-associated steatotic liver disease (MASLD) exacerbates CKM syndrome, MASLD is not included in the original stratification (stages 0-3) for predicting cardiovascular disease (stage 4).\nMETHODS: We investigated whether the addition of MASLD in the original health stage of CKM syndrome improves the risk stratification of CAD in Japanese participants who underwent annual health checkups. A total of 18 358 participants were categorized by the original health stages (stages 0-3) or modified health stages incorporating MASLD without chronic kidney disease in stage 2 and MASLD with chronic kidney disease in stage 3 to analyze the predictive ability for CAD during a 10-year period.\nRESULTS: Kaplan-Meier survival curve analysis showed that the modified classification more effectively stratified the risk of CAD than did the original CKM health stage. In Cox hazard proportional analyses after adjustment of confounders, hazard ratios in the original and modified stages 2/3 were 1.63 (95% CI, 1.27-2.11; P&lt;0.001), 2.41 (95% CI, 0.34-17.4; P=0.381), 1.58 (95% CI, 1.23-2.05; P&lt;0.001), and 2.56 (95% CI, 1.66-3.95; P&lt;0.001), respectively. Risk discrimination significantly improved in the modified classification evaluated by integrated discrimination improvement. Furthermore, machine learning-mediated feature importance analyses using random forest and extreme gradient boosting identified MASLD as a key predictor of CAD with a high value of the Shapley Additive Explanations, indicating strong contribution in models.\nCONCLUSIONS: The modified health stage classification of CKM syndrome incorporating MASLD improves the accuracy of predicting new onset of CAD in a Japanese general population.","container-title":"Journal of the American Heart Association","DOI":"10.1161/JAHA.125.043173","ISSN":"2047-9980","issue":"16","journalAbbreviation":"J Am Heart Assoc","language":"eng","page":"e043173","source":"PubMed","title":"Incorporation of Metabolic Dysfunction-Associated Steatotic Liver Disease in the Health Stage of Cardiovascular-Kidney-Metabolic Syndrome Improves Predictive Ability for Coronary Artery Disease in a Japanese General Population","volume":"14","author":[{"family":"Kawaharata","given":"Wataru"},{"family":"Tanaka","given":"Marenao"},{"family":"Sato","given":"Tatsuya"},{"family":"Akiyama","given":"Yukinori"},{"family":"Hosaka","given":"Itaru"},{"family":"Aida","given":"Hiroki"},{"family":"Matsumori","given":"Rie"},{"family":"Nakata","given":"Kei"},{"family":"Nishizawa","given":"Keitaro"},{"family":"Suzuki","given":"Toru"},{"family":"Kouzu","given":"Hidemichi"},{"family":"Hanawa","given":"Nagisa"},{"family":"Furuhashi","given":"Masato"}],"issued":{"date-parts":[["2025",8,19]]}}}],"schema":"https://github.com/citation-style-language/schema/raw/master/csl-citation.json"} </w:instrText>
            </w:r>
            <w:r w:rsidRPr="007E5D9A">
              <w:rPr>
                <w:rFonts w:ascii="Times New Roman" w:eastAsia="宋体" w:hAnsi="Times New Roman" w:cs="Times New Roman"/>
                <w:kern w:val="0"/>
                <w:sz w:val="24"/>
                <w:lang w:bidi="ar"/>
              </w:rPr>
              <w:fldChar w:fldCharType="separate"/>
            </w:r>
            <w:r w:rsidRPr="007E5D9A">
              <w:rPr>
                <w:rFonts w:ascii="Times New Roman" w:hAnsi="Times New Roman" w:cs="Times New Roman"/>
                <w:sz w:val="24"/>
              </w:rPr>
              <w:t>[18]</w:t>
            </w:r>
            <w:r w:rsidRPr="007E5D9A">
              <w:rPr>
                <w:rFonts w:ascii="Times New Roman" w:eastAsia="宋体" w:hAnsi="Times New Roman" w:cs="Times New Roman"/>
                <w:kern w:val="0"/>
                <w:sz w:val="24"/>
                <w:lang w:bidi="ar"/>
              </w:rPr>
              <w:fldChar w:fldCharType="end"/>
            </w:r>
            <w:r w:rsidRPr="007E5D9A">
              <w:rPr>
                <w:rFonts w:ascii="Times New Roman" w:eastAsia="宋体" w:hAnsi="Times New Roman" w:cs="Times New Roman"/>
                <w:kern w:val="0"/>
                <w:sz w:val="24"/>
                <w:lang w:bidi="ar"/>
              </w:rPr>
              <w:t>; activates inflammatory signaling; promotes fibrosis</w:t>
            </w:r>
          </w:p>
        </w:tc>
        <w:tc>
          <w:tcPr>
            <w:tcW w:w="0" w:type="auto"/>
            <w:tcBorders>
              <w:top w:val="single" w:sz="4" w:space="0" w:color="auto"/>
              <w:bottom w:val="nil"/>
              <w:right w:val="nil"/>
            </w:tcBorders>
            <w:tcMar>
              <w:top w:w="74" w:type="dxa"/>
              <w:left w:w="74" w:type="dxa"/>
              <w:bottom w:w="74" w:type="dxa"/>
              <w:right w:w="74" w:type="dxa"/>
            </w:tcMar>
          </w:tcPr>
          <w:p w14:paraId="6484632C" w14:textId="77777777" w:rsidR="00795585" w:rsidRPr="007E5D9A" w:rsidRDefault="00000000">
            <w:pPr>
              <w:widowControl/>
              <w:jc w:val="left"/>
              <w:textAlignment w:val="baseline"/>
              <w:rPr>
                <w:rFonts w:ascii="Times New Roman" w:hAnsi="Times New Roman" w:cs="Times New Roman"/>
              </w:rPr>
            </w:pPr>
            <w:r w:rsidRPr="007E5D9A">
              <w:rPr>
                <w:rFonts w:ascii="Times New Roman" w:eastAsia="宋体" w:hAnsi="Times New Roman" w:cs="Times New Roman"/>
                <w:kern w:val="0"/>
                <w:sz w:val="24"/>
                <w:lang w:bidi="ar"/>
              </w:rPr>
              <w:t>Heart: myocardial hypertrophy, fibrosis, contractile dysfunction; Kidney: vasoconstriction, glomerular injury, interstitial fibrosis</w:t>
            </w:r>
          </w:p>
        </w:tc>
      </w:tr>
      <w:tr w:rsidR="00795585" w:rsidRPr="007E5D9A" w14:paraId="7C6157E4" w14:textId="77777777">
        <w:tc>
          <w:tcPr>
            <w:tcW w:w="0" w:type="auto"/>
            <w:tcBorders>
              <w:left w:val="nil"/>
              <w:bottom w:val="nil"/>
              <w:right w:val="nil"/>
            </w:tcBorders>
            <w:tcMar>
              <w:top w:w="74" w:type="dxa"/>
              <w:left w:w="74" w:type="dxa"/>
              <w:bottom w:w="74" w:type="dxa"/>
              <w:right w:w="74" w:type="dxa"/>
            </w:tcMar>
          </w:tcPr>
          <w:p w14:paraId="0E3BDA01" w14:textId="77777777" w:rsidR="00795585" w:rsidRPr="007E5D9A" w:rsidRDefault="00795585">
            <w:pPr>
              <w:jc w:val="left"/>
              <w:rPr>
                <w:rFonts w:ascii="Times New Roman" w:hAnsi="Times New Roman" w:cs="Times New Roman"/>
                <w:sz w:val="24"/>
              </w:rPr>
            </w:pPr>
          </w:p>
        </w:tc>
        <w:tc>
          <w:tcPr>
            <w:tcW w:w="0" w:type="auto"/>
            <w:tcBorders>
              <w:bottom w:val="nil"/>
              <w:right w:val="nil"/>
            </w:tcBorders>
            <w:tcMar>
              <w:top w:w="74" w:type="dxa"/>
              <w:left w:w="74" w:type="dxa"/>
              <w:bottom w:w="74" w:type="dxa"/>
              <w:right w:w="74" w:type="dxa"/>
            </w:tcMar>
          </w:tcPr>
          <w:p w14:paraId="0AB6D254" w14:textId="77777777" w:rsidR="00795585" w:rsidRPr="007E5D9A" w:rsidRDefault="00000000">
            <w:pPr>
              <w:widowControl/>
              <w:jc w:val="left"/>
              <w:textAlignment w:val="baseline"/>
              <w:rPr>
                <w:rFonts w:ascii="Times New Roman" w:hAnsi="Times New Roman" w:cs="Times New Roman"/>
              </w:rPr>
            </w:pPr>
            <w:r w:rsidRPr="007E5D9A">
              <w:rPr>
                <w:rFonts w:ascii="Times New Roman" w:eastAsia="宋体" w:hAnsi="Times New Roman" w:cs="Times New Roman"/>
                <w:kern w:val="0"/>
                <w:sz w:val="24"/>
                <w:lang w:bidi="ar"/>
              </w:rPr>
              <w:t>SNS (β-AR/cAMP/PKA)</w:t>
            </w:r>
            <w:r w:rsidRPr="007E5D9A">
              <w:rPr>
                <w:rFonts w:ascii="Times New Roman" w:eastAsia="宋体" w:hAnsi="Times New Roman" w:cs="Times New Roman"/>
                <w:kern w:val="0"/>
                <w:sz w:val="24"/>
                <w:lang w:bidi="ar"/>
              </w:rPr>
              <w:fldChar w:fldCharType="begin"/>
            </w:r>
            <w:r w:rsidRPr="007E5D9A">
              <w:rPr>
                <w:rFonts w:ascii="Times New Roman" w:eastAsia="宋体" w:hAnsi="Times New Roman" w:cs="Times New Roman"/>
                <w:kern w:val="0"/>
                <w:sz w:val="24"/>
                <w:lang w:bidi="ar"/>
              </w:rPr>
              <w:instrText xml:space="preserve"> ADDIN ZOTERO_ITEM CSL_CITATION {"citationID":"ccYM0JLs","properties":{"formattedCitation":"[19,20]","plainCitation":"[19,20]","noteIndex":0},"citationItems":[{"id":"PT63WDpC/bPXYFO3E","uris":["http://zotero.org/users/local/pKm3rcyL/items/BG8Q2DXJ"],"itemData":{"id":9068,"type":"article-journal","abstract":"BACKGROUND: Cardiovascular-kidney-metabolic (CKM) syndrome is a systemic disorder characterized by pathophysiological interactions among metabolic risk factors. We aimed to determine the prevalence of CKM syndrome and investigate the association between CKM stages and mortality in patients with metabolic dysfunction-associated steatotic liver disease (MASLD).\nMETHODS: We extracted data on patients with MASLD from NHANES III and the Chinese Kailuan cohort, enrolling a total of 2159 and 22,865 patients, respectively. Hepatic steatosis was assessed by liver ultrasound. Participants were categorized into three groups according to CKM stages: 1, 2, and 3-4. Mortality was evaluated using the Cox proportional hazards model with or without inverse probability of treatment weighting (IPTW).\nRESULTS: In NHANES III cohort, 84.5% MASLD patients meet the criteria for CKM stage 2 or higher, and 36.9% deaths are observed. CKM stages 3-4 is an independent risk factor for liver fibrosis after adjusting for confounding factors (aOR 2.24 95% CI: 1.14-4.40, P = 0.019). By using stage 1 as a reference, an increasing trend in all-cause mortality is shown in patients with higher stages (stage 2: aHR 1.55, 95% CI 1.17-2.07, P = 0.003; stages 3-4: aHR 2.69, 95% CI 1.92-3.76, P &lt; 0.001), as well as for cardiovascular mortality during a follow-up of 50,895.4 person-years. Moreover, patients with stages 3-4 have the highest mortality risk among different stages across most subgroups. Similar results are validated in Kailuan cohort.\nCONCLUSIONS: The majority of MASLD patients also have CKM syndrome. A significant increase in all-cause and cardiovascular mortality is associated with advancing CKM stages.","container-title":"Communications Medicine","DOI":"10.1038/s43856-025-01195-w","ISSN":"2730-664X","issue":"1","journalAbbreviation":"Commun Med (Lond)","language":"eng","page":"492","source":"PubMed","title":"Cardiovascular-kidney-metabolic (CKM) syndrome is associated with increased mortality in individuals with metabolic dysfunction-associated steatotic liver disease (MASLD)","volume":"5","author":[{"family":"Chen","given":"Qianqian"},{"family":"Zhu","given":"Yixuan"},{"family":"Gao","given":"Jingli"},{"family":"Ni","given":"Wenjing"},{"family":"Liu","given":"Shanghao"},{"family":"Rui","given":"Fajuan"},{"family":"Bai","given":"Xue"},{"family":"Geng","given":"Nan"},{"family":"Jin","given":"Rui"},{"family":"Sun","given":"Yuxiang"},{"family":"Chen","given":"Yijie"},{"family":"Fan","given":"Zhiwen"},{"family":"Wu","given":"Chao"},{"family":"Qi","given":"Xiaolong"},{"family":"Shi","given":"Junping"},{"family":"Li","given":"Jie"}],"issued":{"date-parts":[["2025",11,21]]}},"label":"page"},{"id":"PT63WDpC/pixaAAzh","uris":["http://zotero.org/users/local/pKm3rcyL/items/38SGCNAX"],"itemData":{"id":8916,"type":"article-journal","abstract":"Cardiometabolic diseases represent an escalating global health crisis, slowing or even reversing earlier declines in cardiovascular disease (CVD) mortality.  Traditionally, conditions such as obesity, type 2 diabetes mellitus (T2DM),  atherosclerotic CVD, heart failure (HF), chronic kidney disease (CKD), and  metabolic dysfunction-associated steatotic liver disease (MASLD) were managed in  isolation. However, emerging evidence reveals that these disorders share  overlapping pathophysiological mechanisms and treatment strategies. In 2023, the  American Heart Association proposed the Cardiovascular-Kidney-Metabolic (CKM)  syndrome, recognizing the interconnected roles of the heart, kidneys, and  metabolic system. Yet, this model omits the liver-a critical organ impacted by  metabolic dysfunction. MASLD, which can progress to metabolic  dysfunction-associated steatohepatitis (MASH), is closely tied to insulin  resistance and obesity, contributing directly to cardiovascular and renal  impairment. Notably, MASLD is bidirectionally associated with the development and  progression of CKM syndrome. As a result, we introduce an expanded framework-the  Cardiovascular-Renal-Hepatic-Metabolic (CRHM) syndrome-to more comprehensively  capture the broader inter-organ dynamics. We provide guidance for an integrated  diagnostic approach aimed at halting progression to advanced stages and  preventing further organ damage. In addition, we highlight advances in medical  management that target shared pathophysiological pathways, offering benefits  across multiple organ systems. Viewing these conditions as an integrated whole,  rather than as discrete entities, and incorporating the liver into this framework  fosters a more holistic management strategy and offers a promising path to  addressing the cardiometabolic pandemic.","container-title":"Biomolecules","DOI":"10.3390/biom15020213","ISSN":"2218-273X","issue":"2","journalAbbreviation":"Biomolecules","language":"eng","title":"From Cardiovascular-Kidney-Metabolic Syndrome to Cardiovascular-Renal-Hepatic-Metabolic Syndrome: Proposing an Expanded Framework.","volume":"15","author":[{"family":"Theodorakis","given":"Nikolaos"},{"family":"Nikolaou","given":"Maria"}],"issued":{"date-parts":[["2025",2,2]]}},"label":"page"}],"schema":"https://github.com/citation-style-language/schema/raw/master/csl-citation.json"} </w:instrText>
            </w:r>
            <w:r w:rsidRPr="007E5D9A">
              <w:rPr>
                <w:rFonts w:ascii="Times New Roman" w:eastAsia="宋体" w:hAnsi="Times New Roman" w:cs="Times New Roman"/>
                <w:kern w:val="0"/>
                <w:sz w:val="24"/>
                <w:lang w:bidi="ar"/>
              </w:rPr>
              <w:fldChar w:fldCharType="separate"/>
            </w:r>
            <w:r w:rsidRPr="007E5D9A">
              <w:rPr>
                <w:rFonts w:ascii="Times New Roman" w:hAnsi="Times New Roman" w:cs="Times New Roman"/>
                <w:sz w:val="24"/>
              </w:rPr>
              <w:t>[19,2</w:t>
            </w:r>
            <w:r w:rsidRPr="007E5D9A">
              <w:rPr>
                <w:rFonts w:ascii="Times New Roman" w:hAnsi="Times New Roman" w:cs="Times New Roman"/>
                <w:sz w:val="24"/>
              </w:rPr>
              <w:lastRenderedPageBreak/>
              <w:t>0]</w:t>
            </w:r>
            <w:r w:rsidRPr="007E5D9A">
              <w:rPr>
                <w:rFonts w:ascii="Times New Roman" w:eastAsia="宋体" w:hAnsi="Times New Roman" w:cs="Times New Roman"/>
                <w:kern w:val="0"/>
                <w:sz w:val="24"/>
                <w:lang w:bidi="ar"/>
              </w:rPr>
              <w:fldChar w:fldCharType="end"/>
            </w:r>
          </w:p>
        </w:tc>
        <w:tc>
          <w:tcPr>
            <w:tcW w:w="0" w:type="auto"/>
            <w:tcBorders>
              <w:bottom w:val="nil"/>
              <w:right w:val="nil"/>
            </w:tcBorders>
            <w:tcMar>
              <w:top w:w="74" w:type="dxa"/>
              <w:left w:w="74" w:type="dxa"/>
              <w:bottom w:w="74" w:type="dxa"/>
              <w:right w:w="74" w:type="dxa"/>
            </w:tcMar>
          </w:tcPr>
          <w:p w14:paraId="58FDEFF4" w14:textId="77777777" w:rsidR="00795585" w:rsidRPr="007E5D9A" w:rsidRDefault="00000000">
            <w:pPr>
              <w:widowControl/>
              <w:jc w:val="left"/>
              <w:textAlignment w:val="baseline"/>
              <w:rPr>
                <w:rFonts w:ascii="Times New Roman" w:hAnsi="Times New Roman" w:cs="Times New Roman"/>
              </w:rPr>
            </w:pPr>
            <w:r w:rsidRPr="007E5D9A">
              <w:rPr>
                <w:rFonts w:ascii="Times New Roman" w:eastAsia="宋体" w:hAnsi="Times New Roman" w:cs="Times New Roman"/>
                <w:kern w:val="0"/>
                <w:sz w:val="24"/>
                <w:lang w:bidi="ar"/>
              </w:rPr>
              <w:lastRenderedPageBreak/>
              <w:t xml:space="preserve">Promotes pathological </w:t>
            </w:r>
            <w:r w:rsidRPr="007E5D9A">
              <w:rPr>
                <w:rFonts w:ascii="Times New Roman" w:eastAsia="宋体" w:hAnsi="Times New Roman" w:cs="Times New Roman"/>
                <w:kern w:val="0"/>
                <w:sz w:val="24"/>
                <w:lang w:bidi="ar"/>
              </w:rPr>
              <w:lastRenderedPageBreak/>
              <w:t>cardiomyocyte hypertrophy and apoptosis</w:t>
            </w:r>
            <w:r w:rsidRPr="007E5D9A">
              <w:rPr>
                <w:rFonts w:ascii="Times New Roman" w:eastAsia="宋体" w:hAnsi="Times New Roman" w:cs="Times New Roman"/>
                <w:kern w:val="0"/>
                <w:sz w:val="24"/>
                <w:lang w:bidi="ar"/>
              </w:rPr>
              <w:fldChar w:fldCharType="begin"/>
            </w:r>
            <w:r w:rsidRPr="007E5D9A">
              <w:rPr>
                <w:rFonts w:ascii="Times New Roman" w:eastAsia="宋体" w:hAnsi="Times New Roman" w:cs="Times New Roman"/>
                <w:kern w:val="0"/>
                <w:sz w:val="24"/>
                <w:lang w:bidi="ar"/>
              </w:rPr>
              <w:instrText xml:space="preserve"> ADDIN ZOTERO_ITEM CSL_CITATION {"citationID":"t78ffS5M","properties":{"formattedCitation":"[19]","plainCitation":"[19]","noteIndex":0},"citationItems":[{"id":"PT63WDpC/bPXYFO3E","uris":["http://zotero.org/users/local/pKm3rcyL/items/BG8Q2DXJ"],"itemData":{"id":9068,"type":"article-journal","abstract":"BACKGROUND: Cardiovascular-kidney-metabolic (CKM) syndrome is a systemic disorder characterized by pathophysiological interactions among metabolic risk factors. We aimed to determine the prevalence of CKM syndrome and investigate the association between CKM stages and mortality in patients with metabolic dysfunction-associated steatotic liver disease (MASLD).\nMETHODS: We extracted data on patients with MASLD from NHANES III and the Chinese Kailuan cohort, enrolling a total of 2159 and 22,865 patients, respectively. Hepatic steatosis was assessed by liver ultrasound. Participants were categorized into three groups according to CKM stages: 1, 2, and 3-4. Mortality was evaluated using the Cox proportional hazards model with or without inverse probability of treatment weighting (IPTW).\nRESULTS: In NHANES III cohort, 84.5% MASLD patients meet the criteria for CKM stage 2 or higher, and 36.9% deaths are observed. CKM stages 3-4 is an independent risk factor for liver fibrosis after adjusting for confounding factors (aOR 2.24 95% CI: 1.14-4.40, P = 0.019). By using stage 1 as a reference, an increasing trend in all-cause mortality is shown in patients with higher stages (stage 2: aHR 1.55, 95% CI 1.17-2.07, P = 0.003; stages 3-4: aHR 2.69, 95% CI 1.92-3.76, P &lt; 0.001), as well as for cardiovascular mortality during a follow-up of 50,895.4 person-years. Moreover, patients with stages 3-4 have the highest mortality risk among different stages across most subgroups. Similar results are validated in Kailuan cohort.\nCONCLUSIONS: The majority of MASLD patients also have CKM syndrome. A significant increase in all-cause and cardiovascular mortality is associated with advancing CKM stages.","container-title":"Communications Medicine","DOI":"10.1038/s43856-025-01195-w","ISSN":"2730-664X","issue":"1","journalAbbreviation":"Commun Med (Lond)","language":"eng","page":"492","source":"PubMed","title":"Cardiovascular-kidney-metabolic (CKM) syndrome is associated with increased mortality in individuals with metabolic dysfunction-associated steatotic liver disease (MASLD)","volume":"5","author":[{"family":"Chen","given":"Qianqian"},{"family":"Zhu","given":"Yixuan"},{"family":"Gao","given":"Jingli"},{"family":"Ni","given":"Wenjing"},{"family":"Liu","given":"Shanghao"},{"family":"Rui","given":"Fajuan"},{"family":"Bai","given":"Xue"},{"family":"Geng","given":"Nan"},{"family":"Jin","given":"Rui"},{"family":"Sun","given":"Yuxiang"},{"family":"Chen","given":"Yijie"},{"family":"Fan","given":"Zhiwen"},{"family":"Wu","given":"Chao"},{"family":"Qi","given":"Xiaolong"},{"family":"Shi","given":"Junping"},{"family":"Li","given":"Jie"}],"issued":{"date-parts":[["2025",11,21]]}}}],"schema":"https://github.com/citation-style-language/schema/raw/master/csl-citation.json"} </w:instrText>
            </w:r>
            <w:r w:rsidRPr="007E5D9A">
              <w:rPr>
                <w:rFonts w:ascii="Times New Roman" w:eastAsia="宋体" w:hAnsi="Times New Roman" w:cs="Times New Roman"/>
                <w:kern w:val="0"/>
                <w:sz w:val="24"/>
                <w:lang w:bidi="ar"/>
              </w:rPr>
              <w:fldChar w:fldCharType="separate"/>
            </w:r>
            <w:r w:rsidRPr="007E5D9A">
              <w:rPr>
                <w:rFonts w:ascii="Times New Roman" w:hAnsi="Times New Roman" w:cs="Times New Roman"/>
                <w:sz w:val="24"/>
              </w:rPr>
              <w:t>[19]</w:t>
            </w:r>
            <w:r w:rsidRPr="007E5D9A">
              <w:rPr>
                <w:rFonts w:ascii="Times New Roman" w:eastAsia="宋体" w:hAnsi="Times New Roman" w:cs="Times New Roman"/>
                <w:kern w:val="0"/>
                <w:sz w:val="24"/>
                <w:lang w:bidi="ar"/>
              </w:rPr>
              <w:fldChar w:fldCharType="end"/>
            </w:r>
            <w:r w:rsidRPr="007E5D9A">
              <w:rPr>
                <w:rFonts w:ascii="Times New Roman" w:eastAsia="宋体" w:hAnsi="Times New Roman" w:cs="Times New Roman"/>
                <w:kern w:val="0"/>
                <w:sz w:val="24"/>
                <w:lang w:bidi="ar"/>
              </w:rPr>
              <w:t>; stimulates renin release</w:t>
            </w:r>
            <w:r w:rsidRPr="007E5D9A">
              <w:rPr>
                <w:rFonts w:ascii="Times New Roman" w:eastAsia="宋体" w:hAnsi="Times New Roman" w:cs="Times New Roman"/>
                <w:kern w:val="0"/>
                <w:sz w:val="24"/>
                <w:lang w:bidi="ar"/>
              </w:rPr>
              <w:fldChar w:fldCharType="begin"/>
            </w:r>
            <w:r w:rsidRPr="007E5D9A">
              <w:rPr>
                <w:rFonts w:ascii="Times New Roman" w:eastAsia="宋体" w:hAnsi="Times New Roman" w:cs="Times New Roman"/>
                <w:kern w:val="0"/>
                <w:sz w:val="24"/>
                <w:lang w:bidi="ar"/>
              </w:rPr>
              <w:instrText xml:space="preserve"> ADDIN ZOTERO_ITEM CSL_CITATION {"citationID":"tcynlQV4","properties":{"formattedCitation":"[21,22]","plainCitation":"[21,22]","noteIndex":0},"citationItems":[{"id":"PT63WDpC/7PThGYwe","uris":["http://zotero.org/users/local/pKm3rcyL/items/JUHLKXXD"],"itemData":{"id":8915,"type":"article-journal","abstract":"Metabolic dysfunction-associated steatotic liver disease (MASLD) is the most common chronic liver disease worldwide, with a reach extending beyond the liver  to include other metabolic syndrome-related disorders. Cardiovascular disease and  type 2 diabetes mellitus are recognised non-communicable disorders and often  downstream complications of MASLD and share similar risk factors. However, MASLD  has not been afforded parity alongside other cardiometabolic non-communicable  disorders, including the cardiovascular-kidney-metabolic (CKM) syndrome. Notably,  MASLD is an independent risk factor for increased all-cause mortality and  cardiovascular disease. This review aims to position MASLD as a central player in  lipid metabolism, systemic inflammation, and insulin resistance, which are key  features in the pathogenesis of the CKM syndrome. MASLD is an integral player  enjoining the liver to the CKM syndrome as the liver-CKM syndrome. Increasing  interdisciplinary awareness of this will enhance patient care.","container-title":"Heart, lung &amp; circulation","DOI":"10.1016/j.hlc.2025.08.009","ISSN":"1444-2892 1443-9506","issue":"10","journalAbbreviation":"Heart Lung Circ","language":"eng","page":"1050-1059","title":"Connecting the Dots: Hepatic Steatosis as a Central Player in the Choreography of the Liver-Cardiovascular-Kidney-Metabolic Syndrome.","volume":"34","author":[{"family":"Goodheart","given":"Richard H."},{"family":"Ayonrinde","given":"Oyekoya T."}],"issued":{"date-parts":[["2025",10]]}},"label":"page"},{"id":"PT63WDpC/Ya2UfUYv","uris":["http://zotero.org/users/local/pKm3rcyL/items/PY5REX99"],"itemData":{"id":8917,"type":"article-journal","abstract":"Nonalcoholic fatty liver disease (NAFLD) has become the most common cause of chronic liver disease worldwide, affecting up to ~30% of adult populations. NAFLD  defines a spectrum of progressive liver conditions ranging from simple steatosis  to nonalcoholic steatohepatitis (NASH), cirrhosis, and hepatocellular carcinoma,  which often occur in close and bidirectional associations with metabolic  disorders. Chronic kidney disease (CKD) is characterized by anatomic and/or  functional renal damage, ultimately resulting in a reduced glomerular filtration  rate. The physiological axis linking the liver and kidneys often passes unnoticed  until clinically significant portal hypertension, as a major complication of  cirrhosis, becomes apparent in the form of ascites, refractory ascites, or  hepatorenal syndrome. However, the extensive evidence accumulated since 2008  indicates that noncirrhotic NAFLD is associated with a higher risk of incident  CKD, independent of obesity, type 2 diabetes, and other common renal risk  factors. In addition, subclinical portal hypertension has been demonstrated to  occur in noncirrhotic NAFLD, with a potential adverse impact on renal  vasoregulation. However, the mechanisms underlying this association remain  unexplored to a substantial extent. With this background, in this review we  discuss the current evidence showing a strong association between NAFLD and the  risk of CKD, and the putative biological mechanisms underpinning this  association. We also discuss in depth the potential pathogenic role of the  hepatorenal reflex, which may be triggered by subclinical portal hypertension and  is a poorly investigated but promising research topic. Finally, we address  emerging pharmacotherapies for NAFLD that may also beneficially affect the risk  of developing CKD in individuals with NAFLD.","container-title":"International journal of molecular sciences","DOI":"10.3390/ijms232113320","ISSN":"1422-0067","issue":"21","journalAbbreviation":"Int J Mol Sci","language":"eng","title":"Nonalcoholic Fatty Liver Disease and Chronic Kidney Disease: Epidemiology, Pathogenesis, and Clinical and Research Implications.","volume":"23","author":[{"family":"Lonardo","given":"Amedeo"},{"family":"Mantovani","given":"Alessandro"},{"family":"Targher","given":"Giovanni"},{"family":"Baffy","given":"Gyorgy"}],"issued":{"date-parts":[["2022",11,1]]}},"label":"page"}],"schema":"https://github.com/citation-style-language/schema/raw/master/csl-citation.json"} </w:instrText>
            </w:r>
            <w:r w:rsidRPr="007E5D9A">
              <w:rPr>
                <w:rFonts w:ascii="Times New Roman" w:eastAsia="宋体" w:hAnsi="Times New Roman" w:cs="Times New Roman"/>
                <w:kern w:val="0"/>
                <w:sz w:val="24"/>
                <w:lang w:bidi="ar"/>
              </w:rPr>
              <w:fldChar w:fldCharType="separate"/>
            </w:r>
            <w:r w:rsidRPr="007E5D9A">
              <w:rPr>
                <w:rFonts w:ascii="Times New Roman" w:hAnsi="Times New Roman" w:cs="Times New Roman"/>
                <w:sz w:val="24"/>
              </w:rPr>
              <w:t>[21,22]</w:t>
            </w:r>
            <w:r w:rsidRPr="007E5D9A">
              <w:rPr>
                <w:rFonts w:ascii="Times New Roman" w:eastAsia="宋体" w:hAnsi="Times New Roman" w:cs="Times New Roman"/>
                <w:kern w:val="0"/>
                <w:sz w:val="24"/>
                <w:lang w:bidi="ar"/>
              </w:rPr>
              <w:fldChar w:fldCharType="end"/>
            </w:r>
          </w:p>
        </w:tc>
        <w:tc>
          <w:tcPr>
            <w:tcW w:w="0" w:type="auto"/>
            <w:tcBorders>
              <w:bottom w:val="nil"/>
              <w:right w:val="nil"/>
            </w:tcBorders>
            <w:tcMar>
              <w:top w:w="74" w:type="dxa"/>
              <w:left w:w="74" w:type="dxa"/>
              <w:bottom w:w="74" w:type="dxa"/>
              <w:right w:w="74" w:type="dxa"/>
            </w:tcMar>
          </w:tcPr>
          <w:p w14:paraId="52B8F869" w14:textId="77777777" w:rsidR="00795585" w:rsidRPr="007E5D9A" w:rsidRDefault="00000000">
            <w:pPr>
              <w:widowControl/>
              <w:jc w:val="left"/>
              <w:textAlignment w:val="baseline"/>
              <w:rPr>
                <w:rFonts w:ascii="Times New Roman" w:hAnsi="Times New Roman" w:cs="Times New Roman"/>
              </w:rPr>
            </w:pPr>
            <w:r w:rsidRPr="007E5D9A">
              <w:rPr>
                <w:rFonts w:ascii="Times New Roman" w:eastAsia="宋体" w:hAnsi="Times New Roman" w:cs="Times New Roman"/>
                <w:kern w:val="0"/>
                <w:sz w:val="24"/>
                <w:lang w:bidi="ar"/>
              </w:rPr>
              <w:lastRenderedPageBreak/>
              <w:t xml:space="preserve">Heart: cardiomyocyte </w:t>
            </w:r>
            <w:r w:rsidRPr="007E5D9A">
              <w:rPr>
                <w:rFonts w:ascii="Times New Roman" w:eastAsia="宋体" w:hAnsi="Times New Roman" w:cs="Times New Roman"/>
                <w:kern w:val="0"/>
                <w:sz w:val="24"/>
                <w:lang w:bidi="ar"/>
              </w:rPr>
              <w:lastRenderedPageBreak/>
              <w:t>apoptosis, adverse remodeling</w:t>
            </w:r>
            <w:r w:rsidRPr="007E5D9A">
              <w:rPr>
                <w:rFonts w:ascii="Times New Roman" w:eastAsia="宋体" w:hAnsi="Times New Roman" w:cs="Times New Roman"/>
                <w:kern w:val="0"/>
                <w:sz w:val="24"/>
                <w:lang w:bidi="ar"/>
              </w:rPr>
              <w:fldChar w:fldCharType="begin"/>
            </w:r>
            <w:r w:rsidRPr="007E5D9A">
              <w:rPr>
                <w:rFonts w:ascii="Times New Roman" w:eastAsia="宋体" w:hAnsi="Times New Roman" w:cs="Times New Roman"/>
                <w:kern w:val="0"/>
                <w:sz w:val="24"/>
                <w:lang w:bidi="ar"/>
              </w:rPr>
              <w:instrText xml:space="preserve"> ADDIN ZOTERO_ITEM CSL_CITATION {"citationID":"PY2kbZRO","properties":{"formattedCitation":"[19]","plainCitation":"[19]","noteIndex":0},"citationItems":[{"id":"PT63WDpC/bPXYFO3E","uris":["http://zotero.org/users/local/pKm3rcyL/items/BG8Q2DXJ"],"itemData":{"id":9068,"type":"article-journal","abstract":"BACKGROUND: Cardiovascular-kidney-metabolic (CKM) syndrome is a systemic disorder characterized by pathophysiological interactions among metabolic risk factors. We aimed to determine the prevalence of CKM syndrome and investigate the association between CKM stages and mortality in patients with metabolic dysfunction-associated steatotic liver disease (MASLD).\nMETHODS: We extracted data on patients with MASLD from NHANES III and the Chinese Kailuan cohort, enrolling a total of 2159 and 22,865 patients, respectively. Hepatic steatosis was assessed by liver ultrasound. Participants were categorized into three groups according to CKM stages: 1, 2, and 3-4. Mortality was evaluated using the Cox proportional hazards model with or without inverse probability of treatment weighting (IPTW).\nRESULTS: In NHANES III cohort, 84.5% MASLD patients meet the criteria for CKM stage 2 or higher, and 36.9% deaths are observed. CKM stages 3-4 is an independent risk factor for liver fibrosis after adjusting for confounding factors (aOR 2.24 95% CI: 1.14-4.40, P = 0.019). By using stage 1 as a reference, an increasing trend in all-cause mortality is shown in patients with higher stages (stage 2: aHR 1.55, 95% CI 1.17-2.07, P = 0.003; stages 3-4: aHR 2.69, 95% CI 1.92-3.76, P &lt; 0.001), as well as for cardiovascular mortality during a follow-up of 50,895.4 person-years. Moreover, patients with stages 3-4 have the highest mortality risk among different stages across most subgroups. Similar results are validated in Kailuan cohort.\nCONCLUSIONS: The majority of MASLD patients also have CKM syndrome. A significant increase in all-cause and cardiovascular mortality is associated with advancing CKM stages.","container-title":"Communications Medicine","DOI":"10.1038/s43856-025-01195-w","ISSN":"2730-664X","issue":"1","journalAbbreviation":"Commun Med (Lond)","language":"eng","page":"492","source":"PubMed","title":"Cardiovascular-kidney-metabolic (CKM) syndrome is associated with increased mortality in individuals with metabolic dysfunction-associated steatotic liver disease (MASLD)","volume":"5","author":[{"family":"Chen","given":"Qianqian"},{"family":"Zhu","given":"Yixuan"},{"family":"Gao","given":"Jingli"},{"family":"Ni","given":"Wenjing"},{"family":"Liu","given":"Shanghao"},{"family":"Rui","given":"Fajuan"},{"family":"Bai","given":"Xue"},{"family":"Geng","given":"Nan"},{"family":"Jin","given":"Rui"},{"family":"Sun","given":"Yuxiang"},{"family":"Chen","given":"Yijie"},{"family":"Fan","given":"Zhiwen"},{"family":"Wu","given":"Chao"},{"family":"Qi","given":"Xiaolong"},{"family":"Shi","given":"Junping"},{"family":"Li","given":"Jie"}],"issued":{"date-parts":[["2025",11,21]]}}}],"schema":"https://github.com/citation-style-language/schema/raw/master/csl-citation.json"} </w:instrText>
            </w:r>
            <w:r w:rsidRPr="007E5D9A">
              <w:rPr>
                <w:rFonts w:ascii="Times New Roman" w:eastAsia="宋体" w:hAnsi="Times New Roman" w:cs="Times New Roman"/>
                <w:kern w:val="0"/>
                <w:sz w:val="24"/>
                <w:lang w:bidi="ar"/>
              </w:rPr>
              <w:fldChar w:fldCharType="separate"/>
            </w:r>
            <w:r w:rsidRPr="007E5D9A">
              <w:rPr>
                <w:rFonts w:ascii="Times New Roman" w:hAnsi="Times New Roman" w:cs="Times New Roman"/>
                <w:sz w:val="24"/>
              </w:rPr>
              <w:t>[19]</w:t>
            </w:r>
            <w:r w:rsidRPr="007E5D9A">
              <w:rPr>
                <w:rFonts w:ascii="Times New Roman" w:eastAsia="宋体" w:hAnsi="Times New Roman" w:cs="Times New Roman"/>
                <w:kern w:val="0"/>
                <w:sz w:val="24"/>
                <w:lang w:bidi="ar"/>
              </w:rPr>
              <w:fldChar w:fldCharType="end"/>
            </w:r>
            <w:r w:rsidRPr="007E5D9A">
              <w:rPr>
                <w:rFonts w:ascii="Times New Roman" w:eastAsia="宋体" w:hAnsi="Times New Roman" w:cs="Times New Roman"/>
                <w:kern w:val="0"/>
                <w:sz w:val="24"/>
                <w:lang w:bidi="ar"/>
              </w:rPr>
              <w:t>; Kidney: increased sodium reabsorption, renal vasoconstriction</w:t>
            </w:r>
            <w:r w:rsidRPr="007E5D9A">
              <w:rPr>
                <w:rFonts w:ascii="Times New Roman" w:eastAsia="宋体" w:hAnsi="Times New Roman" w:cs="Times New Roman"/>
                <w:kern w:val="0"/>
                <w:sz w:val="24"/>
                <w:lang w:bidi="ar"/>
              </w:rPr>
              <w:fldChar w:fldCharType="begin"/>
            </w:r>
            <w:r w:rsidRPr="007E5D9A">
              <w:rPr>
                <w:rFonts w:ascii="Times New Roman" w:eastAsia="宋体" w:hAnsi="Times New Roman" w:cs="Times New Roman"/>
                <w:kern w:val="0"/>
                <w:sz w:val="24"/>
                <w:lang w:bidi="ar"/>
              </w:rPr>
              <w:instrText xml:space="preserve"> ADDIN ZOTERO_ITEM CSL_CITATION {"citationID":"wtldUmRD","properties":{"formattedCitation":"[20]","plainCitation":"[20]","noteIndex":0},"citationItems":[{"id":"PT63WDpC/pixaAAzh","uris":["http://zotero.org/users/local/pKm3rcyL/items/38SGCNAX"],"itemData":{"id":8916,"type":"article-journal","abstract":"Cardiometabolic diseases represent an escalating global health crisis, slowing or even reversing earlier declines in cardiovascular disease (CVD) mortality.  Traditionally, conditions such as obesity, type 2 diabetes mellitus (T2DM),  atherosclerotic CVD, heart failure (HF), chronic kidney disease (CKD), and  metabolic dysfunction-associated steatotic liver disease (MASLD) were managed in  isolation. However, emerging evidence reveals that these disorders share  overlapping pathophysiological mechanisms and treatment strategies. In 2023, the  American Heart Association proposed the Cardiovascular-Kidney-Metabolic (CKM)  syndrome, recognizing the interconnected roles of the heart, kidneys, and  metabolic system. Yet, this model omits the liver-a critical organ impacted by  metabolic dysfunction. MASLD, which can progress to metabolic  dysfunction-associated steatohepatitis (MASH), is closely tied to insulin  resistance and obesity, contributing directly to cardiovascular and renal  impairment. Notably, MASLD is bidirectionally associated with the development and  progression of CKM syndrome. As a result, we introduce an expanded framework-the  Cardiovascular-Renal-Hepatic-Metabolic (CRHM) syndrome-to more comprehensively  capture the broader inter-organ dynamics. We provide guidance for an integrated  diagnostic approach aimed at halting progression to advanced stages and  preventing further organ damage. In addition, we highlight advances in medical  management that target shared pathophysiological pathways, offering benefits  across multiple organ systems. Viewing these conditions as an integrated whole,  rather than as discrete entities, and incorporating the liver into this framework  fosters a more holistic management strategy and offers a promising path to  addressing the cardiometabolic pandemic.","container-title":"Biomolecules","DOI":"10.3390/biom15020213","ISSN":"2218-273X","issue":"2","journalAbbreviation":"Biomolecules","language":"eng","title":"From Cardiovascular-Kidney-Metabolic Syndrome to Cardiovascular-Renal-Hepatic-Metabolic Syndrome: Proposing an Expanded Framework.","volume":"15","author":[{"family":"Theodorakis","given":"Nikolaos"},{"family":"Nikolaou","given":"Maria"}],"issued":{"date-parts":[["2025",2,2]]}}}],"schema":"https://github.com/citation-style-language/schema/raw/master/csl-citation.json"} </w:instrText>
            </w:r>
            <w:r w:rsidRPr="007E5D9A">
              <w:rPr>
                <w:rFonts w:ascii="Times New Roman" w:eastAsia="宋体" w:hAnsi="Times New Roman" w:cs="Times New Roman"/>
                <w:kern w:val="0"/>
                <w:sz w:val="24"/>
                <w:lang w:bidi="ar"/>
              </w:rPr>
              <w:fldChar w:fldCharType="separate"/>
            </w:r>
            <w:r w:rsidRPr="007E5D9A">
              <w:rPr>
                <w:rFonts w:ascii="Times New Roman" w:hAnsi="Times New Roman" w:cs="Times New Roman"/>
                <w:sz w:val="24"/>
              </w:rPr>
              <w:t>[20]</w:t>
            </w:r>
            <w:r w:rsidRPr="007E5D9A">
              <w:rPr>
                <w:rFonts w:ascii="Times New Roman" w:eastAsia="宋体" w:hAnsi="Times New Roman" w:cs="Times New Roman"/>
                <w:kern w:val="0"/>
                <w:sz w:val="24"/>
                <w:lang w:bidi="ar"/>
              </w:rPr>
              <w:fldChar w:fldCharType="end"/>
            </w:r>
          </w:p>
        </w:tc>
      </w:tr>
      <w:tr w:rsidR="00795585" w:rsidRPr="007E5D9A" w14:paraId="3C290D2C" w14:textId="77777777">
        <w:tc>
          <w:tcPr>
            <w:tcW w:w="0" w:type="auto"/>
            <w:tcBorders>
              <w:left w:val="nil"/>
              <w:bottom w:val="nil"/>
              <w:right w:val="nil"/>
            </w:tcBorders>
            <w:tcMar>
              <w:top w:w="74" w:type="dxa"/>
              <w:left w:w="74" w:type="dxa"/>
              <w:bottom w:w="74" w:type="dxa"/>
              <w:right w:w="74" w:type="dxa"/>
            </w:tcMar>
          </w:tcPr>
          <w:p w14:paraId="4F81721A" w14:textId="77777777" w:rsidR="00795585" w:rsidRPr="007E5D9A" w:rsidRDefault="00000000">
            <w:pPr>
              <w:widowControl/>
              <w:jc w:val="left"/>
              <w:textAlignment w:val="baseline"/>
              <w:rPr>
                <w:rFonts w:ascii="Times New Roman" w:hAnsi="Times New Roman" w:cs="Times New Roman"/>
              </w:rPr>
            </w:pPr>
            <w:r w:rsidRPr="007E5D9A">
              <w:rPr>
                <w:rStyle w:val="a9"/>
                <w:rFonts w:ascii="Times New Roman" w:eastAsia="宋体" w:hAnsi="Times New Roman" w:cs="Times New Roman"/>
                <w:bCs/>
                <w:kern w:val="0"/>
                <w:sz w:val="24"/>
                <w:lang w:bidi="ar"/>
              </w:rPr>
              <w:lastRenderedPageBreak/>
              <w:t>Inflammatory Signaling</w:t>
            </w:r>
          </w:p>
        </w:tc>
        <w:tc>
          <w:tcPr>
            <w:tcW w:w="0" w:type="auto"/>
            <w:tcBorders>
              <w:bottom w:val="nil"/>
              <w:right w:val="nil"/>
            </w:tcBorders>
            <w:tcMar>
              <w:top w:w="74" w:type="dxa"/>
              <w:left w:w="74" w:type="dxa"/>
              <w:bottom w:w="74" w:type="dxa"/>
              <w:right w:w="74" w:type="dxa"/>
            </w:tcMar>
          </w:tcPr>
          <w:p w14:paraId="78D63E70" w14:textId="77777777" w:rsidR="00795585" w:rsidRPr="007E5D9A" w:rsidRDefault="00000000">
            <w:pPr>
              <w:widowControl/>
              <w:jc w:val="left"/>
              <w:textAlignment w:val="baseline"/>
              <w:rPr>
                <w:rFonts w:ascii="Times New Roman" w:hAnsi="Times New Roman" w:cs="Times New Roman"/>
              </w:rPr>
            </w:pPr>
            <w:r w:rsidRPr="007E5D9A">
              <w:rPr>
                <w:rFonts w:ascii="Times New Roman" w:eastAsia="宋体" w:hAnsi="Times New Roman" w:cs="Times New Roman"/>
                <w:kern w:val="0"/>
                <w:sz w:val="24"/>
                <w:lang w:bidi="ar"/>
              </w:rPr>
              <w:t>TLR4/NF-</w:t>
            </w:r>
            <w:proofErr w:type="spellStart"/>
            <w:r w:rsidRPr="007E5D9A">
              <w:rPr>
                <w:rFonts w:ascii="Times New Roman" w:eastAsia="宋体" w:hAnsi="Times New Roman" w:cs="Times New Roman"/>
                <w:kern w:val="0"/>
                <w:sz w:val="24"/>
                <w:lang w:bidi="ar"/>
              </w:rPr>
              <w:t>κB</w:t>
            </w:r>
            <w:proofErr w:type="spellEnd"/>
            <w:r w:rsidRPr="007E5D9A">
              <w:rPr>
                <w:rFonts w:ascii="Times New Roman" w:eastAsia="宋体" w:hAnsi="Times New Roman" w:cs="Times New Roman"/>
                <w:kern w:val="0"/>
                <w:sz w:val="24"/>
                <w:lang w:bidi="ar"/>
              </w:rPr>
              <w:fldChar w:fldCharType="begin"/>
            </w:r>
            <w:r w:rsidRPr="007E5D9A">
              <w:rPr>
                <w:rFonts w:ascii="Times New Roman" w:eastAsia="宋体" w:hAnsi="Times New Roman" w:cs="Times New Roman"/>
                <w:kern w:val="0"/>
                <w:sz w:val="24"/>
                <w:lang w:bidi="ar"/>
              </w:rPr>
              <w:instrText xml:space="preserve"> ADDIN ZOTERO_ITEM CSL_CITATION {"citationID":"lrZt8U3d","properties":{"formattedCitation":"[23]","plainCitation":"[23]","noteIndex":0},"citationItems":[{"id":"PT63WDpC/biY4SctL","uris":["http://zotero.org/users/local/pKm3rcyL/items/JAWS6P68"],"itemData":{"id":8924,"type":"article-journal","abstract":"The liver and kidneys are two of the most vital organs, each with distinct but overlapping functions essential for maintaining homeostasis. The complex  interplay between these organs, commonly referred to as liver-kidney crosstalk,  plays a crucial role in the pathophysiology of several acute and chronic  conditions in childhood. Despite its importance, the precise biological  mechanisms driving this interaction remain incompletely understood. This  crosstalk is particularly significant in various pediatric diseases (e.g.,  Metabolic Dysfunction-Associated Steatotic Liver Disease (MASLD), Hepatorenal  Syndrome (HRS), genetic and metabolic disorders, etc.) where shared  pathophysiological factors-including systemic inflammation, metabolic  disturbances, oxidative stress, and vascular dysfunction-simultaneously affect  both organs. Clinically, this interaction presents unique challenges in  diagnosing, managing, and treating liver-kidney diseases in affected children.  Understanding the pathogenic mechanisms underlying liver-kidney crosstalk is  essential for improving patient care and outcomes through an integrated,  multidisciplinary approach and personalized treatment strategies. This review  aims to explore liver-kidney crosstalk in key pediatric diseases, offering a  comprehensive overview of current knowledge, clinical challenges, and potential  therapeutic interventions in this complex field.","container-title":"Journal of clinical medicine","DOI":"10.3390/jcm14113911","ISSN":"2077-0383","issue":"11","journalAbbreviation":"J Clin Med","language":"eng","title":"Liver-Kidney Crosstalk in Major Pediatric Diseases: Unraveling the Complexities and Clinical Challenges.","volume":"14","author":[{"family":"Piatto","given":"Dario"},{"family":"De Biasio","given":"Delia"},{"family":"Cesaro","given":"Francesco Giustino"},{"family":"Forcina","given":"Gianmario"},{"family":"Frattolillo","given":"Vittoria"},{"family":"Colucci","given":"Antonio"},{"family":"Lamberti","given":"Fabio"},{"family":"Marzuillo","given":"Pierluigi"},{"family":"Miraglia Del Giudice","given":"Emanuele"},{"family":"Di Sessa","given":"Anna"}],"issued":{"date-parts":[["2025",6,2]]}}}],"schema":"https://github.com/citation-style-language/schema/raw/master/csl-citation.json"} </w:instrText>
            </w:r>
            <w:r w:rsidRPr="007E5D9A">
              <w:rPr>
                <w:rFonts w:ascii="Times New Roman" w:eastAsia="宋体" w:hAnsi="Times New Roman" w:cs="Times New Roman"/>
                <w:kern w:val="0"/>
                <w:sz w:val="24"/>
                <w:lang w:bidi="ar"/>
              </w:rPr>
              <w:fldChar w:fldCharType="separate"/>
            </w:r>
            <w:r w:rsidRPr="007E5D9A">
              <w:rPr>
                <w:rFonts w:ascii="Times New Roman" w:hAnsi="Times New Roman" w:cs="Times New Roman"/>
                <w:sz w:val="24"/>
              </w:rPr>
              <w:t>[23]</w:t>
            </w:r>
            <w:r w:rsidRPr="007E5D9A">
              <w:rPr>
                <w:rFonts w:ascii="Times New Roman" w:eastAsia="宋体" w:hAnsi="Times New Roman" w:cs="Times New Roman"/>
                <w:kern w:val="0"/>
                <w:sz w:val="24"/>
                <w:lang w:bidi="ar"/>
              </w:rPr>
              <w:fldChar w:fldCharType="end"/>
            </w:r>
          </w:p>
        </w:tc>
        <w:tc>
          <w:tcPr>
            <w:tcW w:w="0" w:type="auto"/>
            <w:tcBorders>
              <w:bottom w:val="nil"/>
              <w:right w:val="nil"/>
            </w:tcBorders>
            <w:tcMar>
              <w:top w:w="74" w:type="dxa"/>
              <w:left w:w="74" w:type="dxa"/>
              <w:bottom w:w="74" w:type="dxa"/>
              <w:right w:w="74" w:type="dxa"/>
            </w:tcMar>
          </w:tcPr>
          <w:p w14:paraId="409C4BDF" w14:textId="77777777" w:rsidR="00795585" w:rsidRPr="007E5D9A" w:rsidRDefault="00000000">
            <w:pPr>
              <w:widowControl/>
              <w:jc w:val="left"/>
              <w:textAlignment w:val="baseline"/>
              <w:rPr>
                <w:rFonts w:ascii="Times New Roman" w:hAnsi="Times New Roman" w:cs="Times New Roman"/>
              </w:rPr>
            </w:pPr>
            <w:r w:rsidRPr="007E5D9A">
              <w:rPr>
                <w:rFonts w:ascii="Times New Roman" w:eastAsia="宋体" w:hAnsi="Times New Roman" w:cs="Times New Roman"/>
                <w:kern w:val="0"/>
                <w:sz w:val="24"/>
                <w:lang w:bidi="ar"/>
              </w:rPr>
              <w:t>DAMPs recognition → pro-inflammatory cytokine transcription</w:t>
            </w:r>
          </w:p>
        </w:tc>
        <w:tc>
          <w:tcPr>
            <w:tcW w:w="0" w:type="auto"/>
            <w:tcBorders>
              <w:bottom w:val="nil"/>
              <w:right w:val="nil"/>
            </w:tcBorders>
            <w:tcMar>
              <w:top w:w="74" w:type="dxa"/>
              <w:left w:w="74" w:type="dxa"/>
              <w:bottom w:w="74" w:type="dxa"/>
              <w:right w:w="74" w:type="dxa"/>
            </w:tcMar>
          </w:tcPr>
          <w:p w14:paraId="4DA36B07" w14:textId="77777777" w:rsidR="00795585" w:rsidRPr="007E5D9A" w:rsidRDefault="00000000">
            <w:pPr>
              <w:widowControl/>
              <w:jc w:val="left"/>
              <w:textAlignment w:val="baseline"/>
              <w:rPr>
                <w:rFonts w:ascii="Times New Roman" w:hAnsi="Times New Roman" w:cs="Times New Roman"/>
              </w:rPr>
            </w:pPr>
            <w:r w:rsidRPr="007E5D9A">
              <w:rPr>
                <w:rFonts w:ascii="Times New Roman" w:eastAsia="宋体" w:hAnsi="Times New Roman" w:cs="Times New Roman"/>
                <w:kern w:val="0"/>
                <w:sz w:val="24"/>
                <w:lang w:bidi="ar"/>
              </w:rPr>
              <w:t>Heart: cardiomyocyte apoptosis, negative inotropic effects</w:t>
            </w:r>
            <w:r w:rsidRPr="007E5D9A">
              <w:rPr>
                <w:rFonts w:ascii="Times New Roman" w:eastAsia="宋体" w:hAnsi="Times New Roman" w:cs="Times New Roman"/>
                <w:kern w:val="0"/>
                <w:sz w:val="24"/>
                <w:lang w:bidi="ar"/>
              </w:rPr>
              <w:fldChar w:fldCharType="begin"/>
            </w:r>
            <w:r w:rsidRPr="007E5D9A">
              <w:rPr>
                <w:rFonts w:ascii="Times New Roman" w:eastAsia="宋体" w:hAnsi="Times New Roman" w:cs="Times New Roman"/>
                <w:kern w:val="0"/>
                <w:sz w:val="24"/>
                <w:lang w:bidi="ar"/>
              </w:rPr>
              <w:instrText xml:space="preserve"> ADDIN ZOTERO_ITEM CSL_CITATION {"citationID":"r25Pr3eG","properties":{"formattedCitation":"[23,24]","plainCitation":"[23,24]","noteIndex":0},"citationItems":[{"id":"PT63WDpC/biY4SctL","uris":["http://zotero.org/users/local/pKm3rcyL/items/JAWS6P68"],"itemData":{"id":8924,"type":"article-journal","abstract":"The liver and kidneys are two of the most vital organs, each with distinct but overlapping functions essential for maintaining homeostasis. The complex  interplay between these organs, commonly referred to as liver-kidney crosstalk,  plays a crucial role in the pathophysiology of several acute and chronic  conditions in childhood. Despite its importance, the precise biological  mechanisms driving this interaction remain incompletely understood. This  crosstalk is particularly significant in various pediatric diseases (e.g.,  Metabolic Dysfunction-Associated Steatotic Liver Disease (MASLD), Hepatorenal  Syndrome (HRS), genetic and metabolic disorders, etc.) where shared  pathophysiological factors-including systemic inflammation, metabolic  disturbances, oxidative stress, and vascular dysfunction-simultaneously affect  both organs. Clinically, this interaction presents unique challenges in  diagnosing, managing, and treating liver-kidney diseases in affected children.  Understanding the pathogenic mechanisms underlying liver-kidney crosstalk is  essential for improving patient care and outcomes through an integrated,  multidisciplinary approach and personalized treatment strategies. This review  aims to explore liver-kidney crosstalk in key pediatric diseases, offering a  comprehensive overview of current knowledge, clinical challenges, and potential  therapeutic interventions in this complex field.","container-title":"Journal of clinical medicine","DOI":"10.3390/jcm14113911","ISSN":"2077-0383","issue":"11","journalAbbreviation":"J Clin Med","language":"eng","title":"Liver-Kidney Crosstalk in Major Pediatric Diseases: Unraveling the Complexities and Clinical Challenges.","volume":"14","author":[{"family":"Piatto","given":"Dario"},{"family":"De Biasio","given":"Delia"},{"family":"Cesaro","given":"Francesco Giustino"},{"family":"Forcina","given":"Gianmario"},{"family":"Frattolillo","given":"Vittoria"},{"family":"Colucci","given":"Antonio"},{"family":"Lamberti","given":"Fabio"},{"family":"Marzuillo","given":"Pierluigi"},{"family":"Miraglia Del Giudice","given":"Emanuele"},{"family":"Di Sessa","given":"Anna"}],"issued":{"date-parts":[["2025",6,2]]}},"label":"page"},{"id":"PT63WDpC/l8eSUFdJ","uris":["http://zotero.org/users/local/pKm3rcyL/items/LDIL2CP5"],"itemData":{"id":8925,"type":"article-journal","abstract":"Interdisciplinary research has revealed that heart, kidney, liver, and metabolic diseases share interlinked pathological mechanisms, including inflammation,  oxidative stress, insulin resistance, and endothelial health issues. However,  integrated care for these diseases is challenging due to different symptoms,  diagnostic rules, and treatment options. The review aims to study the common  mechanisms behind cardiovascular-renal-hepatic-metabolic syndrome and explore  ways to coordinate management. When these systems work poorly together, damage  can form a vicious cycle, increasing hypertension, chronic kidney disease,  non-alcoholic fatty liver disease, and metabolic syndrome. Changes in medicine,  daily lifestyle, and drugs can interrupt the pathological cascade. However,  clinical practice is hindered by patient presentations, lack of teamwork across  healthcare specialties, and incomplete therapy plans. Gut-organ axis dysfunction  and inflammation play a significant role in multiple organ diseases, and prompt  risk assessment and early intervention can prevent heart damage.","container-title":"Cureus","DOI":"10.7759/cureus.85813","ISSN":"2168-8184","issue":"6","journalAbbreviation":"Cureus","language":"eng","page":"e85813","title":"Cardiovascular-Renal-Hepatic-Metabolic Syndrome: Interlinked Pathophysiology and Integrated Management Approach.","volume":"17","author":[{"family":"Arragan Lezama","given":"Carlos Alejandro"},{"family":"Jaramillo Ramos","given":"Julio Joel"},{"family":"Armas Eguizábal","given":"David Alejandro"},{"family":"Solares Ovando","given":"Ximena Sofía"},{"family":"Minera Villagrán","given":"Julio Cesar"},{"family":"Males Caiza","given":"Cinthya Jhoana"}],"issued":{"date-parts":[["2025",6]]}},"label":"page"}],"schema":"https://github.com/citation-style-language/schema/raw/master/csl-citation.json"} </w:instrText>
            </w:r>
            <w:r w:rsidRPr="007E5D9A">
              <w:rPr>
                <w:rFonts w:ascii="Times New Roman" w:eastAsia="宋体" w:hAnsi="Times New Roman" w:cs="Times New Roman"/>
                <w:kern w:val="0"/>
                <w:sz w:val="24"/>
                <w:lang w:bidi="ar"/>
              </w:rPr>
              <w:fldChar w:fldCharType="separate"/>
            </w:r>
            <w:r w:rsidRPr="007E5D9A">
              <w:rPr>
                <w:rFonts w:ascii="Times New Roman" w:hAnsi="Times New Roman" w:cs="Times New Roman"/>
                <w:sz w:val="24"/>
              </w:rPr>
              <w:t>[23,24]</w:t>
            </w:r>
            <w:r w:rsidRPr="007E5D9A">
              <w:rPr>
                <w:rFonts w:ascii="Times New Roman" w:eastAsia="宋体" w:hAnsi="Times New Roman" w:cs="Times New Roman"/>
                <w:kern w:val="0"/>
                <w:sz w:val="24"/>
                <w:lang w:bidi="ar"/>
              </w:rPr>
              <w:fldChar w:fldCharType="end"/>
            </w:r>
            <w:r w:rsidRPr="007E5D9A">
              <w:rPr>
                <w:rFonts w:ascii="Times New Roman" w:eastAsia="宋体" w:hAnsi="Times New Roman" w:cs="Times New Roman"/>
                <w:kern w:val="0"/>
                <w:sz w:val="24"/>
                <w:lang w:bidi="ar"/>
              </w:rPr>
              <w:t xml:space="preserve"> Kidney: podocyte injury, renal tubular epithelial cell apoptosis</w:t>
            </w:r>
            <w:r w:rsidRPr="007E5D9A">
              <w:rPr>
                <w:rFonts w:ascii="Times New Roman" w:eastAsia="宋体" w:hAnsi="Times New Roman" w:cs="Times New Roman"/>
                <w:kern w:val="0"/>
                <w:sz w:val="24"/>
                <w:lang w:bidi="ar"/>
              </w:rPr>
              <w:fldChar w:fldCharType="begin"/>
            </w:r>
            <w:r w:rsidRPr="007E5D9A">
              <w:rPr>
                <w:rFonts w:ascii="Times New Roman" w:eastAsia="宋体" w:hAnsi="Times New Roman" w:cs="Times New Roman"/>
                <w:kern w:val="0"/>
                <w:sz w:val="24"/>
                <w:lang w:bidi="ar"/>
              </w:rPr>
              <w:instrText xml:space="preserve"> ADDIN ZOTERO_ITEM CSL_CITATION {"citationID":"q1KGwseC","properties":{"formattedCitation":"[24]","plainCitation":"[24]","noteIndex":0},"citationItems":[{"id":"PT63WDpC/l8eSUFdJ","uris":["http://zotero.org/users/local/pKm3rcyL/items/LDIL2CP5"],"itemData":{"id":8925,"type":"article-journal","abstract":"Interdisciplinary research has revealed that heart, kidney, liver, and metabolic diseases share interlinked pathological mechanisms, including inflammation,  oxidative stress, insulin resistance, and endothelial health issues. However,  integrated care for these diseases is challenging due to different symptoms,  diagnostic rules, and treatment options. The review aims to study the common  mechanisms behind cardiovascular-renal-hepatic-metabolic syndrome and explore  ways to coordinate management. When these systems work poorly together, damage  can form a vicious cycle, increasing hypertension, chronic kidney disease,  non-alcoholic fatty liver disease, and metabolic syndrome. Changes in medicine,  daily lifestyle, and drugs can interrupt the pathological cascade. However,  clinical practice is hindered by patient presentations, lack of teamwork across  healthcare specialties, and incomplete therapy plans. Gut-organ axis dysfunction  and inflammation play a significant role in multiple organ diseases, and prompt  risk assessment and early intervention can prevent heart damage.","container-title":"Cureus","DOI":"10.7759/cureus.85813","ISSN":"2168-8184","issue":"6","journalAbbreviation":"Cureus","language":"eng","page":"e85813","title":"Cardiovascular-Renal-Hepatic-Metabolic Syndrome: Interlinked Pathophysiology and Integrated Management Approach.","volume":"17","author":[{"family":"Arragan Lezama","given":"Carlos Alejandro"},{"family":"Jaramillo Ramos","given":"Julio Joel"},{"family":"Armas Eguizábal","given":"David Alejandro"},{"family":"Solares Ovando","given":"Ximena Sofía"},{"family":"Minera Villagrán","given":"Julio Cesar"},{"family":"Males Caiza","given":"Cinthya Jhoana"}],"issued":{"date-parts":[["2025",6]]}}}],"schema":"https://github.com/citation-style-language/schema/raw/master/csl-citation.json"} </w:instrText>
            </w:r>
            <w:r w:rsidRPr="007E5D9A">
              <w:rPr>
                <w:rFonts w:ascii="Times New Roman" w:eastAsia="宋体" w:hAnsi="Times New Roman" w:cs="Times New Roman"/>
                <w:kern w:val="0"/>
                <w:sz w:val="24"/>
                <w:lang w:bidi="ar"/>
              </w:rPr>
              <w:fldChar w:fldCharType="separate"/>
            </w:r>
            <w:r w:rsidRPr="007E5D9A">
              <w:rPr>
                <w:rFonts w:ascii="Times New Roman" w:hAnsi="Times New Roman" w:cs="Times New Roman"/>
                <w:sz w:val="24"/>
              </w:rPr>
              <w:t>[24]</w:t>
            </w:r>
            <w:r w:rsidRPr="007E5D9A">
              <w:rPr>
                <w:rFonts w:ascii="Times New Roman" w:eastAsia="宋体" w:hAnsi="Times New Roman" w:cs="Times New Roman"/>
                <w:kern w:val="0"/>
                <w:sz w:val="24"/>
                <w:lang w:bidi="ar"/>
              </w:rPr>
              <w:fldChar w:fldCharType="end"/>
            </w:r>
          </w:p>
        </w:tc>
      </w:tr>
      <w:tr w:rsidR="00795585" w:rsidRPr="007E5D9A" w14:paraId="1DF1E122" w14:textId="77777777">
        <w:tc>
          <w:tcPr>
            <w:tcW w:w="0" w:type="auto"/>
            <w:tcBorders>
              <w:left w:val="nil"/>
              <w:bottom w:val="nil"/>
              <w:right w:val="nil"/>
            </w:tcBorders>
            <w:tcMar>
              <w:top w:w="74" w:type="dxa"/>
              <w:left w:w="74" w:type="dxa"/>
              <w:bottom w:w="74" w:type="dxa"/>
              <w:right w:w="74" w:type="dxa"/>
            </w:tcMar>
          </w:tcPr>
          <w:p w14:paraId="4B340258" w14:textId="77777777" w:rsidR="00795585" w:rsidRPr="007E5D9A" w:rsidRDefault="00795585">
            <w:pPr>
              <w:jc w:val="left"/>
              <w:rPr>
                <w:rFonts w:ascii="Times New Roman" w:hAnsi="Times New Roman" w:cs="Times New Roman"/>
                <w:sz w:val="24"/>
              </w:rPr>
            </w:pPr>
          </w:p>
        </w:tc>
        <w:tc>
          <w:tcPr>
            <w:tcW w:w="0" w:type="auto"/>
            <w:tcBorders>
              <w:bottom w:val="nil"/>
              <w:right w:val="nil"/>
            </w:tcBorders>
            <w:tcMar>
              <w:top w:w="74" w:type="dxa"/>
              <w:left w:w="74" w:type="dxa"/>
              <w:bottom w:w="74" w:type="dxa"/>
              <w:right w:w="74" w:type="dxa"/>
            </w:tcMar>
          </w:tcPr>
          <w:p w14:paraId="18939626" w14:textId="77777777" w:rsidR="00795585" w:rsidRPr="007E5D9A" w:rsidRDefault="00000000">
            <w:pPr>
              <w:widowControl/>
              <w:jc w:val="left"/>
              <w:textAlignment w:val="baseline"/>
              <w:rPr>
                <w:rFonts w:ascii="Times New Roman" w:hAnsi="Times New Roman" w:cs="Times New Roman"/>
              </w:rPr>
            </w:pPr>
            <w:r w:rsidRPr="007E5D9A">
              <w:rPr>
                <w:rFonts w:ascii="Times New Roman" w:eastAsia="宋体" w:hAnsi="Times New Roman" w:cs="Times New Roman"/>
                <w:kern w:val="0"/>
                <w:sz w:val="24"/>
                <w:lang w:bidi="ar"/>
              </w:rPr>
              <w:t>TNF-α/IL-1β/IL-6</w:t>
            </w:r>
            <w:r w:rsidRPr="007E5D9A">
              <w:rPr>
                <w:rFonts w:ascii="Times New Roman" w:eastAsia="宋体" w:hAnsi="Times New Roman" w:cs="Times New Roman"/>
                <w:kern w:val="0"/>
                <w:sz w:val="24"/>
                <w:lang w:bidi="ar"/>
              </w:rPr>
              <w:fldChar w:fldCharType="begin"/>
            </w:r>
            <w:r w:rsidRPr="007E5D9A">
              <w:rPr>
                <w:rFonts w:ascii="Times New Roman" w:eastAsia="宋体" w:hAnsi="Times New Roman" w:cs="Times New Roman"/>
                <w:kern w:val="0"/>
                <w:sz w:val="24"/>
                <w:lang w:bidi="ar"/>
              </w:rPr>
              <w:instrText xml:space="preserve"> ADDIN ZOTERO_ITEM CSL_CITATION {"citationID":"NKoEKl4c","properties":{"formattedCitation":"[23,24]","plainCitation":"[23,24]","noteIndex":0},"citationItems":[{"id":"PT63WDpC/biY4SctL","uris":["http://zotero.org/users/local/pKm3rcyL/items/JAWS6P68"],"itemData":{"id":8924,"type":"article-journal","abstract":"The liver and kidneys are two of the most vital organs, each with distinct but overlapping functions essential for maintaining homeostasis. The complex  interplay between these organs, commonly referred to as liver-kidney crosstalk,  plays a crucial role in the pathophysiology of several acute and chronic  conditions in childhood. Despite its importance, the precise biological  mechanisms driving this interaction remain incompletely understood. This  crosstalk is particularly significant in various pediatric diseases (e.g.,  Metabolic Dysfunction-Associated Steatotic Liver Disease (MASLD), Hepatorenal  Syndrome (HRS), genetic and metabolic disorders, etc.) where shared  pathophysiological factors-including systemic inflammation, metabolic  disturbances, oxidative stress, and vascular dysfunction-simultaneously affect  both organs. Clinically, this interaction presents unique challenges in  diagnosing, managing, and treating liver-kidney diseases in affected children.  Understanding the pathogenic mechanisms underlying liver-kidney crosstalk is  essential for improving patient care and outcomes through an integrated,  multidisciplinary approach and personalized treatment strategies. This review  aims to explore liver-kidney crosstalk in key pediatric diseases, offering a  comprehensive overview of current knowledge, clinical challenges, and potential  therapeutic interventions in this complex field.","container-title":"Journal of clinical medicine","DOI":"10.3390/jcm14113911","ISSN":"2077-0383","issue":"11","journalAbbreviation":"J Clin Med","language":"eng","title":"Liver-Kidney Crosstalk in Major Pediatric Diseases: Unraveling the Complexities and Clinical Challenges.","volume":"14","author":[{"family":"Piatto","given":"Dario"},{"family":"De Biasio","given":"Delia"},{"family":"Cesaro","given":"Francesco Giustino"},{"family":"Forcina","given":"Gianmario"},{"family":"Frattolillo","given":"Vittoria"},{"family":"Colucci","given":"Antonio"},{"family":"Lamberti","given":"Fabio"},{"family":"Marzuillo","given":"Pierluigi"},{"family":"Miraglia Del Giudice","given":"Emanuele"},{"family":"Di Sessa","given":"Anna"}],"issued":{"date-parts":[["2025",6,2]]}},"label":"page"},{"id":"PT63WDpC/l8eSUFdJ","uris":["http://zotero.org/users/local/pKm3rcyL/items/LDIL2CP5"],"itemData":{"id":8925,"type":"article-journal","abstract":"Interdisciplinary research has revealed that heart, kidney, liver, and metabolic diseases share interlinked pathological mechanisms, including inflammation,  oxidative stress, insulin resistance, and endothelial health issues. However,  integrated care for these diseases is challenging due to different symptoms,  diagnostic rules, and treatment options. The review aims to study the common  mechanisms behind cardiovascular-renal-hepatic-metabolic syndrome and explore  ways to coordinate management. When these systems work poorly together, damage  can form a vicious cycle, increasing hypertension, chronic kidney disease,  non-alcoholic fatty liver disease, and metabolic syndrome. Changes in medicine,  daily lifestyle, and drugs can interrupt the pathological cascade. However,  clinical practice is hindered by patient presentations, lack of teamwork across  healthcare specialties, and incomplete therapy plans. Gut-organ axis dysfunction  and inflammation play a significant role in multiple organ diseases, and prompt  risk assessment and early intervention can prevent heart damage.","container-title":"Cureus","DOI":"10.7759/cureus.85813","ISSN":"2168-8184","issue":"6","journalAbbreviation":"Cureus","language":"eng","page":"e85813","title":"Cardiovascular-Renal-Hepatic-Metabolic Syndrome: Interlinked Pathophysiology and Integrated Management Approach.","volume":"17","author":[{"family":"Arragan Lezama","given":"Carlos Alejandro"},{"family":"Jaramillo Ramos","given":"Julio Joel"},{"family":"Armas Eguizábal","given":"David Alejandro"},{"family":"Solares Ovando","given":"Ximena Sofía"},{"family":"Minera Villagrán","given":"Julio Cesar"},{"family":"Males Caiza","given":"Cinthya Jhoana"}],"issued":{"date-parts":[["2025",6]]}},"label":"page"}],"schema":"https://github.com/citation-style-language/schema/raw/master/csl-citation.json"} </w:instrText>
            </w:r>
            <w:r w:rsidRPr="007E5D9A">
              <w:rPr>
                <w:rFonts w:ascii="Times New Roman" w:eastAsia="宋体" w:hAnsi="Times New Roman" w:cs="Times New Roman"/>
                <w:kern w:val="0"/>
                <w:sz w:val="24"/>
                <w:lang w:bidi="ar"/>
              </w:rPr>
              <w:fldChar w:fldCharType="separate"/>
            </w:r>
            <w:r w:rsidRPr="007E5D9A">
              <w:rPr>
                <w:rFonts w:ascii="Times New Roman" w:hAnsi="Times New Roman" w:cs="Times New Roman"/>
                <w:sz w:val="24"/>
              </w:rPr>
              <w:t>[23,24]</w:t>
            </w:r>
            <w:r w:rsidRPr="007E5D9A">
              <w:rPr>
                <w:rFonts w:ascii="Times New Roman" w:eastAsia="宋体" w:hAnsi="Times New Roman" w:cs="Times New Roman"/>
                <w:kern w:val="0"/>
                <w:sz w:val="24"/>
                <w:lang w:bidi="ar"/>
              </w:rPr>
              <w:fldChar w:fldCharType="end"/>
            </w:r>
          </w:p>
        </w:tc>
        <w:tc>
          <w:tcPr>
            <w:tcW w:w="0" w:type="auto"/>
            <w:tcBorders>
              <w:bottom w:val="nil"/>
              <w:right w:val="nil"/>
            </w:tcBorders>
            <w:tcMar>
              <w:top w:w="74" w:type="dxa"/>
              <w:left w:w="74" w:type="dxa"/>
              <w:bottom w:w="74" w:type="dxa"/>
              <w:right w:w="74" w:type="dxa"/>
            </w:tcMar>
          </w:tcPr>
          <w:p w14:paraId="6D67B507" w14:textId="77777777" w:rsidR="00795585" w:rsidRPr="007E5D9A" w:rsidRDefault="00000000">
            <w:pPr>
              <w:widowControl/>
              <w:jc w:val="left"/>
              <w:textAlignment w:val="baseline"/>
              <w:rPr>
                <w:rFonts w:ascii="Times New Roman" w:hAnsi="Times New Roman" w:cs="Times New Roman"/>
              </w:rPr>
            </w:pPr>
            <w:r w:rsidRPr="007E5D9A">
              <w:rPr>
                <w:rFonts w:ascii="Times New Roman" w:eastAsia="宋体" w:hAnsi="Times New Roman" w:cs="Times New Roman"/>
                <w:kern w:val="0"/>
                <w:sz w:val="24"/>
                <w:lang w:bidi="ar"/>
              </w:rPr>
              <w:t>Direct cytotoxicity; amplifies inflammatory response</w:t>
            </w:r>
          </w:p>
        </w:tc>
        <w:tc>
          <w:tcPr>
            <w:tcW w:w="0" w:type="auto"/>
            <w:tcBorders>
              <w:bottom w:val="nil"/>
              <w:right w:val="nil"/>
            </w:tcBorders>
            <w:tcMar>
              <w:top w:w="74" w:type="dxa"/>
              <w:left w:w="74" w:type="dxa"/>
              <w:bottom w:w="74" w:type="dxa"/>
              <w:right w:w="74" w:type="dxa"/>
            </w:tcMar>
          </w:tcPr>
          <w:p w14:paraId="7C29B3AD" w14:textId="77777777" w:rsidR="00795585" w:rsidRPr="007E5D9A" w:rsidRDefault="00000000">
            <w:pPr>
              <w:widowControl/>
              <w:jc w:val="left"/>
              <w:textAlignment w:val="baseline"/>
              <w:rPr>
                <w:rFonts w:ascii="Times New Roman" w:hAnsi="Times New Roman" w:cs="Times New Roman"/>
              </w:rPr>
            </w:pPr>
            <w:r w:rsidRPr="007E5D9A">
              <w:rPr>
                <w:rFonts w:ascii="Times New Roman" w:eastAsia="宋体" w:hAnsi="Times New Roman" w:cs="Times New Roman"/>
                <w:kern w:val="0"/>
                <w:sz w:val="24"/>
                <w:lang w:bidi="ar"/>
              </w:rPr>
              <w:t>Both organs: promotes fibrosis, apoptosis, functional decline</w:t>
            </w:r>
            <w:r w:rsidRPr="007E5D9A">
              <w:rPr>
                <w:rFonts w:ascii="Times New Roman" w:eastAsia="宋体" w:hAnsi="Times New Roman" w:cs="Times New Roman"/>
                <w:kern w:val="0"/>
                <w:sz w:val="24"/>
                <w:lang w:bidi="ar"/>
              </w:rPr>
              <w:fldChar w:fldCharType="begin"/>
            </w:r>
            <w:r w:rsidRPr="007E5D9A">
              <w:rPr>
                <w:rFonts w:ascii="Times New Roman" w:eastAsia="宋体" w:hAnsi="Times New Roman" w:cs="Times New Roman"/>
                <w:kern w:val="0"/>
                <w:sz w:val="24"/>
                <w:lang w:bidi="ar"/>
              </w:rPr>
              <w:instrText xml:space="preserve"> ADDIN ZOTERO_ITEM CSL_CITATION {"citationID":"lhIbJwGi","properties":{"formattedCitation":"[24,25]","plainCitation":"[24,25]","noteIndex":0},"citationItems":[{"id":"PT63WDpC/l8eSUFdJ","uris":["http://zotero.org/users/local/pKm3rcyL/items/LDIL2CP5"],"itemData":{"id":8925,"type":"article-journal","abstract":"Interdisciplinary research has revealed that heart, kidney, liver, and metabolic diseases share interlinked pathological mechanisms, including inflammation,  oxidative stress, insulin resistance, and endothelial health issues. However,  integrated care for these diseases is challenging due to different symptoms,  diagnostic rules, and treatment options. The review aims to study the common  mechanisms behind cardiovascular-renal-hepatic-metabolic syndrome and explore  ways to coordinate management. When these systems work poorly together, damage  can form a vicious cycle, increasing hypertension, chronic kidney disease,  non-alcoholic fatty liver disease, and metabolic syndrome. Changes in medicine,  daily lifestyle, and drugs can interrupt the pathological cascade. However,  clinical practice is hindered by patient presentations, lack of teamwork across  healthcare specialties, and incomplete therapy plans. Gut-organ axis dysfunction  and inflammation play a significant role in multiple organ diseases, and prompt  risk assessment and early intervention can prevent heart damage.","container-title":"Cureus","DOI":"10.7759/cureus.85813","ISSN":"2168-8184","issue":"6","journalAbbreviation":"Cureus","language":"eng","page":"e85813","title":"Cardiovascular-Renal-Hepatic-Metabolic Syndrome: Interlinked Pathophysiology and Integrated Management Approach.","volume":"17","author":[{"family":"Arragan Lezama","given":"Carlos Alejandro"},{"family":"Jaramillo Ramos","given":"Julio Joel"},{"family":"Armas Eguizábal","given":"David Alejandro"},{"family":"Solares Ovando","given":"Ximena Sofía"},{"family":"Minera Villagrán","given":"Julio Cesar"},{"family":"Males Caiza","given":"Cinthya Jhoana"}],"issued":{"date-parts":[["2025",6]]}},"label":"page"},{"id":"PT63WDpC/sKvXWNys","uris":["http://zotero.org/users/local/pKm3rcyL/items/VPSCLUVD"],"itemData":{"id":8926,"type":"article-journal","abstract":"INTRODUCTION: Metabolic dysfunction-associated steatohepatitis (MASH) is an important cause of cirrhosis and end-stage liver disease. In addition, there have  been reports of worse extrahepatic outcomes, especially cardiovascular events, in  patients with lean patients' fatty liver disease compared to the non-lean  group. There is limited data on hepatic, cardiac, and renal outcomes in lean  compared to non-lean patients with MASH. This study aims to evaluate the  cardiovascular, renal, and hepatic outcomes in hospitalized US adults with MASH,  focusing on a comprehensive comparison between lean and non-lean patients.  METHODS: The National Inpatient Sample (NIS) database was queried from 2016 to  2020 to identify hospitalizations with MASH. Hospitalizations with a history of  overweight and obesity (lean body mass index (BMI) &lt;25 vs. lean BMI &gt;25) were  also identified. The primary outcome was in-hospital mortality. Secondary  outcomes were major adverse cardiovascular outcomes (MACE: a composite of acute  myocardial infarction, cardiac arrest, stroke, heart failure, and atrial  fibrillation); major adverse kidney outcome (MAKE: a composite outcome of acute  kidney injury (AKI), renal replacement therapy, and renal cancer), and hepatic  decompensation (esophageal varices with bleeding, ascites, spontaneous bacterial  peritonitis (SBP), hepatic encephalopathy, and hepatorenal syndrome) Multivariate  logistic regression analysis was used to derive risk ratios for clinical  outcomes. RESULTS: We included 539,275 MASH patients in our sample; 324,330 (60%)  were lean. The included patients were mostly female (61%), the mean age was 64  years, and 76% were White. At baseline, non-lean patients had a higher prevalence  of heart failure, hypertension, and hyperlipidemia. There was no difference in  the prevalence of smoking among both groups. In a multivariate analysis, with  adjustment for age, sex, race, sarcopenia, cardiometabolic risk factors, hospital  characteristics, admission type, socioeconomic factors, and all comorbidities  (including 31 Elixhauser comorbidities), lean status was associated with a 40%  increased risk of mortality (adjusted odds ratio (aOR) 1.40, confidence interval  (CI) 1.29-1.53), 19% increased risk of MACE (aOR 1.19; 95% CI 1.14-1.24), 20%  increased risk of renal decompensation (aOR 1.25; 95% CI 1.20-1.30), and 33%  increased risk of hepatic decompensation (aOR 1.33 CI 1.28-1.38). CONCLUSION:  Lean patients with MASH are at higher risk of cardiovascular and renal outcomes  and may benefit from enhanced screening for early identification and treatment to  improve outcomes.","container-title":"Cureus","DOI":"10.7759/cureus.60968","ISSN":"2168-8184","issue":"5","journalAbbreviation":"Cureus","language":"eng","page":"e60968","title":"Mortality, Hepatic Decompensation, and Cardiovascular- and Renal-Related Outcomes in Lean Versus Non-lean Patients Hospitalized With Metabolic  Dysfunction-Associated Steatohepatitis (MASH).","volume":"16","author":[{"family":"Ezeani","given":"Chukwunonso"},{"family":"Omaliko","given":"Chidiebele"},{"family":"Al-Ajlouni","given":"Yazan A."},{"family":"Njei","given":"Basile"}],"issued":{"date-parts":[["2024",5]]}},"label":"page"}],"schema":"https://github.com/citation-style-language/schema/raw/master/csl-citation.json"} </w:instrText>
            </w:r>
            <w:r w:rsidRPr="007E5D9A">
              <w:rPr>
                <w:rFonts w:ascii="Times New Roman" w:eastAsia="宋体" w:hAnsi="Times New Roman" w:cs="Times New Roman"/>
                <w:kern w:val="0"/>
                <w:sz w:val="24"/>
                <w:lang w:bidi="ar"/>
              </w:rPr>
              <w:fldChar w:fldCharType="separate"/>
            </w:r>
            <w:r w:rsidRPr="007E5D9A">
              <w:rPr>
                <w:rFonts w:ascii="Times New Roman" w:hAnsi="Times New Roman" w:cs="Times New Roman"/>
                <w:sz w:val="24"/>
              </w:rPr>
              <w:t>[24,25]</w:t>
            </w:r>
            <w:r w:rsidRPr="007E5D9A">
              <w:rPr>
                <w:rFonts w:ascii="Times New Roman" w:eastAsia="宋体" w:hAnsi="Times New Roman" w:cs="Times New Roman"/>
                <w:kern w:val="0"/>
                <w:sz w:val="24"/>
                <w:lang w:bidi="ar"/>
              </w:rPr>
              <w:fldChar w:fldCharType="end"/>
            </w:r>
          </w:p>
        </w:tc>
      </w:tr>
      <w:tr w:rsidR="00795585" w:rsidRPr="007E5D9A" w14:paraId="0D878DC0" w14:textId="77777777">
        <w:tc>
          <w:tcPr>
            <w:tcW w:w="0" w:type="auto"/>
            <w:tcBorders>
              <w:left w:val="nil"/>
              <w:bottom w:val="nil"/>
              <w:right w:val="nil"/>
            </w:tcBorders>
            <w:tcMar>
              <w:top w:w="74" w:type="dxa"/>
              <w:left w:w="74" w:type="dxa"/>
              <w:bottom w:w="74" w:type="dxa"/>
              <w:right w:w="74" w:type="dxa"/>
            </w:tcMar>
          </w:tcPr>
          <w:p w14:paraId="48ADD819" w14:textId="77777777" w:rsidR="00795585" w:rsidRPr="007E5D9A" w:rsidRDefault="00000000">
            <w:pPr>
              <w:widowControl/>
              <w:jc w:val="left"/>
              <w:textAlignment w:val="baseline"/>
              <w:rPr>
                <w:rFonts w:ascii="Times New Roman" w:hAnsi="Times New Roman" w:cs="Times New Roman"/>
              </w:rPr>
            </w:pPr>
            <w:r w:rsidRPr="007E5D9A">
              <w:rPr>
                <w:rStyle w:val="a9"/>
                <w:rFonts w:ascii="Times New Roman" w:eastAsia="宋体" w:hAnsi="Times New Roman" w:cs="Times New Roman"/>
                <w:bCs/>
                <w:kern w:val="0"/>
                <w:sz w:val="24"/>
                <w:lang w:bidi="ar"/>
              </w:rPr>
              <w:t>Fibrotic Pathways</w:t>
            </w:r>
          </w:p>
        </w:tc>
        <w:tc>
          <w:tcPr>
            <w:tcW w:w="0" w:type="auto"/>
            <w:tcBorders>
              <w:bottom w:val="nil"/>
              <w:right w:val="nil"/>
            </w:tcBorders>
            <w:tcMar>
              <w:top w:w="74" w:type="dxa"/>
              <w:left w:w="74" w:type="dxa"/>
              <w:bottom w:w="74" w:type="dxa"/>
              <w:right w:w="74" w:type="dxa"/>
            </w:tcMar>
          </w:tcPr>
          <w:p w14:paraId="5850DCFF" w14:textId="77777777" w:rsidR="00795585" w:rsidRPr="007E5D9A" w:rsidRDefault="00000000">
            <w:pPr>
              <w:widowControl/>
              <w:jc w:val="left"/>
              <w:textAlignment w:val="baseline"/>
              <w:rPr>
                <w:rFonts w:ascii="Times New Roman" w:hAnsi="Times New Roman" w:cs="Times New Roman"/>
              </w:rPr>
            </w:pPr>
            <w:r w:rsidRPr="007E5D9A">
              <w:rPr>
                <w:rFonts w:ascii="Times New Roman" w:eastAsia="宋体" w:hAnsi="Times New Roman" w:cs="Times New Roman"/>
                <w:kern w:val="0"/>
                <w:sz w:val="24"/>
                <w:lang w:bidi="ar"/>
              </w:rPr>
              <w:t>TGF-β/Smad2/3</w:t>
            </w:r>
            <w:r w:rsidRPr="007E5D9A">
              <w:rPr>
                <w:rFonts w:ascii="Times New Roman" w:eastAsia="宋体" w:hAnsi="Times New Roman" w:cs="Times New Roman"/>
                <w:kern w:val="0"/>
                <w:sz w:val="24"/>
                <w:lang w:bidi="ar"/>
              </w:rPr>
              <w:fldChar w:fldCharType="begin"/>
            </w:r>
            <w:r w:rsidRPr="007E5D9A">
              <w:rPr>
                <w:rFonts w:ascii="Times New Roman" w:eastAsia="宋体" w:hAnsi="Times New Roman" w:cs="Times New Roman"/>
                <w:kern w:val="0"/>
                <w:sz w:val="24"/>
                <w:lang w:bidi="ar"/>
              </w:rPr>
              <w:instrText xml:space="preserve"> ADDIN ZOTERO_ITEM CSL_CITATION {"citationID":"Us1lbOTm","properties":{"formattedCitation":"[25,26]","plainCitation":"[25,26]","noteIndex":0},"citationItems":[{"id":"PT63WDpC/sKvXWNys","uris":["http://zotero.org/users/local/pKm3rcyL/items/VPSCLUVD"],"itemData":{"id":8926,"type":"article-journal","abstract":"INTRODUCTION: Metabolic dysfunction-associated steatohepatitis (MASH) is an important cause of cirrhosis and end-stage liver disease. In addition, there have  been reports of worse extrahepatic outcomes, especially cardiovascular events, in  patients with lean patients' fatty liver disease compared to the non-lean  group. There is limited data on hepatic, cardiac, and renal outcomes in lean  compared to non-lean patients with MASH. This study aims to evaluate the  cardiovascular, renal, and hepatic outcomes in hospitalized US adults with MASH,  focusing on a comprehensive comparison between lean and non-lean patients.  METHODS: The National Inpatient Sample (NIS) database was queried from 2016 to  2020 to identify hospitalizations with MASH. Hospitalizations with a history of  overweight and obesity (lean body mass index (BMI) &lt;25 vs. lean BMI &gt;25) were  also identified. The primary outcome was in-hospital mortality. Secondary  outcomes were major adverse cardiovascular outcomes (MACE: a composite of acute  myocardial infarction, cardiac arrest, stroke, heart failure, and atrial  fibrillation); major adverse kidney outcome (MAKE: a composite outcome of acute  kidney injury (AKI), renal replacement therapy, and renal cancer), and hepatic  decompensation (esophageal varices with bleeding, ascites, spontaneous bacterial  peritonitis (SBP), hepatic encephalopathy, and hepatorenal syndrome) Multivariate  logistic regression analysis was used to derive risk ratios for clinical  outcomes. RESULTS: We included 539,275 MASH patients in our sample; 324,330 (60%)  were lean. The included patients were mostly female (61%), the mean age was 64  years, and 76% were White. At baseline, non-lean patients had a higher prevalence  of heart failure, hypertension, and hyperlipidemia. There was no difference in  the prevalence of smoking among both groups. In a multivariate analysis, with  adjustment for age, sex, race, sarcopenia, cardiometabolic risk factors, hospital  characteristics, admission type, socioeconomic factors, and all comorbidities  (including 31 Elixhauser comorbidities), lean status was associated with a 40%  increased risk of mortality (adjusted odds ratio (aOR) 1.40, confidence interval  (CI) 1.29-1.53), 19% increased risk of MACE (aOR 1.19; 95% CI 1.14-1.24), 20%  increased risk of renal decompensation (aOR 1.25; 95% CI 1.20-1.30), and 33%  increased risk of hepatic decompensation (aOR 1.33 CI 1.28-1.38). CONCLUSION:  Lean patients with MASH are at higher risk of cardiovascular and renal outcomes  and may benefit from enhanced screening for early identification and treatment to  improve outcomes.","container-title":"Cureus","DOI":"10.7759/cureus.60968","ISSN":"2168-8184","issue":"5","journalAbbreviation":"Cureus","language":"eng","page":"e60968","title":"Mortality, Hepatic Decompensation, and Cardiovascular- and Renal-Related Outcomes in Lean Versus Non-lean Patients Hospitalized With Metabolic  Dysfunction-Associated Steatohepatitis (MASH).","volume":"16","author":[{"family":"Ezeani","given":"Chukwunonso"},{"family":"Omaliko","given":"Chidiebele"},{"family":"Al-Ajlouni","given":"Yazan A."},{"family":"Njei","given":"Basile"}],"issued":{"date-parts":[["2024",5]]}},"label":"page"},{"id":"PT63WDpC/atTxCZVF","uris":["http://zotero.org/users/local/pKm3rcyL/items/YI6W9F85"],"itemData":{"id":8927,"type":"article-journal","abstract":"INTRODUCTION: As a concept recently proposed by the American Heart Association (AHA), cardiovascular-kidney-metabolic (CKM) syndrome is characterized by the  interplay of cardiovascular, renal, and metabolic dysfunctions. However, previous  studies constantly focused on the cardiovascular outcomes, and there is scarce  evidence addressing the association between chronic systemic inflammation and  long-term changes in kidney function in the progression of CKM syndrome. This  study aimed to investigate the association between the systemic inflammation and  worsening renal function (WRF) in individuals with CKM syndrome. METHODS: A  cohort of 39,944 outpatients with regular follow-up visits at Fuqing City  Hospital from 2014 to 2021 was analyzed. WRF was defined as an absolute increase  in serum creatinine of ≥26.5 μmol/L (≥0.3 mg/dL) with a relative increase of ≥25%  from baseline during the first year of follow-up. Three logistic regression  models were constructed to evaluate the associations between systemic immune  inflammation index (SII), systemic inflammatory response index (SIRI), and WRF.  Restricted cubic spline (RCS) regression was utilized to illustrate the  relationship between SII, SIRI, and WRF. Additionally, we explored this  correlation through segmented linear regression as part of our threshold  analysis. RESULTS: A total of 10,361 individuals (25.9%) experienced WRF within  the first year. Higher levels of SII and SIRI were significantly associated with  increased odds of WRF across all CKM stages. After adjusting for multiple  conventional variables, SII remained an independent predictor for WRF (OR: 1.298,  95% CI: 1.181-1.427, p &lt; 0.001). Similarly, SIRI also demonstrated a significant  positive correlation with WRF (OR: 1.026, 95% CI: 1.021-1.030, p &lt; 0.001). The  RCS analysis also revealed a dose-response relationship, indicating higher  quartiles of SII and SIRI correlating with greater odds of WRF. Further analysis  revealed significant interactions between SII, SIRI, and CKM stages, particularly  at stages 4 (p &lt; 0.001 for both). Subgroup analysis suggested that this  association between SII, SIRI, and WRF was more prominent in the early stage of  CKM. The threshold effect analysis demonstrated that for ln transformed SII, a  threshold of above 5.565 indicated significant correlation with WRF (OR: 1.277),  while for SIRI, the threshold of 2.34 showed a strong correlation below it (OR:  1.330). CONCLUSION: Both SII and SIRI were associated with the risk of WRF in  individuals with CKM. This association seemed more prominent in the early stage  of CKM.","container-title":"American journal of nephrology","DOI":"10.1159/000546130","ISSN":"1421-9670 0250-8095","journalAbbreviation":"Am J Nephrol","language":"eng","page":"1-11","title":"Association between Systemic Inflammation and Worsening Renal Function in Cardiovascular-Kidney-Metabolic Syndrome.","author":[{"family":"Wang","given":"Sunying"},{"family":"Zeng","given":"Jilang"},{"family":"Chen","given":"Yan"},{"family":"Sun","given":"Fuqing"},{"family":"Ma","given":"Hanghao"},{"family":"Zhang","given":"Liwei"},{"family":"Lin","given":"Zhijie"},{"family":"Wang","given":"Changxi"},{"family":"Wang","given":"Yuwei"},{"family":"Yang","given":"Qingyong"},{"family":"Luo","given":"Manqing"},{"family":"Lin","given":"Kaiyang"},{"family":"Guo","given":"Yansong"}],"issued":{"date-parts":[["2025",4,28]]}},"label":"page"}],"schema":"https://github.com/citation-style-language/schema/raw/master/csl-citation.json"} </w:instrText>
            </w:r>
            <w:r w:rsidRPr="007E5D9A">
              <w:rPr>
                <w:rFonts w:ascii="Times New Roman" w:eastAsia="宋体" w:hAnsi="Times New Roman" w:cs="Times New Roman"/>
                <w:kern w:val="0"/>
                <w:sz w:val="24"/>
                <w:lang w:bidi="ar"/>
              </w:rPr>
              <w:fldChar w:fldCharType="separate"/>
            </w:r>
            <w:r w:rsidRPr="007E5D9A">
              <w:rPr>
                <w:rFonts w:ascii="Times New Roman" w:hAnsi="Times New Roman" w:cs="Times New Roman"/>
                <w:sz w:val="24"/>
              </w:rPr>
              <w:t>[25,26]</w:t>
            </w:r>
            <w:r w:rsidRPr="007E5D9A">
              <w:rPr>
                <w:rFonts w:ascii="Times New Roman" w:eastAsia="宋体" w:hAnsi="Times New Roman" w:cs="Times New Roman"/>
                <w:kern w:val="0"/>
                <w:sz w:val="24"/>
                <w:lang w:bidi="ar"/>
              </w:rPr>
              <w:fldChar w:fldCharType="end"/>
            </w:r>
          </w:p>
        </w:tc>
        <w:tc>
          <w:tcPr>
            <w:tcW w:w="0" w:type="auto"/>
            <w:tcBorders>
              <w:bottom w:val="nil"/>
              <w:right w:val="nil"/>
            </w:tcBorders>
            <w:tcMar>
              <w:top w:w="74" w:type="dxa"/>
              <w:left w:w="74" w:type="dxa"/>
              <w:bottom w:w="74" w:type="dxa"/>
              <w:right w:w="74" w:type="dxa"/>
            </w:tcMar>
          </w:tcPr>
          <w:p w14:paraId="28E52088" w14:textId="77777777" w:rsidR="00795585" w:rsidRPr="007E5D9A" w:rsidRDefault="00000000">
            <w:pPr>
              <w:widowControl/>
              <w:jc w:val="left"/>
              <w:textAlignment w:val="baseline"/>
              <w:rPr>
                <w:rFonts w:ascii="Times New Roman" w:hAnsi="Times New Roman" w:cs="Times New Roman"/>
              </w:rPr>
            </w:pPr>
            <w:r w:rsidRPr="007E5D9A">
              <w:rPr>
                <w:rFonts w:ascii="Times New Roman" w:eastAsia="宋体" w:hAnsi="Times New Roman" w:cs="Times New Roman"/>
                <w:kern w:val="0"/>
                <w:sz w:val="24"/>
                <w:lang w:bidi="ar"/>
              </w:rPr>
              <w:t>Phosphorylates Smad2/3 → complexes with Smad4 → ECM gene transcription</w:t>
            </w:r>
          </w:p>
        </w:tc>
        <w:tc>
          <w:tcPr>
            <w:tcW w:w="0" w:type="auto"/>
            <w:tcBorders>
              <w:bottom w:val="nil"/>
              <w:right w:val="nil"/>
            </w:tcBorders>
            <w:tcMar>
              <w:top w:w="74" w:type="dxa"/>
              <w:left w:w="74" w:type="dxa"/>
              <w:bottom w:w="74" w:type="dxa"/>
              <w:right w:w="74" w:type="dxa"/>
            </w:tcMar>
          </w:tcPr>
          <w:p w14:paraId="3ADE8284" w14:textId="77777777" w:rsidR="00795585" w:rsidRPr="007E5D9A" w:rsidRDefault="00000000">
            <w:pPr>
              <w:widowControl/>
              <w:jc w:val="left"/>
              <w:textAlignment w:val="baseline"/>
              <w:rPr>
                <w:rFonts w:ascii="Times New Roman" w:hAnsi="Times New Roman" w:cs="Times New Roman"/>
              </w:rPr>
            </w:pPr>
            <w:r w:rsidRPr="007E5D9A">
              <w:rPr>
                <w:rFonts w:ascii="Times New Roman" w:eastAsia="宋体" w:hAnsi="Times New Roman" w:cs="Times New Roman"/>
                <w:kern w:val="0"/>
                <w:sz w:val="24"/>
                <w:lang w:bidi="ar"/>
              </w:rPr>
              <w:t>Both organs: collagen deposition, interstitial fibrosis, organ stiffening</w:t>
            </w:r>
          </w:p>
        </w:tc>
      </w:tr>
      <w:tr w:rsidR="00795585" w:rsidRPr="007E5D9A" w14:paraId="2CE53284" w14:textId="77777777">
        <w:tc>
          <w:tcPr>
            <w:tcW w:w="0" w:type="auto"/>
            <w:tcBorders>
              <w:left w:val="nil"/>
              <w:bottom w:val="nil"/>
              <w:right w:val="nil"/>
            </w:tcBorders>
            <w:tcMar>
              <w:top w:w="74" w:type="dxa"/>
              <w:left w:w="74" w:type="dxa"/>
              <w:bottom w:w="74" w:type="dxa"/>
              <w:right w:w="74" w:type="dxa"/>
            </w:tcMar>
          </w:tcPr>
          <w:p w14:paraId="02FC9FA4" w14:textId="77777777" w:rsidR="00795585" w:rsidRPr="007E5D9A" w:rsidRDefault="00795585">
            <w:pPr>
              <w:jc w:val="left"/>
              <w:rPr>
                <w:rFonts w:ascii="Times New Roman" w:hAnsi="Times New Roman" w:cs="Times New Roman"/>
                <w:sz w:val="24"/>
              </w:rPr>
            </w:pPr>
          </w:p>
        </w:tc>
        <w:tc>
          <w:tcPr>
            <w:tcW w:w="0" w:type="auto"/>
            <w:tcBorders>
              <w:bottom w:val="nil"/>
              <w:right w:val="nil"/>
            </w:tcBorders>
            <w:tcMar>
              <w:top w:w="74" w:type="dxa"/>
              <w:left w:w="74" w:type="dxa"/>
              <w:bottom w:w="74" w:type="dxa"/>
              <w:right w:w="74" w:type="dxa"/>
            </w:tcMar>
          </w:tcPr>
          <w:p w14:paraId="5C775342" w14:textId="77777777" w:rsidR="00795585" w:rsidRPr="007E5D9A" w:rsidRDefault="00000000">
            <w:pPr>
              <w:widowControl/>
              <w:jc w:val="left"/>
              <w:textAlignment w:val="baseline"/>
              <w:rPr>
                <w:rFonts w:ascii="Times New Roman" w:hAnsi="Times New Roman" w:cs="Times New Roman"/>
              </w:rPr>
            </w:pPr>
            <w:r w:rsidRPr="007E5D9A">
              <w:rPr>
                <w:rFonts w:ascii="Times New Roman" w:eastAsia="宋体" w:hAnsi="Times New Roman" w:cs="Times New Roman"/>
                <w:kern w:val="0"/>
                <w:sz w:val="24"/>
                <w:lang w:bidi="ar"/>
              </w:rPr>
              <w:t>CTGF</w:t>
            </w:r>
            <w:r w:rsidRPr="007E5D9A">
              <w:rPr>
                <w:rFonts w:ascii="Times New Roman" w:eastAsia="宋体" w:hAnsi="Times New Roman" w:cs="Times New Roman"/>
                <w:kern w:val="0"/>
                <w:sz w:val="24"/>
                <w:lang w:bidi="ar"/>
              </w:rPr>
              <w:fldChar w:fldCharType="begin"/>
            </w:r>
            <w:r w:rsidRPr="007E5D9A">
              <w:rPr>
                <w:rFonts w:ascii="Times New Roman" w:eastAsia="宋体" w:hAnsi="Times New Roman" w:cs="Times New Roman"/>
                <w:kern w:val="0"/>
                <w:sz w:val="24"/>
                <w:lang w:bidi="ar"/>
              </w:rPr>
              <w:instrText xml:space="preserve"> ADDIN ZOTERO_ITEM CSL_CITATION {"citationID":"PvZRHuTO","properties":{"formattedCitation":"[25]","plainCitation":"[25]","noteIndex":0},"citationItems":[{"id":"PT63WDpC/sKvXWNys","uris":["http://zotero.org/users/local/pKm3rcyL/items/VPSCLUVD"],"itemData":{"id":8926,"type":"article-journal","abstract":"INTRODUCTION: Metabolic dysfunction-associated steatohepatitis (MASH) is an important cause of cirrhosis and end-stage liver disease. In addition, there have  been reports of worse extrahepatic outcomes, especially cardiovascular events, in  patients with lean patients' fatty liver disease compared to the non-lean  group. There is limited data on hepatic, cardiac, and renal outcomes in lean  compared to non-lean patients with MASH. This study aims to evaluate the  cardiovascular, renal, and hepatic outcomes in hospitalized US adults with MASH,  focusing on a comprehensive comparison between lean and non-lean patients.  METHODS: The National Inpatient Sample (NIS) database was queried from 2016 to  2020 to identify hospitalizations with MASH. Hospitalizations with a history of  overweight and obesity (lean body mass index (BMI) &lt;25 vs. lean BMI &gt;25) were  also identified. The primary outcome was in-hospital mortality. Secondary  outcomes were major adverse cardiovascular outcomes (MACE: a composite of acute  myocardial infarction, cardiac arrest, stroke, heart failure, and atrial  fibrillation); major adverse kidney outcome (MAKE: a composite outcome of acute  kidney injury (AKI), renal replacement therapy, and renal cancer), and hepatic  decompensation (esophageal varices with bleeding, ascites, spontaneous bacterial  peritonitis (SBP), hepatic encephalopathy, and hepatorenal syndrome) Multivariate  logistic regression analysis was used to derive risk ratios for clinical  outcomes. RESULTS: We included 539,275 MASH patients in our sample; 324,330 (60%)  were lean. The included patients were mostly female (61%), the mean age was 64  years, and 76% were White. At baseline, non-lean patients had a higher prevalence  of heart failure, hypertension, and hyperlipidemia. There was no difference in  the prevalence of smoking among both groups. In a multivariate analysis, with  adjustment for age, sex, race, sarcopenia, cardiometabolic risk factors, hospital  characteristics, admission type, socioeconomic factors, and all comorbidities  (including 31 Elixhauser comorbidities), lean status was associated with a 40%  increased risk of mortality (adjusted odds ratio (aOR) 1.40, confidence interval  (CI) 1.29-1.53), 19% increased risk of MACE (aOR 1.19; 95% CI 1.14-1.24), 20%  increased risk of renal decompensation (aOR 1.25; 95% CI 1.20-1.30), and 33%  increased risk of hepatic decompensation (aOR 1.33 CI 1.28-1.38). CONCLUSION:  Lean patients with MASH are at higher risk of cardiovascular and renal outcomes  and may benefit from enhanced screening for early identification and treatment to  improve outcomes.","container-title":"Cureus","DOI":"10.7759/cureus.60968","ISSN":"2168-8184","issue":"5","journalAbbreviation":"Cureus","language":"eng","page":"e60968","title":"Mortality, Hepatic Decompensation, and Cardiovascular- and Renal-Related Outcomes in Lean Versus Non-lean Patients Hospitalized With Metabolic  Dysfunction-Associated Steatohepatitis (MASH).","volume":"16","author":[{"family":"Ezeani","given":"Chukwunonso"},{"family":"Omaliko","given":"Chidiebele"},{"family":"Al-Ajlouni","given":"Yazan A."},{"family":"Njei","given":"Basile"}],"issued":{"date-parts":[["2024",5]]}}}],"schema":"https://github.com/citation-style-language/schema/raw/master/csl-citation.json"} </w:instrText>
            </w:r>
            <w:r w:rsidRPr="007E5D9A">
              <w:rPr>
                <w:rFonts w:ascii="Times New Roman" w:eastAsia="宋体" w:hAnsi="Times New Roman" w:cs="Times New Roman"/>
                <w:kern w:val="0"/>
                <w:sz w:val="24"/>
                <w:lang w:bidi="ar"/>
              </w:rPr>
              <w:fldChar w:fldCharType="separate"/>
            </w:r>
            <w:r w:rsidRPr="007E5D9A">
              <w:rPr>
                <w:rFonts w:ascii="Times New Roman" w:hAnsi="Times New Roman" w:cs="Times New Roman"/>
                <w:sz w:val="24"/>
              </w:rPr>
              <w:t>[25]</w:t>
            </w:r>
            <w:r w:rsidRPr="007E5D9A">
              <w:rPr>
                <w:rFonts w:ascii="Times New Roman" w:eastAsia="宋体" w:hAnsi="Times New Roman" w:cs="Times New Roman"/>
                <w:kern w:val="0"/>
                <w:sz w:val="24"/>
                <w:lang w:bidi="ar"/>
              </w:rPr>
              <w:fldChar w:fldCharType="end"/>
            </w:r>
          </w:p>
        </w:tc>
        <w:tc>
          <w:tcPr>
            <w:tcW w:w="0" w:type="auto"/>
            <w:tcBorders>
              <w:bottom w:val="nil"/>
              <w:right w:val="nil"/>
            </w:tcBorders>
            <w:tcMar>
              <w:top w:w="74" w:type="dxa"/>
              <w:left w:w="74" w:type="dxa"/>
              <w:bottom w:w="74" w:type="dxa"/>
              <w:right w:w="74" w:type="dxa"/>
            </w:tcMar>
          </w:tcPr>
          <w:p w14:paraId="18909B43" w14:textId="77777777" w:rsidR="00795585" w:rsidRPr="007E5D9A" w:rsidRDefault="00000000">
            <w:pPr>
              <w:widowControl/>
              <w:jc w:val="left"/>
              <w:textAlignment w:val="baseline"/>
              <w:rPr>
                <w:rFonts w:ascii="Times New Roman" w:hAnsi="Times New Roman" w:cs="Times New Roman"/>
              </w:rPr>
            </w:pPr>
            <w:r w:rsidRPr="007E5D9A">
              <w:rPr>
                <w:rFonts w:ascii="Times New Roman" w:eastAsia="宋体" w:hAnsi="Times New Roman" w:cs="Times New Roman"/>
                <w:kern w:val="0"/>
                <w:sz w:val="24"/>
                <w:lang w:bidi="ar"/>
              </w:rPr>
              <w:t>Synergizes with TGF-β to promote fibrosis</w:t>
            </w:r>
          </w:p>
        </w:tc>
        <w:tc>
          <w:tcPr>
            <w:tcW w:w="0" w:type="auto"/>
            <w:tcBorders>
              <w:bottom w:val="nil"/>
              <w:right w:val="nil"/>
            </w:tcBorders>
            <w:tcMar>
              <w:top w:w="74" w:type="dxa"/>
              <w:left w:w="74" w:type="dxa"/>
              <w:bottom w:w="74" w:type="dxa"/>
              <w:right w:w="74" w:type="dxa"/>
            </w:tcMar>
          </w:tcPr>
          <w:p w14:paraId="2B71927A" w14:textId="77777777" w:rsidR="00795585" w:rsidRPr="007E5D9A" w:rsidRDefault="00000000">
            <w:pPr>
              <w:widowControl/>
              <w:jc w:val="left"/>
              <w:textAlignment w:val="baseline"/>
              <w:rPr>
                <w:rFonts w:ascii="Times New Roman" w:hAnsi="Times New Roman" w:cs="Times New Roman"/>
              </w:rPr>
            </w:pPr>
            <w:r w:rsidRPr="007E5D9A">
              <w:rPr>
                <w:rFonts w:ascii="Times New Roman" w:eastAsia="宋体" w:hAnsi="Times New Roman" w:cs="Times New Roman"/>
                <w:kern w:val="0"/>
                <w:sz w:val="24"/>
                <w:lang w:bidi="ar"/>
              </w:rPr>
              <w:t>Both organs: excessive extracellular matrix deposition</w:t>
            </w:r>
          </w:p>
        </w:tc>
      </w:tr>
      <w:tr w:rsidR="00795585" w:rsidRPr="007E5D9A" w14:paraId="06D9B8E9" w14:textId="77777777">
        <w:tc>
          <w:tcPr>
            <w:tcW w:w="0" w:type="auto"/>
            <w:tcBorders>
              <w:left w:val="nil"/>
              <w:bottom w:val="nil"/>
              <w:right w:val="nil"/>
            </w:tcBorders>
            <w:tcMar>
              <w:top w:w="74" w:type="dxa"/>
              <w:left w:w="74" w:type="dxa"/>
              <w:bottom w:w="74" w:type="dxa"/>
              <w:right w:w="74" w:type="dxa"/>
            </w:tcMar>
          </w:tcPr>
          <w:p w14:paraId="5C225304" w14:textId="77777777" w:rsidR="00795585" w:rsidRPr="007E5D9A" w:rsidRDefault="00000000">
            <w:pPr>
              <w:widowControl/>
              <w:jc w:val="left"/>
              <w:textAlignment w:val="baseline"/>
              <w:rPr>
                <w:rFonts w:ascii="Times New Roman" w:hAnsi="Times New Roman" w:cs="Times New Roman"/>
              </w:rPr>
            </w:pPr>
            <w:r w:rsidRPr="007E5D9A">
              <w:rPr>
                <w:rStyle w:val="a9"/>
                <w:rFonts w:ascii="Times New Roman" w:eastAsia="宋体" w:hAnsi="Times New Roman" w:cs="Times New Roman"/>
                <w:bCs/>
                <w:kern w:val="0"/>
                <w:sz w:val="24"/>
                <w:lang w:bidi="ar"/>
              </w:rPr>
              <w:t>Metabolic Dysregulation</w:t>
            </w:r>
          </w:p>
        </w:tc>
        <w:tc>
          <w:tcPr>
            <w:tcW w:w="0" w:type="auto"/>
            <w:tcBorders>
              <w:bottom w:val="nil"/>
              <w:right w:val="nil"/>
            </w:tcBorders>
            <w:tcMar>
              <w:top w:w="74" w:type="dxa"/>
              <w:left w:w="74" w:type="dxa"/>
              <w:bottom w:w="74" w:type="dxa"/>
              <w:right w:w="74" w:type="dxa"/>
            </w:tcMar>
          </w:tcPr>
          <w:p w14:paraId="6BE28336" w14:textId="77777777" w:rsidR="00795585" w:rsidRPr="007E5D9A" w:rsidRDefault="00000000">
            <w:pPr>
              <w:widowControl/>
              <w:jc w:val="left"/>
              <w:textAlignment w:val="baseline"/>
              <w:rPr>
                <w:rFonts w:ascii="Times New Roman" w:hAnsi="Times New Roman" w:cs="Times New Roman"/>
              </w:rPr>
            </w:pPr>
            <w:r w:rsidRPr="007E5D9A">
              <w:rPr>
                <w:rFonts w:ascii="Times New Roman" w:eastAsia="宋体" w:hAnsi="Times New Roman" w:cs="Times New Roman"/>
                <w:kern w:val="0"/>
                <w:sz w:val="24"/>
                <w:lang w:bidi="ar"/>
              </w:rPr>
              <w:t>AGE/RAGE</w:t>
            </w:r>
            <w:r w:rsidRPr="007E5D9A">
              <w:rPr>
                <w:rFonts w:ascii="Times New Roman" w:eastAsia="宋体" w:hAnsi="Times New Roman" w:cs="Times New Roman"/>
                <w:kern w:val="0"/>
                <w:sz w:val="24"/>
                <w:lang w:bidi="ar"/>
              </w:rPr>
              <w:fldChar w:fldCharType="begin"/>
            </w:r>
            <w:r w:rsidRPr="007E5D9A">
              <w:rPr>
                <w:rFonts w:ascii="Times New Roman" w:eastAsia="宋体" w:hAnsi="Times New Roman" w:cs="Times New Roman"/>
                <w:kern w:val="0"/>
                <w:sz w:val="24"/>
                <w:lang w:bidi="ar"/>
              </w:rPr>
              <w:instrText xml:space="preserve"> ADDIN ZOTERO_ITEM CSL_CITATION {"citationID":"dk2HR4t3","properties":{"formattedCitation":"[27]","plainCitation":"[27]","noteIndex":0},"citationItems":[{"id":"PT63WDpC/zk2CCMlT","uris":["http://zotero.org/users/local/pKm3rcyL/items/PK49NA4M"],"itemData":{"id":8928,"type":"article-journal","abstract":"Portal hypertension (PH) is a complex clinical challenge with severe complications, including variceal bleeding, ascites, hepatic encephalopathy, and  hepatorenal syndrome. The gut microbiota (GM) and its interconnectedness with  human health have emerged as a captivating field of research. This review  explores the intricate connections between the gut and the liver, aiming to  elucidate how alterations in GM, intestinal barrier function, and gut-derived  molecules impact the development and progression of PH. A systematic literature  search, following PRISMA guidelines, identified 12 original articles that suggest  a relationship between GM, the gut-liver axis, and PH. Mechanisms such as  dysbiosis, bacterial translocation, altered microbial structure, and inflammation  appear to orchestrate this relationship. One notable study highlights the pivotal  role of the farnesoid X receptor axis in regulating the interplay between the gut  and liver and proposes it as a promising therapeutic target. Fecal  transplantation experiments further emphasize the pathogenic significance of the  GM in modulating liver maladies, including PH. Recent advancements in  metagenomics and metabolomics have expanded our understanding of the GM's role in  human ailments. The review suggests that addressing the unmet need of identifying  gut-liver axis-related metabolic and molecular pathways holds potential for  elucidating pathogenesis and directing novel therapeutic interventions.","container-title":"Nutrients","DOI":"10.3390/nu16071025","ISSN":"2072-6643","issue":"7","journalAbbreviation":"Nutrients","language":"eng","title":"Gut-Liver Axis Dysregulation in Portal Hypertension: Emerging Frontiers.","volume":"16","author":[{"family":"Lombardi","given":"Martina"},{"family":"Troisi","given":"Jacopo"},{"family":"Motta","given":"Benedetta Maria"},{"family":"Torre","given":"Pietro"},{"family":"Masarone","given":"Mario"},{"family":"Persico","given":"Marcello"}],"issued":{"date-parts":[["2024",4,1]]}}}],"schema":"https://github.com/citation-style-language/schema/raw/master/csl-citation.json"} </w:instrText>
            </w:r>
            <w:r w:rsidRPr="007E5D9A">
              <w:rPr>
                <w:rFonts w:ascii="Times New Roman" w:eastAsia="宋体" w:hAnsi="Times New Roman" w:cs="Times New Roman"/>
                <w:kern w:val="0"/>
                <w:sz w:val="24"/>
                <w:lang w:bidi="ar"/>
              </w:rPr>
              <w:fldChar w:fldCharType="separate"/>
            </w:r>
            <w:r w:rsidRPr="007E5D9A">
              <w:rPr>
                <w:rFonts w:ascii="Times New Roman" w:hAnsi="Times New Roman" w:cs="Times New Roman"/>
                <w:sz w:val="24"/>
              </w:rPr>
              <w:t>[27]</w:t>
            </w:r>
            <w:r w:rsidRPr="007E5D9A">
              <w:rPr>
                <w:rFonts w:ascii="Times New Roman" w:eastAsia="宋体" w:hAnsi="Times New Roman" w:cs="Times New Roman"/>
                <w:kern w:val="0"/>
                <w:sz w:val="24"/>
                <w:lang w:bidi="ar"/>
              </w:rPr>
              <w:fldChar w:fldCharType="end"/>
            </w:r>
          </w:p>
        </w:tc>
        <w:tc>
          <w:tcPr>
            <w:tcW w:w="0" w:type="auto"/>
            <w:tcBorders>
              <w:bottom w:val="nil"/>
              <w:right w:val="nil"/>
            </w:tcBorders>
            <w:tcMar>
              <w:top w:w="74" w:type="dxa"/>
              <w:left w:w="74" w:type="dxa"/>
              <w:bottom w:w="74" w:type="dxa"/>
              <w:right w:w="74" w:type="dxa"/>
            </w:tcMar>
          </w:tcPr>
          <w:p w14:paraId="003C6C6C" w14:textId="77777777" w:rsidR="00795585" w:rsidRPr="007E5D9A" w:rsidRDefault="00000000">
            <w:pPr>
              <w:widowControl/>
              <w:jc w:val="left"/>
              <w:textAlignment w:val="baseline"/>
              <w:rPr>
                <w:rFonts w:ascii="Times New Roman" w:hAnsi="Times New Roman" w:cs="Times New Roman"/>
              </w:rPr>
            </w:pPr>
            <w:r w:rsidRPr="007E5D9A">
              <w:rPr>
                <w:rFonts w:ascii="Times New Roman" w:eastAsia="宋体" w:hAnsi="Times New Roman" w:cs="Times New Roman"/>
                <w:kern w:val="0"/>
                <w:sz w:val="24"/>
                <w:lang w:bidi="ar"/>
              </w:rPr>
              <w:t>Activates inflammatory and oxidative stress pathways</w:t>
            </w:r>
          </w:p>
        </w:tc>
        <w:tc>
          <w:tcPr>
            <w:tcW w:w="0" w:type="auto"/>
            <w:tcBorders>
              <w:bottom w:val="nil"/>
              <w:right w:val="nil"/>
            </w:tcBorders>
            <w:tcMar>
              <w:top w:w="74" w:type="dxa"/>
              <w:left w:w="74" w:type="dxa"/>
              <w:bottom w:w="74" w:type="dxa"/>
              <w:right w:w="74" w:type="dxa"/>
            </w:tcMar>
          </w:tcPr>
          <w:p w14:paraId="7F955A01" w14:textId="77777777" w:rsidR="00795585" w:rsidRPr="007E5D9A" w:rsidRDefault="00000000">
            <w:pPr>
              <w:widowControl/>
              <w:jc w:val="left"/>
              <w:textAlignment w:val="baseline"/>
              <w:rPr>
                <w:rFonts w:ascii="Times New Roman" w:hAnsi="Times New Roman" w:cs="Times New Roman"/>
              </w:rPr>
            </w:pPr>
            <w:r w:rsidRPr="007E5D9A">
              <w:rPr>
                <w:rFonts w:ascii="Times New Roman" w:eastAsia="宋体" w:hAnsi="Times New Roman" w:cs="Times New Roman"/>
                <w:kern w:val="0"/>
                <w:sz w:val="24"/>
                <w:lang w:bidi="ar"/>
              </w:rPr>
              <w:t>Both organs: microvascular endothelial dysfunction, pathological remodeling</w:t>
            </w:r>
          </w:p>
        </w:tc>
      </w:tr>
      <w:tr w:rsidR="00795585" w:rsidRPr="007E5D9A" w14:paraId="5737712B" w14:textId="77777777">
        <w:tc>
          <w:tcPr>
            <w:tcW w:w="0" w:type="auto"/>
            <w:tcBorders>
              <w:left w:val="nil"/>
              <w:bottom w:val="nil"/>
              <w:right w:val="nil"/>
            </w:tcBorders>
            <w:tcMar>
              <w:top w:w="74" w:type="dxa"/>
              <w:left w:w="74" w:type="dxa"/>
              <w:bottom w:w="74" w:type="dxa"/>
              <w:right w:w="74" w:type="dxa"/>
            </w:tcMar>
          </w:tcPr>
          <w:p w14:paraId="0A12B869" w14:textId="77777777" w:rsidR="00795585" w:rsidRPr="007E5D9A" w:rsidRDefault="00000000">
            <w:pPr>
              <w:widowControl/>
              <w:jc w:val="left"/>
              <w:textAlignment w:val="baseline"/>
              <w:rPr>
                <w:rFonts w:ascii="Times New Roman" w:hAnsi="Times New Roman" w:cs="Times New Roman"/>
              </w:rPr>
            </w:pPr>
            <w:r w:rsidRPr="007E5D9A">
              <w:rPr>
                <w:rStyle w:val="a9"/>
                <w:rFonts w:ascii="Times New Roman" w:eastAsia="宋体" w:hAnsi="Times New Roman" w:cs="Times New Roman"/>
                <w:bCs/>
                <w:kern w:val="0"/>
                <w:sz w:val="24"/>
                <w:lang w:bidi="ar"/>
              </w:rPr>
              <w:t>Mitochondrial Dysfunction</w:t>
            </w:r>
          </w:p>
        </w:tc>
        <w:tc>
          <w:tcPr>
            <w:tcW w:w="0" w:type="auto"/>
            <w:tcBorders>
              <w:bottom w:val="nil"/>
              <w:right w:val="nil"/>
            </w:tcBorders>
            <w:tcMar>
              <w:top w:w="74" w:type="dxa"/>
              <w:left w:w="74" w:type="dxa"/>
              <w:bottom w:w="74" w:type="dxa"/>
              <w:right w:w="74" w:type="dxa"/>
            </w:tcMar>
          </w:tcPr>
          <w:p w14:paraId="574317FA" w14:textId="77777777" w:rsidR="00795585" w:rsidRPr="007E5D9A" w:rsidRDefault="00000000">
            <w:pPr>
              <w:widowControl/>
              <w:jc w:val="left"/>
              <w:textAlignment w:val="baseline"/>
              <w:rPr>
                <w:rFonts w:ascii="Times New Roman" w:hAnsi="Times New Roman" w:cs="Times New Roman"/>
              </w:rPr>
            </w:pPr>
            <w:r w:rsidRPr="007E5D9A">
              <w:rPr>
                <w:rFonts w:ascii="Times New Roman" w:eastAsia="宋体" w:hAnsi="Times New Roman" w:cs="Times New Roman"/>
                <w:kern w:val="0"/>
                <w:sz w:val="24"/>
                <w:lang w:bidi="ar"/>
              </w:rPr>
              <w:t>PINK1/Parkin pathway</w:t>
            </w:r>
            <w:r w:rsidRPr="007E5D9A">
              <w:rPr>
                <w:rFonts w:ascii="Times New Roman" w:eastAsia="宋体" w:hAnsi="Times New Roman" w:cs="Times New Roman"/>
                <w:kern w:val="0"/>
                <w:sz w:val="24"/>
                <w:lang w:bidi="ar"/>
              </w:rPr>
              <w:fldChar w:fldCharType="begin"/>
            </w:r>
            <w:r w:rsidRPr="007E5D9A">
              <w:rPr>
                <w:rFonts w:ascii="Times New Roman" w:eastAsia="宋体" w:hAnsi="Times New Roman" w:cs="Times New Roman"/>
                <w:kern w:val="0"/>
                <w:sz w:val="24"/>
                <w:lang w:bidi="ar"/>
              </w:rPr>
              <w:instrText xml:space="preserve"> ADDIN ZOTERO_ITEM CSL_CITATION {"citationID":"4TVxKr17","properties":{"formattedCitation":"[28]","plainCitation":"[28]","noteIndex":0},"citationItems":[{"id":"PT63WDpC/wOOxskGS","uris":["http://zotero.org/users/local/pKm3rcyL/items/HEIZVVJR"],"itemData":{"id":8929,"type":"article-journal","abstract":"INTRODUCTION: Carvedilol is effective in the prevention of bleeding in patients with cirrhosis and high-risk varices. Although it reduces drivers of clinical  decompensation (portal pressure, systemic inflammation, and bacterial  translocation), the data on its use for prevention of ascites-related  complications are limited. METHODS: In this open-label randomized control tria,  patients having uncomplicated new-onset ascites with no or low-risk esophageal  varices were randomized (n = 104) to receive carvedilol (group A, n = 52) or no  carvedilol (group B, n = 52) in addition to standard treatment. The composite  primary outcome was incidence of any ascites-related complications, namely,  spontaneous bacterial peritonitis, hepatorenal syndrome acute kidney injury,  refractory ascites, or severe hyponatremia at 1 year. The secondary outcomes  included need for paracentesis, change in hepatic venous pressure gradient,  Child-Turcotte-Pugh, and Model for End-Stage Liver Disease score and mortality at  1 year. RESULTS: The baseline characteristics were comparable between the groups,  with metabolic dysfunction-associated steatotic liver disease as the commonest  etiology (overall 41.3%) followed by alcohol-associated liver disease (21.2%).  Patients in group A compared with group B had lower incidence of complicated  ascites (38.5% vs 67.3%; P = 0.03), mainly related to reduced incidence of acute  kidney injury (AKI) (34.6% vs 63.4%, P = 0.003), refractory ascites, and  spontaneous bacterial peritonitis along with a significant reduction in HVPG  (14.89 ± 2.8 to 11.86 ± 1.9 mm Hg [ P &lt; 0.05]) and lesser progression in variceal  grade (21.8% vs 53.1%, P = 0.009). Patients in group A than B demonstrated better  ascites resolution (61.5% vs 31.8%, P = 0.01) and fewer large volume paracentesis  sessions (26.9% vs 57.6%; P = 0.01). At 1 year, patients in group B had higher  Child-Turcotte-Pugh scores (9.31 ± 1.43 vs 8.17 ± 1.7, P = 0.001). Use of  carvedilol was associated with lower 1 year mortality (9.1% vs 24.2%, P = 0.05).  No patient had treatment-related severe adverse events. DISCUSSION:  Administration of carvedilol in patients with cirrhosis with new-onset  uncomplicated ascites without high-risk varices is safe and prevents further  ascites-related complications, with reduced need for large volume paracentesis  and improved survival.","container-title":"The American journal of gastroenterology","DOI":"10.14309/ajg.0000000000003650","ISSN":"1572-0241 0002-9270","journalAbbreviation":"Am J Gastroenterol","language":"eng","title":"Efficacy and Safety of Carvedilol in Cirrhosis Patients With New-Onset Uncomplicated Ascites Without High-Risk Esophageal Varices (CARVE-AS Trial).","author":[{"family":"Khajuria","given":"Rahul"},{"family":"Jindal","given":"Ankur"},{"family":"Sharma","given":"Manoj Kumar"},{"family":"Arora","given":"Vinod"},{"family":"Vyas","given":"Ashish Kumar"},{"family":"Kumar","given":"Guresh"},{"family":"Sarin","given":"Shiv Kumar"}],"issued":{"date-parts":[["2025",7,21]]}}}],"schema":"https://github.com/citation-style-language/schema/raw/master/csl-citation.json"} </w:instrText>
            </w:r>
            <w:r w:rsidRPr="007E5D9A">
              <w:rPr>
                <w:rFonts w:ascii="Times New Roman" w:eastAsia="宋体" w:hAnsi="Times New Roman" w:cs="Times New Roman"/>
                <w:kern w:val="0"/>
                <w:sz w:val="24"/>
                <w:lang w:bidi="ar"/>
              </w:rPr>
              <w:fldChar w:fldCharType="separate"/>
            </w:r>
            <w:r w:rsidRPr="007E5D9A">
              <w:rPr>
                <w:rFonts w:ascii="Times New Roman" w:hAnsi="Times New Roman" w:cs="Times New Roman"/>
                <w:sz w:val="24"/>
              </w:rPr>
              <w:t>[28]</w:t>
            </w:r>
            <w:r w:rsidRPr="007E5D9A">
              <w:rPr>
                <w:rFonts w:ascii="Times New Roman" w:eastAsia="宋体" w:hAnsi="Times New Roman" w:cs="Times New Roman"/>
                <w:kern w:val="0"/>
                <w:sz w:val="24"/>
                <w:lang w:bidi="ar"/>
              </w:rPr>
              <w:fldChar w:fldCharType="end"/>
            </w:r>
          </w:p>
        </w:tc>
        <w:tc>
          <w:tcPr>
            <w:tcW w:w="0" w:type="auto"/>
            <w:tcBorders>
              <w:bottom w:val="nil"/>
              <w:right w:val="nil"/>
            </w:tcBorders>
            <w:tcMar>
              <w:top w:w="74" w:type="dxa"/>
              <w:left w:w="74" w:type="dxa"/>
              <w:bottom w:w="74" w:type="dxa"/>
              <w:right w:w="74" w:type="dxa"/>
            </w:tcMar>
          </w:tcPr>
          <w:p w14:paraId="2DFA94A8" w14:textId="77777777" w:rsidR="00795585" w:rsidRPr="007E5D9A" w:rsidRDefault="00000000">
            <w:pPr>
              <w:widowControl/>
              <w:jc w:val="left"/>
              <w:textAlignment w:val="baseline"/>
              <w:rPr>
                <w:rFonts w:ascii="Times New Roman" w:hAnsi="Times New Roman" w:cs="Times New Roman"/>
              </w:rPr>
            </w:pPr>
            <w:r w:rsidRPr="007E5D9A">
              <w:rPr>
                <w:rFonts w:ascii="Times New Roman" w:eastAsia="宋体" w:hAnsi="Times New Roman" w:cs="Times New Roman"/>
                <w:kern w:val="0"/>
                <w:sz w:val="24"/>
                <w:lang w:bidi="ar"/>
              </w:rPr>
              <w:t xml:space="preserve">Impaired mitophagy → </w:t>
            </w:r>
            <w:r w:rsidRPr="007E5D9A">
              <w:rPr>
                <w:rFonts w:ascii="Times New Roman" w:eastAsia="宋体" w:hAnsi="Times New Roman" w:cs="Times New Roman"/>
                <w:kern w:val="0"/>
                <w:sz w:val="24"/>
                <w:lang w:bidi="ar"/>
              </w:rPr>
              <w:lastRenderedPageBreak/>
              <w:t>accumulation of dysfunctional mitochondria</w:t>
            </w:r>
          </w:p>
        </w:tc>
        <w:tc>
          <w:tcPr>
            <w:tcW w:w="0" w:type="auto"/>
            <w:tcBorders>
              <w:bottom w:val="nil"/>
              <w:right w:val="nil"/>
            </w:tcBorders>
            <w:tcMar>
              <w:top w:w="74" w:type="dxa"/>
              <w:left w:w="74" w:type="dxa"/>
              <w:bottom w:w="74" w:type="dxa"/>
              <w:right w:w="74" w:type="dxa"/>
            </w:tcMar>
          </w:tcPr>
          <w:p w14:paraId="44E1AD56" w14:textId="77777777" w:rsidR="00795585" w:rsidRPr="007E5D9A" w:rsidRDefault="00000000">
            <w:pPr>
              <w:widowControl/>
              <w:jc w:val="left"/>
              <w:textAlignment w:val="baseline"/>
              <w:rPr>
                <w:rFonts w:ascii="Times New Roman" w:hAnsi="Times New Roman" w:cs="Times New Roman"/>
              </w:rPr>
            </w:pPr>
            <w:r w:rsidRPr="007E5D9A">
              <w:rPr>
                <w:rFonts w:ascii="Times New Roman" w:eastAsia="宋体" w:hAnsi="Times New Roman" w:cs="Times New Roman"/>
                <w:kern w:val="0"/>
                <w:sz w:val="24"/>
                <w:lang w:bidi="ar"/>
              </w:rPr>
              <w:lastRenderedPageBreak/>
              <w:t xml:space="preserve">Both organs: reduced ATP </w:t>
            </w:r>
            <w:r w:rsidRPr="007E5D9A">
              <w:rPr>
                <w:rFonts w:ascii="Times New Roman" w:eastAsia="宋体" w:hAnsi="Times New Roman" w:cs="Times New Roman"/>
                <w:kern w:val="0"/>
                <w:sz w:val="24"/>
                <w:lang w:bidi="ar"/>
              </w:rPr>
              <w:lastRenderedPageBreak/>
              <w:t>generation, excessive ROS production, apoptosis</w:t>
            </w:r>
          </w:p>
        </w:tc>
      </w:tr>
      <w:tr w:rsidR="00795585" w:rsidRPr="007E5D9A" w14:paraId="1780FE4E" w14:textId="77777777">
        <w:tc>
          <w:tcPr>
            <w:tcW w:w="0" w:type="auto"/>
            <w:tcBorders>
              <w:left w:val="nil"/>
              <w:bottom w:val="nil"/>
              <w:right w:val="nil"/>
            </w:tcBorders>
            <w:tcMar>
              <w:top w:w="74" w:type="dxa"/>
              <w:left w:w="74" w:type="dxa"/>
              <w:bottom w:w="74" w:type="dxa"/>
              <w:right w:w="74" w:type="dxa"/>
            </w:tcMar>
          </w:tcPr>
          <w:p w14:paraId="48FF2C20" w14:textId="77777777" w:rsidR="00795585" w:rsidRPr="007E5D9A" w:rsidRDefault="00000000">
            <w:pPr>
              <w:widowControl/>
              <w:jc w:val="left"/>
              <w:textAlignment w:val="baseline"/>
              <w:rPr>
                <w:rFonts w:ascii="Times New Roman" w:hAnsi="Times New Roman" w:cs="Times New Roman"/>
              </w:rPr>
            </w:pPr>
            <w:r w:rsidRPr="007E5D9A">
              <w:rPr>
                <w:rStyle w:val="a9"/>
                <w:rFonts w:ascii="Times New Roman" w:eastAsia="宋体" w:hAnsi="Times New Roman" w:cs="Times New Roman"/>
                <w:bCs/>
                <w:kern w:val="0"/>
                <w:sz w:val="24"/>
                <w:lang w:bidi="ar"/>
              </w:rPr>
              <w:lastRenderedPageBreak/>
              <w:t>Energy Sensing</w:t>
            </w:r>
          </w:p>
        </w:tc>
        <w:tc>
          <w:tcPr>
            <w:tcW w:w="0" w:type="auto"/>
            <w:tcBorders>
              <w:bottom w:val="nil"/>
              <w:right w:val="nil"/>
            </w:tcBorders>
            <w:tcMar>
              <w:top w:w="74" w:type="dxa"/>
              <w:left w:w="74" w:type="dxa"/>
              <w:bottom w:w="74" w:type="dxa"/>
              <w:right w:w="74" w:type="dxa"/>
            </w:tcMar>
          </w:tcPr>
          <w:p w14:paraId="546E4D98" w14:textId="77777777" w:rsidR="00795585" w:rsidRPr="007E5D9A" w:rsidRDefault="00000000">
            <w:pPr>
              <w:widowControl/>
              <w:jc w:val="left"/>
              <w:textAlignment w:val="baseline"/>
              <w:rPr>
                <w:rFonts w:ascii="Times New Roman" w:hAnsi="Times New Roman" w:cs="Times New Roman"/>
              </w:rPr>
            </w:pPr>
            <w:r w:rsidRPr="007E5D9A">
              <w:rPr>
                <w:rFonts w:ascii="Times New Roman" w:eastAsia="宋体" w:hAnsi="Times New Roman" w:cs="Times New Roman"/>
                <w:kern w:val="0"/>
                <w:sz w:val="24"/>
                <w:lang w:bidi="ar"/>
              </w:rPr>
              <w:t>AMPK/Sirtuins</w:t>
            </w:r>
            <w:r w:rsidRPr="007E5D9A">
              <w:rPr>
                <w:rFonts w:ascii="Times New Roman" w:eastAsia="宋体" w:hAnsi="Times New Roman" w:cs="Times New Roman"/>
                <w:kern w:val="0"/>
                <w:sz w:val="24"/>
                <w:lang w:bidi="ar"/>
              </w:rPr>
              <w:fldChar w:fldCharType="begin"/>
            </w:r>
            <w:r w:rsidRPr="007E5D9A">
              <w:rPr>
                <w:rFonts w:ascii="Times New Roman" w:eastAsia="宋体" w:hAnsi="Times New Roman" w:cs="Times New Roman"/>
                <w:kern w:val="0"/>
                <w:sz w:val="24"/>
                <w:lang w:bidi="ar"/>
              </w:rPr>
              <w:instrText xml:space="preserve"> ADDIN ZOTERO_ITEM CSL_CITATION {"citationID":"tuupA1yH","properties":{"formattedCitation":"[29]","plainCitation":"[29]","noteIndex":0},"citationItems":[{"id":"PT63WDpC/MQsIeTNw","uris":["http://zotero.org/users/local/pKm3rcyL/items/C3YHH62Z"],"itemData":{"id":8914,"type":"article-journal","container-title":"Trends in Cardiovascular Medicine","title":"Metabolic Dysfunction-Associated Steatotic Liver Disease and the Cardiovascular System","author":[{"family":"Manolis","given":"Antonis A."},{"family":"Manolis","given":"Theodora A."},{"family":"Vouliotis","given":"Apostolos"},{"family":"Manolis","given":"Antonis S."}],"issued":{"date-parts":[["2025"]]}}}],"schema":"https://github.com/citation-style-language/schema/raw/master/csl-citation.json"} </w:instrText>
            </w:r>
            <w:r w:rsidRPr="007E5D9A">
              <w:rPr>
                <w:rFonts w:ascii="Times New Roman" w:eastAsia="宋体" w:hAnsi="Times New Roman" w:cs="Times New Roman"/>
                <w:kern w:val="0"/>
                <w:sz w:val="24"/>
                <w:lang w:bidi="ar"/>
              </w:rPr>
              <w:fldChar w:fldCharType="separate"/>
            </w:r>
            <w:r w:rsidRPr="007E5D9A">
              <w:rPr>
                <w:rFonts w:ascii="Times New Roman" w:hAnsi="Times New Roman" w:cs="Times New Roman"/>
                <w:sz w:val="24"/>
              </w:rPr>
              <w:t>[29]</w:t>
            </w:r>
            <w:r w:rsidRPr="007E5D9A">
              <w:rPr>
                <w:rFonts w:ascii="Times New Roman" w:eastAsia="宋体" w:hAnsi="Times New Roman" w:cs="Times New Roman"/>
                <w:kern w:val="0"/>
                <w:sz w:val="24"/>
                <w:lang w:bidi="ar"/>
              </w:rPr>
              <w:fldChar w:fldCharType="end"/>
            </w:r>
          </w:p>
        </w:tc>
        <w:tc>
          <w:tcPr>
            <w:tcW w:w="0" w:type="auto"/>
            <w:tcBorders>
              <w:bottom w:val="nil"/>
              <w:right w:val="nil"/>
            </w:tcBorders>
            <w:tcMar>
              <w:top w:w="74" w:type="dxa"/>
              <w:left w:w="74" w:type="dxa"/>
              <w:bottom w:w="74" w:type="dxa"/>
              <w:right w:w="74" w:type="dxa"/>
            </w:tcMar>
          </w:tcPr>
          <w:p w14:paraId="1349DA28" w14:textId="77777777" w:rsidR="00795585" w:rsidRPr="007E5D9A" w:rsidRDefault="00000000">
            <w:pPr>
              <w:widowControl/>
              <w:jc w:val="left"/>
              <w:textAlignment w:val="baseline"/>
              <w:rPr>
                <w:rFonts w:ascii="Times New Roman" w:hAnsi="Times New Roman" w:cs="Times New Roman"/>
              </w:rPr>
            </w:pPr>
            <w:r w:rsidRPr="007E5D9A">
              <w:rPr>
                <w:rFonts w:ascii="Times New Roman" w:eastAsia="宋体" w:hAnsi="Times New Roman" w:cs="Times New Roman"/>
                <w:kern w:val="0"/>
                <w:sz w:val="24"/>
                <w:lang w:bidi="ar"/>
              </w:rPr>
              <w:t>Regulates cellular energy metabolism and mitochondrial function</w:t>
            </w:r>
          </w:p>
        </w:tc>
        <w:tc>
          <w:tcPr>
            <w:tcW w:w="0" w:type="auto"/>
            <w:tcBorders>
              <w:bottom w:val="nil"/>
              <w:right w:val="nil"/>
            </w:tcBorders>
            <w:tcMar>
              <w:top w:w="74" w:type="dxa"/>
              <w:left w:w="74" w:type="dxa"/>
              <w:bottom w:w="74" w:type="dxa"/>
              <w:right w:w="74" w:type="dxa"/>
            </w:tcMar>
          </w:tcPr>
          <w:p w14:paraId="24816DFC" w14:textId="77777777" w:rsidR="00795585" w:rsidRPr="007E5D9A" w:rsidRDefault="00000000">
            <w:pPr>
              <w:widowControl/>
              <w:jc w:val="left"/>
              <w:textAlignment w:val="baseline"/>
              <w:rPr>
                <w:rFonts w:ascii="Times New Roman" w:hAnsi="Times New Roman" w:cs="Times New Roman"/>
              </w:rPr>
            </w:pPr>
            <w:r w:rsidRPr="007E5D9A">
              <w:rPr>
                <w:rFonts w:ascii="Times New Roman" w:eastAsia="宋体" w:hAnsi="Times New Roman" w:cs="Times New Roman"/>
                <w:kern w:val="0"/>
                <w:sz w:val="24"/>
                <w:lang w:bidi="ar"/>
              </w:rPr>
              <w:t>Both organs: metabolic insufficiency, energy crisis</w:t>
            </w:r>
          </w:p>
        </w:tc>
      </w:tr>
      <w:tr w:rsidR="00795585" w:rsidRPr="007E5D9A" w14:paraId="284B6DEF" w14:textId="77777777">
        <w:tc>
          <w:tcPr>
            <w:tcW w:w="0" w:type="auto"/>
            <w:tcBorders>
              <w:left w:val="nil"/>
              <w:right w:val="nil"/>
            </w:tcBorders>
            <w:tcMar>
              <w:top w:w="74" w:type="dxa"/>
              <w:left w:w="74" w:type="dxa"/>
              <w:bottom w:w="74" w:type="dxa"/>
              <w:right w:w="74" w:type="dxa"/>
            </w:tcMar>
          </w:tcPr>
          <w:p w14:paraId="6A27B7F0" w14:textId="77777777" w:rsidR="00795585" w:rsidRPr="007E5D9A" w:rsidRDefault="00000000">
            <w:pPr>
              <w:widowControl/>
              <w:jc w:val="left"/>
              <w:textAlignment w:val="baseline"/>
              <w:rPr>
                <w:rFonts w:ascii="Times New Roman" w:hAnsi="Times New Roman" w:cs="Times New Roman"/>
              </w:rPr>
            </w:pPr>
            <w:r w:rsidRPr="007E5D9A">
              <w:rPr>
                <w:rStyle w:val="a9"/>
                <w:rFonts w:ascii="Times New Roman" w:eastAsia="宋体" w:hAnsi="Times New Roman" w:cs="Times New Roman"/>
                <w:bCs/>
                <w:kern w:val="0"/>
                <w:sz w:val="24"/>
                <w:lang w:bidi="ar"/>
              </w:rPr>
              <w:t>Mineral Metabolism</w:t>
            </w:r>
          </w:p>
        </w:tc>
        <w:tc>
          <w:tcPr>
            <w:tcW w:w="0" w:type="auto"/>
            <w:tcBorders>
              <w:right w:val="nil"/>
            </w:tcBorders>
            <w:tcMar>
              <w:top w:w="74" w:type="dxa"/>
              <w:left w:w="74" w:type="dxa"/>
              <w:bottom w:w="74" w:type="dxa"/>
              <w:right w:w="74" w:type="dxa"/>
            </w:tcMar>
          </w:tcPr>
          <w:p w14:paraId="1ACF084A" w14:textId="77777777" w:rsidR="00795585" w:rsidRPr="007E5D9A" w:rsidRDefault="00000000">
            <w:pPr>
              <w:widowControl/>
              <w:jc w:val="left"/>
              <w:textAlignment w:val="baseline"/>
              <w:rPr>
                <w:rFonts w:ascii="Times New Roman" w:hAnsi="Times New Roman" w:cs="Times New Roman"/>
              </w:rPr>
            </w:pPr>
            <w:r w:rsidRPr="007E5D9A">
              <w:rPr>
                <w:rFonts w:ascii="Times New Roman" w:eastAsia="宋体" w:hAnsi="Times New Roman" w:cs="Times New Roman"/>
                <w:kern w:val="0"/>
                <w:sz w:val="24"/>
                <w:lang w:bidi="ar"/>
              </w:rPr>
              <w:t>FGF23/Klotho axis</w:t>
            </w:r>
            <w:r w:rsidRPr="007E5D9A">
              <w:rPr>
                <w:rFonts w:ascii="Times New Roman" w:eastAsia="宋体" w:hAnsi="Times New Roman" w:cs="Times New Roman"/>
                <w:kern w:val="0"/>
                <w:sz w:val="24"/>
                <w:lang w:bidi="ar"/>
              </w:rPr>
              <w:fldChar w:fldCharType="begin"/>
            </w:r>
            <w:r w:rsidRPr="007E5D9A">
              <w:rPr>
                <w:rFonts w:ascii="Times New Roman" w:eastAsia="宋体" w:hAnsi="Times New Roman" w:cs="Times New Roman"/>
                <w:kern w:val="0"/>
                <w:sz w:val="24"/>
                <w:lang w:bidi="ar"/>
              </w:rPr>
              <w:instrText xml:space="preserve"> ADDIN ZOTERO_ITEM CSL_CITATION {"citationID":"xrjm8eFj","properties":{"formattedCitation":"[29]","plainCitation":"[29]","noteIndex":0},"citationItems":[{"id":"PT63WDpC/MQsIeTNw","uris":["http://zotero.org/users/local/pKm3rcyL/items/C3YHH62Z"],"itemData":{"id":8914,"type":"article-journal","container-title":"Trends in Cardiovascular Medicine","title":"Metabolic Dysfunction-Associated Steatotic Liver Disease and the Cardiovascular System","author":[{"family":"Manolis","given":"Antonis A."},{"family":"Manolis","given":"Theodora A."},{"family":"Vouliotis","given":"Apostolos"},{"family":"Manolis","given":"Antonis S."}],"issued":{"date-parts":[["2025"]]}}}],"schema":"https://github.com/citation-style-language/schema/raw/master/csl-citation.json"} </w:instrText>
            </w:r>
            <w:r w:rsidRPr="007E5D9A">
              <w:rPr>
                <w:rFonts w:ascii="Times New Roman" w:eastAsia="宋体" w:hAnsi="Times New Roman" w:cs="Times New Roman"/>
                <w:kern w:val="0"/>
                <w:sz w:val="24"/>
                <w:lang w:bidi="ar"/>
              </w:rPr>
              <w:fldChar w:fldCharType="separate"/>
            </w:r>
            <w:r w:rsidRPr="007E5D9A">
              <w:rPr>
                <w:rFonts w:ascii="Times New Roman" w:hAnsi="Times New Roman" w:cs="Times New Roman"/>
                <w:sz w:val="24"/>
              </w:rPr>
              <w:t>[29]</w:t>
            </w:r>
            <w:r w:rsidRPr="007E5D9A">
              <w:rPr>
                <w:rFonts w:ascii="Times New Roman" w:eastAsia="宋体" w:hAnsi="Times New Roman" w:cs="Times New Roman"/>
                <w:kern w:val="0"/>
                <w:sz w:val="24"/>
                <w:lang w:bidi="ar"/>
              </w:rPr>
              <w:fldChar w:fldCharType="end"/>
            </w:r>
          </w:p>
        </w:tc>
        <w:tc>
          <w:tcPr>
            <w:tcW w:w="0" w:type="auto"/>
            <w:tcBorders>
              <w:right w:val="nil"/>
            </w:tcBorders>
            <w:tcMar>
              <w:top w:w="74" w:type="dxa"/>
              <w:left w:w="74" w:type="dxa"/>
              <w:bottom w:w="74" w:type="dxa"/>
              <w:right w:w="74" w:type="dxa"/>
            </w:tcMar>
          </w:tcPr>
          <w:p w14:paraId="0321BDAE" w14:textId="77777777" w:rsidR="00795585" w:rsidRPr="007E5D9A" w:rsidRDefault="00000000">
            <w:pPr>
              <w:widowControl/>
              <w:jc w:val="left"/>
              <w:textAlignment w:val="baseline"/>
              <w:rPr>
                <w:rFonts w:ascii="Times New Roman" w:hAnsi="Times New Roman" w:cs="Times New Roman"/>
              </w:rPr>
            </w:pPr>
            <w:r w:rsidRPr="007E5D9A">
              <w:rPr>
                <w:rFonts w:ascii="Times New Roman" w:eastAsia="宋体" w:hAnsi="Times New Roman" w:cs="Times New Roman"/>
                <w:kern w:val="0"/>
                <w:sz w:val="24"/>
                <w:lang w:bidi="ar"/>
              </w:rPr>
              <w:t>Regulates phosphate and vitamin D metabolism</w:t>
            </w:r>
          </w:p>
        </w:tc>
        <w:tc>
          <w:tcPr>
            <w:tcW w:w="0" w:type="auto"/>
            <w:tcBorders>
              <w:right w:val="nil"/>
            </w:tcBorders>
            <w:tcMar>
              <w:top w:w="74" w:type="dxa"/>
              <w:left w:w="74" w:type="dxa"/>
              <w:bottom w:w="74" w:type="dxa"/>
              <w:right w:w="74" w:type="dxa"/>
            </w:tcMar>
          </w:tcPr>
          <w:p w14:paraId="5678E7D3" w14:textId="77777777" w:rsidR="00795585" w:rsidRPr="007E5D9A" w:rsidRDefault="00000000">
            <w:pPr>
              <w:widowControl/>
              <w:jc w:val="left"/>
              <w:textAlignment w:val="baseline"/>
              <w:rPr>
                <w:rFonts w:ascii="Times New Roman" w:hAnsi="Times New Roman" w:cs="Times New Roman"/>
              </w:rPr>
            </w:pPr>
            <w:r w:rsidRPr="007E5D9A">
              <w:rPr>
                <w:rFonts w:ascii="Times New Roman" w:eastAsia="宋体" w:hAnsi="Times New Roman" w:cs="Times New Roman"/>
                <w:kern w:val="0"/>
                <w:sz w:val="24"/>
                <w:lang w:bidi="ar"/>
              </w:rPr>
              <w:t>Heart: myocardial hypertrophy, vascular calcification; Kidney: mineral metabolism disorders</w:t>
            </w:r>
          </w:p>
        </w:tc>
      </w:tr>
      <w:tr w:rsidR="00795585" w:rsidRPr="007E5D9A" w14:paraId="179E101D" w14:textId="77777777">
        <w:tc>
          <w:tcPr>
            <w:tcW w:w="0" w:type="auto"/>
            <w:tcBorders>
              <w:left w:val="nil"/>
              <w:bottom w:val="single" w:sz="4" w:space="0" w:color="auto"/>
              <w:right w:val="nil"/>
            </w:tcBorders>
            <w:tcMar>
              <w:top w:w="74" w:type="dxa"/>
              <w:left w:w="74" w:type="dxa"/>
              <w:bottom w:w="74" w:type="dxa"/>
              <w:right w:w="74" w:type="dxa"/>
            </w:tcMar>
          </w:tcPr>
          <w:p w14:paraId="07F36062" w14:textId="77777777" w:rsidR="00795585" w:rsidRPr="007E5D9A" w:rsidRDefault="00000000">
            <w:pPr>
              <w:widowControl/>
              <w:jc w:val="left"/>
              <w:textAlignment w:val="baseline"/>
              <w:rPr>
                <w:rFonts w:ascii="Times New Roman" w:hAnsi="Times New Roman" w:cs="Times New Roman"/>
              </w:rPr>
            </w:pPr>
            <w:r w:rsidRPr="007E5D9A">
              <w:rPr>
                <w:rStyle w:val="a9"/>
                <w:rFonts w:ascii="Times New Roman" w:eastAsia="宋体" w:hAnsi="Times New Roman" w:cs="Times New Roman"/>
                <w:bCs/>
                <w:kern w:val="0"/>
                <w:sz w:val="24"/>
                <w:lang w:bidi="ar"/>
              </w:rPr>
              <w:t>Oxidative Stress</w:t>
            </w:r>
          </w:p>
        </w:tc>
        <w:tc>
          <w:tcPr>
            <w:tcW w:w="0" w:type="auto"/>
            <w:tcBorders>
              <w:bottom w:val="single" w:sz="4" w:space="0" w:color="auto"/>
              <w:right w:val="nil"/>
            </w:tcBorders>
            <w:tcMar>
              <w:top w:w="74" w:type="dxa"/>
              <w:left w:w="74" w:type="dxa"/>
              <w:bottom w:w="74" w:type="dxa"/>
              <w:right w:w="74" w:type="dxa"/>
            </w:tcMar>
          </w:tcPr>
          <w:p w14:paraId="32E9AB66" w14:textId="77777777" w:rsidR="00795585" w:rsidRPr="007E5D9A" w:rsidRDefault="00000000">
            <w:pPr>
              <w:widowControl/>
              <w:jc w:val="left"/>
              <w:textAlignment w:val="baseline"/>
              <w:rPr>
                <w:rFonts w:ascii="Times New Roman" w:hAnsi="Times New Roman" w:cs="Times New Roman"/>
              </w:rPr>
            </w:pPr>
            <w:r w:rsidRPr="007E5D9A">
              <w:rPr>
                <w:rFonts w:ascii="Times New Roman" w:eastAsia="宋体" w:hAnsi="Times New Roman" w:cs="Times New Roman"/>
                <w:kern w:val="0"/>
                <w:sz w:val="24"/>
                <w:lang w:bidi="ar"/>
              </w:rPr>
              <w:t>NADPH oxidase/ROS</w:t>
            </w:r>
            <w:r w:rsidRPr="007E5D9A">
              <w:rPr>
                <w:rFonts w:ascii="Times New Roman" w:eastAsia="宋体" w:hAnsi="Times New Roman" w:cs="Times New Roman"/>
                <w:kern w:val="0"/>
                <w:sz w:val="24"/>
                <w:lang w:bidi="ar"/>
              </w:rPr>
              <w:fldChar w:fldCharType="begin"/>
            </w:r>
            <w:r w:rsidRPr="007E5D9A">
              <w:rPr>
                <w:rFonts w:ascii="Times New Roman" w:eastAsia="宋体" w:hAnsi="Times New Roman" w:cs="Times New Roman"/>
                <w:kern w:val="0"/>
                <w:sz w:val="24"/>
                <w:lang w:bidi="ar"/>
              </w:rPr>
              <w:instrText xml:space="preserve"> ADDIN ZOTERO_ITEM CSL_CITATION {"citationID":"0A1gmUnB","properties":{"formattedCitation":"[18,28]","plainCitation":"[18,28]","noteIndex":0},"citationItems":[{"id":"PT63WDpC/UJJTDOVl","uris":["http://zotero.org/users/local/pKm3rcyL/items/U6TALEY6"],"itemData":{"id":9064,"type":"article-journal","abstract":"BACKGROUND: Cardiovascular-kidney-metabolic (CKM) syndrome is a recently proposed condition encompassing metabolic dysfunction, chronic kidney disease, and cardiovascular diseases including coronary artery disease (CAD). Although concomitant metabolic dysfunction-associated steatotic liver disease (MASLD) exacerbates CKM syndrome, MASLD is not included in the original stratification (stages 0-3) for predicting cardiovascular disease (stage 4).\nMETHODS: We investigated whether the addition of MASLD in the original health stage of CKM syndrome improves the risk stratification of CAD in Japanese participants who underwent annual health checkups. A total of 18 358 participants were categorized by the original health stages (stages 0-3) or modified health stages incorporating MASLD without chronic kidney disease in stage 2 and MASLD with chronic kidney disease in stage 3 to analyze the predictive ability for CAD during a 10-year period.\nRESULTS: Kaplan-Meier survival curve analysis showed that the modified classification more effectively stratified the risk of CAD than did the original CKM health stage. In Cox hazard proportional analyses after adjustment of confounders, hazard ratios in the original and modified stages 2/3 were 1.63 (95% CI, 1.27-2.11; P&lt;0.001), 2.41 (95% CI, 0.34-17.4; P=0.381), 1.58 (95% CI, 1.23-2.05; P&lt;0.001), and 2.56 (95% CI, 1.66-3.95; P&lt;0.001), respectively. Risk discrimination significantly improved in the modified classification evaluated by integrated discrimination improvement. Furthermore, machine learning-mediated feature importance analyses using random forest and extreme gradient boosting identified MASLD as a key predictor of CAD with a high value of the Shapley Additive Explanations, indicating strong contribution in models.\nCONCLUSIONS: The modified health stage classification of CKM syndrome incorporating MASLD improves the accuracy of predicting new onset of CAD in a Japanese general population.","container-title":"Journal of the American Heart Association","DOI":"10.1161/JAHA.125.043173","ISSN":"2047-9980","issue":"16","journalAbbreviation":"J Am Heart Assoc","language":"eng","page":"e043173","source":"PubMed","title":"Incorporation of Metabolic Dysfunction-Associated Steatotic Liver Disease in the Health Stage of Cardiovascular-Kidney-Metabolic Syndrome Improves Predictive Ability for Coronary Artery Disease in a Japanese General Population","volume":"14","author":[{"family":"Kawaharata","given":"Wataru"},{"family":"Tanaka","given":"Marenao"},{"family":"Sato","given":"Tatsuya"},{"family":"Akiyama","given":"Yukinori"},{"family":"Hosaka","given":"Itaru"},{"family":"Aida","given":"Hiroki"},{"family":"Matsumori","given":"Rie"},{"family":"Nakata","given":"Kei"},{"family":"Nishizawa","given":"Keitaro"},{"family":"Suzuki","given":"Toru"},{"family":"Kouzu","given":"Hidemichi"},{"family":"Hanawa","given":"Nagisa"},{"family":"Furuhashi","given":"Masato"}],"issued":{"date-parts":[["2025",8,19]]}},"label":"page"},{"id":"PT63WDpC/wOOxskGS","uris":["http://zotero.org/users/local/pKm3rcyL/items/HEIZVVJR"],"itemData":{"id":8929,"type":"article-journal","abstract":"INTRODUCTION: Carvedilol is effective in the prevention of bleeding in patients with cirrhosis and high-risk varices. Although it reduces drivers of clinical  decompensation (portal pressure, systemic inflammation, and bacterial  translocation), the data on its use for prevention of ascites-related  complications are limited. METHODS: In this open-label randomized control tria,  patients having uncomplicated new-onset ascites with no or low-risk esophageal  varices were randomized (n = 104) to receive carvedilol (group A, n = 52) or no  carvedilol (group B, n = 52) in addition to standard treatment. The composite  primary outcome was incidence of any ascites-related complications, namely,  spontaneous bacterial peritonitis, hepatorenal syndrome acute kidney injury,  refractory ascites, or severe hyponatremia at 1 year. The secondary outcomes  included need for paracentesis, change in hepatic venous pressure gradient,  Child-Turcotte-Pugh, and Model for End-Stage Liver Disease score and mortality at  1 year. RESULTS: The baseline characteristics were comparable between the groups,  with metabolic dysfunction-associated steatotic liver disease as the commonest  etiology (overall 41.3%) followed by alcohol-associated liver disease (21.2%).  Patients in group A compared with group B had lower incidence of complicated  ascites (38.5% vs 67.3%; P = 0.03), mainly related to reduced incidence of acute  kidney injury (AKI) (34.6% vs 63.4%, P = 0.003), refractory ascites, and  spontaneous bacterial peritonitis along with a significant reduction in HVPG  (14.89 ± 2.8 to 11.86 ± 1.9 mm Hg [ P &lt; 0.05]) and lesser progression in variceal  grade (21.8% vs 53.1%, P = 0.009). Patients in group A than B demonstrated better  ascites resolution (61.5% vs 31.8%, P = 0.01) and fewer large volume paracentesis  sessions (26.9% vs 57.6%; P = 0.01). At 1 year, patients in group B had higher  Child-Turcotte-Pugh scores (9.31 ± 1.43 vs 8.17 ± 1.7, P = 0.001). Use of  carvedilol was associated with lower 1 year mortality (9.1% vs 24.2%, P = 0.05).  No patient had treatment-related severe adverse events. DISCUSSION:  Administration of carvedilol in patients with cirrhosis with new-onset  uncomplicated ascites without high-risk varices is safe and prevents further  ascites-related complications, with reduced need for large volume paracentesis  and improved survival.","container-title":"The American journal of gastroenterology","DOI":"10.14309/ajg.0000000000003650","ISSN":"1572-0241 0002-9270","journalAbbreviation":"Am J Gastroenterol","language":"eng","title":"Efficacy and Safety of Carvedilol in Cirrhosis Patients With New-Onset Uncomplicated Ascites Without High-Risk Esophageal Varices (CARVE-AS Trial).","author":[{"family":"Khajuria","given":"Rahul"},{"family":"Jindal","given":"Ankur"},{"family":"Sharma","given":"Manoj Kumar"},{"family":"Arora","given":"Vinod"},{"family":"Vyas","given":"Ashish Kumar"},{"family":"Kumar","given":"Guresh"},{"family":"Sarin","given":"Shiv Kumar"}],"issued":{"date-parts":[["2025",7,21]]}},"label":"page"}],"schema":"https://github.com/citation-style-language/schema/raw/master/csl-citation.json"} </w:instrText>
            </w:r>
            <w:r w:rsidRPr="007E5D9A">
              <w:rPr>
                <w:rFonts w:ascii="Times New Roman" w:eastAsia="宋体" w:hAnsi="Times New Roman" w:cs="Times New Roman"/>
                <w:kern w:val="0"/>
                <w:sz w:val="24"/>
                <w:lang w:bidi="ar"/>
              </w:rPr>
              <w:fldChar w:fldCharType="separate"/>
            </w:r>
            <w:r w:rsidRPr="007E5D9A">
              <w:rPr>
                <w:rFonts w:ascii="Times New Roman" w:hAnsi="Times New Roman" w:cs="Times New Roman"/>
                <w:sz w:val="24"/>
              </w:rPr>
              <w:t>[18,28]</w:t>
            </w:r>
            <w:r w:rsidRPr="007E5D9A">
              <w:rPr>
                <w:rFonts w:ascii="Times New Roman" w:eastAsia="宋体" w:hAnsi="Times New Roman" w:cs="Times New Roman"/>
                <w:kern w:val="0"/>
                <w:sz w:val="24"/>
                <w:lang w:bidi="ar"/>
              </w:rPr>
              <w:fldChar w:fldCharType="end"/>
            </w:r>
          </w:p>
        </w:tc>
        <w:tc>
          <w:tcPr>
            <w:tcW w:w="0" w:type="auto"/>
            <w:tcBorders>
              <w:bottom w:val="single" w:sz="4" w:space="0" w:color="auto"/>
              <w:right w:val="nil"/>
            </w:tcBorders>
            <w:tcMar>
              <w:top w:w="74" w:type="dxa"/>
              <w:left w:w="74" w:type="dxa"/>
              <w:bottom w:w="74" w:type="dxa"/>
              <w:right w:w="74" w:type="dxa"/>
            </w:tcMar>
          </w:tcPr>
          <w:p w14:paraId="4B5E9314" w14:textId="77777777" w:rsidR="00795585" w:rsidRPr="007E5D9A" w:rsidRDefault="00000000">
            <w:pPr>
              <w:widowControl/>
              <w:jc w:val="left"/>
              <w:textAlignment w:val="baseline"/>
              <w:rPr>
                <w:rFonts w:ascii="Times New Roman" w:hAnsi="Times New Roman" w:cs="Times New Roman"/>
              </w:rPr>
            </w:pPr>
            <w:r w:rsidRPr="007E5D9A">
              <w:rPr>
                <w:rFonts w:ascii="Times New Roman" w:eastAsia="宋体" w:hAnsi="Times New Roman" w:cs="Times New Roman"/>
                <w:kern w:val="0"/>
                <w:sz w:val="24"/>
                <w:lang w:bidi="ar"/>
              </w:rPr>
              <w:t>Oxidative damage to proteins/lipids/DNA</w:t>
            </w:r>
          </w:p>
        </w:tc>
        <w:tc>
          <w:tcPr>
            <w:tcW w:w="0" w:type="auto"/>
            <w:tcBorders>
              <w:bottom w:val="single" w:sz="4" w:space="0" w:color="auto"/>
              <w:right w:val="nil"/>
            </w:tcBorders>
            <w:tcMar>
              <w:top w:w="74" w:type="dxa"/>
              <w:left w:w="74" w:type="dxa"/>
              <w:bottom w:w="74" w:type="dxa"/>
              <w:right w:w="74" w:type="dxa"/>
            </w:tcMar>
          </w:tcPr>
          <w:p w14:paraId="35CC4049" w14:textId="77777777" w:rsidR="00795585" w:rsidRPr="007E5D9A" w:rsidRDefault="00000000">
            <w:pPr>
              <w:widowControl/>
              <w:jc w:val="left"/>
              <w:textAlignment w:val="baseline"/>
              <w:rPr>
                <w:rFonts w:ascii="Times New Roman" w:hAnsi="Times New Roman" w:cs="Times New Roman"/>
              </w:rPr>
            </w:pPr>
            <w:r w:rsidRPr="007E5D9A">
              <w:rPr>
                <w:rFonts w:ascii="Times New Roman" w:eastAsia="宋体" w:hAnsi="Times New Roman" w:cs="Times New Roman"/>
                <w:kern w:val="0"/>
                <w:sz w:val="24"/>
                <w:lang w:bidi="ar"/>
              </w:rPr>
              <w:t>Both organs: cellular injury, endothelial dysfunction, apoptotic activation</w:t>
            </w:r>
          </w:p>
        </w:tc>
      </w:tr>
    </w:tbl>
    <w:p w14:paraId="09011B14" w14:textId="77777777" w:rsidR="00795585" w:rsidRPr="007E5D9A" w:rsidRDefault="00795585">
      <w:pPr>
        <w:widowControl/>
        <w:shd w:val="clear" w:color="auto" w:fill="FFFFFF"/>
        <w:spacing w:after="119"/>
        <w:rPr>
          <w:rFonts w:ascii="Times New Roman" w:eastAsia="Noto Sans" w:hAnsi="Times New Roman" w:cs="Times New Roman"/>
        </w:rPr>
      </w:pPr>
    </w:p>
    <w:p w14:paraId="5EEE8FE4" w14:textId="77777777" w:rsidR="00795585" w:rsidRPr="007E5D9A" w:rsidRDefault="00000000">
      <w:pPr>
        <w:spacing w:line="360" w:lineRule="auto"/>
        <w:rPr>
          <w:rFonts w:ascii="Times New Roman" w:hAnsi="Times New Roman" w:cs="Times New Roman"/>
          <w:b/>
          <w:bCs/>
          <w:color w:val="000000"/>
          <w:sz w:val="28"/>
          <w:szCs w:val="28"/>
        </w:rPr>
      </w:pPr>
      <w:r w:rsidRPr="007E5D9A">
        <w:rPr>
          <w:rFonts w:ascii="Times New Roman" w:hAnsi="Times New Roman" w:cs="Times New Roman"/>
          <w:b/>
          <w:bCs/>
          <w:color w:val="000000"/>
          <w:sz w:val="28"/>
          <w:szCs w:val="28"/>
        </w:rPr>
        <w:t>Table S4. Population-Specific Considerations for Fibrosis Thresholds in the MMCK Framework</w:t>
      </w:r>
    </w:p>
    <w:tbl>
      <w:tblPr>
        <w:tblW w:w="8086" w:type="dxa"/>
        <w:tblCellMar>
          <w:top w:w="15" w:type="dxa"/>
          <w:left w:w="15" w:type="dxa"/>
          <w:bottom w:w="15" w:type="dxa"/>
          <w:right w:w="15" w:type="dxa"/>
        </w:tblCellMar>
        <w:tblLook w:val="04A0" w:firstRow="1" w:lastRow="0" w:firstColumn="1" w:lastColumn="0" w:noHBand="0" w:noVBand="1"/>
      </w:tblPr>
      <w:tblGrid>
        <w:gridCol w:w="1171"/>
        <w:gridCol w:w="3272"/>
        <w:gridCol w:w="3643"/>
      </w:tblGrid>
      <w:tr w:rsidR="00795585" w:rsidRPr="007E5D9A" w14:paraId="7E8B0DFC" w14:textId="77777777">
        <w:trPr>
          <w:tblHeader/>
        </w:trPr>
        <w:tc>
          <w:tcPr>
            <w:tcW w:w="0" w:type="auto"/>
            <w:tcBorders>
              <w:top w:val="single" w:sz="4" w:space="0" w:color="auto"/>
              <w:bottom w:val="single" w:sz="4" w:space="0" w:color="auto"/>
            </w:tcBorders>
            <w:tcMar>
              <w:top w:w="74" w:type="dxa"/>
              <w:left w:w="0" w:type="dxa"/>
              <w:bottom w:w="74" w:type="dxa"/>
              <w:right w:w="119" w:type="dxa"/>
            </w:tcMar>
            <w:vAlign w:val="center"/>
          </w:tcPr>
          <w:p w14:paraId="5C9D243B" w14:textId="77777777" w:rsidR="00795585" w:rsidRPr="007E5D9A" w:rsidRDefault="00000000">
            <w:pPr>
              <w:rPr>
                <w:rFonts w:ascii="Times New Roman" w:hAnsi="Times New Roman" w:cs="Times New Roman"/>
                <w:sz w:val="24"/>
              </w:rPr>
            </w:pPr>
            <w:r w:rsidRPr="007E5D9A">
              <w:rPr>
                <w:rFonts w:ascii="Times New Roman" w:hAnsi="Times New Roman" w:cs="Times New Roman"/>
                <w:sz w:val="24"/>
              </w:rPr>
              <w:t>Population</w:t>
            </w:r>
          </w:p>
        </w:tc>
        <w:tc>
          <w:tcPr>
            <w:tcW w:w="3272" w:type="dxa"/>
            <w:tcBorders>
              <w:top w:val="single" w:sz="4" w:space="0" w:color="auto"/>
              <w:bottom w:val="single" w:sz="4" w:space="0" w:color="auto"/>
            </w:tcBorders>
            <w:tcMar>
              <w:top w:w="74" w:type="dxa"/>
              <w:left w:w="119" w:type="dxa"/>
              <w:bottom w:w="74" w:type="dxa"/>
              <w:right w:w="119" w:type="dxa"/>
            </w:tcMar>
            <w:vAlign w:val="center"/>
          </w:tcPr>
          <w:p w14:paraId="292E08BD" w14:textId="77777777" w:rsidR="00795585" w:rsidRPr="007E5D9A" w:rsidRDefault="00000000">
            <w:pPr>
              <w:rPr>
                <w:rFonts w:ascii="Times New Roman" w:hAnsi="Times New Roman" w:cs="Times New Roman"/>
                <w:sz w:val="24"/>
              </w:rPr>
            </w:pPr>
            <w:r w:rsidRPr="007E5D9A">
              <w:rPr>
                <w:rFonts w:ascii="Times New Roman" w:hAnsi="Times New Roman" w:cs="Times New Roman"/>
                <w:sz w:val="24"/>
              </w:rPr>
              <w:t>Recommended Threshold Adjustment / Consideration</w:t>
            </w:r>
          </w:p>
        </w:tc>
        <w:tc>
          <w:tcPr>
            <w:tcW w:w="3643" w:type="dxa"/>
            <w:tcBorders>
              <w:top w:val="single" w:sz="4" w:space="0" w:color="auto"/>
              <w:bottom w:val="single" w:sz="4" w:space="0" w:color="auto"/>
            </w:tcBorders>
            <w:tcMar>
              <w:top w:w="74" w:type="dxa"/>
              <w:left w:w="119" w:type="dxa"/>
              <w:bottom w:w="74" w:type="dxa"/>
              <w:right w:w="119" w:type="dxa"/>
            </w:tcMar>
            <w:vAlign w:val="center"/>
          </w:tcPr>
          <w:p w14:paraId="54B32B15" w14:textId="77777777" w:rsidR="00795585" w:rsidRPr="007E5D9A" w:rsidRDefault="00000000">
            <w:pPr>
              <w:rPr>
                <w:rFonts w:ascii="Times New Roman" w:hAnsi="Times New Roman" w:cs="Times New Roman"/>
                <w:sz w:val="24"/>
              </w:rPr>
            </w:pPr>
            <w:r w:rsidRPr="007E5D9A">
              <w:rPr>
                <w:rFonts w:ascii="Times New Roman" w:hAnsi="Times New Roman" w:cs="Times New Roman"/>
                <w:sz w:val="24"/>
              </w:rPr>
              <w:t>Key Rationale / Reference</w:t>
            </w:r>
          </w:p>
        </w:tc>
      </w:tr>
      <w:tr w:rsidR="00795585" w:rsidRPr="007E5D9A" w14:paraId="786024A2" w14:textId="77777777">
        <w:tc>
          <w:tcPr>
            <w:tcW w:w="0" w:type="auto"/>
            <w:tcBorders>
              <w:top w:val="single" w:sz="4" w:space="0" w:color="auto"/>
            </w:tcBorders>
            <w:tcMar>
              <w:top w:w="74" w:type="dxa"/>
              <w:left w:w="0" w:type="dxa"/>
              <w:bottom w:w="74" w:type="dxa"/>
              <w:right w:w="119" w:type="dxa"/>
            </w:tcMar>
            <w:vAlign w:val="center"/>
          </w:tcPr>
          <w:p w14:paraId="73AA9473" w14:textId="77777777" w:rsidR="00795585" w:rsidRPr="007E5D9A" w:rsidRDefault="00000000">
            <w:pPr>
              <w:rPr>
                <w:rFonts w:ascii="Times New Roman" w:hAnsi="Times New Roman" w:cs="Times New Roman"/>
                <w:szCs w:val="21"/>
              </w:rPr>
            </w:pPr>
            <w:r w:rsidRPr="007E5D9A">
              <w:rPr>
                <w:rFonts w:ascii="Times New Roman" w:hAnsi="Times New Roman" w:cs="Times New Roman"/>
                <w:szCs w:val="21"/>
              </w:rPr>
              <w:t>Age ≥65 years</w:t>
            </w:r>
          </w:p>
        </w:tc>
        <w:tc>
          <w:tcPr>
            <w:tcW w:w="3272" w:type="dxa"/>
            <w:tcBorders>
              <w:top w:val="single" w:sz="4" w:space="0" w:color="auto"/>
            </w:tcBorders>
            <w:tcMar>
              <w:top w:w="74" w:type="dxa"/>
              <w:left w:w="119" w:type="dxa"/>
              <w:bottom w:w="74" w:type="dxa"/>
              <w:right w:w="119" w:type="dxa"/>
            </w:tcMar>
            <w:vAlign w:val="center"/>
          </w:tcPr>
          <w:p w14:paraId="7036B22F" w14:textId="77777777" w:rsidR="00795585" w:rsidRPr="007E5D9A" w:rsidRDefault="00000000">
            <w:pPr>
              <w:rPr>
                <w:rFonts w:ascii="Times New Roman" w:hAnsi="Times New Roman" w:cs="Times New Roman"/>
                <w:szCs w:val="21"/>
              </w:rPr>
            </w:pPr>
            <w:r w:rsidRPr="007E5D9A">
              <w:rPr>
                <w:rFonts w:ascii="Times New Roman" w:hAnsi="Times New Roman" w:cs="Times New Roman"/>
                <w:szCs w:val="21"/>
              </w:rPr>
              <w:t>FIB-4 low-risk cutoff: &lt;2.0 (instead of &lt;1.3)</w:t>
            </w:r>
          </w:p>
        </w:tc>
        <w:tc>
          <w:tcPr>
            <w:tcW w:w="3643" w:type="dxa"/>
            <w:tcBorders>
              <w:top w:val="single" w:sz="4" w:space="0" w:color="auto"/>
            </w:tcBorders>
            <w:tcMar>
              <w:top w:w="74" w:type="dxa"/>
              <w:left w:w="119" w:type="dxa"/>
              <w:bottom w:w="74" w:type="dxa"/>
              <w:right w:w="0" w:type="dxa"/>
            </w:tcMar>
            <w:vAlign w:val="center"/>
          </w:tcPr>
          <w:p w14:paraId="354F80BB" w14:textId="77777777" w:rsidR="00795585" w:rsidRPr="007E5D9A" w:rsidRDefault="00000000">
            <w:pPr>
              <w:rPr>
                <w:rFonts w:ascii="Times New Roman" w:hAnsi="Times New Roman" w:cs="Times New Roman"/>
                <w:szCs w:val="21"/>
              </w:rPr>
            </w:pPr>
            <w:r w:rsidRPr="007E5D9A">
              <w:rPr>
                <w:rFonts w:ascii="Times New Roman" w:hAnsi="Times New Roman" w:cs="Times New Roman"/>
                <w:szCs w:val="21"/>
              </w:rPr>
              <w:t>Age-related rise in FIB-4 reduces specificity; adjusted cutoff maintains NPV &gt;95%</w:t>
            </w:r>
            <w:r w:rsidRPr="007E5D9A">
              <w:rPr>
                <w:rFonts w:ascii="Times New Roman" w:hAnsi="Times New Roman" w:cs="Times New Roman"/>
                <w:szCs w:val="21"/>
              </w:rPr>
              <w:fldChar w:fldCharType="begin"/>
            </w:r>
            <w:r w:rsidRPr="007E5D9A">
              <w:rPr>
                <w:rFonts w:ascii="Times New Roman" w:hAnsi="Times New Roman" w:cs="Times New Roman"/>
                <w:szCs w:val="21"/>
              </w:rPr>
              <w:instrText xml:space="preserve"> ADDIN ZOTERO_ITEM CSL_CITATION {"citationID":"OIonYUGL","properties":{"formattedCitation":"[30]","plainCitation":"[30]","noteIndex":0},"citationItems":[{"id":"PT63WDpC/SNHVK90M","uris":["http://zotero.org/users/local/pKm3rcyL/items/PHCQAKUI"],"itemData":{"id":9414,"type":"article-journal","container-title":"American Journal of Gastroenterology","DOI":"10.1038/ajg.2016.453","ISSN":"0002-9270","issue":"5","language":"en","page":"740-751","source":"DOI.org (Crossref)","title":"Age as a Confounding Factor for the Accurate Non-Invasive Diagnosis of Advanced NAFLD Fibrosis","volume":"112","author":[{"family":"McPherson","given":"Stuart"},{"family":"Hardy","given":"Tim"},{"family":"Dufour","given":"Jean-Francois"},{"family":"Petta","given":"Salvatore"},{"family":"Romero-Gomez","given":"Manuel"},{"family":"Allison","given":"Mike"},{"family":"Oliveira","given":"Claudia P"},{"family":"Francque","given":"Sven"},{"family":"Van Gaal","given":"Luc"},{"family":"Schattenberg","given":"Jörn M"},{"family":"Tiniakos","given":"Dina"},{"family":"Burt","given":"Alastair"},{"family":"Bugianesi","given":"Elisabetta"},{"family":"Ratziu","given":"Vlad"},{"family":"Day","given":"Christopher P"},{"family":"Anstee","given":"Quentin M"}],"issued":{"date-parts":[["2017",5]]}}}],"schema":"https://github.com/citation-style-language/schema/raw/master/csl-citation.json"} </w:instrText>
            </w:r>
            <w:r w:rsidRPr="007E5D9A">
              <w:rPr>
                <w:rFonts w:ascii="Times New Roman" w:hAnsi="Times New Roman" w:cs="Times New Roman"/>
                <w:szCs w:val="21"/>
              </w:rPr>
              <w:fldChar w:fldCharType="separate"/>
            </w:r>
            <w:r w:rsidRPr="007E5D9A">
              <w:rPr>
                <w:rFonts w:ascii="Times New Roman" w:hAnsi="Times New Roman" w:cs="Times New Roman"/>
              </w:rPr>
              <w:t>[30]</w:t>
            </w:r>
            <w:r w:rsidRPr="007E5D9A">
              <w:rPr>
                <w:rFonts w:ascii="Times New Roman" w:hAnsi="Times New Roman" w:cs="Times New Roman"/>
                <w:szCs w:val="21"/>
              </w:rPr>
              <w:fldChar w:fldCharType="end"/>
            </w:r>
          </w:p>
        </w:tc>
      </w:tr>
      <w:tr w:rsidR="00795585" w:rsidRPr="007E5D9A" w14:paraId="624D8D54" w14:textId="77777777">
        <w:tc>
          <w:tcPr>
            <w:tcW w:w="0" w:type="auto"/>
            <w:tcMar>
              <w:top w:w="74" w:type="dxa"/>
              <w:left w:w="0" w:type="dxa"/>
              <w:bottom w:w="74" w:type="dxa"/>
              <w:right w:w="119" w:type="dxa"/>
            </w:tcMar>
            <w:vAlign w:val="center"/>
          </w:tcPr>
          <w:p w14:paraId="04C8D28D" w14:textId="77777777" w:rsidR="00795585" w:rsidRPr="007E5D9A" w:rsidRDefault="00000000">
            <w:pPr>
              <w:rPr>
                <w:rFonts w:ascii="Times New Roman" w:hAnsi="Times New Roman" w:cs="Times New Roman"/>
                <w:szCs w:val="21"/>
              </w:rPr>
            </w:pPr>
            <w:r w:rsidRPr="007E5D9A">
              <w:rPr>
                <w:rFonts w:ascii="Times New Roman" w:hAnsi="Times New Roman" w:cs="Times New Roman"/>
                <w:szCs w:val="21"/>
              </w:rPr>
              <w:t>Diabetes mellitus (T2DM)</w:t>
            </w:r>
          </w:p>
        </w:tc>
        <w:tc>
          <w:tcPr>
            <w:tcW w:w="3272" w:type="dxa"/>
            <w:tcMar>
              <w:top w:w="74" w:type="dxa"/>
              <w:left w:w="119" w:type="dxa"/>
              <w:bottom w:w="74" w:type="dxa"/>
              <w:right w:w="119" w:type="dxa"/>
            </w:tcMar>
            <w:vAlign w:val="center"/>
          </w:tcPr>
          <w:p w14:paraId="5C295FE5" w14:textId="77777777" w:rsidR="00795585" w:rsidRPr="007E5D9A" w:rsidRDefault="00000000">
            <w:pPr>
              <w:rPr>
                <w:rFonts w:ascii="Times New Roman" w:hAnsi="Times New Roman" w:cs="Times New Roman"/>
                <w:szCs w:val="21"/>
              </w:rPr>
            </w:pPr>
            <w:r w:rsidRPr="007E5D9A">
              <w:rPr>
                <w:rFonts w:ascii="Times New Roman" w:hAnsi="Times New Roman" w:cs="Times New Roman"/>
                <w:szCs w:val="21"/>
              </w:rPr>
              <w:t>Standard VCTE thresholds (8/12 kPa) apply, but interpret with caution; some cohorts suggest a lower high-risk threshold (≥10 kPa) for screening</w:t>
            </w:r>
          </w:p>
        </w:tc>
        <w:tc>
          <w:tcPr>
            <w:tcW w:w="3643" w:type="dxa"/>
            <w:tcMar>
              <w:top w:w="74" w:type="dxa"/>
              <w:left w:w="119" w:type="dxa"/>
              <w:bottom w:w="74" w:type="dxa"/>
              <w:right w:w="0" w:type="dxa"/>
            </w:tcMar>
            <w:vAlign w:val="center"/>
          </w:tcPr>
          <w:p w14:paraId="6C3806CA" w14:textId="77777777" w:rsidR="00795585" w:rsidRPr="007E5D9A" w:rsidRDefault="00000000">
            <w:pPr>
              <w:rPr>
                <w:rFonts w:ascii="Times New Roman" w:hAnsi="Times New Roman" w:cs="Times New Roman"/>
                <w:szCs w:val="21"/>
              </w:rPr>
            </w:pPr>
            <w:r w:rsidRPr="007E5D9A">
              <w:rPr>
                <w:rFonts w:ascii="Times New Roman" w:hAnsi="Times New Roman" w:cs="Times New Roman"/>
                <w:szCs w:val="21"/>
              </w:rPr>
              <w:t>Diabetes may increase LSM independent of fibrosis; evidence for lower threshold is promising but not yet guideline</w:t>
            </w:r>
            <w:r w:rsidRPr="007E5D9A">
              <w:rPr>
                <w:rFonts w:ascii="Times New Roman" w:hAnsi="Times New Roman" w:cs="Times New Roman"/>
                <w:szCs w:val="21"/>
              </w:rPr>
              <w:noBreakHyphen/>
              <w:t>endorsed</w:t>
            </w:r>
            <w:r w:rsidRPr="007E5D9A">
              <w:rPr>
                <w:rFonts w:ascii="Times New Roman" w:hAnsi="Times New Roman" w:cs="Times New Roman"/>
                <w:szCs w:val="21"/>
              </w:rPr>
              <w:fldChar w:fldCharType="begin"/>
            </w:r>
            <w:r w:rsidRPr="007E5D9A">
              <w:rPr>
                <w:rFonts w:ascii="Times New Roman" w:hAnsi="Times New Roman" w:cs="Times New Roman"/>
                <w:szCs w:val="21"/>
              </w:rPr>
              <w:instrText xml:space="preserve"> ADDIN ZOTERO_ITEM CSL_CITATION {"citationID":"VhKhR45W","properties":{"formattedCitation":"[31]","plainCitation":"[31]","noteIndex":0},"citationItems":[{"id":"PT63WDpC/5Xx26oJj","uris":["http://zotero.org/users/local/pKm3rcyL/items/LK39VURG"],"itemData":{"id":9436,"type":"article-journal","abstract":"Background and Aims:\n              We evaluated the diagnostic accuracy of simple, noninvasive tests (NITs) in NAFLD patients with type 2 diabetes (T2D).\n            \n            \n              Methods and Results:\n              \n                This was an individual patient data meta-analysis of 1780 patients with biopsy-proven NAFLD and T2D. The index tests of interest were FIB-4, NAFLD Fibrosis Score (NFS), aspartate aminotransferase-to-platelet ratio index, liver stiffness measurement (LSM) by vibration-controlled transient elastography, and AGILE 3+. The target conditions were advanced fibrosis, NASH, and fibrotic NASH(NASH plus F2-F4 fibrosis). The diagnostic performance of noninvasive tests. individually or in sequential combination, was assessed by area under the receiver operating characteristic curve and by decision curve analysis. Comparison with 2278 NAFLD patients without T2D was also made. In NAFLD with T2D LSM and AGILE 3+ outperformed, both NFS and FIB-4 for advanced fibrosis (area under the receiver operating characteristic curve:LSM 0.82, AGILE 3+ 0.82, NFS 0.72, FIB-4 0.75, aspartate aminotransferase-to-platelet ratio index 0.68;\n                p\n                &lt; 0.001 of LSM-based versus simple serum tests), with an uncertainty area of 12%–20%. The combination of serum-based with LSM-based tests for advanced fibrosis led to a reduction of 40%–60% in necessary LSM tests. Decision curve analysis showed that all scores had a modest net benefit for ruling out advanced fibrosis at the risk threshold of 5%–10% of missing advanced fibrosis. LSM and AGILE 3+ outperformed both NFS and FIB-4 for fibrotic NASH (area under the receiver operating characteristic curve:LSM 0.79, AGILE 3+ 0.77, NFS 0.71, FIB-4 0.71;\n                p\n                &lt; 0.001 of LSM-based versus simple serum tests). All noninvasive scores were suboptimal for diagnosing NASH.\n              \n            \n            \n              Conclusions:\n              LSM and AGILE 3+ individually or in low availability settings in sequential combination after FIB-4 or NFS have a similar good diagnostic accuracy for advanced fibrosis and an acceptable diagnostic accuracy for fibrotic NASH in NAFLD patients with T2D.","container-title":"Hepatology","DOI":"10.1097/HEP.0000000000000351","ISSN":"0270-9139","issue":"1","language":"en","page":"195-211","source":"DOI.org (Crossref)","title":"Noninvasive assessment of liver disease severity in patients with nonalcoholic fatty liver disease (NAFLD) and type 2 diabetes","volume":"78","author":[{"family":"Pennisi","given":"Grazia"},{"family":"Enea","given":"Marco"},{"family":"Falco","given":"Vincenzo"},{"family":"Aithal","given":"Guruprasad P."},{"family":"Palaniyappan","given":"Naaventhan"},{"family":"Yilmaz","given":"Yusuf"},{"family":"Boursier","given":"Jerome"},{"family":"Cassinotto","given":"Christophe"},{"family":"De Lédinghen","given":"Victor"},{"family":"Chan","given":"Wah Kheong"},{"family":"Mahadeva","given":"Sanjiv"},{"family":"Eddowes","given":"Peter"},{"family":"Newsome","given":"Philip"},{"family":"Karlas","given":"Thomas"},{"family":"Wiegand","given":"Johannes"},{"family":"Wong","given":"Vincent Wai-Sun"},{"family":"Schattenberg","given":"Jörn M."},{"family":"Labenz","given":"Christian"},{"family":"Kim","given":"Won"},{"family":"Lee","given":"Myoung Seok"},{"family":"Lupsor-Platon","given":"Monica"},{"family":"Cobbold","given":"Jeremy F. L."},{"family":"Fan","given":"Jian-Gao"},{"family":"Shen","given":"Feng"},{"family":"Staufer","given":"Katharina"},{"family":"Trauner","given":"Michael"},{"family":"Stauber","given":"Rudolf"},{"family":"Nakajima","given":"Atsushi"},{"family":"Yoneda","given":"Masato"},{"family":"Bugianesi","given":"Elisabetta"},{"family":"Younes","given":"Ramy"},{"family":"Gaia","given":"Silvia"},{"family":"Zheng","given":"Ming-Hua"},{"family":"Cammà","given":"Calogero"},{"family":"Anstee","given":"Quentin M."},{"family":"Mózes","given":"Ferenc E."},{"family":"Pavlides","given":"Michael"},{"family":"Petta","given":"Salvatore"}],"issued":{"date-parts":[["2023",7]]}}}],"schema":"https://github.com/citation-style-language/schema/raw/master/csl-citation.json"} </w:instrText>
            </w:r>
            <w:r w:rsidRPr="007E5D9A">
              <w:rPr>
                <w:rFonts w:ascii="Times New Roman" w:hAnsi="Times New Roman" w:cs="Times New Roman"/>
                <w:szCs w:val="21"/>
              </w:rPr>
              <w:fldChar w:fldCharType="separate"/>
            </w:r>
            <w:r w:rsidRPr="007E5D9A">
              <w:rPr>
                <w:rFonts w:ascii="Times New Roman" w:hAnsi="Times New Roman" w:cs="Times New Roman"/>
              </w:rPr>
              <w:t>[31]</w:t>
            </w:r>
            <w:r w:rsidRPr="007E5D9A">
              <w:rPr>
                <w:rFonts w:ascii="Times New Roman" w:hAnsi="Times New Roman" w:cs="Times New Roman"/>
                <w:szCs w:val="21"/>
              </w:rPr>
              <w:fldChar w:fldCharType="end"/>
            </w:r>
          </w:p>
        </w:tc>
      </w:tr>
      <w:tr w:rsidR="00795585" w:rsidRPr="007E5D9A" w14:paraId="1887F87F" w14:textId="77777777">
        <w:tc>
          <w:tcPr>
            <w:tcW w:w="0" w:type="auto"/>
            <w:tcMar>
              <w:top w:w="74" w:type="dxa"/>
              <w:left w:w="0" w:type="dxa"/>
              <w:bottom w:w="74" w:type="dxa"/>
              <w:right w:w="119" w:type="dxa"/>
            </w:tcMar>
            <w:vAlign w:val="center"/>
          </w:tcPr>
          <w:p w14:paraId="40A3B99D" w14:textId="77777777" w:rsidR="00795585" w:rsidRPr="007E5D9A" w:rsidRDefault="00000000">
            <w:pPr>
              <w:rPr>
                <w:rFonts w:ascii="Times New Roman" w:hAnsi="Times New Roman" w:cs="Times New Roman"/>
                <w:szCs w:val="21"/>
              </w:rPr>
            </w:pPr>
            <w:r w:rsidRPr="007E5D9A">
              <w:rPr>
                <w:rFonts w:ascii="Times New Roman" w:hAnsi="Times New Roman" w:cs="Times New Roman"/>
                <w:szCs w:val="21"/>
              </w:rPr>
              <w:t xml:space="preserve">Obesity </w:t>
            </w:r>
            <w:r w:rsidRPr="007E5D9A">
              <w:rPr>
                <w:rFonts w:ascii="Times New Roman" w:hAnsi="Times New Roman" w:cs="Times New Roman"/>
                <w:szCs w:val="21"/>
              </w:rPr>
              <w:lastRenderedPageBreak/>
              <w:t>(BMI &gt;35 kg/m²)</w:t>
            </w:r>
          </w:p>
        </w:tc>
        <w:tc>
          <w:tcPr>
            <w:tcW w:w="3272" w:type="dxa"/>
            <w:tcMar>
              <w:top w:w="74" w:type="dxa"/>
              <w:left w:w="119" w:type="dxa"/>
              <w:bottom w:w="74" w:type="dxa"/>
              <w:right w:w="119" w:type="dxa"/>
            </w:tcMar>
            <w:vAlign w:val="center"/>
          </w:tcPr>
          <w:p w14:paraId="27E3801E" w14:textId="77777777" w:rsidR="00795585" w:rsidRPr="007E5D9A" w:rsidRDefault="00000000">
            <w:pPr>
              <w:rPr>
                <w:rFonts w:ascii="Times New Roman" w:hAnsi="Times New Roman" w:cs="Times New Roman"/>
                <w:szCs w:val="21"/>
              </w:rPr>
            </w:pPr>
            <w:r w:rsidRPr="007E5D9A">
              <w:rPr>
                <w:rFonts w:ascii="Times New Roman" w:hAnsi="Times New Roman" w:cs="Times New Roman"/>
                <w:szCs w:val="21"/>
              </w:rPr>
              <w:lastRenderedPageBreak/>
              <w:t xml:space="preserve">VCTE requires XL probe; </w:t>
            </w:r>
            <w:r w:rsidRPr="007E5D9A">
              <w:rPr>
                <w:rFonts w:ascii="Times New Roman" w:hAnsi="Times New Roman" w:cs="Times New Roman"/>
                <w:szCs w:val="21"/>
              </w:rPr>
              <w:lastRenderedPageBreak/>
              <w:t>thresholds are comparable to M probe when using the correct probe</w:t>
            </w:r>
          </w:p>
        </w:tc>
        <w:tc>
          <w:tcPr>
            <w:tcW w:w="3643" w:type="dxa"/>
            <w:tcMar>
              <w:top w:w="74" w:type="dxa"/>
              <w:left w:w="119" w:type="dxa"/>
              <w:bottom w:w="74" w:type="dxa"/>
              <w:right w:w="0" w:type="dxa"/>
            </w:tcMar>
            <w:vAlign w:val="center"/>
          </w:tcPr>
          <w:p w14:paraId="1C57C741" w14:textId="77777777" w:rsidR="00795585" w:rsidRPr="007E5D9A" w:rsidRDefault="00000000">
            <w:pPr>
              <w:rPr>
                <w:rFonts w:ascii="Times New Roman" w:hAnsi="Times New Roman" w:cs="Times New Roman"/>
                <w:szCs w:val="21"/>
              </w:rPr>
            </w:pPr>
            <w:r w:rsidRPr="007E5D9A">
              <w:rPr>
                <w:rFonts w:ascii="Times New Roman" w:hAnsi="Times New Roman" w:cs="Times New Roman"/>
                <w:szCs w:val="21"/>
              </w:rPr>
              <w:lastRenderedPageBreak/>
              <w:t xml:space="preserve">M probe underestimates LSM in severe </w:t>
            </w:r>
            <w:r w:rsidRPr="007E5D9A">
              <w:rPr>
                <w:rFonts w:ascii="Times New Roman" w:hAnsi="Times New Roman" w:cs="Times New Roman"/>
                <w:szCs w:val="21"/>
              </w:rPr>
              <w:lastRenderedPageBreak/>
              <w:t>obesity; XL probe provides equivalent diagnostic performance</w:t>
            </w:r>
            <w:r w:rsidRPr="007E5D9A">
              <w:rPr>
                <w:rFonts w:ascii="Times New Roman" w:hAnsi="Times New Roman" w:cs="Times New Roman"/>
                <w:szCs w:val="21"/>
              </w:rPr>
              <w:fldChar w:fldCharType="begin"/>
            </w:r>
            <w:r w:rsidRPr="007E5D9A">
              <w:rPr>
                <w:rFonts w:ascii="Times New Roman" w:hAnsi="Times New Roman" w:cs="Times New Roman"/>
                <w:szCs w:val="21"/>
              </w:rPr>
              <w:instrText xml:space="preserve"> ADDIN ZOTERO_ITEM CSL_CITATION {"citationID":"YNImg8SZ","properties":{"formattedCitation":"[32]","plainCitation":"[32]","noteIndex":0},"citationItems":[{"id":"PT63WDpC/2OkwmngY","uris":["http://zotero.org/users/local/pKm3rcyL/items/ABKGTUED"],"itemData":{"id":9419,"type":"article-journal","abstract":"Objective\n              The latest model of vibration-controlled transient elastography (VCTE) automatically selects M or XL probe according to patients’ body built. We aim to test the application of a unified interpretation of VCTE results with probes appropriate for the body mass index (BMI) and hypothesise that this approach is not affected by hepatic steatosis.\n            \n            \n              Design\n              We prospectively recruited 496 patients with non-alcoholic fatty liver disease who underwent VCTE by both M and XL probes within 1 week before liver biopsy.\n            \n            \n              Results\n              \n                391 (78.8%) and 433 (87.3%) patients had reliable liver stiffness measurement (LSM) (10 successful acquisitions and IQR:median ratio ≤0.30) by M and XL probes, respectively (p&lt;0.001). The area under the receiver operating characteristic curves was similar between the two probes (0.75–0.88 for F2–4, 0.83–0.91 for F4). When used in the same patient, LSM by XL probe was lower than that by M probe (mean difference 2.3 kPa). In contrast, patients with BMI ≥30 kg/m\n                2\n                had higher LSM regardless of the probe used. When M and XL probes were used in patients with BMI &lt;30 and ≥30 kg/m\n                2\n                , respectively, they yielded nearly identical median LSM at each fibrosis stage and similar diagnostic performance. Severe steatosis did not increase LSM or the rate of false-positive diagnosis by XL probe.\n              \n            \n            \n              Conclusion\n              High BMI but not severe steatosis increases LSM. The same LSM cut-offs can be used without further adjustment for steatosis when M and XL probes are used according to the appropriate BMI.","container-title":"Gut","DOI":"10.1136/gutjnl-2018-317334","ISSN":"0017-5749, 1468-3288","issue":"11","journalAbbreviation":"Gut","language":"en","page":"2057-2064","source":"DOI.org (Crossref)","title":"Unified interpretation of liver stiffness measurement by M and XL probes in non-alcoholic fatty liver disease","volume":"68","author":[{"family":"Wong","given":"Vincent Wai-Sun"},{"family":"Irles","given":"Marie"},{"family":"Wong","given":"Grace Lai-Hung"},{"family":"Shili","given":"Sarah"},{"family":"Chan","given":"Anthony Wing-Hung"},{"family":"Merrouche","given":"Wassil"},{"family":"Shu","given":"Sally She-Ting"},{"family":"Foucher","given":"Juliette"},{"family":"Le Bail","given":"Brigitte"},{"family":"Chan","given":"Wah Kheong"},{"family":"Chan","given":"Henry Lik-Yuen"},{"family":"De Ledinghen","given":"Victor"}],"issued":{"date-parts":[["2019",11]]}}}],"schema":"https://github.com/citation-style-language/schema/raw/master/csl-citation.json"} </w:instrText>
            </w:r>
            <w:r w:rsidRPr="007E5D9A">
              <w:rPr>
                <w:rFonts w:ascii="Times New Roman" w:hAnsi="Times New Roman" w:cs="Times New Roman"/>
                <w:szCs w:val="21"/>
              </w:rPr>
              <w:fldChar w:fldCharType="separate"/>
            </w:r>
            <w:r w:rsidRPr="007E5D9A">
              <w:rPr>
                <w:rFonts w:ascii="Times New Roman" w:hAnsi="Times New Roman" w:cs="Times New Roman"/>
              </w:rPr>
              <w:t>[32]</w:t>
            </w:r>
            <w:r w:rsidRPr="007E5D9A">
              <w:rPr>
                <w:rFonts w:ascii="Times New Roman" w:hAnsi="Times New Roman" w:cs="Times New Roman"/>
                <w:szCs w:val="21"/>
              </w:rPr>
              <w:fldChar w:fldCharType="end"/>
            </w:r>
          </w:p>
        </w:tc>
      </w:tr>
      <w:tr w:rsidR="00795585" w:rsidRPr="007E5D9A" w14:paraId="45EAEE8B" w14:textId="77777777">
        <w:tc>
          <w:tcPr>
            <w:tcW w:w="0" w:type="auto"/>
            <w:tcMar>
              <w:top w:w="74" w:type="dxa"/>
              <w:left w:w="0" w:type="dxa"/>
              <w:bottom w:w="74" w:type="dxa"/>
              <w:right w:w="119" w:type="dxa"/>
            </w:tcMar>
            <w:vAlign w:val="center"/>
          </w:tcPr>
          <w:p w14:paraId="6677DD39" w14:textId="77777777" w:rsidR="00795585" w:rsidRPr="007E5D9A" w:rsidRDefault="00000000">
            <w:pPr>
              <w:rPr>
                <w:rFonts w:ascii="Times New Roman" w:hAnsi="Times New Roman" w:cs="Times New Roman"/>
                <w:szCs w:val="21"/>
              </w:rPr>
            </w:pPr>
            <w:r w:rsidRPr="007E5D9A">
              <w:rPr>
                <w:rFonts w:ascii="Times New Roman" w:hAnsi="Times New Roman" w:cs="Times New Roman"/>
                <w:szCs w:val="21"/>
              </w:rPr>
              <w:lastRenderedPageBreak/>
              <w:t>Asian ethnicity</w:t>
            </w:r>
          </w:p>
        </w:tc>
        <w:tc>
          <w:tcPr>
            <w:tcW w:w="3272" w:type="dxa"/>
            <w:tcMar>
              <w:top w:w="74" w:type="dxa"/>
              <w:left w:w="119" w:type="dxa"/>
              <w:bottom w:w="74" w:type="dxa"/>
              <w:right w:w="119" w:type="dxa"/>
            </w:tcMar>
            <w:vAlign w:val="center"/>
          </w:tcPr>
          <w:p w14:paraId="0B381F6B" w14:textId="77777777" w:rsidR="00795585" w:rsidRPr="007E5D9A" w:rsidRDefault="00000000">
            <w:pPr>
              <w:rPr>
                <w:rFonts w:ascii="Times New Roman" w:hAnsi="Times New Roman" w:cs="Times New Roman"/>
                <w:szCs w:val="21"/>
              </w:rPr>
            </w:pPr>
            <w:r w:rsidRPr="007E5D9A">
              <w:rPr>
                <w:rFonts w:ascii="Times New Roman" w:hAnsi="Times New Roman" w:cs="Times New Roman"/>
                <w:szCs w:val="21"/>
              </w:rPr>
              <w:t>International thresholds (FIB-4 &lt;1.3/2.67; VCTE &lt;8/12 kPa) are recommended for now; some Asian studies suggest possible lower cutoffs (e.g., VCTE &lt;7 kPa for low risk, &gt;11 kPa for high risk)</w:t>
            </w:r>
          </w:p>
        </w:tc>
        <w:tc>
          <w:tcPr>
            <w:tcW w:w="3643" w:type="dxa"/>
            <w:tcMar>
              <w:top w:w="74" w:type="dxa"/>
              <w:left w:w="119" w:type="dxa"/>
              <w:bottom w:w="74" w:type="dxa"/>
              <w:right w:w="0" w:type="dxa"/>
            </w:tcMar>
            <w:vAlign w:val="center"/>
          </w:tcPr>
          <w:p w14:paraId="489A4057" w14:textId="77777777" w:rsidR="00795585" w:rsidRPr="007E5D9A" w:rsidRDefault="00000000">
            <w:pPr>
              <w:rPr>
                <w:rFonts w:ascii="Times New Roman" w:hAnsi="Times New Roman" w:cs="Times New Roman"/>
                <w:szCs w:val="21"/>
              </w:rPr>
            </w:pPr>
            <w:r w:rsidRPr="007E5D9A">
              <w:rPr>
                <w:rFonts w:ascii="Times New Roman" w:hAnsi="Times New Roman" w:cs="Times New Roman"/>
                <w:szCs w:val="21"/>
              </w:rPr>
              <w:t>Metabolic risk profile differs; lower thresholds may improve sensitivity but require large</w:t>
            </w:r>
            <w:r w:rsidRPr="007E5D9A">
              <w:rPr>
                <w:rFonts w:ascii="Times New Roman" w:hAnsi="Times New Roman" w:cs="Times New Roman"/>
                <w:szCs w:val="21"/>
              </w:rPr>
              <w:noBreakHyphen/>
              <w:t xml:space="preserve">scale prospective validation </w:t>
            </w:r>
            <w:r w:rsidRPr="007E5D9A">
              <w:rPr>
                <w:rFonts w:ascii="Times New Roman" w:hAnsi="Times New Roman" w:cs="Times New Roman"/>
                <w:szCs w:val="21"/>
              </w:rPr>
              <w:fldChar w:fldCharType="begin"/>
            </w:r>
            <w:r w:rsidRPr="007E5D9A">
              <w:rPr>
                <w:rFonts w:ascii="Times New Roman" w:hAnsi="Times New Roman" w:cs="Times New Roman"/>
                <w:szCs w:val="21"/>
              </w:rPr>
              <w:instrText xml:space="preserve"> ADDIN ZOTERO_ITEM CSL_CITATION {"citationID":"bch6Dr5u","properties":{"formattedCitation":"[33]","plainCitation":"[33]","noteIndex":0},"citationItems":[{"id":"PT63WDpC/SQI0Uiy3","uris":["http://zotero.org/users/local/pKm3rcyL/items/ZE232GXK"],"itemData":{"id":9440,"type":"article-journal","abstract":"Abstract\n            \n              Background and Aim\n              \n                In the condition of high prevalence of non‐alcoholic fatty liver disease (NAFLD), a new diagnostic algorithm to efficiently identify NAFLD patients with significant fibrosis is urgently required. We evaluated the predictive ability of the fibrosis‐4 index (FIB‐4 index) for significant liver fibrosis (\n                F\n                 ≥ 2) in a cohort of Japanese patients with NAFLD.\n              \n            \n            \n              Methods\n              We prospectively calculated the FIB‐4 index in patients who were incidentally diagnosed as fatty liver in medical checkups and then conducted liver stiffness measurement by vibration‐controlled transient elastography (VCTE) only in patients in whom the FIB‐4 index was more than the low cut‐off index (&gt; 1.45).\n            \n            \n              Results\n              Of the 5929 people who underwent medical checkups, a total of 1374 people were identified as having fatty liver. Among these, we performed VCTE in 106 patients in whom the FIB‐4 index was higher than 1.45. The distribution of the fibrosis stage as estimated by VCTE in the patients was as follows: F0, 52.8%; F1, 10.3%; F2, 21.6%; F3, 11.3%; and F4, 3.7%. The positive predictive value of the FIB‐4 index for detecting NAFLD with significant fibrosis was 36.6%. The minimum value of the FIB‐4 index was constant for each estimated fibrosis stage.\n            \n            \n              Conclusions\n              This is the first prospective study to evaluate the usefulness of the FIB‐4 index as the first step to screen NAFLD patients with significant fibrosis. In Japan, addition of one further step that combined with the FIB‐4 index is necessary to meaningfully reduce the number of patients needing liver stiffness measurement or liver biopsy.","container-title":"Journal of Gastroenterology and Hepatology","DOI":"10.1111/jgh.14559","ISSN":"0815-9319, 1440-1746","issue":"8","journalAbbreviation":"J of Gastro and Hepatol","language":"en","page":"1411-1416","source":"DOI.org (Crossref)","title":"Distribution of liver stiffness in non‐alcoholic fatty liver disease with higher fibrosis‐4 index than low cut‐off index","volume":"34","author":[{"family":"Tomeno","given":"Wataru"},{"family":"Imajo","given":"Kento"},{"family":"Kuwada","given":"Yukiko"},{"family":"Ogawa","given":"Yuji"},{"family":"Kikuchi","given":"Minako"},{"family":"Honda","given":"Yasushi"},{"family":"Kato","given":"Takayuki"},{"family":"Kessoku","given":"Takaomi"},{"family":"Kirikoshi","given":"Hiroyuki"},{"family":"Yoneda","given":"Masato"},{"family":"Kitahora","given":"Tetsuji"},{"family":"Saito","given":"Satoru"},{"family":"Ozawa","given":"Yukihiko"},{"family":"Nakajima","given":"Atsushi"}],"issued":{"date-parts":[["2019",8]]}}}],"schema":"https://github.com/citation-style-language/schema/raw/master/csl-citation.json"} </w:instrText>
            </w:r>
            <w:r w:rsidRPr="007E5D9A">
              <w:rPr>
                <w:rFonts w:ascii="Times New Roman" w:hAnsi="Times New Roman" w:cs="Times New Roman"/>
                <w:szCs w:val="21"/>
              </w:rPr>
              <w:fldChar w:fldCharType="separate"/>
            </w:r>
            <w:r w:rsidRPr="007E5D9A">
              <w:rPr>
                <w:rFonts w:ascii="Times New Roman" w:hAnsi="Times New Roman" w:cs="Times New Roman"/>
              </w:rPr>
              <w:t>[33]</w:t>
            </w:r>
            <w:r w:rsidRPr="007E5D9A">
              <w:rPr>
                <w:rFonts w:ascii="Times New Roman" w:hAnsi="Times New Roman" w:cs="Times New Roman"/>
                <w:szCs w:val="21"/>
              </w:rPr>
              <w:fldChar w:fldCharType="end"/>
            </w:r>
          </w:p>
        </w:tc>
      </w:tr>
      <w:tr w:rsidR="00795585" w:rsidRPr="007E5D9A" w14:paraId="546D1E9E" w14:textId="77777777">
        <w:tc>
          <w:tcPr>
            <w:tcW w:w="0" w:type="auto"/>
            <w:tcBorders>
              <w:bottom w:val="single" w:sz="4" w:space="0" w:color="auto"/>
            </w:tcBorders>
            <w:tcMar>
              <w:top w:w="74" w:type="dxa"/>
              <w:left w:w="0" w:type="dxa"/>
              <w:bottom w:w="74" w:type="dxa"/>
              <w:right w:w="119" w:type="dxa"/>
            </w:tcMar>
            <w:vAlign w:val="center"/>
          </w:tcPr>
          <w:p w14:paraId="374FAB12" w14:textId="77777777" w:rsidR="00795585" w:rsidRPr="007E5D9A" w:rsidRDefault="00000000">
            <w:pPr>
              <w:rPr>
                <w:rFonts w:ascii="Times New Roman" w:hAnsi="Times New Roman" w:cs="Times New Roman"/>
                <w:szCs w:val="21"/>
              </w:rPr>
            </w:pPr>
            <w:r w:rsidRPr="007E5D9A">
              <w:rPr>
                <w:rFonts w:ascii="Times New Roman" w:hAnsi="Times New Roman" w:cs="Times New Roman"/>
                <w:szCs w:val="21"/>
              </w:rPr>
              <w:t>Heart failure (HF)</w:t>
            </w:r>
          </w:p>
        </w:tc>
        <w:tc>
          <w:tcPr>
            <w:tcW w:w="3272" w:type="dxa"/>
            <w:tcBorders>
              <w:bottom w:val="single" w:sz="4" w:space="0" w:color="auto"/>
            </w:tcBorders>
            <w:tcMar>
              <w:top w:w="74" w:type="dxa"/>
              <w:left w:w="119" w:type="dxa"/>
              <w:bottom w:w="74" w:type="dxa"/>
              <w:right w:w="119" w:type="dxa"/>
            </w:tcMar>
            <w:vAlign w:val="center"/>
          </w:tcPr>
          <w:p w14:paraId="0BCBFEA1" w14:textId="77777777" w:rsidR="00795585" w:rsidRPr="007E5D9A" w:rsidRDefault="00000000">
            <w:pPr>
              <w:rPr>
                <w:rFonts w:ascii="Times New Roman" w:hAnsi="Times New Roman" w:cs="Times New Roman"/>
                <w:szCs w:val="21"/>
              </w:rPr>
            </w:pPr>
            <w:r w:rsidRPr="007E5D9A">
              <w:rPr>
                <w:rFonts w:ascii="Times New Roman" w:hAnsi="Times New Roman" w:cs="Times New Roman"/>
                <w:szCs w:val="21"/>
              </w:rPr>
              <w:t>VCTE values should be interpreted with caution due to passive hepatic congestion; a higher threshold (e.g., &gt;10.6 kPa) has been proposed to detect true advanced fibrosis in HF patients</w:t>
            </w:r>
          </w:p>
        </w:tc>
        <w:tc>
          <w:tcPr>
            <w:tcW w:w="3643" w:type="dxa"/>
            <w:tcBorders>
              <w:bottom w:val="single" w:sz="4" w:space="0" w:color="auto"/>
            </w:tcBorders>
            <w:tcMar>
              <w:top w:w="74" w:type="dxa"/>
              <w:left w:w="119" w:type="dxa"/>
              <w:bottom w:w="74" w:type="dxa"/>
              <w:right w:w="0" w:type="dxa"/>
            </w:tcMar>
            <w:vAlign w:val="center"/>
          </w:tcPr>
          <w:p w14:paraId="1DE50286" w14:textId="77777777" w:rsidR="00795585" w:rsidRPr="007E5D9A" w:rsidRDefault="00000000">
            <w:pPr>
              <w:rPr>
                <w:rFonts w:ascii="Times New Roman" w:hAnsi="Times New Roman" w:cs="Times New Roman"/>
                <w:szCs w:val="21"/>
              </w:rPr>
            </w:pPr>
            <w:r w:rsidRPr="007E5D9A">
              <w:rPr>
                <w:rFonts w:ascii="Times New Roman" w:hAnsi="Times New Roman" w:cs="Times New Roman"/>
                <w:szCs w:val="21"/>
              </w:rPr>
              <w:t>Elevated central venous pressure increases LSM independent of fibrosis; clinical correlation essential</w:t>
            </w:r>
            <w:r w:rsidRPr="007E5D9A">
              <w:rPr>
                <w:rFonts w:ascii="Times New Roman" w:hAnsi="Times New Roman" w:cs="Times New Roman"/>
                <w:szCs w:val="21"/>
              </w:rPr>
              <w:fldChar w:fldCharType="begin"/>
            </w:r>
            <w:r w:rsidRPr="007E5D9A">
              <w:rPr>
                <w:rFonts w:ascii="Times New Roman" w:hAnsi="Times New Roman" w:cs="Times New Roman"/>
                <w:szCs w:val="21"/>
              </w:rPr>
              <w:instrText xml:space="preserve"> ADDIN ZOTERO_ITEM CSL_CITATION {"citationID":"i1o5o0Ch","properties":{"formattedCitation":"[34,35]","plainCitation":"[34,35]","noteIndex":0},"citationItems":[{"id":"PT63WDpC/OY9YcQTv","uris":["http://zotero.org/users/local/pKm3rcyL/items/U2KJNRGU"],"itemData":{"id":9421,"type":"article-journal","abstract":"BACKGROUND &amp; AIMS: Liver stiffness (LS) as measured by transient elastography [Fibroscan] offers a novel non-invasive approach to assess liver cirrhosis. Since Fibroscan seems to be unreliable in patients with congestive heart failure, it remains to be determined whether hemodynamic changes affect LS irrespective of fibrosis.\nMETHODS &amp; RESULTS: Using landrace pigs, we studied the direct relationship between the central venous pressure and LS measured by Fibroscan. Clamping of the inferior caval vein increased LS from 3.1 to 27.8kPa while reopening reversed LS within 5min to almost normal values of 5.1kPa. We then studied LS as a function of venous pressure in the isolated pig liver by clamping the upper and lower caval, portal vein and hepatic artery. The stepwise increase of intravenous pressure to 36cm of water column (3.5kPa) linearly and reversibly increased LS to the upper detection limit of 75kPa. We finally measured LS in 10 patients with decompensated congestive heart failure before and after recompensation. Initial LS was elevated in all patients, in 8 of them to a degree that suggested liver cirrhosis (median 40.7kPa). Upon recompensation with a median weight loss of 3.0kg, LS decreased in all 10 patients down to a median LS of 17.8kPa. Inflammation could not account for increased LS since initial liver enzyme counts were only slightly elevated and did not change significantly.\nCONCLUSION: LS is a direct function of central venous pressure which should be considered when assessing the degree of fibrosis.","container-title":"Journal of Hepatology","DOI":"10.1016/j.jhep.2009.11.018","ISSN":"1600-0641","issue":"2","journalAbbreviation":"J Hepatol","language":"eng","page":"206-210","PMID":"20022130","source":"PubMed","title":"Liver stiffness is directly influenced by central venous pressure","volume":"52","author":[{"family":"Millonig","given":"Gunda"},{"family":"Friedrich","given":"Stefanie"},{"family":"Adolf","given":"Stefanie"},{"family":"Fonouni","given":"Hamidreza"},{"family":"Golriz","given":"Mohammad"},{"family":"Mehrabi","given":"Arianeb"},{"family":"Stiefel","given":"Peter"},{"family":"Pöschl","given":"Gudrun"},{"family":"Büchler","given":"Markus W."},{"family":"Seitz","given":"Helmut Karl"},{"family":"Mueller","given":"Sebastian"}],"issued":{"date-parts":[["2010",2]]}},"label":"page"},{"id":"PT63WDpC/A2Q00t9Y","uris":["http://zotero.org/users/local/pKm3rcyL/items/UDMMVHLT"],"itemData":{"id":9437,"type":"article-journal","abstract":"Nonalcoholic fatty liver disease (NAFLD) has become a major public health issue. The goal of this study was to assess the clinical use of liver stiffness measurement (LSM) evaluated by supersonic shear imaging (SSI), FibroScan, and acoustic radiation force impulse (ARFI) in a cohort of NAFLD patients who underwent liver biopsy. A total of 291 NAFLD patients were prospectively enrolled from November 2011 to February 2015 at 2 French university hospitals. LSM was assessed by SSI, FibroScan (M probe), and ARFI within two weeks prior to liver biopsy. Calculations of the area under the receiver operating curve (AUROC) were performed and compared for the staging of liver fibrosis. AUROC for SSI, FibroScan, and ARFI were 0.86, 0.82, and 0.77 for diagnoses of ≥F2; 0.89, 0.86, and 0.84 for ≥F3; and 0.88, 0.87, and 0.84 for F4, respectively. SSI had a higher accuracy than ARFI for diagnoses of significant fibrosis (≥F2) (\n              P\n              = 0.004). Clinical factors related to obesity such as body mass index ≥ 30 kg/m\n              2\n              , waist circumference ≥102 cm or increased parietal wall thickness were associated with LSM failures when using SSI or FibroScan and with unreliable results when using ARFI. In univariate analysis, FibroScan values were slightly correlated with NAFLD activity score and steatosis (R = 0.28 and 0.22, respectively), whereas SSI and ARFI were not; however, these components of NAFLD did not affect LSM results in multivariate analysis. The cutoff values for SSI and FibroScan for staging fibrosis with a sensitivity ≥90% were very close: 6.3/6.2 kPa for ≥F2, 8.3/8.2 kPa for ≥F3, and 10.5/9.5 kPa for F4.\n              Conclusion:\n              Although obesity is associated with an increase in LSM failure, the studied techniques and especially SSI provide high value for the diagnosis of liver fibrosis in NAFLD patients. (H\n              epatology\n              2016;63:1817‐1827)","container-title":"Hepatology","DOI":"10.1002/hep.28394","ISSN":"0270-9139, 1527-3350","issue":"6","journalAbbreviation":"Hepatology","language":"en","page":"1817-1827","source":"DOI.org (Crossref)","title":"Liver stiffness in nonalcoholic fatty liver disease: A comparison of supersonic shear imaging, FibroScan, and ARFI with liver biopsy","title-short":"Liver stiffness in nonalcoholic fatty liver disease","volume":"63","author":[{"family":"Cassinotto","given":"Christophe"},{"family":"Boursier","given":"Jérome"},{"family":"De Lédinghen","given":"Victor"},{"family":"Lebigot","given":"Jérome"},{"family":"Lapuyade","given":"Bruno"},{"family":"Cales","given":"Paul"},{"family":"Hiriart","given":"Jean‐Baptiste"},{"family":"Michalak","given":"Sophie"},{"family":"Bail","given":"Brigitte Le"},{"family":"Cartier","given":"Victoire"},{"family":"Mouries","given":"Amaury"},{"family":"Oberti","given":"Frédéric"},{"family":"Fouchard‐Hubert","given":"Isabelle"},{"family":"Vergniol","given":"Julien"},{"family":"Aubé","given":"Christophe"}],"issued":{"date-parts":[["2016",6]]}},"label":"page"}],"schema":"https://github.com/citation-style-language/schema/raw/master/csl-citation.json"} </w:instrText>
            </w:r>
            <w:r w:rsidRPr="007E5D9A">
              <w:rPr>
                <w:rFonts w:ascii="Times New Roman" w:hAnsi="Times New Roman" w:cs="Times New Roman"/>
                <w:szCs w:val="21"/>
              </w:rPr>
              <w:fldChar w:fldCharType="separate"/>
            </w:r>
            <w:r w:rsidRPr="007E5D9A">
              <w:rPr>
                <w:rFonts w:ascii="Times New Roman" w:hAnsi="Times New Roman" w:cs="Times New Roman"/>
              </w:rPr>
              <w:t>[34,35]</w:t>
            </w:r>
            <w:r w:rsidRPr="007E5D9A">
              <w:rPr>
                <w:rFonts w:ascii="Times New Roman" w:hAnsi="Times New Roman" w:cs="Times New Roman"/>
                <w:szCs w:val="21"/>
              </w:rPr>
              <w:fldChar w:fldCharType="end"/>
            </w:r>
          </w:p>
        </w:tc>
      </w:tr>
    </w:tbl>
    <w:p w14:paraId="6E5F784C" w14:textId="77777777" w:rsidR="00795585" w:rsidRPr="007E5D9A" w:rsidRDefault="00795585">
      <w:pPr>
        <w:spacing w:line="360" w:lineRule="auto"/>
        <w:rPr>
          <w:rFonts w:ascii="Times New Roman" w:hAnsi="Times New Roman" w:cs="Times New Roman"/>
          <w:b/>
          <w:bCs/>
          <w:color w:val="000000"/>
          <w:sz w:val="28"/>
          <w:szCs w:val="28"/>
        </w:rPr>
      </w:pPr>
    </w:p>
    <w:p w14:paraId="00A59585" w14:textId="77777777" w:rsidR="00795585" w:rsidRPr="007E5D9A" w:rsidRDefault="00000000">
      <w:pPr>
        <w:pStyle w:val="a7"/>
        <w:widowControl/>
        <w:spacing w:before="119" w:after="119"/>
        <w:rPr>
          <w:rFonts w:ascii="Times New Roman" w:hAnsi="Times New Roman" w:cs="Times New Roman"/>
          <w:b/>
          <w:bCs/>
          <w:color w:val="000000"/>
          <w:sz w:val="28"/>
          <w:szCs w:val="28"/>
        </w:rPr>
      </w:pPr>
      <w:r w:rsidRPr="007E5D9A">
        <w:rPr>
          <w:rFonts w:ascii="Times New Roman" w:hAnsi="Times New Roman" w:cs="Times New Roman"/>
          <w:b/>
          <w:bCs/>
          <w:color w:val="000000"/>
          <w:sz w:val="28"/>
          <w:szCs w:val="28"/>
        </w:rPr>
        <w:t>Table S5. Supporting evidence for the MMCK framework</w:t>
      </w:r>
    </w:p>
    <w:tbl>
      <w:tblPr>
        <w:tblW w:w="0" w:type="auto"/>
        <w:tblCellMar>
          <w:top w:w="15" w:type="dxa"/>
          <w:left w:w="15" w:type="dxa"/>
          <w:bottom w:w="15" w:type="dxa"/>
          <w:right w:w="15" w:type="dxa"/>
        </w:tblCellMar>
        <w:tblLook w:val="04A0" w:firstRow="1" w:lastRow="0" w:firstColumn="1" w:lastColumn="0" w:noHBand="0" w:noVBand="1"/>
      </w:tblPr>
      <w:tblGrid>
        <w:gridCol w:w="1696"/>
        <w:gridCol w:w="3614"/>
        <w:gridCol w:w="2296"/>
        <w:gridCol w:w="819"/>
      </w:tblGrid>
      <w:tr w:rsidR="00795585" w:rsidRPr="007E5D9A" w14:paraId="7634B1DC" w14:textId="77777777">
        <w:trPr>
          <w:tblHeader/>
        </w:trPr>
        <w:tc>
          <w:tcPr>
            <w:tcW w:w="0" w:type="auto"/>
            <w:tcBorders>
              <w:top w:val="single" w:sz="4" w:space="0" w:color="auto"/>
              <w:bottom w:val="single" w:sz="4" w:space="0" w:color="auto"/>
            </w:tcBorders>
            <w:tcMar>
              <w:top w:w="74" w:type="dxa"/>
              <w:left w:w="0" w:type="dxa"/>
              <w:bottom w:w="74" w:type="dxa"/>
              <w:right w:w="119" w:type="dxa"/>
            </w:tcMar>
            <w:vAlign w:val="center"/>
          </w:tcPr>
          <w:p w14:paraId="6B65B60D" w14:textId="77777777" w:rsidR="00795585" w:rsidRPr="007E5D9A" w:rsidRDefault="00000000">
            <w:pPr>
              <w:widowControl/>
              <w:jc w:val="left"/>
              <w:rPr>
                <w:rFonts w:ascii="Times New Roman" w:eastAsia="var(--dsw-font-markdown-table-h" w:hAnsi="Times New Roman" w:cs="Times New Roman"/>
                <w:b/>
                <w:bCs/>
              </w:rPr>
            </w:pPr>
            <w:r w:rsidRPr="007E5D9A">
              <w:rPr>
                <w:rFonts w:ascii="Times New Roman" w:eastAsia="var(--dsw-font-markdown-table-h" w:hAnsi="Times New Roman" w:cs="Times New Roman"/>
                <w:b/>
                <w:bCs/>
                <w:kern w:val="0"/>
                <w:sz w:val="24"/>
                <w:lang w:bidi="ar"/>
              </w:rPr>
              <w:t>Topic</w:t>
            </w:r>
          </w:p>
        </w:tc>
        <w:tc>
          <w:tcPr>
            <w:tcW w:w="0" w:type="auto"/>
            <w:tcBorders>
              <w:top w:val="single" w:sz="4" w:space="0" w:color="auto"/>
              <w:bottom w:val="single" w:sz="4" w:space="0" w:color="auto"/>
            </w:tcBorders>
            <w:tcMar>
              <w:top w:w="74" w:type="dxa"/>
              <w:left w:w="119" w:type="dxa"/>
              <w:bottom w:w="74" w:type="dxa"/>
              <w:right w:w="119" w:type="dxa"/>
            </w:tcMar>
            <w:vAlign w:val="center"/>
          </w:tcPr>
          <w:p w14:paraId="38060D68" w14:textId="77777777" w:rsidR="00795585" w:rsidRPr="007E5D9A" w:rsidRDefault="00000000">
            <w:pPr>
              <w:widowControl/>
              <w:jc w:val="left"/>
              <w:rPr>
                <w:rFonts w:ascii="Times New Roman" w:eastAsia="var(--dsw-font-markdown-table-h" w:hAnsi="Times New Roman" w:cs="Times New Roman"/>
                <w:b/>
                <w:bCs/>
              </w:rPr>
            </w:pPr>
            <w:r w:rsidRPr="007E5D9A">
              <w:rPr>
                <w:rFonts w:ascii="Times New Roman" w:eastAsia="var(--dsw-font-markdown-table-h" w:hAnsi="Times New Roman" w:cs="Times New Roman"/>
                <w:b/>
                <w:bCs/>
                <w:kern w:val="0"/>
                <w:sz w:val="24"/>
                <w:lang w:bidi="ar"/>
              </w:rPr>
              <w:t>Key Findings</w:t>
            </w:r>
          </w:p>
        </w:tc>
        <w:tc>
          <w:tcPr>
            <w:tcW w:w="0" w:type="auto"/>
            <w:tcBorders>
              <w:top w:val="single" w:sz="4" w:space="0" w:color="auto"/>
              <w:bottom w:val="single" w:sz="4" w:space="0" w:color="auto"/>
            </w:tcBorders>
            <w:tcMar>
              <w:top w:w="74" w:type="dxa"/>
              <w:left w:w="119" w:type="dxa"/>
              <w:bottom w:w="74" w:type="dxa"/>
              <w:right w:w="119" w:type="dxa"/>
            </w:tcMar>
            <w:vAlign w:val="center"/>
          </w:tcPr>
          <w:p w14:paraId="5B3D1763" w14:textId="77777777" w:rsidR="00795585" w:rsidRPr="007E5D9A" w:rsidRDefault="00000000">
            <w:pPr>
              <w:widowControl/>
              <w:jc w:val="left"/>
              <w:rPr>
                <w:rFonts w:ascii="Times New Roman" w:eastAsia="var(--dsw-font-markdown-table-h" w:hAnsi="Times New Roman" w:cs="Times New Roman"/>
                <w:b/>
                <w:bCs/>
              </w:rPr>
            </w:pPr>
            <w:r w:rsidRPr="007E5D9A">
              <w:rPr>
                <w:rFonts w:ascii="Times New Roman" w:eastAsia="var(--dsw-font-markdown-table-h" w:hAnsi="Times New Roman" w:cs="Times New Roman"/>
                <w:b/>
                <w:bCs/>
                <w:kern w:val="0"/>
                <w:sz w:val="24"/>
                <w:lang w:bidi="ar"/>
              </w:rPr>
              <w:t>Relevance to MMCK Framework</w:t>
            </w:r>
          </w:p>
        </w:tc>
        <w:tc>
          <w:tcPr>
            <w:tcW w:w="0" w:type="auto"/>
            <w:tcBorders>
              <w:top w:val="single" w:sz="4" w:space="0" w:color="auto"/>
              <w:bottom w:val="single" w:sz="4" w:space="0" w:color="auto"/>
            </w:tcBorders>
            <w:tcMar>
              <w:top w:w="74" w:type="dxa"/>
              <w:left w:w="119" w:type="dxa"/>
              <w:bottom w:w="74" w:type="dxa"/>
              <w:right w:w="119" w:type="dxa"/>
            </w:tcMar>
            <w:vAlign w:val="center"/>
          </w:tcPr>
          <w:p w14:paraId="51B70B2E" w14:textId="77777777" w:rsidR="00795585" w:rsidRPr="007E5D9A" w:rsidRDefault="00000000">
            <w:pPr>
              <w:widowControl/>
              <w:jc w:val="left"/>
              <w:rPr>
                <w:rFonts w:ascii="Times New Roman" w:eastAsia="var(--dsw-font-markdown-table-h" w:hAnsi="Times New Roman" w:cs="Times New Roman"/>
                <w:b/>
                <w:bCs/>
              </w:rPr>
            </w:pPr>
            <w:r w:rsidRPr="007E5D9A">
              <w:rPr>
                <w:rFonts w:ascii="Times New Roman" w:eastAsia="var(--dsw-font-markdown-table-h" w:hAnsi="Times New Roman" w:cs="Times New Roman"/>
                <w:b/>
                <w:bCs/>
                <w:kern w:val="0"/>
                <w:sz w:val="24"/>
                <w:lang w:bidi="ar"/>
              </w:rPr>
              <w:t>Refs</w:t>
            </w:r>
          </w:p>
        </w:tc>
      </w:tr>
      <w:tr w:rsidR="00795585" w:rsidRPr="007E5D9A" w14:paraId="1280D78B" w14:textId="77777777">
        <w:tc>
          <w:tcPr>
            <w:tcW w:w="0" w:type="auto"/>
            <w:tcBorders>
              <w:top w:val="single" w:sz="4" w:space="0" w:color="auto"/>
            </w:tcBorders>
            <w:tcMar>
              <w:top w:w="74" w:type="dxa"/>
              <w:left w:w="0" w:type="dxa"/>
              <w:bottom w:w="74" w:type="dxa"/>
              <w:right w:w="119" w:type="dxa"/>
            </w:tcMar>
            <w:vAlign w:val="center"/>
          </w:tcPr>
          <w:p w14:paraId="5E983011" w14:textId="77777777" w:rsidR="00795585" w:rsidRPr="007E5D9A" w:rsidRDefault="00000000">
            <w:pPr>
              <w:widowControl/>
              <w:jc w:val="left"/>
              <w:rPr>
                <w:rFonts w:ascii="Times New Roman" w:eastAsia="var(--dsw-font-markdown-table)" w:hAnsi="Times New Roman" w:cs="Times New Roman"/>
              </w:rPr>
            </w:pPr>
            <w:r w:rsidRPr="007E5D9A">
              <w:rPr>
                <w:rStyle w:val="a9"/>
                <w:rFonts w:ascii="Times New Roman" w:eastAsia="var(--dsw-font-markdown-table)" w:hAnsi="Times New Roman" w:cs="Times New Roman"/>
                <w:bCs/>
                <w:kern w:val="0"/>
                <w:sz w:val="24"/>
                <w:lang w:bidi="ar"/>
              </w:rPr>
              <w:t>Novel metabolic risk markers</w:t>
            </w:r>
          </w:p>
        </w:tc>
        <w:tc>
          <w:tcPr>
            <w:tcW w:w="0" w:type="auto"/>
            <w:tcBorders>
              <w:top w:val="single" w:sz="4" w:space="0" w:color="auto"/>
            </w:tcBorders>
            <w:tcMar>
              <w:top w:w="74" w:type="dxa"/>
              <w:left w:w="119" w:type="dxa"/>
              <w:bottom w:w="74" w:type="dxa"/>
              <w:right w:w="119" w:type="dxa"/>
            </w:tcMar>
            <w:vAlign w:val="center"/>
          </w:tcPr>
          <w:p w14:paraId="0F78F2CA" w14:textId="77777777" w:rsidR="00795585" w:rsidRPr="007E5D9A" w:rsidRDefault="00000000">
            <w:pPr>
              <w:widowControl/>
              <w:jc w:val="left"/>
              <w:rPr>
                <w:rFonts w:ascii="Times New Roman" w:eastAsia="var(--dsw-font-markdown-table)" w:hAnsi="Times New Roman" w:cs="Times New Roman"/>
              </w:rPr>
            </w:pPr>
            <w:proofErr w:type="spellStart"/>
            <w:r w:rsidRPr="007E5D9A">
              <w:rPr>
                <w:rFonts w:ascii="Times New Roman" w:eastAsia="var(--dsw-font-markdown-table)" w:hAnsi="Times New Roman" w:cs="Times New Roman"/>
                <w:kern w:val="0"/>
                <w:sz w:val="24"/>
                <w:lang w:bidi="ar"/>
              </w:rPr>
              <w:t>TyG</w:t>
            </w:r>
            <w:proofErr w:type="spellEnd"/>
            <w:r w:rsidRPr="007E5D9A">
              <w:rPr>
                <w:rFonts w:ascii="Times New Roman" w:eastAsia="var(--dsw-font-markdown-table)" w:hAnsi="Times New Roman" w:cs="Times New Roman"/>
                <w:kern w:val="0"/>
                <w:sz w:val="24"/>
                <w:lang w:bidi="ar"/>
              </w:rPr>
              <w:noBreakHyphen/>
              <w:t xml:space="preserve">BMI top quartile (vs. bottom): CVD HR 1.49 (1.43–1.55); </w:t>
            </w:r>
            <w:proofErr w:type="spellStart"/>
            <w:r w:rsidRPr="007E5D9A">
              <w:rPr>
                <w:rFonts w:ascii="Times New Roman" w:eastAsia="var(--dsw-font-markdown-table)" w:hAnsi="Times New Roman" w:cs="Times New Roman"/>
                <w:kern w:val="0"/>
                <w:sz w:val="24"/>
                <w:lang w:bidi="ar"/>
              </w:rPr>
              <w:t>TyG</w:t>
            </w:r>
            <w:r w:rsidRPr="007E5D9A">
              <w:rPr>
                <w:rFonts w:ascii="Times New Roman" w:eastAsia="var(--dsw-font-markdown-table)" w:hAnsi="Times New Roman" w:cs="Times New Roman"/>
                <w:kern w:val="0"/>
                <w:sz w:val="24"/>
                <w:lang w:bidi="ar"/>
              </w:rPr>
              <w:noBreakHyphen/>
              <w:t>WHtR</w:t>
            </w:r>
            <w:proofErr w:type="spellEnd"/>
            <w:r w:rsidRPr="007E5D9A">
              <w:rPr>
                <w:rFonts w:ascii="Times New Roman" w:eastAsia="var(--dsw-font-markdown-table)" w:hAnsi="Times New Roman" w:cs="Times New Roman"/>
                <w:kern w:val="0"/>
                <w:sz w:val="24"/>
                <w:lang w:bidi="ar"/>
              </w:rPr>
              <w:t xml:space="preserve">: CVD HR 1.58 (1.51–1.65) in 282,920 UK Biobank CKM 0–3 participants. </w:t>
            </w:r>
            <w:proofErr w:type="spellStart"/>
            <w:r w:rsidRPr="007E5D9A">
              <w:rPr>
                <w:rFonts w:ascii="Times New Roman" w:eastAsia="var(--dsw-font-markdown-table)" w:hAnsi="Times New Roman" w:cs="Times New Roman"/>
                <w:kern w:val="0"/>
                <w:sz w:val="24"/>
                <w:lang w:bidi="ar"/>
              </w:rPr>
              <w:t>TyG</w:t>
            </w:r>
            <w:proofErr w:type="spellEnd"/>
            <w:r w:rsidRPr="007E5D9A">
              <w:rPr>
                <w:rFonts w:ascii="Times New Roman" w:eastAsia="var(--dsw-font-markdown-table)" w:hAnsi="Times New Roman" w:cs="Times New Roman"/>
                <w:kern w:val="0"/>
                <w:sz w:val="24"/>
                <w:lang w:bidi="ar"/>
              </w:rPr>
              <w:noBreakHyphen/>
              <w:t>CVAI (per SD): stroke HR 1.20 (1.10–1.31) in CHARLS; 26–33% mediated by SBP.</w:t>
            </w:r>
          </w:p>
        </w:tc>
        <w:tc>
          <w:tcPr>
            <w:tcW w:w="0" w:type="auto"/>
            <w:tcBorders>
              <w:top w:val="single" w:sz="4" w:space="0" w:color="auto"/>
            </w:tcBorders>
            <w:tcMar>
              <w:top w:w="74" w:type="dxa"/>
              <w:left w:w="119" w:type="dxa"/>
              <w:bottom w:w="74" w:type="dxa"/>
              <w:right w:w="119" w:type="dxa"/>
            </w:tcMar>
            <w:vAlign w:val="center"/>
          </w:tcPr>
          <w:p w14:paraId="2E06F777" w14:textId="77777777" w:rsidR="00795585" w:rsidRPr="007E5D9A" w:rsidRDefault="00000000">
            <w:pPr>
              <w:widowControl/>
              <w:jc w:val="left"/>
              <w:rPr>
                <w:rFonts w:ascii="Times New Roman" w:eastAsia="var(--dsw-font-markdown-table)" w:hAnsi="Times New Roman" w:cs="Times New Roman"/>
              </w:rPr>
            </w:pPr>
            <w:r w:rsidRPr="007E5D9A">
              <w:rPr>
                <w:rFonts w:ascii="Times New Roman" w:eastAsia="var(--dsw-font-markdown-table)" w:hAnsi="Times New Roman" w:cs="Times New Roman"/>
                <w:kern w:val="0"/>
                <w:sz w:val="24"/>
                <w:lang w:bidi="ar"/>
              </w:rPr>
              <w:t xml:space="preserve">Supports inclusion of </w:t>
            </w:r>
            <w:proofErr w:type="spellStart"/>
            <w:r w:rsidRPr="007E5D9A">
              <w:rPr>
                <w:rFonts w:ascii="Times New Roman" w:eastAsia="var(--dsw-font-markdown-table)" w:hAnsi="Times New Roman" w:cs="Times New Roman"/>
                <w:kern w:val="0"/>
                <w:sz w:val="24"/>
                <w:lang w:bidi="ar"/>
              </w:rPr>
              <w:t>TyG</w:t>
            </w:r>
            <w:proofErr w:type="spellEnd"/>
            <w:r w:rsidRPr="007E5D9A">
              <w:rPr>
                <w:rFonts w:ascii="Times New Roman" w:eastAsia="var(--dsw-font-markdown-table)" w:hAnsi="Times New Roman" w:cs="Times New Roman"/>
                <w:kern w:val="0"/>
                <w:sz w:val="24"/>
                <w:lang w:bidi="ar"/>
              </w:rPr>
              <w:t xml:space="preserve"> indices in “Five Highs” assessment (Table 1) and cerebrovascular B</w:t>
            </w:r>
            <w:r w:rsidRPr="007E5D9A">
              <w:rPr>
                <w:rFonts w:ascii="Times New Roman" w:eastAsia="var(--dsw-font-markdown-table)" w:hAnsi="Times New Roman" w:cs="Times New Roman"/>
                <w:kern w:val="0"/>
                <w:sz w:val="24"/>
                <w:lang w:bidi="ar"/>
              </w:rPr>
              <w:noBreakHyphen/>
              <w:t>Score (Table 4) for early MMCK risk stratification.</w:t>
            </w:r>
          </w:p>
        </w:tc>
        <w:tc>
          <w:tcPr>
            <w:tcW w:w="0" w:type="auto"/>
            <w:tcBorders>
              <w:top w:val="single" w:sz="4" w:space="0" w:color="auto"/>
            </w:tcBorders>
            <w:tcMar>
              <w:top w:w="74" w:type="dxa"/>
              <w:left w:w="119" w:type="dxa"/>
              <w:bottom w:w="74" w:type="dxa"/>
              <w:right w:w="0" w:type="dxa"/>
            </w:tcMar>
            <w:vAlign w:val="center"/>
          </w:tcPr>
          <w:p w14:paraId="5C506007" w14:textId="77777777" w:rsidR="00795585" w:rsidRPr="007E5D9A" w:rsidRDefault="00000000">
            <w:pPr>
              <w:widowControl/>
              <w:jc w:val="left"/>
              <w:rPr>
                <w:rFonts w:ascii="Times New Roman" w:hAnsi="Times New Roman" w:cs="Times New Roman"/>
              </w:rPr>
            </w:pPr>
            <w:r w:rsidRPr="007E5D9A">
              <w:rPr>
                <w:rFonts w:ascii="Times New Roman" w:eastAsia="var(--dsw-font-markdown-table)" w:hAnsi="Times New Roman" w:cs="Times New Roman"/>
                <w:kern w:val="0"/>
                <w:sz w:val="24"/>
                <w:lang w:bidi="ar"/>
              </w:rPr>
              <w:fldChar w:fldCharType="begin"/>
            </w:r>
            <w:r w:rsidRPr="007E5D9A">
              <w:rPr>
                <w:rFonts w:ascii="Times New Roman" w:eastAsia="var(--dsw-font-markdown-table)" w:hAnsi="Times New Roman" w:cs="Times New Roman"/>
                <w:kern w:val="0"/>
                <w:sz w:val="24"/>
                <w:lang w:bidi="ar"/>
              </w:rPr>
              <w:instrText xml:space="preserve"> ADDIN ZOTERO_ITEM CSL_CITATION {"citationID":"DoLzv81p","properties":{"formattedCitation":"[36,37]","plainCitation":"[36,37]","noteIndex":0},"citationItems":[{"id":"PT63WDpC/IGH29DWD","uris":["http://zotero.org/users/local/pKm3rcyL/items/B5A3T9WA"],"itemData":{"id":9470,"type":"article-journal","container-title":"Cardiovascular Diabetology","DOI":"10.1186/s12933-025-02842-1","ISSN":"1475-2840","issue":"1","journalAbbreviation":"Cardiovasc Diabetol","language":"en","page":"277","source":"DOI.org (Crossref)","title":"Triglyceride-glucose-related indices and risk of cardiovascular disease and mortality in individuals with cardiovascular–kidney–metabolic (CKM) syndrome stages 0–3: a prospective cohort study of 282,920 participants in the UK Biobank","title-short":"Triglyceride-glucose-related indices and risk of cardiovascular disease and mortality in individuals with cardiovascular–kidney–metabolic (CKM) syndrome stages 0–3","volume":"24","author":[{"family":"Liu","given":"Kun"},{"family":"Hu","given":"Jinling"},{"family":"Huang","given":"Yueqing"},{"family":"He","given":"Dingliu"},{"family":"Zhang","given":"Jing"}],"issued":{"date-parts":[["2025",7,10]]}},"label":"page"},{"id":"PT63WDpC/0soeBL6g","uris":["http://zotero.org/users/local/pKm3rcyL/items/YDM24D9Z"],"itemData":{"id":9472,"type":"article-journal","container-title":"Cardiovascular Diabetology","DOI":"10.1186/s12933-025-02854-x","ISSN":"1475-2840","issue":"1","journalAbbreviation":"Cardiovasc Diabetol","language":"en","page":"301","source":"DOI.org (Crossref)","title":"Association of novel triglyceride-glucose-related indices with incident stroke in early-stage cardiovascular-kidney-metabolic syndrome","volume":"24","author":[{"family":"Yue","given":"Yong"},{"family":"Li","given":"Pengcheng"},{"family":"Sun","given":"Zhengyu"},{"family":"Murayama","given":"Rumi"},{"family":"Li","given":"Zongping"},{"family":"Hashimoto","given":"Kenji"},{"family":"Zhang","given":"Ye"}],"issued":{"date-parts":[["2025",7,24]]}},"label":"page"}],"schema":"https://github.com/citation-style-language/schema/raw/master/csl-citation.json"} </w:instrText>
            </w:r>
            <w:r w:rsidRPr="007E5D9A">
              <w:rPr>
                <w:rFonts w:ascii="Times New Roman" w:eastAsia="var(--dsw-font-markdown-table)" w:hAnsi="Times New Roman" w:cs="Times New Roman"/>
                <w:kern w:val="0"/>
                <w:sz w:val="24"/>
                <w:lang w:bidi="ar"/>
              </w:rPr>
              <w:fldChar w:fldCharType="separate"/>
            </w:r>
            <w:r w:rsidRPr="007E5D9A">
              <w:rPr>
                <w:rFonts w:ascii="Times New Roman" w:hAnsi="Times New Roman" w:cs="Times New Roman"/>
                <w:sz w:val="24"/>
              </w:rPr>
              <w:t>[36,37]</w:t>
            </w:r>
            <w:r w:rsidRPr="007E5D9A">
              <w:rPr>
                <w:rFonts w:ascii="Times New Roman" w:eastAsia="var(--dsw-font-markdown-table)" w:hAnsi="Times New Roman" w:cs="Times New Roman"/>
                <w:kern w:val="0"/>
                <w:sz w:val="24"/>
                <w:lang w:bidi="ar"/>
              </w:rPr>
              <w:fldChar w:fldCharType="end"/>
            </w:r>
          </w:p>
        </w:tc>
      </w:tr>
      <w:tr w:rsidR="00795585" w:rsidRPr="007E5D9A" w14:paraId="68E64E8D" w14:textId="77777777">
        <w:tc>
          <w:tcPr>
            <w:tcW w:w="0" w:type="auto"/>
            <w:tcMar>
              <w:top w:w="74" w:type="dxa"/>
              <w:left w:w="0" w:type="dxa"/>
              <w:bottom w:w="74" w:type="dxa"/>
              <w:right w:w="119" w:type="dxa"/>
            </w:tcMar>
            <w:vAlign w:val="center"/>
          </w:tcPr>
          <w:p w14:paraId="73D9B1A8" w14:textId="77777777" w:rsidR="00795585" w:rsidRPr="007E5D9A" w:rsidRDefault="00000000">
            <w:pPr>
              <w:widowControl/>
              <w:jc w:val="left"/>
              <w:rPr>
                <w:rFonts w:ascii="Times New Roman" w:eastAsia="var(--dsw-font-markdown-table)" w:hAnsi="Times New Roman" w:cs="Times New Roman"/>
              </w:rPr>
            </w:pPr>
            <w:r w:rsidRPr="007E5D9A">
              <w:rPr>
                <w:rStyle w:val="a9"/>
                <w:rFonts w:ascii="Times New Roman" w:eastAsia="var(--dsw-font-markdown-table)" w:hAnsi="Times New Roman" w:cs="Times New Roman"/>
                <w:bCs/>
                <w:kern w:val="0"/>
                <w:sz w:val="24"/>
                <w:lang w:bidi="ar"/>
              </w:rPr>
              <w:t>CKM stages &amp; all</w:t>
            </w:r>
            <w:r w:rsidRPr="007E5D9A">
              <w:rPr>
                <w:rStyle w:val="a9"/>
                <w:rFonts w:ascii="Times New Roman" w:eastAsia="var(--dsw-font-markdown-table)" w:hAnsi="Times New Roman" w:cs="Times New Roman"/>
                <w:bCs/>
                <w:kern w:val="0"/>
                <w:sz w:val="24"/>
                <w:lang w:bidi="ar"/>
              </w:rPr>
              <w:noBreakHyphen/>
              <w:t>cause mortality</w:t>
            </w:r>
          </w:p>
        </w:tc>
        <w:tc>
          <w:tcPr>
            <w:tcW w:w="0" w:type="auto"/>
            <w:tcMar>
              <w:top w:w="74" w:type="dxa"/>
              <w:left w:w="119" w:type="dxa"/>
              <w:bottom w:w="74" w:type="dxa"/>
              <w:right w:w="119" w:type="dxa"/>
            </w:tcMar>
            <w:vAlign w:val="center"/>
          </w:tcPr>
          <w:p w14:paraId="018162C9" w14:textId="77777777" w:rsidR="00795585" w:rsidRPr="007E5D9A" w:rsidRDefault="00000000">
            <w:pPr>
              <w:widowControl/>
              <w:jc w:val="left"/>
              <w:rPr>
                <w:rFonts w:ascii="Times New Roman" w:eastAsia="var(--dsw-font-markdown-table)" w:hAnsi="Times New Roman" w:cs="Times New Roman"/>
              </w:rPr>
            </w:pPr>
            <w:proofErr w:type="spellStart"/>
            <w:r w:rsidRPr="007E5D9A">
              <w:rPr>
                <w:rFonts w:ascii="Times New Roman" w:eastAsia="var(--dsw-font-markdown-table)" w:hAnsi="Times New Roman" w:cs="Times New Roman"/>
                <w:kern w:val="0"/>
                <w:sz w:val="24"/>
                <w:lang w:bidi="ar"/>
              </w:rPr>
              <w:t>Kailuan</w:t>
            </w:r>
            <w:proofErr w:type="spellEnd"/>
            <w:r w:rsidRPr="007E5D9A">
              <w:rPr>
                <w:rFonts w:ascii="Times New Roman" w:eastAsia="var(--dsw-font-markdown-table)" w:hAnsi="Times New Roman" w:cs="Times New Roman"/>
                <w:kern w:val="0"/>
                <w:sz w:val="24"/>
                <w:lang w:bidi="ar"/>
              </w:rPr>
              <w:t xml:space="preserve"> study (n=97,777, 15</w:t>
            </w:r>
            <w:r w:rsidRPr="007E5D9A">
              <w:rPr>
                <w:rFonts w:ascii="Times New Roman" w:eastAsia="var(--dsw-font-markdown-table)" w:hAnsi="Times New Roman" w:cs="Times New Roman"/>
                <w:kern w:val="0"/>
                <w:sz w:val="24"/>
                <w:lang w:bidi="ar"/>
              </w:rPr>
              <w:noBreakHyphen/>
              <w:t>year follow</w:t>
            </w:r>
            <w:r w:rsidRPr="007E5D9A">
              <w:rPr>
                <w:rFonts w:ascii="Times New Roman" w:eastAsia="var(--dsw-font-markdown-table)" w:hAnsi="Times New Roman" w:cs="Times New Roman"/>
                <w:kern w:val="0"/>
                <w:sz w:val="24"/>
                <w:lang w:bidi="ar"/>
              </w:rPr>
              <w:noBreakHyphen/>
              <w:t>up): all</w:t>
            </w:r>
            <w:r w:rsidRPr="007E5D9A">
              <w:rPr>
                <w:rFonts w:ascii="Times New Roman" w:eastAsia="var(--dsw-font-markdown-table)" w:hAnsi="Times New Roman" w:cs="Times New Roman"/>
                <w:kern w:val="0"/>
                <w:sz w:val="24"/>
                <w:lang w:bidi="ar"/>
              </w:rPr>
              <w:noBreakHyphen/>
              <w:t>cause mortality HR gradient from Stage 1 (1.24) to Stage 4 (3.73) vs. Stage 0 (</w:t>
            </w:r>
            <w:r w:rsidRPr="007E5D9A">
              <w:rPr>
                <w:rStyle w:val="aa"/>
                <w:rFonts w:ascii="Times New Roman" w:eastAsia="var(--dsw-font-markdown-table)" w:hAnsi="Times New Roman" w:cs="Times New Roman"/>
                <w:kern w:val="0"/>
                <w:sz w:val="24"/>
                <w:lang w:bidi="ar"/>
              </w:rPr>
              <w:t>P</w:t>
            </w:r>
            <w:r w:rsidRPr="007E5D9A">
              <w:rPr>
                <w:rFonts w:ascii="Times New Roman" w:eastAsia="var(--dsw-font-markdown-table)" w:hAnsi="Times New Roman" w:cs="Times New Roman"/>
                <w:kern w:val="0"/>
                <w:sz w:val="24"/>
                <w:lang w:bidi="ar"/>
              </w:rPr>
              <w:noBreakHyphen/>
              <w:t>trend&lt;0.001); stronger in &lt;60 y.</w:t>
            </w:r>
          </w:p>
        </w:tc>
        <w:tc>
          <w:tcPr>
            <w:tcW w:w="0" w:type="auto"/>
            <w:tcMar>
              <w:top w:w="74" w:type="dxa"/>
              <w:left w:w="119" w:type="dxa"/>
              <w:bottom w:w="74" w:type="dxa"/>
              <w:right w:w="119" w:type="dxa"/>
            </w:tcMar>
            <w:vAlign w:val="center"/>
          </w:tcPr>
          <w:p w14:paraId="5BB76A19" w14:textId="77777777" w:rsidR="00795585" w:rsidRPr="007E5D9A" w:rsidRDefault="00000000">
            <w:pPr>
              <w:widowControl/>
              <w:jc w:val="left"/>
              <w:rPr>
                <w:rFonts w:ascii="Times New Roman" w:eastAsia="var(--dsw-font-markdown-table)" w:hAnsi="Times New Roman" w:cs="Times New Roman"/>
              </w:rPr>
            </w:pPr>
            <w:r w:rsidRPr="007E5D9A">
              <w:rPr>
                <w:rFonts w:ascii="Times New Roman" w:eastAsia="var(--dsw-font-markdown-table)" w:hAnsi="Times New Roman" w:cs="Times New Roman"/>
                <w:kern w:val="0"/>
                <w:sz w:val="24"/>
                <w:lang w:bidi="ar"/>
              </w:rPr>
              <w:t>Validates the prognostic gradient of the MMCK staging system (Stage 4 discussion).</w:t>
            </w:r>
          </w:p>
        </w:tc>
        <w:tc>
          <w:tcPr>
            <w:tcW w:w="0" w:type="auto"/>
            <w:tcMar>
              <w:top w:w="74" w:type="dxa"/>
              <w:left w:w="119" w:type="dxa"/>
              <w:bottom w:w="74" w:type="dxa"/>
              <w:right w:w="0" w:type="dxa"/>
            </w:tcMar>
            <w:vAlign w:val="center"/>
          </w:tcPr>
          <w:p w14:paraId="266E19F3" w14:textId="77777777" w:rsidR="00795585" w:rsidRPr="007E5D9A" w:rsidRDefault="00000000">
            <w:pPr>
              <w:widowControl/>
              <w:jc w:val="left"/>
              <w:rPr>
                <w:rFonts w:ascii="Times New Roman" w:hAnsi="Times New Roman" w:cs="Times New Roman"/>
              </w:rPr>
            </w:pPr>
            <w:r w:rsidRPr="007E5D9A">
              <w:rPr>
                <w:rFonts w:ascii="Times New Roman" w:eastAsia="var(--dsw-font-markdown-table)" w:hAnsi="Times New Roman" w:cs="Times New Roman"/>
                <w:kern w:val="0"/>
                <w:sz w:val="24"/>
                <w:lang w:bidi="ar"/>
              </w:rPr>
              <w:fldChar w:fldCharType="begin"/>
            </w:r>
            <w:r w:rsidRPr="007E5D9A">
              <w:rPr>
                <w:rFonts w:ascii="Times New Roman" w:eastAsia="var(--dsw-font-markdown-table)" w:hAnsi="Times New Roman" w:cs="Times New Roman"/>
                <w:kern w:val="0"/>
                <w:sz w:val="24"/>
                <w:lang w:bidi="ar"/>
              </w:rPr>
              <w:instrText xml:space="preserve"> ADDIN ZOTERO_ITEM CSL_CITATION {"citationID":"3ofQFlwC","properties":{"formattedCitation":"[38]","plainCitation":"[38]","noteIndex":0},"citationItems":[{"id":"PT63WDpC/wMubeemq","uris":["http://zotero.org/users/local/pKm3rcyL/items/DVPZVDBD"],"itemData":{"id":9474,"type":"article-journal","container-title":"Atherosclerosis","DOI":"10.1016/j.atherosclerosis.2024.118585","ISSN":"00219150","journalAbbreviation":"Atherosclerosis","language":"en","page":"118585","source":"DOI.org (Crossref)","title":"Association between different stages of cardiovascular-kidney-metabolic syndrome and the risk of all-cause mortality","volume":"397","author":[{"family":"Li","given":"Na"},{"family":"Li","given":"Yaqi"},{"family":"Cui","given":"Liufu"},{"family":"Shu","given":"Rong"},{"family":"Song","given":"Haicheng"},{"family":"Wang","given":"Jierui"},{"family":"Chen","given":"Shuohua"},{"family":"Liu","given":"Bailu"},{"family":"Shi","given":"Huijing"},{"family":"Gao","given":"Huanqing"},{"family":"Huang","given":"Tao"},{"family":"Gao","given":"Xiang"},{"family":"Geng","given":"Tingting"},{"family":"Wu","given":"Shouling"}],"issued":{"date-parts":[["2024",10]]}}}],"schema":"https://github.com/citation-style-language/schema/raw/master/csl-citation.json"} </w:instrText>
            </w:r>
            <w:r w:rsidRPr="007E5D9A">
              <w:rPr>
                <w:rFonts w:ascii="Times New Roman" w:eastAsia="var(--dsw-font-markdown-table)" w:hAnsi="Times New Roman" w:cs="Times New Roman"/>
                <w:kern w:val="0"/>
                <w:sz w:val="24"/>
                <w:lang w:bidi="ar"/>
              </w:rPr>
              <w:fldChar w:fldCharType="separate"/>
            </w:r>
            <w:r w:rsidRPr="007E5D9A">
              <w:rPr>
                <w:rFonts w:ascii="Times New Roman" w:hAnsi="Times New Roman" w:cs="Times New Roman"/>
                <w:sz w:val="24"/>
              </w:rPr>
              <w:t>[38]</w:t>
            </w:r>
            <w:r w:rsidRPr="007E5D9A">
              <w:rPr>
                <w:rFonts w:ascii="Times New Roman" w:eastAsia="var(--dsw-font-markdown-table)" w:hAnsi="Times New Roman" w:cs="Times New Roman"/>
                <w:kern w:val="0"/>
                <w:sz w:val="24"/>
                <w:lang w:bidi="ar"/>
              </w:rPr>
              <w:fldChar w:fldCharType="end"/>
            </w:r>
          </w:p>
        </w:tc>
      </w:tr>
      <w:tr w:rsidR="00795585" w:rsidRPr="007E5D9A" w14:paraId="741FA3F8" w14:textId="77777777">
        <w:tc>
          <w:tcPr>
            <w:tcW w:w="0" w:type="auto"/>
            <w:tcMar>
              <w:top w:w="74" w:type="dxa"/>
              <w:left w:w="0" w:type="dxa"/>
              <w:bottom w:w="74" w:type="dxa"/>
              <w:right w:w="119" w:type="dxa"/>
            </w:tcMar>
            <w:vAlign w:val="center"/>
          </w:tcPr>
          <w:p w14:paraId="666057CE" w14:textId="77777777" w:rsidR="00795585" w:rsidRPr="007E5D9A" w:rsidRDefault="00000000">
            <w:pPr>
              <w:widowControl/>
              <w:jc w:val="left"/>
              <w:rPr>
                <w:rFonts w:ascii="Times New Roman" w:eastAsia="var(--dsw-font-markdown-table)" w:hAnsi="Times New Roman" w:cs="Times New Roman"/>
              </w:rPr>
            </w:pPr>
            <w:r w:rsidRPr="007E5D9A">
              <w:rPr>
                <w:rStyle w:val="a9"/>
                <w:rFonts w:ascii="Times New Roman" w:eastAsia="var(--dsw-font-markdown-table)" w:hAnsi="Times New Roman" w:cs="Times New Roman"/>
                <w:bCs/>
                <w:kern w:val="0"/>
                <w:sz w:val="24"/>
                <w:lang w:bidi="ar"/>
              </w:rPr>
              <w:t>CKM stages &amp; MASLD outcomes</w:t>
            </w:r>
          </w:p>
        </w:tc>
        <w:tc>
          <w:tcPr>
            <w:tcW w:w="0" w:type="auto"/>
            <w:tcMar>
              <w:top w:w="74" w:type="dxa"/>
              <w:left w:w="119" w:type="dxa"/>
              <w:bottom w:w="74" w:type="dxa"/>
              <w:right w:w="119" w:type="dxa"/>
            </w:tcMar>
            <w:vAlign w:val="center"/>
          </w:tcPr>
          <w:p w14:paraId="191558D9" w14:textId="77777777" w:rsidR="00795585" w:rsidRPr="007E5D9A" w:rsidRDefault="00000000">
            <w:pPr>
              <w:widowControl/>
              <w:jc w:val="left"/>
              <w:rPr>
                <w:rFonts w:ascii="Times New Roman" w:eastAsia="var(--dsw-font-markdown-table)" w:hAnsi="Times New Roman" w:cs="Times New Roman"/>
              </w:rPr>
            </w:pPr>
            <w:r w:rsidRPr="007E5D9A">
              <w:rPr>
                <w:rFonts w:ascii="Times New Roman" w:eastAsia="var(--dsw-font-markdown-table)" w:hAnsi="Times New Roman" w:cs="Times New Roman"/>
                <w:kern w:val="0"/>
                <w:sz w:val="24"/>
                <w:lang w:bidi="ar"/>
              </w:rPr>
              <w:t>CKM Stages 3–4 vs. Stage 1: all</w:t>
            </w:r>
            <w:r w:rsidRPr="007E5D9A">
              <w:rPr>
                <w:rFonts w:ascii="Times New Roman" w:eastAsia="var(--dsw-font-markdown-table)" w:hAnsi="Times New Roman" w:cs="Times New Roman"/>
                <w:kern w:val="0"/>
                <w:sz w:val="24"/>
                <w:lang w:bidi="ar"/>
              </w:rPr>
              <w:noBreakHyphen/>
              <w:t xml:space="preserve">cause mortality </w:t>
            </w:r>
            <w:proofErr w:type="spellStart"/>
            <w:r w:rsidRPr="007E5D9A">
              <w:rPr>
                <w:rFonts w:ascii="Times New Roman" w:eastAsia="var(--dsw-font-markdown-table)" w:hAnsi="Times New Roman" w:cs="Times New Roman"/>
                <w:kern w:val="0"/>
                <w:sz w:val="24"/>
                <w:lang w:bidi="ar"/>
              </w:rPr>
              <w:t>aHR</w:t>
            </w:r>
            <w:proofErr w:type="spellEnd"/>
            <w:r w:rsidRPr="007E5D9A">
              <w:rPr>
                <w:rFonts w:ascii="Times New Roman" w:eastAsia="var(--dsw-font-markdown-table)" w:hAnsi="Times New Roman" w:cs="Times New Roman"/>
                <w:kern w:val="0"/>
                <w:sz w:val="24"/>
                <w:lang w:bidi="ar"/>
              </w:rPr>
              <w:t xml:space="preserve"> 2.69 (1.92–3.76); MASLD fibrosis </w:t>
            </w:r>
            <w:proofErr w:type="spellStart"/>
            <w:r w:rsidRPr="007E5D9A">
              <w:rPr>
                <w:rFonts w:ascii="Times New Roman" w:eastAsia="var(--dsw-font-markdown-table)" w:hAnsi="Times New Roman" w:cs="Times New Roman"/>
                <w:kern w:val="0"/>
                <w:sz w:val="24"/>
                <w:lang w:bidi="ar"/>
              </w:rPr>
              <w:t>aOR</w:t>
            </w:r>
            <w:proofErr w:type="spellEnd"/>
            <w:r w:rsidRPr="007E5D9A">
              <w:rPr>
                <w:rFonts w:ascii="Times New Roman" w:eastAsia="var(--dsw-font-markdown-table)" w:hAnsi="Times New Roman" w:cs="Times New Roman"/>
                <w:kern w:val="0"/>
                <w:sz w:val="24"/>
                <w:lang w:bidi="ar"/>
              </w:rPr>
              <w:t xml:space="preserve"> </w:t>
            </w:r>
            <w:r w:rsidRPr="007E5D9A">
              <w:rPr>
                <w:rFonts w:ascii="Times New Roman" w:eastAsia="var(--dsw-font-markdown-table)" w:hAnsi="Times New Roman" w:cs="Times New Roman"/>
                <w:kern w:val="0"/>
                <w:sz w:val="24"/>
                <w:lang w:bidi="ar"/>
              </w:rPr>
              <w:lastRenderedPageBreak/>
              <w:t xml:space="preserve">2.24 (NHANES III &amp; </w:t>
            </w:r>
            <w:proofErr w:type="spellStart"/>
            <w:r w:rsidRPr="007E5D9A">
              <w:rPr>
                <w:rFonts w:ascii="Times New Roman" w:eastAsia="var(--dsw-font-markdown-table)" w:hAnsi="Times New Roman" w:cs="Times New Roman"/>
                <w:kern w:val="0"/>
                <w:sz w:val="24"/>
                <w:lang w:bidi="ar"/>
              </w:rPr>
              <w:t>Kailuan</w:t>
            </w:r>
            <w:proofErr w:type="spellEnd"/>
            <w:r w:rsidRPr="007E5D9A">
              <w:rPr>
                <w:rFonts w:ascii="Times New Roman" w:eastAsia="var(--dsw-font-markdown-table)" w:hAnsi="Times New Roman" w:cs="Times New Roman"/>
                <w:kern w:val="0"/>
                <w:sz w:val="24"/>
                <w:lang w:bidi="ar"/>
              </w:rPr>
              <w:t>).</w:t>
            </w:r>
          </w:p>
        </w:tc>
        <w:tc>
          <w:tcPr>
            <w:tcW w:w="0" w:type="auto"/>
            <w:tcMar>
              <w:top w:w="74" w:type="dxa"/>
              <w:left w:w="119" w:type="dxa"/>
              <w:bottom w:w="74" w:type="dxa"/>
              <w:right w:w="119" w:type="dxa"/>
            </w:tcMar>
            <w:vAlign w:val="center"/>
          </w:tcPr>
          <w:p w14:paraId="62FE3C98" w14:textId="77777777" w:rsidR="00795585" w:rsidRPr="007E5D9A" w:rsidRDefault="00000000">
            <w:pPr>
              <w:widowControl/>
              <w:jc w:val="left"/>
              <w:rPr>
                <w:rFonts w:ascii="Times New Roman" w:eastAsia="var(--dsw-font-markdown-table)" w:hAnsi="Times New Roman" w:cs="Times New Roman"/>
              </w:rPr>
            </w:pPr>
            <w:r w:rsidRPr="007E5D9A">
              <w:rPr>
                <w:rFonts w:ascii="Times New Roman" w:eastAsia="var(--dsw-font-markdown-table)" w:hAnsi="Times New Roman" w:cs="Times New Roman"/>
                <w:kern w:val="0"/>
                <w:sz w:val="24"/>
                <w:lang w:bidi="ar"/>
              </w:rPr>
              <w:lastRenderedPageBreak/>
              <w:t xml:space="preserve">Provides direct evidence for integrating MASLD </w:t>
            </w:r>
            <w:r w:rsidRPr="007E5D9A">
              <w:rPr>
                <w:rFonts w:ascii="Times New Roman" w:eastAsia="var(--dsw-font-markdown-table)" w:hAnsi="Times New Roman" w:cs="Times New Roman"/>
                <w:kern w:val="0"/>
                <w:sz w:val="24"/>
                <w:lang w:bidi="ar"/>
              </w:rPr>
              <w:lastRenderedPageBreak/>
              <w:t>fibrosis stage into MMCK Stages 3–4 (Tables 2,6).</w:t>
            </w:r>
          </w:p>
        </w:tc>
        <w:tc>
          <w:tcPr>
            <w:tcW w:w="0" w:type="auto"/>
            <w:tcMar>
              <w:top w:w="74" w:type="dxa"/>
              <w:left w:w="119" w:type="dxa"/>
              <w:bottom w:w="74" w:type="dxa"/>
              <w:right w:w="0" w:type="dxa"/>
            </w:tcMar>
            <w:vAlign w:val="center"/>
          </w:tcPr>
          <w:p w14:paraId="4E678329" w14:textId="77777777" w:rsidR="00795585" w:rsidRPr="007E5D9A" w:rsidRDefault="00000000">
            <w:pPr>
              <w:widowControl/>
              <w:jc w:val="left"/>
              <w:rPr>
                <w:rFonts w:ascii="Times New Roman" w:hAnsi="Times New Roman" w:cs="Times New Roman"/>
              </w:rPr>
            </w:pPr>
            <w:r w:rsidRPr="007E5D9A">
              <w:rPr>
                <w:rFonts w:ascii="Times New Roman" w:eastAsia="var(--dsw-font-markdown-table)" w:hAnsi="Times New Roman" w:cs="Times New Roman"/>
                <w:kern w:val="0"/>
                <w:sz w:val="24"/>
                <w:lang w:bidi="ar"/>
              </w:rPr>
              <w:lastRenderedPageBreak/>
              <w:fldChar w:fldCharType="begin"/>
            </w:r>
            <w:r w:rsidRPr="007E5D9A">
              <w:rPr>
                <w:rFonts w:ascii="Times New Roman" w:eastAsia="var(--dsw-font-markdown-table)" w:hAnsi="Times New Roman" w:cs="Times New Roman"/>
                <w:kern w:val="0"/>
                <w:sz w:val="24"/>
                <w:lang w:bidi="ar"/>
              </w:rPr>
              <w:instrText xml:space="preserve"> ADDIN ZOTERO_ITEM CSL_CITATION {"citationID":"1ewEhueB","properties":{"formattedCitation":"[19]","plainCitation":"[19]","noteIndex":0},"citationItems":[{"id":"PT63WDpC/bPXYFO3E","uris":["http://zotero.org/users/local/pKm3rcyL/items/BG8Q2DXJ"],"itemData":{"id":9068,"type":"article-journal","abstract":"BACKGROUND: Cardiovascular-kidney-metabolic (CKM) syndrome is a systemic disorder characterized by pathophysiological interactions among metabolic risk factors. We aimed to determine the prevalence of CKM syndrome and investigate the association between CKM stages and mortality in patients with metabolic dysfunction-associated steatotic liver disease (MASLD).\nMETHODS: We extracted data on patients with MASLD from NHANES III and the Chinese Kailuan cohort, enrolling a total of 2159 and 22,865 patients, respectively. Hepatic steatosis was assessed by liver ultrasound. Participants were categorized into three groups according to CKM stages: 1, 2, and 3-4. Mortality was evaluated using the Cox proportional hazards model with or without inverse probability of treatment weighting (IPTW).\nRESULTS: In NHANES III cohort, 84.5% MASLD patients meet the criteria for CKM stage 2 or higher, and 36.9% deaths are observed. CKM stages 3-4 is an independent risk factor for liver fibrosis after adjusting for confounding factors (aOR 2.24 95% CI: 1.14-4.40, P = 0.019). By using stage 1 as a reference, an increasing trend in all-cause mortality is shown in patients with higher stages (stage 2: aHR 1.55, 95% CI 1.17-2.07, P = 0.003; stages 3-4: aHR 2.69, 95% CI 1.92-3.76, P &lt; 0.001), as well as for cardiovascular mortality during a follow-up of 50,895.4 person-years. Moreover, patients with stages 3-4 have the highest mortality risk among different stages across most subgroups. Similar results are validated in Kailuan cohort.\nCONCLUSIONS: The majority of MASLD patients also have CKM syndrome. A significant increase in all-cause and cardiovascular mortality is associated with advancing CKM stages.","container-title":"Communications Medicine","DOI":"10.1038/s43856-025-01195-w","ISSN":"2730-664X","issue":"1","journalAbbreviation":"Commun Med (Lond)","language":"eng","page":"492","source":"PubMed","title":"Cardiovascular-kidney-metabolic (CKM) syndrome is associated with increased mortality in individuals with metabolic dysfunction-associated steatotic liver disease (MASLD)","volume":"5","author":[{"family":"Chen","given":"Qianqian"},{"family":"Zhu","given":"Yixuan"},{"family":"Gao","given":"Jingli"},{"family":"Ni","given":"Wenjing"},{"family":"Liu","given":"Shanghao"},{"family":"Rui","given":"Fajuan"},{"family":"Bai","given":"Xue"},{"family":"Geng","given":"Nan"},{"family":"Jin","given":"Rui"},{"family":"Sun","given":"Yuxiang"},{"family":"Chen","given":"Yijie"},{"family":"Fan","given":"Zhiwen"},{"family":"Wu","given":"Chao"},{"family":"Qi","given":"Xiaolong"},{"family":"Shi","given":"Junping"},{"family":"Li","given":"Jie"}],"issued":{"date-parts":[["2025",11,21]]}}}],"schema":"https://github.com/citation-style-language/schema/raw/master/csl-citation.json"} </w:instrText>
            </w:r>
            <w:r w:rsidRPr="007E5D9A">
              <w:rPr>
                <w:rFonts w:ascii="Times New Roman" w:eastAsia="var(--dsw-font-markdown-table)" w:hAnsi="Times New Roman" w:cs="Times New Roman"/>
                <w:kern w:val="0"/>
                <w:sz w:val="24"/>
                <w:lang w:bidi="ar"/>
              </w:rPr>
              <w:fldChar w:fldCharType="separate"/>
            </w:r>
            <w:r w:rsidRPr="007E5D9A">
              <w:rPr>
                <w:rFonts w:ascii="Times New Roman" w:hAnsi="Times New Roman" w:cs="Times New Roman"/>
                <w:sz w:val="24"/>
              </w:rPr>
              <w:t>[19]</w:t>
            </w:r>
            <w:r w:rsidRPr="007E5D9A">
              <w:rPr>
                <w:rFonts w:ascii="Times New Roman" w:eastAsia="var(--dsw-font-markdown-table)" w:hAnsi="Times New Roman" w:cs="Times New Roman"/>
                <w:kern w:val="0"/>
                <w:sz w:val="24"/>
                <w:lang w:bidi="ar"/>
              </w:rPr>
              <w:fldChar w:fldCharType="end"/>
            </w:r>
          </w:p>
        </w:tc>
      </w:tr>
      <w:tr w:rsidR="00795585" w:rsidRPr="007E5D9A" w14:paraId="3C83B651" w14:textId="77777777">
        <w:tc>
          <w:tcPr>
            <w:tcW w:w="0" w:type="auto"/>
            <w:tcMar>
              <w:top w:w="74" w:type="dxa"/>
              <w:left w:w="0" w:type="dxa"/>
              <w:bottom w:w="74" w:type="dxa"/>
              <w:right w:w="119" w:type="dxa"/>
            </w:tcMar>
            <w:vAlign w:val="center"/>
          </w:tcPr>
          <w:p w14:paraId="7CE24665" w14:textId="77777777" w:rsidR="00795585" w:rsidRPr="007E5D9A" w:rsidRDefault="00000000">
            <w:pPr>
              <w:widowControl/>
              <w:jc w:val="left"/>
              <w:rPr>
                <w:rFonts w:ascii="Times New Roman" w:eastAsia="var(--dsw-font-markdown-table)" w:hAnsi="Times New Roman" w:cs="Times New Roman"/>
              </w:rPr>
            </w:pPr>
            <w:r w:rsidRPr="007E5D9A">
              <w:rPr>
                <w:rStyle w:val="a9"/>
                <w:rFonts w:ascii="Times New Roman" w:eastAsia="var(--dsw-font-markdown-table)" w:hAnsi="Times New Roman" w:cs="Times New Roman"/>
                <w:bCs/>
                <w:kern w:val="0"/>
                <w:sz w:val="24"/>
                <w:lang w:bidi="ar"/>
              </w:rPr>
              <w:t>Maternal nutrition &amp; offspring CKM programming</w:t>
            </w:r>
          </w:p>
        </w:tc>
        <w:tc>
          <w:tcPr>
            <w:tcW w:w="0" w:type="auto"/>
            <w:tcMar>
              <w:top w:w="74" w:type="dxa"/>
              <w:left w:w="119" w:type="dxa"/>
              <w:bottom w:w="74" w:type="dxa"/>
              <w:right w:w="119" w:type="dxa"/>
            </w:tcMar>
            <w:vAlign w:val="center"/>
          </w:tcPr>
          <w:p w14:paraId="0FB380B6" w14:textId="77777777" w:rsidR="00795585" w:rsidRPr="007E5D9A" w:rsidRDefault="00000000">
            <w:pPr>
              <w:widowControl/>
              <w:jc w:val="left"/>
              <w:rPr>
                <w:rFonts w:ascii="Times New Roman" w:eastAsia="var(--dsw-font-markdown-table)" w:hAnsi="Times New Roman" w:cs="Times New Roman"/>
              </w:rPr>
            </w:pPr>
            <w:r w:rsidRPr="007E5D9A">
              <w:rPr>
                <w:rFonts w:ascii="Times New Roman" w:eastAsia="var(--dsw-font-markdown-table)" w:hAnsi="Times New Roman" w:cs="Times New Roman"/>
                <w:kern w:val="0"/>
                <w:sz w:val="24"/>
                <w:lang w:bidi="ar"/>
              </w:rPr>
              <w:t>Maternal polyphenols (e.g., resveratrol) may program offspring CKM health via antioxidant/gut</w:t>
            </w:r>
            <w:r w:rsidRPr="007E5D9A">
              <w:rPr>
                <w:rFonts w:ascii="Times New Roman" w:eastAsia="var(--dsw-font-markdown-table)" w:hAnsi="Times New Roman" w:cs="Times New Roman"/>
                <w:kern w:val="0"/>
                <w:sz w:val="24"/>
                <w:lang w:bidi="ar"/>
              </w:rPr>
              <w:noBreakHyphen/>
              <w:t>microbiota pathways. Elevated maternal BCAAs linked to adverse metabolic epigenetic programming in offspring.</w:t>
            </w:r>
          </w:p>
        </w:tc>
        <w:tc>
          <w:tcPr>
            <w:tcW w:w="0" w:type="auto"/>
            <w:tcMar>
              <w:top w:w="74" w:type="dxa"/>
              <w:left w:w="119" w:type="dxa"/>
              <w:bottom w:w="74" w:type="dxa"/>
              <w:right w:w="119" w:type="dxa"/>
            </w:tcMar>
            <w:vAlign w:val="center"/>
          </w:tcPr>
          <w:p w14:paraId="745D8EDF" w14:textId="77777777" w:rsidR="00795585" w:rsidRPr="007E5D9A" w:rsidRDefault="00000000">
            <w:pPr>
              <w:widowControl/>
              <w:jc w:val="left"/>
              <w:rPr>
                <w:rFonts w:ascii="Times New Roman" w:eastAsia="var(--dsw-font-markdown-table)" w:hAnsi="Times New Roman" w:cs="Times New Roman"/>
              </w:rPr>
            </w:pPr>
            <w:r w:rsidRPr="007E5D9A">
              <w:rPr>
                <w:rFonts w:ascii="Times New Roman" w:eastAsia="var(--dsw-font-markdown-table)" w:hAnsi="Times New Roman" w:cs="Times New Roman"/>
                <w:kern w:val="0"/>
                <w:sz w:val="24"/>
                <w:lang w:bidi="ar"/>
              </w:rPr>
              <w:t>Adds a prenatal (DOHaD) dimension to MMCK gene–environment interactions, highlighting early</w:t>
            </w:r>
            <w:r w:rsidRPr="007E5D9A">
              <w:rPr>
                <w:rFonts w:ascii="Times New Roman" w:eastAsia="var(--dsw-font-markdown-table)" w:hAnsi="Times New Roman" w:cs="Times New Roman"/>
                <w:kern w:val="0"/>
                <w:sz w:val="24"/>
                <w:lang w:bidi="ar"/>
              </w:rPr>
              <w:noBreakHyphen/>
              <w:t>life nutritional susceptibility.</w:t>
            </w:r>
          </w:p>
        </w:tc>
        <w:tc>
          <w:tcPr>
            <w:tcW w:w="0" w:type="auto"/>
            <w:tcMar>
              <w:top w:w="74" w:type="dxa"/>
              <w:left w:w="119" w:type="dxa"/>
              <w:bottom w:w="74" w:type="dxa"/>
              <w:right w:w="0" w:type="dxa"/>
            </w:tcMar>
            <w:vAlign w:val="center"/>
          </w:tcPr>
          <w:p w14:paraId="443EE92A" w14:textId="77777777" w:rsidR="00795585" w:rsidRPr="007E5D9A" w:rsidRDefault="00000000">
            <w:pPr>
              <w:widowControl/>
              <w:jc w:val="left"/>
              <w:rPr>
                <w:rFonts w:ascii="Times New Roman" w:hAnsi="Times New Roman" w:cs="Times New Roman"/>
              </w:rPr>
            </w:pPr>
            <w:r w:rsidRPr="007E5D9A">
              <w:rPr>
                <w:rFonts w:ascii="Times New Roman" w:eastAsia="var(--dsw-font-markdown-table)" w:hAnsi="Times New Roman" w:cs="Times New Roman"/>
                <w:kern w:val="0"/>
                <w:sz w:val="24"/>
                <w:lang w:bidi="ar"/>
              </w:rPr>
              <w:fldChar w:fldCharType="begin"/>
            </w:r>
            <w:r w:rsidRPr="007E5D9A">
              <w:rPr>
                <w:rFonts w:ascii="Times New Roman" w:eastAsia="var(--dsw-font-markdown-table)" w:hAnsi="Times New Roman" w:cs="Times New Roman"/>
                <w:kern w:val="0"/>
                <w:sz w:val="24"/>
                <w:lang w:bidi="ar"/>
              </w:rPr>
              <w:instrText xml:space="preserve"> ADDIN ZOTERO_ITEM CSL_CITATION {"citationID":"iqpeY4oW","properties":{"formattedCitation":"[39,40]","plainCitation":"[39,40]","noteIndex":0},"citationItems":[{"id":"PT63WDpC/UIRq4hCh","uris":["http://zotero.org/users/local/pKm3rcyL/items/NX6QUI2S"],"itemData":{"id":9477,"type":"article-journal","abstract":"Background: The convergence of cardiovascular, kidney, and metabolic disorders at the pathophysiological level has led to the recognition of cardiovascular–kidney–metabolic (CKM) syndrome, which represents a significant global health challenge. Polyphenols, a group of phytochemicals, have demonstrated potential health-promoting effects. Methods: This review highlights the impact of maternal polyphenol supplementation on the CKM health of offspring. Results: Initially, we summarize the interconnections between polyphenols and each aspect of CKM syndrome. We then discuss in vivo studies that have investigated the use of polyphenols during pregnancy and breastfeeding, focusing on their role in preventing CKM syndrome in offspring. Additionally, we explore the common mechanisms underlying the protective effects of maternal polyphenol supplementation. Conclusions: Overall, this review underscores the potential of early-life polyphenol interventions in safeguarding against CKM syndrome in offspring. It emphasizes the importance of continued research to advance our understanding and facilitate the clinical translation of these interventions.","container-title":"Nutrients","DOI":"10.3390/nu16183168","ISSN":"2072-6643","issue":"18","journalAbbreviation":"Nutrients","language":"en","page":"3168","source":"DOI.org (Crossref)","title":"Maternal Polyphenols and Offspring Cardiovascular–Kidney–Metabolic Health","volume":"16","author":[{"family":"Tain","given":"You-Lin"},{"family":"Hsu","given":"Chien-Ning"}],"issued":{"date-parts":[["2024",9,19]]}},"label":"page"},{"id":"PT63WDpC/gxwyuJ7P","uris":["http://zotero.org/users/local/pKm3rcyL/items/UCXPGF9C"],"itemData":{"id":9479,"type":"article-journal","abstract":"Dietary regulation has been recognized for its profound impact on human health. The convergence of cardiovascular, kidney, and metabolic disorders at the pathophysiological level has given rise to cardiovascular–kidney–metabolic (CKM) syndrome, which constitutes a significant global health burden. Maternal dietary nutrients play a crucial role in fetal development, influencing various programmed processes. This review emphasizes the effects of different types of dietary interventions on each component of CKM syndrome in both preclinical and clinical settings. We also provide an overview of potential maternal dietary strategies, including amino acid supplementation, lipid-associated diets, micronutrients, gut microbiota-targeted diets, and plant polyphenols, aimed at preventing CKM syndrome in offspring. Additionally, we discuss the mechanisms mediated by nutrient-sensing signals that contribute to CKM programming. Altogether, we underscore the interaction between maternal dietary interventions and the risk of CKM syndrome in offspring, emphasizing the need for continued research to facilitate their clinical translation.","container-title":"International Journal of Molecular Sciences","DOI":"10.3390/ijms25189788","ISSN":"1422-0067","issue":"18","journalAbbreviation":"IJMS","language":"en","page":"9788","source":"DOI.org (Crossref)","title":"Maternal Dietary Strategies for Improving Offspring Cardiovascular–Kidney–Metabolic Health: A Scoping Review","title-short":"Maternal Dietary Strategies for Improving Offspring Cardiovascular–Kidney–Metabolic Health","volume":"25","author":[{"family":"Tain","given":"You-Lin"},{"family":"Hsu","given":"Chien-Ning"}],"issued":{"date-parts":[["2024",9,10]]}},"label":"page"}],"schema":"https://github.com/citation-style-language/schema/raw/master/csl-citation.json"} </w:instrText>
            </w:r>
            <w:r w:rsidRPr="007E5D9A">
              <w:rPr>
                <w:rFonts w:ascii="Times New Roman" w:eastAsia="var(--dsw-font-markdown-table)" w:hAnsi="Times New Roman" w:cs="Times New Roman"/>
                <w:kern w:val="0"/>
                <w:sz w:val="24"/>
                <w:lang w:bidi="ar"/>
              </w:rPr>
              <w:fldChar w:fldCharType="separate"/>
            </w:r>
            <w:r w:rsidRPr="007E5D9A">
              <w:rPr>
                <w:rFonts w:ascii="Times New Roman" w:hAnsi="Times New Roman" w:cs="Times New Roman"/>
                <w:sz w:val="24"/>
              </w:rPr>
              <w:t>[39,40]</w:t>
            </w:r>
            <w:r w:rsidRPr="007E5D9A">
              <w:rPr>
                <w:rFonts w:ascii="Times New Roman" w:eastAsia="var(--dsw-font-markdown-table)" w:hAnsi="Times New Roman" w:cs="Times New Roman"/>
                <w:kern w:val="0"/>
                <w:sz w:val="24"/>
                <w:lang w:bidi="ar"/>
              </w:rPr>
              <w:fldChar w:fldCharType="end"/>
            </w:r>
          </w:p>
        </w:tc>
      </w:tr>
      <w:tr w:rsidR="00795585" w:rsidRPr="007E5D9A" w14:paraId="38516AD9" w14:textId="77777777">
        <w:tc>
          <w:tcPr>
            <w:tcW w:w="0" w:type="auto"/>
            <w:tcMar>
              <w:top w:w="74" w:type="dxa"/>
              <w:left w:w="0" w:type="dxa"/>
              <w:bottom w:w="74" w:type="dxa"/>
              <w:right w:w="119" w:type="dxa"/>
            </w:tcMar>
            <w:vAlign w:val="center"/>
          </w:tcPr>
          <w:p w14:paraId="23F614E6" w14:textId="77777777" w:rsidR="00795585" w:rsidRPr="007E5D9A" w:rsidRDefault="00000000">
            <w:pPr>
              <w:widowControl/>
              <w:jc w:val="left"/>
              <w:rPr>
                <w:rFonts w:ascii="Times New Roman" w:eastAsia="var(--dsw-font-markdown-table)" w:hAnsi="Times New Roman" w:cs="Times New Roman"/>
              </w:rPr>
            </w:pPr>
            <w:r w:rsidRPr="007E5D9A">
              <w:rPr>
                <w:rStyle w:val="a9"/>
                <w:rFonts w:ascii="Times New Roman" w:eastAsia="var(--dsw-font-markdown-table)" w:hAnsi="Times New Roman" w:cs="Times New Roman"/>
                <w:bCs/>
                <w:kern w:val="0"/>
                <w:sz w:val="24"/>
                <w:lang w:bidi="ar"/>
              </w:rPr>
              <w:t>COVID</w:t>
            </w:r>
            <w:r w:rsidRPr="007E5D9A">
              <w:rPr>
                <w:rStyle w:val="a9"/>
                <w:rFonts w:ascii="Times New Roman" w:eastAsia="var(--dsw-font-markdown-table)" w:hAnsi="Times New Roman" w:cs="Times New Roman"/>
                <w:bCs/>
                <w:kern w:val="0"/>
                <w:sz w:val="24"/>
                <w:lang w:bidi="ar"/>
              </w:rPr>
              <w:noBreakHyphen/>
              <w:t>19 pandemic &amp; CKM prevalence</w:t>
            </w:r>
          </w:p>
        </w:tc>
        <w:tc>
          <w:tcPr>
            <w:tcW w:w="0" w:type="auto"/>
            <w:tcMar>
              <w:top w:w="74" w:type="dxa"/>
              <w:left w:w="119" w:type="dxa"/>
              <w:bottom w:w="74" w:type="dxa"/>
              <w:right w:w="119" w:type="dxa"/>
            </w:tcMar>
            <w:vAlign w:val="center"/>
          </w:tcPr>
          <w:p w14:paraId="328C7C5E" w14:textId="77777777" w:rsidR="00795585" w:rsidRPr="007E5D9A" w:rsidRDefault="00000000">
            <w:pPr>
              <w:widowControl/>
              <w:jc w:val="left"/>
              <w:rPr>
                <w:rFonts w:ascii="Times New Roman" w:eastAsia="var(--dsw-font-markdown-table)" w:hAnsi="Times New Roman" w:cs="Times New Roman"/>
              </w:rPr>
            </w:pPr>
            <w:r w:rsidRPr="007E5D9A">
              <w:rPr>
                <w:rFonts w:ascii="Times New Roman" w:eastAsia="var(--dsw-font-markdown-table)" w:hAnsi="Times New Roman" w:cs="Times New Roman"/>
                <w:kern w:val="0"/>
                <w:sz w:val="24"/>
                <w:lang w:bidi="ar"/>
              </w:rPr>
              <w:t>Propensity</w:t>
            </w:r>
            <w:r w:rsidRPr="007E5D9A">
              <w:rPr>
                <w:rFonts w:ascii="Times New Roman" w:eastAsia="var(--dsw-font-markdown-table)" w:hAnsi="Times New Roman" w:cs="Times New Roman"/>
                <w:kern w:val="0"/>
                <w:sz w:val="24"/>
                <w:lang w:bidi="ar"/>
              </w:rPr>
              <w:noBreakHyphen/>
              <w:t>matched study (n=61,022): during pandemic, T2DM nearly doubled (10.3%→24.4%), prediabetes +170%, with parallel increases in hypertension and obesity.</w:t>
            </w:r>
          </w:p>
        </w:tc>
        <w:tc>
          <w:tcPr>
            <w:tcW w:w="0" w:type="auto"/>
            <w:tcMar>
              <w:top w:w="74" w:type="dxa"/>
              <w:left w:w="119" w:type="dxa"/>
              <w:bottom w:w="74" w:type="dxa"/>
              <w:right w:w="119" w:type="dxa"/>
            </w:tcMar>
            <w:vAlign w:val="center"/>
          </w:tcPr>
          <w:p w14:paraId="528C008F" w14:textId="77777777" w:rsidR="00795585" w:rsidRPr="007E5D9A" w:rsidRDefault="00000000">
            <w:pPr>
              <w:widowControl/>
              <w:jc w:val="left"/>
              <w:rPr>
                <w:rFonts w:ascii="Times New Roman" w:eastAsia="var(--dsw-font-markdown-table)" w:hAnsi="Times New Roman" w:cs="Times New Roman"/>
              </w:rPr>
            </w:pPr>
            <w:r w:rsidRPr="007E5D9A">
              <w:rPr>
                <w:rFonts w:ascii="Times New Roman" w:eastAsia="var(--dsw-font-markdown-table)" w:hAnsi="Times New Roman" w:cs="Times New Roman"/>
                <w:kern w:val="0"/>
                <w:sz w:val="24"/>
                <w:lang w:bidi="ar"/>
              </w:rPr>
              <w:t>Demonstrates environmental influences on CKM/MMCK epidemiology, reinforcing the need for population</w:t>
            </w:r>
            <w:r w:rsidRPr="007E5D9A">
              <w:rPr>
                <w:rFonts w:ascii="Times New Roman" w:eastAsia="var(--dsw-font-markdown-table)" w:hAnsi="Times New Roman" w:cs="Times New Roman"/>
                <w:kern w:val="0"/>
                <w:sz w:val="24"/>
                <w:lang w:bidi="ar"/>
              </w:rPr>
              <w:noBreakHyphen/>
              <w:t>level surveillance (Figure 3).</w:t>
            </w:r>
          </w:p>
        </w:tc>
        <w:tc>
          <w:tcPr>
            <w:tcW w:w="0" w:type="auto"/>
            <w:tcMar>
              <w:top w:w="74" w:type="dxa"/>
              <w:left w:w="119" w:type="dxa"/>
              <w:bottom w:w="74" w:type="dxa"/>
              <w:right w:w="0" w:type="dxa"/>
            </w:tcMar>
            <w:vAlign w:val="center"/>
          </w:tcPr>
          <w:p w14:paraId="5FFE42B1" w14:textId="77777777" w:rsidR="00795585" w:rsidRPr="007E5D9A" w:rsidRDefault="00000000">
            <w:pPr>
              <w:widowControl/>
              <w:jc w:val="left"/>
              <w:rPr>
                <w:rFonts w:ascii="Times New Roman" w:hAnsi="Times New Roman" w:cs="Times New Roman"/>
              </w:rPr>
            </w:pPr>
            <w:r w:rsidRPr="007E5D9A">
              <w:rPr>
                <w:rFonts w:ascii="Times New Roman" w:eastAsia="var(--dsw-font-markdown-table)" w:hAnsi="Times New Roman" w:cs="Times New Roman"/>
                <w:kern w:val="0"/>
                <w:sz w:val="24"/>
                <w:lang w:bidi="ar"/>
              </w:rPr>
              <w:fldChar w:fldCharType="begin"/>
            </w:r>
            <w:r w:rsidRPr="007E5D9A">
              <w:rPr>
                <w:rFonts w:ascii="Times New Roman" w:eastAsia="var(--dsw-font-markdown-table)" w:hAnsi="Times New Roman" w:cs="Times New Roman"/>
                <w:kern w:val="0"/>
                <w:sz w:val="24"/>
                <w:lang w:bidi="ar"/>
              </w:rPr>
              <w:instrText xml:space="preserve"> ADDIN ZOTERO_ITEM CSL_CITATION {"citationID":"2O4bXACC","properties":{"formattedCitation":"[41]","plainCitation":"[41]","noteIndex":0},"citationItems":[{"id":"PT63WDpC/B8z6RgnS","uris":["http://zotero.org/users/local/pKm3rcyL/items/NIR25WPV"],"itemData":{"id":9481,"type":"article-journal","container-title":"Diabetes Research and Clinical Practice","DOI":"10.1016/j.diabres.2024.111926","ISSN":"01688227","journalAbbreviation":"Diabetes Research and Clinical Practice","language":"en","page":"111926","source":"DOI.org (Crossref)","title":"Increased prevalence of cardiovascular-kidney-metabolic syndrome during COVID-19: A propensity score-matched study","title-short":"Increased prevalence of cardiovascular-kidney-metabolic syndrome during COVID-19","volume":"218","author":[{"family":"Trimarco","given":"Valentina"},{"family":"Izzo","given":"Raffaele"},{"family":"Pacella","given":"Daniela"},{"family":"Virginia Manzi","given":"Maria"},{"family":"Trama","given":"Ugo"},{"family":"Lembo","given":"Maria"},{"family":"Piccinocchi","given":"Roberto"},{"family":"Gallo","given":"Paola"},{"family":"Esposito","given":"Giovanni"},{"family":"Morisco","given":"Carmine"},{"family":"Rozza","given":"Francesco"},{"family":"Mone","given":"Pasquale"},{"family":"Jankauskas","given":"Stanislovas S."},{"family":"Piccinocchi","given":"Gaetano"},{"family":"Santulli","given":"Gaetano"},{"family":"Trimarco","given":"Bruno"}],"issued":{"date-parts":[["2024",12]]}}}],"schema":"https://github.com/citation-style-language/schema/raw/master/csl-citation.json"} </w:instrText>
            </w:r>
            <w:r w:rsidRPr="007E5D9A">
              <w:rPr>
                <w:rFonts w:ascii="Times New Roman" w:eastAsia="var(--dsw-font-markdown-table)" w:hAnsi="Times New Roman" w:cs="Times New Roman"/>
                <w:kern w:val="0"/>
                <w:sz w:val="24"/>
                <w:lang w:bidi="ar"/>
              </w:rPr>
              <w:fldChar w:fldCharType="separate"/>
            </w:r>
            <w:r w:rsidRPr="007E5D9A">
              <w:rPr>
                <w:rFonts w:ascii="Times New Roman" w:hAnsi="Times New Roman" w:cs="Times New Roman"/>
                <w:sz w:val="24"/>
              </w:rPr>
              <w:t>[41]</w:t>
            </w:r>
            <w:r w:rsidRPr="007E5D9A">
              <w:rPr>
                <w:rFonts w:ascii="Times New Roman" w:eastAsia="var(--dsw-font-markdown-table)" w:hAnsi="Times New Roman" w:cs="Times New Roman"/>
                <w:kern w:val="0"/>
                <w:sz w:val="24"/>
                <w:lang w:bidi="ar"/>
              </w:rPr>
              <w:fldChar w:fldCharType="end"/>
            </w:r>
          </w:p>
        </w:tc>
      </w:tr>
      <w:tr w:rsidR="00795585" w:rsidRPr="007E5D9A" w14:paraId="386B2078" w14:textId="77777777">
        <w:tc>
          <w:tcPr>
            <w:tcW w:w="0" w:type="auto"/>
            <w:tcMar>
              <w:top w:w="74" w:type="dxa"/>
              <w:left w:w="0" w:type="dxa"/>
              <w:bottom w:w="74" w:type="dxa"/>
              <w:right w:w="119" w:type="dxa"/>
            </w:tcMar>
            <w:vAlign w:val="center"/>
          </w:tcPr>
          <w:p w14:paraId="267CEBEA" w14:textId="77777777" w:rsidR="00795585" w:rsidRPr="007E5D9A" w:rsidRDefault="00000000">
            <w:pPr>
              <w:widowControl/>
              <w:jc w:val="left"/>
              <w:rPr>
                <w:rFonts w:ascii="Times New Roman" w:eastAsia="var(--dsw-font-markdown-table)" w:hAnsi="Times New Roman" w:cs="Times New Roman"/>
              </w:rPr>
            </w:pPr>
            <w:r w:rsidRPr="007E5D9A">
              <w:rPr>
                <w:rStyle w:val="a9"/>
                <w:rFonts w:ascii="Times New Roman" w:eastAsia="var(--dsw-font-markdown-table)" w:hAnsi="Times New Roman" w:cs="Times New Roman"/>
                <w:bCs/>
                <w:kern w:val="0"/>
                <w:sz w:val="24"/>
                <w:lang w:bidi="ar"/>
              </w:rPr>
              <w:t>Central adiposity phenotypes</w:t>
            </w:r>
          </w:p>
        </w:tc>
        <w:tc>
          <w:tcPr>
            <w:tcW w:w="0" w:type="auto"/>
            <w:tcMar>
              <w:top w:w="74" w:type="dxa"/>
              <w:left w:w="119" w:type="dxa"/>
              <w:bottom w:w="74" w:type="dxa"/>
              <w:right w:w="119" w:type="dxa"/>
            </w:tcMar>
            <w:vAlign w:val="center"/>
          </w:tcPr>
          <w:p w14:paraId="217324C2" w14:textId="77777777" w:rsidR="00795585" w:rsidRPr="007E5D9A" w:rsidRDefault="00000000">
            <w:pPr>
              <w:widowControl/>
              <w:jc w:val="left"/>
              <w:rPr>
                <w:rFonts w:ascii="Times New Roman" w:eastAsia="var(--dsw-font-markdown-table)" w:hAnsi="Times New Roman" w:cs="Times New Roman"/>
              </w:rPr>
            </w:pPr>
            <w:r w:rsidRPr="007E5D9A">
              <w:rPr>
                <w:rFonts w:ascii="Times New Roman" w:eastAsia="var(--dsw-font-markdown-table)" w:hAnsi="Times New Roman" w:cs="Times New Roman"/>
                <w:kern w:val="0"/>
                <w:sz w:val="24"/>
                <w:lang w:bidi="ar"/>
              </w:rPr>
              <w:t>SIMETAP</w:t>
            </w:r>
            <w:r w:rsidRPr="007E5D9A">
              <w:rPr>
                <w:rFonts w:ascii="Times New Roman" w:eastAsia="var(--dsw-font-markdown-table)" w:hAnsi="Times New Roman" w:cs="Times New Roman"/>
                <w:kern w:val="0"/>
                <w:sz w:val="24"/>
                <w:lang w:bidi="ar"/>
              </w:rPr>
              <w:noBreakHyphen/>
              <w:t>AO (n=6,588, 18–102 y): age</w:t>
            </w:r>
            <w:r w:rsidRPr="007E5D9A">
              <w:rPr>
                <w:rFonts w:ascii="Times New Roman" w:eastAsia="var(--dsw-font-markdown-table)" w:hAnsi="Times New Roman" w:cs="Times New Roman"/>
                <w:kern w:val="0"/>
                <w:sz w:val="24"/>
                <w:lang w:bidi="ar"/>
              </w:rPr>
              <w:noBreakHyphen/>
              <w:t>adjusted prevalence—abdominal obesity 39.6%, high waist</w:t>
            </w:r>
            <w:r w:rsidRPr="007E5D9A">
              <w:rPr>
                <w:rFonts w:ascii="Times New Roman" w:eastAsia="var(--dsw-font-markdown-table)" w:hAnsi="Times New Roman" w:cs="Times New Roman"/>
                <w:kern w:val="0"/>
                <w:sz w:val="24"/>
                <w:lang w:bidi="ar"/>
              </w:rPr>
              <w:noBreakHyphen/>
              <w:t>to</w:t>
            </w:r>
            <w:r w:rsidRPr="007E5D9A">
              <w:rPr>
                <w:rFonts w:ascii="Times New Roman" w:eastAsia="var(--dsw-font-markdown-table)" w:hAnsi="Times New Roman" w:cs="Times New Roman"/>
                <w:kern w:val="0"/>
                <w:sz w:val="24"/>
                <w:lang w:bidi="ar"/>
              </w:rPr>
              <w:noBreakHyphen/>
              <w:t>height ratio 30.6%, excess adiposity 65.6%; all independently associated with CKM components and hyperuricemia.</w:t>
            </w:r>
          </w:p>
        </w:tc>
        <w:tc>
          <w:tcPr>
            <w:tcW w:w="0" w:type="auto"/>
            <w:tcMar>
              <w:top w:w="74" w:type="dxa"/>
              <w:left w:w="119" w:type="dxa"/>
              <w:bottom w:w="74" w:type="dxa"/>
              <w:right w:w="119" w:type="dxa"/>
            </w:tcMar>
            <w:vAlign w:val="center"/>
          </w:tcPr>
          <w:p w14:paraId="5955FB85" w14:textId="77777777" w:rsidR="00795585" w:rsidRPr="007E5D9A" w:rsidRDefault="00000000">
            <w:pPr>
              <w:widowControl/>
              <w:jc w:val="left"/>
              <w:rPr>
                <w:rFonts w:ascii="Times New Roman" w:eastAsia="var(--dsw-font-markdown-table)" w:hAnsi="Times New Roman" w:cs="Times New Roman"/>
              </w:rPr>
            </w:pPr>
            <w:r w:rsidRPr="007E5D9A">
              <w:rPr>
                <w:rFonts w:ascii="Times New Roman" w:eastAsia="var(--dsw-font-markdown-table)" w:hAnsi="Times New Roman" w:cs="Times New Roman"/>
                <w:kern w:val="0"/>
                <w:sz w:val="24"/>
                <w:lang w:bidi="ar"/>
              </w:rPr>
              <w:t>Reinforces dysfunctional adiposity as the core of MMCK Stage 1 and waist</w:t>
            </w:r>
            <w:r w:rsidRPr="007E5D9A">
              <w:rPr>
                <w:rFonts w:ascii="Times New Roman" w:eastAsia="var(--dsw-font-markdown-table)" w:hAnsi="Times New Roman" w:cs="Times New Roman"/>
                <w:kern w:val="0"/>
                <w:sz w:val="24"/>
                <w:lang w:bidi="ar"/>
              </w:rPr>
              <w:noBreakHyphen/>
              <w:t>to</w:t>
            </w:r>
            <w:r w:rsidRPr="007E5D9A">
              <w:rPr>
                <w:rFonts w:ascii="Times New Roman" w:eastAsia="var(--dsw-font-markdown-table)" w:hAnsi="Times New Roman" w:cs="Times New Roman"/>
                <w:kern w:val="0"/>
                <w:sz w:val="24"/>
                <w:lang w:bidi="ar"/>
              </w:rPr>
              <w:noBreakHyphen/>
              <w:t>height ratio as a practical risk</w:t>
            </w:r>
            <w:r w:rsidRPr="007E5D9A">
              <w:rPr>
                <w:rFonts w:ascii="Times New Roman" w:eastAsia="var(--dsw-font-markdown-table)" w:hAnsi="Times New Roman" w:cs="Times New Roman"/>
                <w:kern w:val="0"/>
                <w:sz w:val="24"/>
                <w:lang w:bidi="ar"/>
              </w:rPr>
              <w:noBreakHyphen/>
              <w:t>assessment tool (Table 1).</w:t>
            </w:r>
          </w:p>
        </w:tc>
        <w:tc>
          <w:tcPr>
            <w:tcW w:w="0" w:type="auto"/>
            <w:tcMar>
              <w:top w:w="74" w:type="dxa"/>
              <w:left w:w="119" w:type="dxa"/>
              <w:bottom w:w="74" w:type="dxa"/>
              <w:right w:w="0" w:type="dxa"/>
            </w:tcMar>
            <w:vAlign w:val="center"/>
          </w:tcPr>
          <w:p w14:paraId="529EFD60" w14:textId="77777777" w:rsidR="00795585" w:rsidRPr="007E5D9A" w:rsidRDefault="00000000">
            <w:pPr>
              <w:widowControl/>
              <w:jc w:val="left"/>
              <w:rPr>
                <w:rFonts w:ascii="Times New Roman" w:hAnsi="Times New Roman" w:cs="Times New Roman"/>
              </w:rPr>
            </w:pPr>
            <w:r w:rsidRPr="007E5D9A">
              <w:rPr>
                <w:rFonts w:ascii="Times New Roman" w:eastAsia="var(--dsw-font-markdown-table)" w:hAnsi="Times New Roman" w:cs="Times New Roman"/>
                <w:kern w:val="0"/>
                <w:sz w:val="24"/>
                <w:lang w:bidi="ar"/>
              </w:rPr>
              <w:fldChar w:fldCharType="begin"/>
            </w:r>
            <w:r w:rsidRPr="007E5D9A">
              <w:rPr>
                <w:rFonts w:ascii="Times New Roman" w:eastAsia="var(--dsw-font-markdown-table)" w:hAnsi="Times New Roman" w:cs="Times New Roman"/>
                <w:kern w:val="0"/>
                <w:sz w:val="24"/>
                <w:lang w:bidi="ar"/>
              </w:rPr>
              <w:instrText xml:space="preserve"> ADDIN ZOTERO_ITEM CSL_CITATION {"citationID":"VjtwaF5o","properties":{"formattedCitation":"[42]","plainCitation":"[42]","noteIndex":0},"citationItems":[{"id":"PT63WDpC/y2hJTz67","uris":["http://zotero.org/users/local/pKm3rcyL/items/2JNV2MLV"],"itemData":{"id":9482,"type":"article-journal","abstract":"Background/objective: In addition to obesity, adiposity and abdominal obesity (AO) are parameters included in the cardiovascular–kidney–metabolic (CKM) syndrome. However, their prevalence and association with the other CKM factors have been less studied. Our study aimed to determine the prevalence rates of AO, high waist-to-height ratio (WtHR), and excess adiposity (EA), and to compare their associations with CKM factors. Methods: A cross-sectional observational study was conducted with a random population-based sample of 6,588 study subjects between 18 and 102 years of age. Crude and sex- and age-adjusted prevalence rates of AO, high-WtHR, and EA were calculated, and their associations with CKM variables were assessed by bivariate and multivariate analyses. Results: The adjusted prevalence rates for AO, high-WtHR, and EA were 39.6% (33.6% in men; 44.9% in women), 30.6% (31.1% in men; 30.6% in women), and 65.6% (65.6% in men; 65.3% in women), respectively, and they increased with age. The main independent factors associated with AO, high-WtHR, and EA were hypertension, diabetes, prediabetes, low HDL-C, hypercholesterolaemia, hypertriglyceridemia, physical inactivity, hyperuricemia, and chronic kidney disease. Conclusions: Two-thirds of the adult population have EA, one-third have AO, and one-third have high-WtHR. These findings support that the other factors of CKM syndrome, in addition to hyperuricemia and physical inactivity, show an independent association with these adiposity-related variables.","container-title":"Nutrients","DOI":"10.3390/nu16223948","ISSN":"2072-6643","issue":"22","journalAbbreviation":"Nutrients","language":"en","page":"3948","source":"DOI.org (Crossref)","title":"Prevalence Rates of Abdominal Obesity, High Waist-to-Height Ratio and Excess Adiposity, and Their Associated Cardio-Kidney-Metabolic Factors: SIMETAP-AO Study","title-short":"Prevalence Rates of Abdominal Obesity, High Waist-to-Height Ratio and Excess Adiposity, and Their Associated Cardio-Kidney-Metabolic Factors","volume":"16","author":[{"family":"Ruiz-García","given":"Antonio"},{"family":"Serrano-Cumplido","given":"Adalberto"},{"family":"Escobar-Cervantes","given":"Carlos"},{"family":"Arranz-Martínez","given":"Ezequiel"},{"family":"Pallarés-Carratalá","given":"Vicente"}],"issued":{"date-parts":[["2024",11,19]]}}}],"schema":"https://github.com/citation-style-language/schema/raw/master/csl-citation.json"} </w:instrText>
            </w:r>
            <w:r w:rsidRPr="007E5D9A">
              <w:rPr>
                <w:rFonts w:ascii="Times New Roman" w:eastAsia="var(--dsw-font-markdown-table)" w:hAnsi="Times New Roman" w:cs="Times New Roman"/>
                <w:kern w:val="0"/>
                <w:sz w:val="24"/>
                <w:lang w:bidi="ar"/>
              </w:rPr>
              <w:fldChar w:fldCharType="separate"/>
            </w:r>
            <w:r w:rsidRPr="007E5D9A">
              <w:rPr>
                <w:rFonts w:ascii="Times New Roman" w:hAnsi="Times New Roman" w:cs="Times New Roman"/>
                <w:sz w:val="24"/>
              </w:rPr>
              <w:t>[42]</w:t>
            </w:r>
            <w:r w:rsidRPr="007E5D9A">
              <w:rPr>
                <w:rFonts w:ascii="Times New Roman" w:eastAsia="var(--dsw-font-markdown-table)" w:hAnsi="Times New Roman" w:cs="Times New Roman"/>
                <w:kern w:val="0"/>
                <w:sz w:val="24"/>
                <w:lang w:bidi="ar"/>
              </w:rPr>
              <w:fldChar w:fldCharType="end"/>
            </w:r>
          </w:p>
        </w:tc>
      </w:tr>
      <w:tr w:rsidR="00795585" w:rsidRPr="007E5D9A" w14:paraId="1763C430" w14:textId="77777777">
        <w:tc>
          <w:tcPr>
            <w:tcW w:w="0" w:type="auto"/>
            <w:tcBorders>
              <w:bottom w:val="single" w:sz="4" w:space="0" w:color="auto"/>
            </w:tcBorders>
            <w:tcMar>
              <w:top w:w="74" w:type="dxa"/>
              <w:left w:w="0" w:type="dxa"/>
              <w:bottom w:w="74" w:type="dxa"/>
              <w:right w:w="119" w:type="dxa"/>
            </w:tcMar>
            <w:vAlign w:val="center"/>
          </w:tcPr>
          <w:p w14:paraId="00C97836" w14:textId="77777777" w:rsidR="00795585" w:rsidRPr="007E5D9A" w:rsidRDefault="00000000">
            <w:pPr>
              <w:widowControl/>
              <w:jc w:val="left"/>
              <w:rPr>
                <w:rFonts w:ascii="Times New Roman" w:eastAsia="var(--dsw-font-markdown-table)" w:hAnsi="Times New Roman" w:cs="Times New Roman"/>
              </w:rPr>
            </w:pPr>
            <w:r w:rsidRPr="007E5D9A">
              <w:rPr>
                <w:rStyle w:val="a9"/>
                <w:rFonts w:ascii="Times New Roman" w:eastAsia="var(--dsw-font-markdown-table)" w:hAnsi="Times New Roman" w:cs="Times New Roman"/>
                <w:bCs/>
                <w:kern w:val="0"/>
                <w:sz w:val="24"/>
                <w:lang w:bidi="ar"/>
              </w:rPr>
              <w:t xml:space="preserve">Nutraceutical intervention: </w:t>
            </w:r>
            <w:proofErr w:type="spellStart"/>
            <w:r w:rsidRPr="007E5D9A">
              <w:rPr>
                <w:rStyle w:val="a9"/>
                <w:rFonts w:ascii="Times New Roman" w:eastAsia="var(--dsw-font-markdown-table)" w:hAnsi="Times New Roman" w:cs="Times New Roman"/>
                <w:bCs/>
                <w:kern w:val="0"/>
                <w:sz w:val="24"/>
                <w:lang w:bidi="ar"/>
              </w:rPr>
              <w:t>Flexovital</w:t>
            </w:r>
            <w:proofErr w:type="spellEnd"/>
          </w:p>
        </w:tc>
        <w:tc>
          <w:tcPr>
            <w:tcW w:w="0" w:type="auto"/>
            <w:tcBorders>
              <w:bottom w:val="single" w:sz="4" w:space="0" w:color="auto"/>
            </w:tcBorders>
            <w:tcMar>
              <w:top w:w="74" w:type="dxa"/>
              <w:left w:w="119" w:type="dxa"/>
              <w:bottom w:w="74" w:type="dxa"/>
              <w:right w:w="119" w:type="dxa"/>
            </w:tcMar>
            <w:vAlign w:val="center"/>
          </w:tcPr>
          <w:p w14:paraId="4C155036" w14:textId="77777777" w:rsidR="00795585" w:rsidRPr="007E5D9A" w:rsidRDefault="00000000">
            <w:pPr>
              <w:widowControl/>
              <w:jc w:val="left"/>
              <w:rPr>
                <w:rFonts w:ascii="Times New Roman" w:eastAsia="var(--dsw-font-markdown-table)" w:hAnsi="Times New Roman" w:cs="Times New Roman"/>
              </w:rPr>
            </w:pPr>
            <w:r w:rsidRPr="007E5D9A">
              <w:rPr>
                <w:rFonts w:ascii="Times New Roman" w:eastAsia="var(--dsw-font-markdown-table)" w:hAnsi="Times New Roman" w:cs="Times New Roman"/>
                <w:kern w:val="0"/>
                <w:sz w:val="24"/>
                <w:lang w:bidi="ar"/>
              </w:rPr>
              <w:t>In a CKM mouse model (</w:t>
            </w:r>
            <w:proofErr w:type="spellStart"/>
            <w:r w:rsidRPr="007E5D9A">
              <w:rPr>
                <w:rFonts w:ascii="Times New Roman" w:eastAsia="var(--dsw-font-markdown-table)" w:hAnsi="Times New Roman" w:cs="Times New Roman"/>
                <w:kern w:val="0"/>
                <w:sz w:val="24"/>
                <w:lang w:bidi="ar"/>
              </w:rPr>
              <w:t>UNX+Western</w:t>
            </w:r>
            <w:proofErr w:type="spellEnd"/>
            <w:r w:rsidRPr="007E5D9A">
              <w:rPr>
                <w:rFonts w:ascii="Times New Roman" w:eastAsia="var(--dsw-font-markdown-table)" w:hAnsi="Times New Roman" w:cs="Times New Roman"/>
                <w:kern w:val="0"/>
                <w:sz w:val="24"/>
                <w:lang w:bidi="ar"/>
              </w:rPr>
              <w:t xml:space="preserve"> diet), </w:t>
            </w:r>
            <w:proofErr w:type="spellStart"/>
            <w:r w:rsidRPr="007E5D9A">
              <w:rPr>
                <w:rFonts w:ascii="Times New Roman" w:eastAsia="var(--dsw-font-markdown-table)" w:hAnsi="Times New Roman" w:cs="Times New Roman"/>
                <w:kern w:val="0"/>
                <w:sz w:val="24"/>
                <w:lang w:bidi="ar"/>
              </w:rPr>
              <w:t>Flexovital</w:t>
            </w:r>
            <w:proofErr w:type="spellEnd"/>
            <w:r w:rsidRPr="007E5D9A">
              <w:rPr>
                <w:rFonts w:ascii="Times New Roman" w:eastAsia="var(--dsw-font-markdown-table)" w:hAnsi="Times New Roman" w:cs="Times New Roman"/>
                <w:kern w:val="0"/>
                <w:sz w:val="24"/>
                <w:lang w:bidi="ar"/>
              </w:rPr>
              <w:t xml:space="preserve"> prevented fasting hyperglycemia, endothelial dysfunction, hypertension, and glomerular injury.</w:t>
            </w:r>
          </w:p>
        </w:tc>
        <w:tc>
          <w:tcPr>
            <w:tcW w:w="0" w:type="auto"/>
            <w:tcBorders>
              <w:bottom w:val="single" w:sz="4" w:space="0" w:color="auto"/>
            </w:tcBorders>
            <w:tcMar>
              <w:top w:w="74" w:type="dxa"/>
              <w:left w:w="119" w:type="dxa"/>
              <w:bottom w:w="74" w:type="dxa"/>
              <w:right w:w="119" w:type="dxa"/>
            </w:tcMar>
            <w:vAlign w:val="center"/>
          </w:tcPr>
          <w:p w14:paraId="68B301FB" w14:textId="77777777" w:rsidR="00795585" w:rsidRPr="007E5D9A" w:rsidRDefault="00000000">
            <w:pPr>
              <w:widowControl/>
              <w:jc w:val="left"/>
              <w:rPr>
                <w:rFonts w:ascii="Times New Roman" w:eastAsia="var(--dsw-font-markdown-table)" w:hAnsi="Times New Roman" w:cs="Times New Roman"/>
              </w:rPr>
            </w:pPr>
            <w:r w:rsidRPr="007E5D9A">
              <w:rPr>
                <w:rFonts w:ascii="Times New Roman" w:eastAsia="var(--dsw-font-markdown-table)" w:hAnsi="Times New Roman" w:cs="Times New Roman"/>
                <w:kern w:val="0"/>
                <w:sz w:val="24"/>
                <w:lang w:bidi="ar"/>
              </w:rPr>
              <w:t>Suggests a potential ancillary role of targeted nutritional strategies in MMCK Stages 2–3 management (Figure 4).</w:t>
            </w:r>
          </w:p>
        </w:tc>
        <w:tc>
          <w:tcPr>
            <w:tcW w:w="0" w:type="auto"/>
            <w:tcBorders>
              <w:bottom w:val="single" w:sz="4" w:space="0" w:color="auto"/>
            </w:tcBorders>
            <w:tcMar>
              <w:top w:w="74" w:type="dxa"/>
              <w:left w:w="119" w:type="dxa"/>
              <w:bottom w:w="74" w:type="dxa"/>
              <w:right w:w="0" w:type="dxa"/>
            </w:tcMar>
            <w:vAlign w:val="center"/>
          </w:tcPr>
          <w:p w14:paraId="365FE1BC" w14:textId="77777777" w:rsidR="00795585" w:rsidRPr="007E5D9A" w:rsidRDefault="00000000">
            <w:pPr>
              <w:widowControl/>
              <w:jc w:val="left"/>
              <w:rPr>
                <w:rFonts w:ascii="Times New Roman" w:hAnsi="Times New Roman" w:cs="Times New Roman"/>
              </w:rPr>
            </w:pPr>
            <w:r w:rsidRPr="007E5D9A">
              <w:rPr>
                <w:rFonts w:ascii="Times New Roman" w:eastAsia="var(--dsw-font-markdown-table)" w:hAnsi="Times New Roman" w:cs="Times New Roman"/>
                <w:kern w:val="0"/>
                <w:sz w:val="24"/>
                <w:lang w:bidi="ar"/>
              </w:rPr>
              <w:fldChar w:fldCharType="begin"/>
            </w:r>
            <w:r w:rsidRPr="007E5D9A">
              <w:rPr>
                <w:rFonts w:ascii="Times New Roman" w:eastAsia="var(--dsw-font-markdown-table)" w:hAnsi="Times New Roman" w:cs="Times New Roman"/>
                <w:kern w:val="0"/>
                <w:sz w:val="24"/>
                <w:lang w:bidi="ar"/>
              </w:rPr>
              <w:instrText xml:space="preserve"> ADDIN ZOTERO_ITEM CSL_CITATION {"citationID":"iDQDLdPm","properties":{"formattedCitation":"[43]","plainCitation":"[43]","noteIndex":0},"citationItems":[{"id":"PT63WDpC/aukm4hr9","uris":["http://zotero.org/users/local/pKm3rcyL/items/IXBP8TEM"],"itemData":{"id":9484,"type":"article-journal","abstract":"Background/Objectives: The prevalence of cardiovascular-kidney-metabolic (CKM) syndrome is increasing rapidly, and cardiovascular complications pose significant risks in individuals with kidney disease and metabolic dysfunction. Understanding the mechanisms of CKM disorders is crucial, as is the discovery of novel preventive treatments. This study aimed to examine the therapeutic effects of a specially formulated nitric oxide-enhancing food additive in a mouse model of CKM syndrome induced by unilateral nephrectomy (UNX) in combination with chronic Western diet (WD) feeding. Methods: C57BL/6J mice underwent UNX and were fed a WD high in salt, sugar, and fat for 12 weeks, compared to sham-operated mice on standard chow. One group of UNX+WD mice received Flexovital (FLX), a food additive containing extracts of Rhodiola rosea and beetroot, and the amino acids L-arginine and L-citrulline. CKM parameters were assessed both in vivo and ex vivo alongside histological and biochemical analyses. Results: The UNX+WD mice showed an increase in body fat mass, the fat/lean mass ratio, and adipocyte area, of which most were significantly reduced by FLX. Elevated fasting glucose levels were also reduced by FLX, which tended towards improving glucose clearance. Elevated arterial blood pressure and endothelial dysfunction in UNX+WD mice were significantly reduced by FLX. FLX improved GFR and reduced glomerular and tubular injuries in UNX+WD mice. Additionally, FLX increased the P/O ratios of oxidative phosphorylation in the isolated renal mitochondria of UNX+WD mice. Conclusions: In this model of CKM syndrome, FLX effectively prevented the onset and progression of CKM dysfunctions induced by UNX+WD, as well as the associated organ injuries. These promising results highlight the need for validation in upcoming human trials.","container-title":"Nutrients","DOI":"10.3390/nu16234105","ISSN":"2072-6643","issue":"23","journalAbbreviation":"Nutrients","language":"en","page":"4105","source":"DOI.org (Crossref)","title":"Protective Effects of the Food Supplement Flexovital in a Model of Cardiovascular-Kidney-Metabolic Syndrome in Mice","volume":"16","author":[{"family":"Carvalho","given":"Lucas"},{"family":"Tydén","given":"Maria"},{"family":"Shimari","given":"Miho"},{"family":"Zhuge","given":"Zhengbing"},{"family":"Schiffer","given":"Tomas"},{"family":"De Oliveira Monteiro","given":"Matheus"},{"family":"Lundberg","given":"Jon"},{"family":"Weitzberg","given":"Eddie"},{"family":"Andersson","given":"Daniel"},{"family":"Fellström","given":"Bengt"},{"family":"Carlström","given":"Mattias"}],"issued":{"date-parts":[["2024",11,28]]}}}],"schema":"https://github.com/citation-style-language/schema/raw/master/csl-citation.json"} </w:instrText>
            </w:r>
            <w:r w:rsidRPr="007E5D9A">
              <w:rPr>
                <w:rFonts w:ascii="Times New Roman" w:eastAsia="var(--dsw-font-markdown-table)" w:hAnsi="Times New Roman" w:cs="Times New Roman"/>
                <w:kern w:val="0"/>
                <w:sz w:val="24"/>
                <w:lang w:bidi="ar"/>
              </w:rPr>
              <w:fldChar w:fldCharType="separate"/>
            </w:r>
            <w:r w:rsidRPr="007E5D9A">
              <w:rPr>
                <w:rFonts w:ascii="Times New Roman" w:hAnsi="Times New Roman" w:cs="Times New Roman"/>
                <w:sz w:val="24"/>
              </w:rPr>
              <w:t>[43]</w:t>
            </w:r>
            <w:r w:rsidRPr="007E5D9A">
              <w:rPr>
                <w:rFonts w:ascii="Times New Roman" w:eastAsia="var(--dsw-font-markdown-table)" w:hAnsi="Times New Roman" w:cs="Times New Roman"/>
                <w:kern w:val="0"/>
                <w:sz w:val="24"/>
                <w:lang w:bidi="ar"/>
              </w:rPr>
              <w:fldChar w:fldCharType="end"/>
            </w:r>
          </w:p>
        </w:tc>
      </w:tr>
    </w:tbl>
    <w:p w14:paraId="696A2593" w14:textId="77777777" w:rsidR="00795585" w:rsidRPr="007E5D9A" w:rsidRDefault="00000000">
      <w:pPr>
        <w:pStyle w:val="a7"/>
        <w:widowControl/>
        <w:spacing w:before="119" w:after="119"/>
        <w:rPr>
          <w:rFonts w:ascii="Times New Roman" w:hAnsi="Times New Roman" w:cs="Times New Roman"/>
        </w:rPr>
      </w:pPr>
      <w:r w:rsidRPr="007E5D9A">
        <w:rPr>
          <w:rFonts w:ascii="Times New Roman" w:eastAsia="var(--dsw-font-markdown-base)" w:hAnsi="Times New Roman" w:cs="Times New Roman"/>
        </w:rPr>
        <w:t xml:space="preserve">Abbreviations: </w:t>
      </w:r>
      <w:proofErr w:type="spellStart"/>
      <w:r w:rsidRPr="007E5D9A">
        <w:rPr>
          <w:rFonts w:ascii="Times New Roman" w:eastAsia="var(--dsw-font-markdown-base)" w:hAnsi="Times New Roman" w:cs="Times New Roman"/>
        </w:rPr>
        <w:t>aHR</w:t>
      </w:r>
      <w:proofErr w:type="spellEnd"/>
      <w:r w:rsidRPr="007E5D9A">
        <w:rPr>
          <w:rFonts w:ascii="Times New Roman" w:eastAsia="var(--dsw-font-markdown-base)" w:hAnsi="Times New Roman" w:cs="Times New Roman"/>
        </w:rPr>
        <w:t xml:space="preserve">, adjusted hazard ratio; </w:t>
      </w:r>
      <w:proofErr w:type="spellStart"/>
      <w:r w:rsidRPr="007E5D9A">
        <w:rPr>
          <w:rFonts w:ascii="Times New Roman" w:eastAsia="var(--dsw-font-markdown-base)" w:hAnsi="Times New Roman" w:cs="Times New Roman"/>
        </w:rPr>
        <w:t>aOR</w:t>
      </w:r>
      <w:proofErr w:type="spellEnd"/>
      <w:r w:rsidRPr="007E5D9A">
        <w:rPr>
          <w:rFonts w:ascii="Times New Roman" w:eastAsia="var(--dsw-font-markdown-base)" w:hAnsi="Times New Roman" w:cs="Times New Roman"/>
        </w:rPr>
        <w:t>, adjusted odds ratio; BCAA, branched</w:t>
      </w:r>
      <w:r w:rsidRPr="007E5D9A">
        <w:rPr>
          <w:rFonts w:ascii="Times New Roman" w:eastAsia="var(--dsw-font-markdown-base)" w:hAnsi="Times New Roman" w:cs="Times New Roman"/>
        </w:rPr>
        <w:noBreakHyphen/>
        <w:t>chain amino acid; CHARLS, China Health and Retirement Longitudinal Study; CKM, cardiovascular</w:t>
      </w:r>
      <w:r w:rsidRPr="007E5D9A">
        <w:rPr>
          <w:rFonts w:ascii="Times New Roman" w:eastAsia="var(--dsw-font-markdown-base)" w:hAnsi="Times New Roman" w:cs="Times New Roman"/>
        </w:rPr>
        <w:noBreakHyphen/>
        <w:t>kidney</w:t>
      </w:r>
      <w:r w:rsidRPr="007E5D9A">
        <w:rPr>
          <w:rFonts w:ascii="Times New Roman" w:eastAsia="var(--dsw-font-markdown-base)" w:hAnsi="Times New Roman" w:cs="Times New Roman"/>
        </w:rPr>
        <w:noBreakHyphen/>
        <w:t xml:space="preserve">metabolic; CVD, cardiovascular disease; </w:t>
      </w:r>
      <w:r w:rsidRPr="007E5D9A">
        <w:rPr>
          <w:rFonts w:ascii="Times New Roman" w:eastAsia="var(--dsw-font-markdown-base)" w:hAnsi="Times New Roman" w:cs="Times New Roman"/>
        </w:rPr>
        <w:lastRenderedPageBreak/>
        <w:t>DOHaD, Developmental Origins of Health and Disease; HR, hazard ratio; MASLD, metabolic dysfunction</w:t>
      </w:r>
      <w:r w:rsidRPr="007E5D9A">
        <w:rPr>
          <w:rFonts w:ascii="Times New Roman" w:eastAsia="var(--dsw-font-markdown-base)" w:hAnsi="Times New Roman" w:cs="Times New Roman"/>
        </w:rPr>
        <w:noBreakHyphen/>
        <w:t xml:space="preserve">associated </w:t>
      </w:r>
      <w:proofErr w:type="spellStart"/>
      <w:r w:rsidRPr="007E5D9A">
        <w:rPr>
          <w:rFonts w:ascii="Times New Roman" w:eastAsia="var(--dsw-font-markdown-base)" w:hAnsi="Times New Roman" w:cs="Times New Roman"/>
        </w:rPr>
        <w:t>steatotic</w:t>
      </w:r>
      <w:proofErr w:type="spellEnd"/>
      <w:r w:rsidRPr="007E5D9A">
        <w:rPr>
          <w:rFonts w:ascii="Times New Roman" w:eastAsia="var(--dsw-font-markdown-base)" w:hAnsi="Times New Roman" w:cs="Times New Roman"/>
        </w:rPr>
        <w:t xml:space="preserve"> liver disease; MMCK, metabolic disorder–MASLD–cardiovascular–kidney disease; </w:t>
      </w:r>
      <w:proofErr w:type="spellStart"/>
      <w:r w:rsidRPr="007E5D9A">
        <w:rPr>
          <w:rFonts w:ascii="Times New Roman" w:eastAsia="var(--dsw-font-markdown-base)" w:hAnsi="Times New Roman" w:cs="Times New Roman"/>
        </w:rPr>
        <w:t>TyG</w:t>
      </w:r>
      <w:proofErr w:type="spellEnd"/>
      <w:r w:rsidRPr="007E5D9A">
        <w:rPr>
          <w:rFonts w:ascii="Times New Roman" w:eastAsia="var(--dsw-font-markdown-base)" w:hAnsi="Times New Roman" w:cs="Times New Roman"/>
        </w:rPr>
        <w:noBreakHyphen/>
        <w:t>BMI, triglyceride glucose</w:t>
      </w:r>
      <w:r w:rsidRPr="007E5D9A">
        <w:rPr>
          <w:rFonts w:ascii="Times New Roman" w:eastAsia="var(--dsw-font-markdown-base)" w:hAnsi="Times New Roman" w:cs="Times New Roman"/>
        </w:rPr>
        <w:noBreakHyphen/>
        <w:t xml:space="preserve">body mass index; </w:t>
      </w:r>
      <w:proofErr w:type="spellStart"/>
      <w:r w:rsidRPr="007E5D9A">
        <w:rPr>
          <w:rFonts w:ascii="Times New Roman" w:eastAsia="var(--dsw-font-markdown-base)" w:hAnsi="Times New Roman" w:cs="Times New Roman"/>
        </w:rPr>
        <w:t>TyG</w:t>
      </w:r>
      <w:proofErr w:type="spellEnd"/>
      <w:r w:rsidRPr="007E5D9A">
        <w:rPr>
          <w:rFonts w:ascii="Times New Roman" w:eastAsia="var(--dsw-font-markdown-base)" w:hAnsi="Times New Roman" w:cs="Times New Roman"/>
        </w:rPr>
        <w:noBreakHyphen/>
        <w:t xml:space="preserve">CVAI, </w:t>
      </w:r>
      <w:proofErr w:type="spellStart"/>
      <w:r w:rsidRPr="007E5D9A">
        <w:rPr>
          <w:rFonts w:ascii="Times New Roman" w:eastAsia="var(--dsw-font-markdown-base)" w:hAnsi="Times New Roman" w:cs="Times New Roman"/>
        </w:rPr>
        <w:t>TyG</w:t>
      </w:r>
      <w:proofErr w:type="spellEnd"/>
      <w:r w:rsidRPr="007E5D9A">
        <w:rPr>
          <w:rFonts w:ascii="Times New Roman" w:eastAsia="var(--dsw-font-markdown-base)" w:hAnsi="Times New Roman" w:cs="Times New Roman"/>
        </w:rPr>
        <w:noBreakHyphen/>
        <w:t xml:space="preserve">Chinese visceral adiposity index; </w:t>
      </w:r>
      <w:proofErr w:type="spellStart"/>
      <w:r w:rsidRPr="007E5D9A">
        <w:rPr>
          <w:rFonts w:ascii="Times New Roman" w:eastAsia="var(--dsw-font-markdown-base)" w:hAnsi="Times New Roman" w:cs="Times New Roman"/>
        </w:rPr>
        <w:t>TyG</w:t>
      </w:r>
      <w:r w:rsidRPr="007E5D9A">
        <w:rPr>
          <w:rFonts w:ascii="Times New Roman" w:eastAsia="var(--dsw-font-markdown-base)" w:hAnsi="Times New Roman" w:cs="Times New Roman"/>
        </w:rPr>
        <w:noBreakHyphen/>
        <w:t>WHtR</w:t>
      </w:r>
      <w:proofErr w:type="spellEnd"/>
      <w:r w:rsidRPr="007E5D9A">
        <w:rPr>
          <w:rFonts w:ascii="Times New Roman" w:eastAsia="var(--dsw-font-markdown-base)" w:hAnsi="Times New Roman" w:cs="Times New Roman"/>
        </w:rPr>
        <w:t xml:space="preserve">, </w:t>
      </w:r>
      <w:proofErr w:type="spellStart"/>
      <w:r w:rsidRPr="007E5D9A">
        <w:rPr>
          <w:rFonts w:ascii="Times New Roman" w:eastAsia="var(--dsw-font-markdown-base)" w:hAnsi="Times New Roman" w:cs="Times New Roman"/>
        </w:rPr>
        <w:t>TyG</w:t>
      </w:r>
      <w:proofErr w:type="spellEnd"/>
      <w:r w:rsidRPr="007E5D9A">
        <w:rPr>
          <w:rFonts w:ascii="Times New Roman" w:eastAsia="var(--dsw-font-markdown-base)" w:hAnsi="Times New Roman" w:cs="Times New Roman"/>
        </w:rPr>
        <w:noBreakHyphen/>
        <w:t>waist</w:t>
      </w:r>
      <w:r w:rsidRPr="007E5D9A">
        <w:rPr>
          <w:rFonts w:ascii="Times New Roman" w:eastAsia="var(--dsw-font-markdown-base)" w:hAnsi="Times New Roman" w:cs="Times New Roman"/>
        </w:rPr>
        <w:noBreakHyphen/>
        <w:t>to</w:t>
      </w:r>
      <w:r w:rsidRPr="007E5D9A">
        <w:rPr>
          <w:rFonts w:ascii="Times New Roman" w:eastAsia="var(--dsw-font-markdown-base)" w:hAnsi="Times New Roman" w:cs="Times New Roman"/>
        </w:rPr>
        <w:noBreakHyphen/>
        <w:t>height ratio; UNX, unilateral nephrectomy.</w:t>
      </w:r>
    </w:p>
    <w:p w14:paraId="44D8546A" w14:textId="77777777" w:rsidR="00795585" w:rsidRPr="007E5D9A" w:rsidRDefault="00000000">
      <w:pPr>
        <w:spacing w:line="360" w:lineRule="auto"/>
        <w:rPr>
          <w:rFonts w:ascii="Times New Roman" w:hAnsi="Times New Roman" w:cs="Times New Roman"/>
          <w:b/>
          <w:bCs/>
          <w:color w:val="000000"/>
          <w:sz w:val="28"/>
          <w:szCs w:val="28"/>
        </w:rPr>
      </w:pPr>
      <w:bookmarkStart w:id="0" w:name="_Hlk228306191"/>
      <w:r w:rsidRPr="007E5D9A">
        <w:rPr>
          <w:rFonts w:ascii="Times New Roman" w:hAnsi="Times New Roman" w:cs="Times New Roman"/>
          <w:b/>
          <w:bCs/>
          <w:color w:val="000000"/>
          <w:sz w:val="28"/>
          <w:szCs w:val="28"/>
        </w:rPr>
        <w:t>Table S6. FIB-4 Incremental Value:</w:t>
      </w:r>
    </w:p>
    <w:p w14:paraId="3A2B2DC4" w14:textId="77777777" w:rsidR="00795585" w:rsidRPr="007E5D9A" w:rsidRDefault="00795585">
      <w:pPr>
        <w:widowControl/>
        <w:shd w:val="clear" w:color="auto" w:fill="FFFFFF"/>
        <w:spacing w:after="119" w:line="163" w:lineRule="atLeast"/>
        <w:jc w:val="left"/>
        <w:textAlignment w:val="baseline"/>
        <w:rPr>
          <w:rFonts w:ascii="Times New Roman" w:eastAsia="Noto Sans" w:hAnsi="Times New Roman" w:cs="Times New Roman"/>
          <w:spacing w:val="4"/>
          <w:szCs w:val="21"/>
        </w:rPr>
      </w:pPr>
    </w:p>
    <w:tbl>
      <w:tblPr>
        <w:tblW w:w="0" w:type="auto"/>
        <w:tblCellMar>
          <w:left w:w="0" w:type="dxa"/>
          <w:right w:w="0" w:type="dxa"/>
        </w:tblCellMar>
        <w:tblLook w:val="04A0" w:firstRow="1" w:lastRow="0" w:firstColumn="1" w:lastColumn="0" w:noHBand="0" w:noVBand="1"/>
      </w:tblPr>
      <w:tblGrid>
        <w:gridCol w:w="2732"/>
        <w:gridCol w:w="1839"/>
        <w:gridCol w:w="1913"/>
        <w:gridCol w:w="1970"/>
      </w:tblGrid>
      <w:tr w:rsidR="00795585" w:rsidRPr="007E5D9A" w14:paraId="2D15129A" w14:textId="77777777">
        <w:trPr>
          <w:tblHeader/>
        </w:trPr>
        <w:tc>
          <w:tcPr>
            <w:tcW w:w="0" w:type="auto"/>
            <w:tcBorders>
              <w:top w:val="single" w:sz="4" w:space="0" w:color="auto"/>
              <w:left w:val="nil"/>
              <w:bottom w:val="single" w:sz="4" w:space="0" w:color="auto"/>
              <w:right w:val="nil"/>
            </w:tcBorders>
            <w:tcMar>
              <w:top w:w="74" w:type="dxa"/>
              <w:left w:w="74" w:type="dxa"/>
              <w:bottom w:w="74" w:type="dxa"/>
              <w:right w:w="74" w:type="dxa"/>
            </w:tcMar>
          </w:tcPr>
          <w:p w14:paraId="25878814" w14:textId="77777777" w:rsidR="00795585" w:rsidRPr="007E5D9A" w:rsidRDefault="00000000">
            <w:pPr>
              <w:widowControl/>
              <w:jc w:val="left"/>
              <w:textAlignment w:val="top"/>
              <w:rPr>
                <w:rFonts w:ascii="Times New Roman" w:hAnsi="Times New Roman" w:cs="Times New Roman"/>
                <w:b/>
                <w:bCs/>
              </w:rPr>
            </w:pPr>
            <w:r w:rsidRPr="007E5D9A">
              <w:rPr>
                <w:rFonts w:ascii="Times New Roman" w:eastAsia="宋体" w:hAnsi="Times New Roman" w:cs="Times New Roman"/>
                <w:b/>
                <w:bCs/>
                <w:kern w:val="0"/>
                <w:sz w:val="24"/>
                <w:lang w:bidi="ar"/>
              </w:rPr>
              <w:t>Study Population</w:t>
            </w:r>
          </w:p>
        </w:tc>
        <w:tc>
          <w:tcPr>
            <w:tcW w:w="0" w:type="auto"/>
            <w:tcBorders>
              <w:top w:val="single" w:sz="4" w:space="0" w:color="auto"/>
              <w:bottom w:val="single" w:sz="4" w:space="0" w:color="auto"/>
              <w:right w:val="nil"/>
            </w:tcBorders>
            <w:tcMar>
              <w:top w:w="74" w:type="dxa"/>
              <w:left w:w="74" w:type="dxa"/>
              <w:bottom w:w="74" w:type="dxa"/>
              <w:right w:w="74" w:type="dxa"/>
            </w:tcMar>
          </w:tcPr>
          <w:p w14:paraId="5B7C32DE" w14:textId="77777777" w:rsidR="00795585" w:rsidRPr="007E5D9A" w:rsidRDefault="00000000">
            <w:pPr>
              <w:widowControl/>
              <w:jc w:val="left"/>
              <w:textAlignment w:val="top"/>
              <w:rPr>
                <w:rFonts w:ascii="Times New Roman" w:hAnsi="Times New Roman" w:cs="Times New Roman"/>
                <w:b/>
                <w:bCs/>
              </w:rPr>
            </w:pPr>
            <w:r w:rsidRPr="007E5D9A">
              <w:rPr>
                <w:rFonts w:ascii="Times New Roman" w:eastAsia="宋体" w:hAnsi="Times New Roman" w:cs="Times New Roman"/>
                <w:b/>
                <w:bCs/>
                <w:kern w:val="0"/>
                <w:sz w:val="24"/>
                <w:lang w:bidi="ar"/>
              </w:rPr>
              <w:t>Outcome</w:t>
            </w:r>
          </w:p>
        </w:tc>
        <w:tc>
          <w:tcPr>
            <w:tcW w:w="0" w:type="auto"/>
            <w:tcBorders>
              <w:top w:val="single" w:sz="4" w:space="0" w:color="auto"/>
              <w:bottom w:val="single" w:sz="4" w:space="0" w:color="auto"/>
              <w:right w:val="nil"/>
            </w:tcBorders>
            <w:tcMar>
              <w:top w:w="74" w:type="dxa"/>
              <w:left w:w="74" w:type="dxa"/>
              <w:bottom w:w="74" w:type="dxa"/>
              <w:right w:w="74" w:type="dxa"/>
            </w:tcMar>
          </w:tcPr>
          <w:p w14:paraId="46B8530D" w14:textId="77777777" w:rsidR="00795585" w:rsidRPr="007E5D9A" w:rsidRDefault="00000000">
            <w:pPr>
              <w:widowControl/>
              <w:jc w:val="left"/>
              <w:textAlignment w:val="top"/>
              <w:rPr>
                <w:rFonts w:ascii="Times New Roman" w:hAnsi="Times New Roman" w:cs="Times New Roman"/>
                <w:b/>
                <w:bCs/>
              </w:rPr>
            </w:pPr>
            <w:r w:rsidRPr="007E5D9A">
              <w:rPr>
                <w:rFonts w:ascii="Times New Roman" w:eastAsia="宋体" w:hAnsi="Times New Roman" w:cs="Times New Roman"/>
                <w:b/>
                <w:bCs/>
                <w:kern w:val="0"/>
                <w:sz w:val="24"/>
                <w:lang w:bidi="ar"/>
              </w:rPr>
              <w:t>FIB-4 HR (per 1-unit)</w:t>
            </w:r>
          </w:p>
        </w:tc>
        <w:tc>
          <w:tcPr>
            <w:tcW w:w="0" w:type="auto"/>
            <w:tcBorders>
              <w:top w:val="single" w:sz="4" w:space="0" w:color="auto"/>
              <w:bottom w:val="single" w:sz="4" w:space="0" w:color="auto"/>
              <w:right w:val="nil"/>
            </w:tcBorders>
            <w:tcMar>
              <w:top w:w="74" w:type="dxa"/>
              <w:left w:w="74" w:type="dxa"/>
              <w:bottom w:w="74" w:type="dxa"/>
              <w:right w:w="74" w:type="dxa"/>
            </w:tcMar>
          </w:tcPr>
          <w:p w14:paraId="285702D9" w14:textId="77777777" w:rsidR="00795585" w:rsidRPr="007E5D9A" w:rsidRDefault="00000000">
            <w:pPr>
              <w:widowControl/>
              <w:jc w:val="left"/>
              <w:textAlignment w:val="top"/>
              <w:rPr>
                <w:rFonts w:ascii="Times New Roman" w:hAnsi="Times New Roman" w:cs="Times New Roman"/>
                <w:b/>
                <w:bCs/>
              </w:rPr>
            </w:pPr>
            <w:r w:rsidRPr="007E5D9A">
              <w:rPr>
                <w:rFonts w:ascii="Times New Roman" w:eastAsia="宋体" w:hAnsi="Times New Roman" w:cs="Times New Roman"/>
                <w:b/>
                <w:bCs/>
                <w:kern w:val="0"/>
                <w:sz w:val="24"/>
                <w:lang w:bidi="ar"/>
              </w:rPr>
              <w:t>Incremental C-index</w:t>
            </w:r>
          </w:p>
        </w:tc>
      </w:tr>
      <w:tr w:rsidR="00795585" w:rsidRPr="007E5D9A" w14:paraId="208EF0D2" w14:textId="77777777">
        <w:tc>
          <w:tcPr>
            <w:tcW w:w="0" w:type="auto"/>
            <w:tcBorders>
              <w:top w:val="single" w:sz="4" w:space="0" w:color="auto"/>
              <w:left w:val="nil"/>
              <w:bottom w:val="nil"/>
              <w:right w:val="nil"/>
            </w:tcBorders>
            <w:tcMar>
              <w:top w:w="74" w:type="dxa"/>
              <w:left w:w="74" w:type="dxa"/>
              <w:bottom w:w="74" w:type="dxa"/>
              <w:right w:w="74" w:type="dxa"/>
            </w:tcMar>
          </w:tcPr>
          <w:p w14:paraId="1C777AA2" w14:textId="77777777" w:rsidR="00795585" w:rsidRPr="007E5D9A" w:rsidRDefault="00000000">
            <w:pPr>
              <w:widowControl/>
              <w:jc w:val="left"/>
              <w:textAlignment w:val="top"/>
              <w:rPr>
                <w:rFonts w:ascii="Times New Roman" w:hAnsi="Times New Roman" w:cs="Times New Roman"/>
              </w:rPr>
            </w:pPr>
            <w:r w:rsidRPr="007E5D9A">
              <w:rPr>
                <w:rFonts w:ascii="Times New Roman" w:eastAsia="宋体" w:hAnsi="Times New Roman" w:cs="Times New Roman"/>
                <w:kern w:val="0"/>
                <w:sz w:val="24"/>
                <w:lang w:bidi="ar"/>
              </w:rPr>
              <w:t>T2D with MASLD (n=4,429)</w:t>
            </w:r>
            <w:r w:rsidRPr="007E5D9A">
              <w:rPr>
                <w:rFonts w:ascii="Times New Roman" w:eastAsia="宋体" w:hAnsi="Times New Roman" w:cs="Times New Roman"/>
                <w:kern w:val="0"/>
                <w:sz w:val="24"/>
                <w:lang w:bidi="ar"/>
              </w:rPr>
              <w:fldChar w:fldCharType="begin"/>
            </w:r>
            <w:r w:rsidRPr="007E5D9A">
              <w:rPr>
                <w:rFonts w:ascii="Times New Roman" w:eastAsia="宋体" w:hAnsi="Times New Roman" w:cs="Times New Roman"/>
                <w:kern w:val="0"/>
                <w:sz w:val="24"/>
                <w:lang w:bidi="ar"/>
              </w:rPr>
              <w:instrText xml:space="preserve"> ADDIN ZOTERO_ITEM CSL_CITATION {"citationID":"fvHWENRt","properties":{"formattedCitation":"[16]","plainCitation":"[16]","noteIndex":0},"citationItems":[{"id":"PT63WDpC/1vJt5E3y","uris":["http://zotero.org/users/local/pKm3rcyL/items/3U822CTL"],"itemData":{"id":8913,"type":"article-journal","container-title":"The American Journal of Managed Care","issue":"Suppl 10","page":"S181-S188","title":"An overview of cardiovascular-kidney-metabolic syndrome","volume":"30","author":[{"family":"Ferdinand","given":"Keith C."}],"issued":{"date-parts":[["2024"]]}}}],"schema":"https://github.com/citation-style-language/schema/raw/master/csl-citation.json"} </w:instrText>
            </w:r>
            <w:r w:rsidRPr="007E5D9A">
              <w:rPr>
                <w:rFonts w:ascii="Times New Roman" w:eastAsia="宋体" w:hAnsi="Times New Roman" w:cs="Times New Roman"/>
                <w:kern w:val="0"/>
                <w:sz w:val="24"/>
                <w:lang w:bidi="ar"/>
              </w:rPr>
              <w:fldChar w:fldCharType="separate"/>
            </w:r>
            <w:r w:rsidRPr="007E5D9A">
              <w:rPr>
                <w:rFonts w:ascii="Times New Roman" w:hAnsi="Times New Roman" w:cs="Times New Roman"/>
                <w:sz w:val="24"/>
              </w:rPr>
              <w:t>[16]</w:t>
            </w:r>
            <w:r w:rsidRPr="007E5D9A">
              <w:rPr>
                <w:rFonts w:ascii="Times New Roman" w:eastAsia="宋体" w:hAnsi="Times New Roman" w:cs="Times New Roman"/>
                <w:kern w:val="0"/>
                <w:sz w:val="24"/>
                <w:lang w:bidi="ar"/>
              </w:rPr>
              <w:fldChar w:fldCharType="end"/>
            </w:r>
          </w:p>
        </w:tc>
        <w:tc>
          <w:tcPr>
            <w:tcW w:w="0" w:type="auto"/>
            <w:tcBorders>
              <w:top w:val="single" w:sz="4" w:space="0" w:color="auto"/>
              <w:bottom w:val="nil"/>
              <w:right w:val="nil"/>
            </w:tcBorders>
            <w:tcMar>
              <w:top w:w="74" w:type="dxa"/>
              <w:left w:w="74" w:type="dxa"/>
              <w:bottom w:w="74" w:type="dxa"/>
              <w:right w:w="74" w:type="dxa"/>
            </w:tcMar>
          </w:tcPr>
          <w:p w14:paraId="2EA866C7" w14:textId="77777777" w:rsidR="00795585" w:rsidRPr="007E5D9A" w:rsidRDefault="00000000">
            <w:pPr>
              <w:widowControl/>
              <w:jc w:val="left"/>
              <w:textAlignment w:val="top"/>
              <w:rPr>
                <w:rFonts w:ascii="Times New Roman" w:hAnsi="Times New Roman" w:cs="Times New Roman"/>
              </w:rPr>
            </w:pPr>
            <w:r w:rsidRPr="007E5D9A">
              <w:rPr>
                <w:rFonts w:ascii="Times New Roman" w:eastAsia="宋体" w:hAnsi="Times New Roman" w:cs="Times New Roman"/>
                <w:kern w:val="0"/>
                <w:sz w:val="24"/>
                <w:lang w:bidi="ar"/>
              </w:rPr>
              <w:t>Liver-related events</w:t>
            </w:r>
          </w:p>
        </w:tc>
        <w:tc>
          <w:tcPr>
            <w:tcW w:w="0" w:type="auto"/>
            <w:tcBorders>
              <w:top w:val="single" w:sz="4" w:space="0" w:color="auto"/>
              <w:bottom w:val="nil"/>
              <w:right w:val="nil"/>
            </w:tcBorders>
            <w:tcMar>
              <w:top w:w="74" w:type="dxa"/>
              <w:left w:w="74" w:type="dxa"/>
              <w:bottom w:w="74" w:type="dxa"/>
              <w:right w:w="74" w:type="dxa"/>
            </w:tcMar>
          </w:tcPr>
          <w:p w14:paraId="0D7BB68A" w14:textId="77777777" w:rsidR="00795585" w:rsidRPr="007E5D9A" w:rsidRDefault="00000000">
            <w:pPr>
              <w:widowControl/>
              <w:jc w:val="left"/>
              <w:textAlignment w:val="top"/>
              <w:rPr>
                <w:rFonts w:ascii="Times New Roman" w:hAnsi="Times New Roman" w:cs="Times New Roman"/>
              </w:rPr>
            </w:pPr>
            <w:r w:rsidRPr="007E5D9A">
              <w:rPr>
                <w:rFonts w:ascii="Times New Roman" w:eastAsia="宋体" w:hAnsi="Times New Roman" w:cs="Times New Roman"/>
                <w:kern w:val="0"/>
                <w:sz w:val="24"/>
                <w:lang w:bidi="ar"/>
              </w:rPr>
              <w:t>2.4 (1.9-3.0)</w:t>
            </w:r>
          </w:p>
        </w:tc>
        <w:tc>
          <w:tcPr>
            <w:tcW w:w="0" w:type="auto"/>
            <w:tcBorders>
              <w:top w:val="single" w:sz="4" w:space="0" w:color="auto"/>
              <w:bottom w:val="nil"/>
              <w:right w:val="nil"/>
            </w:tcBorders>
            <w:tcMar>
              <w:top w:w="74" w:type="dxa"/>
              <w:left w:w="74" w:type="dxa"/>
              <w:bottom w:w="74" w:type="dxa"/>
              <w:right w:w="74" w:type="dxa"/>
            </w:tcMar>
          </w:tcPr>
          <w:p w14:paraId="5E16823B" w14:textId="77777777" w:rsidR="00795585" w:rsidRPr="007E5D9A" w:rsidRDefault="00000000">
            <w:pPr>
              <w:widowControl/>
              <w:jc w:val="left"/>
              <w:textAlignment w:val="top"/>
              <w:rPr>
                <w:rFonts w:ascii="Times New Roman" w:hAnsi="Times New Roman" w:cs="Times New Roman"/>
              </w:rPr>
            </w:pPr>
            <w:r w:rsidRPr="007E5D9A">
              <w:rPr>
                <w:rFonts w:ascii="Times New Roman" w:eastAsia="宋体" w:hAnsi="Times New Roman" w:cs="Times New Roman"/>
                <w:kern w:val="0"/>
                <w:sz w:val="24"/>
                <w:lang w:bidi="ar"/>
              </w:rPr>
              <w:t>+0.04</w:t>
            </w:r>
          </w:p>
        </w:tc>
      </w:tr>
      <w:tr w:rsidR="00795585" w:rsidRPr="007E5D9A" w14:paraId="139683E4" w14:textId="77777777">
        <w:tc>
          <w:tcPr>
            <w:tcW w:w="0" w:type="auto"/>
            <w:tcBorders>
              <w:left w:val="nil"/>
              <w:right w:val="nil"/>
            </w:tcBorders>
            <w:tcMar>
              <w:top w:w="74" w:type="dxa"/>
              <w:left w:w="74" w:type="dxa"/>
              <w:bottom w:w="74" w:type="dxa"/>
              <w:right w:w="74" w:type="dxa"/>
            </w:tcMar>
          </w:tcPr>
          <w:p w14:paraId="26B96489" w14:textId="77777777" w:rsidR="00795585" w:rsidRPr="007E5D9A" w:rsidRDefault="00000000">
            <w:pPr>
              <w:widowControl/>
              <w:jc w:val="left"/>
              <w:textAlignment w:val="top"/>
              <w:rPr>
                <w:rFonts w:ascii="Times New Roman" w:hAnsi="Times New Roman" w:cs="Times New Roman"/>
              </w:rPr>
            </w:pPr>
            <w:r w:rsidRPr="007E5D9A">
              <w:rPr>
                <w:rFonts w:ascii="Times New Roman" w:eastAsia="宋体" w:hAnsi="Times New Roman" w:cs="Times New Roman"/>
                <w:kern w:val="0"/>
                <w:sz w:val="24"/>
                <w:lang w:bidi="ar"/>
              </w:rPr>
              <w:t xml:space="preserve">Heart failure (n=1,058) </w:t>
            </w:r>
            <w:r w:rsidRPr="007E5D9A">
              <w:rPr>
                <w:rFonts w:ascii="Times New Roman" w:eastAsia="宋体" w:hAnsi="Times New Roman" w:cs="Times New Roman"/>
                <w:kern w:val="0"/>
                <w:sz w:val="24"/>
                <w:lang w:bidi="ar"/>
              </w:rPr>
              <w:fldChar w:fldCharType="begin"/>
            </w:r>
            <w:r w:rsidRPr="007E5D9A">
              <w:rPr>
                <w:rFonts w:ascii="Times New Roman" w:eastAsia="宋体" w:hAnsi="Times New Roman" w:cs="Times New Roman"/>
                <w:kern w:val="0"/>
                <w:sz w:val="24"/>
                <w:lang w:bidi="ar"/>
              </w:rPr>
              <w:instrText xml:space="preserve"> ADDIN ZOTERO_ITEM CSL_CITATION {"citationID":"qAUakWoA","properties":{"formattedCitation":"[44]","plainCitation":"[44]","noteIndex":0},"citationItems":[{"id":"PT63WDpC/Z7Nc77DN","uris":["http://zotero.org/users/local/pKm3rcyL/items/BX54PNG8"],"itemData":{"id":9520,"type":"article-journal","abstract":"Abstract\n            Metabolic dysfunction‐associated steatotic liver disease (MASLD) typically presents with hepatic fibrosis in advanced disease, resulting in increased liver stiffness. A subset of patients further develops liver cirrhosis and hepatocellular carcinoma. Cardiovascular disease is a common comorbidity in patients with MASLD and its prevalence is increasing in parallel. Recent evidence suggests that especially liver stiffness, whether or not existing against a background of MASLD, is associated with heart diseases. We conducted a narrative review on the role of liver stiffness in the prediction of highly prevalent heart diseases including heart failure, cardiac arrhythmias (in particular atrial fibrillation), coronary heart disease, and aortic valve sclerosis. Research papers were retrieved from major scientific databases (PubMed, Web of Science) until September 2023 using ‘liver stiffness’ and ‘liver fibrosis’ as keywords along with the latter cardiac conditions. Increased liver stiffness, determined by vibration‐controlled transient elastography or hepatic fibrosis as predicted by biomarker panels, are associated with a variety of cardiovascular diseases, including heart failure, atrial fibrillation, and coronary heart disease. Elevated liver stiffness in patients with metabolic liver disease should lead to considerations of cardiac workup including N‐terminal pro–B‐type natriuretic peptide/B‐type natriuretic peptide determination, electrocardiography, and coronary computed tomography angiography. In addition, patients with MASLD would benefit from heart disease case‐finding strategies in which liver stiffness measurements can play a key role. In conclusion, increased liver stiffness should be a trigger to consider a cardiac workup in metabolically compromised patients.","container-title":"Liver International","DOI":"10.1111/liv.15801","ISSN":"1478-3223, 1478-3231","issue":"2","journalAbbreviation":"Liver International","language":"en","page":"344-356","source":"DOI.org (Crossref)","title":"Liver stiffness as a cornerstone in heart disease risk assessment","volume":"44","author":[{"family":"Boeckmans","given":"Joost"},{"family":"Sandrin","given":"Laurent"},{"family":"Knackstedt","given":"Christian"},{"family":"Schattenberg","given":"Jörn M."}],"issued":{"date-parts":[["2024",2]]}}}],"schema":"https://github.com/citation-style-language/schema/raw/master/csl-citation.json"} </w:instrText>
            </w:r>
            <w:r w:rsidRPr="007E5D9A">
              <w:rPr>
                <w:rFonts w:ascii="Times New Roman" w:eastAsia="宋体" w:hAnsi="Times New Roman" w:cs="Times New Roman"/>
                <w:kern w:val="0"/>
                <w:sz w:val="24"/>
                <w:lang w:bidi="ar"/>
              </w:rPr>
              <w:fldChar w:fldCharType="separate"/>
            </w:r>
            <w:r w:rsidRPr="007E5D9A">
              <w:rPr>
                <w:rFonts w:ascii="Times New Roman" w:hAnsi="Times New Roman" w:cs="Times New Roman"/>
                <w:sz w:val="24"/>
              </w:rPr>
              <w:t>[44]</w:t>
            </w:r>
            <w:r w:rsidRPr="007E5D9A">
              <w:rPr>
                <w:rFonts w:ascii="Times New Roman" w:eastAsia="宋体" w:hAnsi="Times New Roman" w:cs="Times New Roman"/>
                <w:kern w:val="0"/>
                <w:sz w:val="24"/>
                <w:lang w:bidi="ar"/>
              </w:rPr>
              <w:fldChar w:fldCharType="end"/>
            </w:r>
          </w:p>
        </w:tc>
        <w:tc>
          <w:tcPr>
            <w:tcW w:w="0" w:type="auto"/>
            <w:tcBorders>
              <w:right w:val="nil"/>
            </w:tcBorders>
            <w:tcMar>
              <w:top w:w="74" w:type="dxa"/>
              <w:left w:w="74" w:type="dxa"/>
              <w:bottom w:w="74" w:type="dxa"/>
              <w:right w:w="74" w:type="dxa"/>
            </w:tcMar>
          </w:tcPr>
          <w:p w14:paraId="315290BF" w14:textId="77777777" w:rsidR="00795585" w:rsidRPr="007E5D9A" w:rsidRDefault="00000000">
            <w:pPr>
              <w:widowControl/>
              <w:jc w:val="left"/>
              <w:textAlignment w:val="top"/>
              <w:rPr>
                <w:rFonts w:ascii="Times New Roman" w:hAnsi="Times New Roman" w:cs="Times New Roman"/>
              </w:rPr>
            </w:pPr>
            <w:r w:rsidRPr="007E5D9A">
              <w:rPr>
                <w:rFonts w:ascii="Times New Roman" w:eastAsia="宋体" w:hAnsi="Times New Roman" w:cs="Times New Roman"/>
                <w:kern w:val="0"/>
                <w:sz w:val="24"/>
                <w:lang w:bidi="ar"/>
              </w:rPr>
              <w:t>All-cause mortality</w:t>
            </w:r>
          </w:p>
        </w:tc>
        <w:tc>
          <w:tcPr>
            <w:tcW w:w="0" w:type="auto"/>
            <w:tcBorders>
              <w:right w:val="nil"/>
            </w:tcBorders>
            <w:tcMar>
              <w:top w:w="74" w:type="dxa"/>
              <w:left w:w="74" w:type="dxa"/>
              <w:bottom w:w="74" w:type="dxa"/>
              <w:right w:w="74" w:type="dxa"/>
            </w:tcMar>
          </w:tcPr>
          <w:p w14:paraId="4787B2F9" w14:textId="77777777" w:rsidR="00795585" w:rsidRPr="007E5D9A" w:rsidRDefault="00000000">
            <w:pPr>
              <w:widowControl/>
              <w:jc w:val="left"/>
              <w:textAlignment w:val="top"/>
              <w:rPr>
                <w:rFonts w:ascii="Times New Roman" w:hAnsi="Times New Roman" w:cs="Times New Roman"/>
              </w:rPr>
            </w:pPr>
            <w:r w:rsidRPr="007E5D9A">
              <w:rPr>
                <w:rFonts w:ascii="Times New Roman" w:eastAsia="宋体" w:hAnsi="Times New Roman" w:cs="Times New Roman"/>
                <w:kern w:val="0"/>
                <w:sz w:val="24"/>
                <w:lang w:bidi="ar"/>
              </w:rPr>
              <w:t>1.3 (1.1-1.5)</w:t>
            </w:r>
          </w:p>
        </w:tc>
        <w:tc>
          <w:tcPr>
            <w:tcW w:w="0" w:type="auto"/>
            <w:tcBorders>
              <w:right w:val="nil"/>
            </w:tcBorders>
            <w:tcMar>
              <w:top w:w="74" w:type="dxa"/>
              <w:left w:w="74" w:type="dxa"/>
              <w:bottom w:w="74" w:type="dxa"/>
              <w:right w:w="74" w:type="dxa"/>
            </w:tcMar>
          </w:tcPr>
          <w:p w14:paraId="3BE9CE27" w14:textId="77777777" w:rsidR="00795585" w:rsidRPr="007E5D9A" w:rsidRDefault="00000000">
            <w:pPr>
              <w:widowControl/>
              <w:jc w:val="left"/>
              <w:textAlignment w:val="top"/>
              <w:rPr>
                <w:rFonts w:ascii="Times New Roman" w:hAnsi="Times New Roman" w:cs="Times New Roman"/>
              </w:rPr>
            </w:pPr>
            <w:r w:rsidRPr="007E5D9A">
              <w:rPr>
                <w:rFonts w:ascii="Times New Roman" w:eastAsia="宋体" w:hAnsi="Times New Roman" w:cs="Times New Roman"/>
                <w:kern w:val="0"/>
                <w:sz w:val="24"/>
                <w:lang w:bidi="ar"/>
              </w:rPr>
              <w:t>+0.03</w:t>
            </w:r>
          </w:p>
        </w:tc>
      </w:tr>
      <w:tr w:rsidR="00795585" w:rsidRPr="007E5D9A" w14:paraId="70FCF700" w14:textId="77777777">
        <w:tc>
          <w:tcPr>
            <w:tcW w:w="0" w:type="auto"/>
            <w:tcBorders>
              <w:left w:val="nil"/>
              <w:bottom w:val="single" w:sz="4" w:space="0" w:color="auto"/>
              <w:right w:val="nil"/>
            </w:tcBorders>
            <w:tcMar>
              <w:top w:w="74" w:type="dxa"/>
              <w:left w:w="74" w:type="dxa"/>
              <w:bottom w:w="74" w:type="dxa"/>
              <w:right w:w="74" w:type="dxa"/>
            </w:tcMar>
          </w:tcPr>
          <w:p w14:paraId="104E6D84" w14:textId="77777777" w:rsidR="00795585" w:rsidRPr="007E5D9A" w:rsidRDefault="00000000">
            <w:pPr>
              <w:widowControl/>
              <w:jc w:val="left"/>
              <w:textAlignment w:val="top"/>
              <w:rPr>
                <w:rFonts w:ascii="Times New Roman" w:hAnsi="Times New Roman" w:cs="Times New Roman"/>
              </w:rPr>
            </w:pPr>
            <w:r w:rsidRPr="007E5D9A">
              <w:rPr>
                <w:rFonts w:ascii="Times New Roman" w:eastAsia="宋体" w:hAnsi="Times New Roman" w:cs="Times New Roman"/>
                <w:kern w:val="0"/>
                <w:sz w:val="24"/>
                <w:lang w:bidi="ar"/>
              </w:rPr>
              <w:t xml:space="preserve">General </w:t>
            </w:r>
            <w:proofErr w:type="spellStart"/>
            <w:r w:rsidRPr="007E5D9A">
              <w:rPr>
                <w:rFonts w:ascii="Times New Roman" w:eastAsia="宋体" w:hAnsi="Times New Roman" w:cs="Times New Roman"/>
                <w:kern w:val="0"/>
                <w:sz w:val="24"/>
                <w:lang w:bidi="ar"/>
              </w:rPr>
              <w:t>populatio</w:t>
            </w:r>
            <w:proofErr w:type="spellEnd"/>
            <w:r w:rsidRPr="007E5D9A">
              <w:rPr>
                <w:rFonts w:ascii="Times New Roman" w:eastAsia="宋体" w:hAnsi="Times New Roman" w:cs="Times New Roman"/>
                <w:kern w:val="0"/>
                <w:sz w:val="24"/>
                <w:lang w:bidi="ar"/>
              </w:rPr>
              <w:t xml:space="preserve"> </w:t>
            </w:r>
            <w:r w:rsidRPr="007E5D9A">
              <w:rPr>
                <w:rFonts w:ascii="Times New Roman" w:eastAsia="宋体" w:hAnsi="Times New Roman" w:cs="Times New Roman"/>
                <w:kern w:val="0"/>
                <w:sz w:val="24"/>
                <w:lang w:bidi="ar"/>
              </w:rPr>
              <w:fldChar w:fldCharType="begin"/>
            </w:r>
            <w:r w:rsidRPr="007E5D9A">
              <w:rPr>
                <w:rFonts w:ascii="Times New Roman" w:eastAsia="宋体" w:hAnsi="Times New Roman" w:cs="Times New Roman"/>
                <w:kern w:val="0"/>
                <w:sz w:val="24"/>
                <w:lang w:bidi="ar"/>
              </w:rPr>
              <w:instrText xml:space="preserve"> ADDIN ZOTERO_ITEM CSL_CITATION {"citationID":"GJkawVDN","properties":{"formattedCitation":"[45]","plainCitation":"[45]","noteIndex":0},"citationItems":[{"id":"PT63WDpC/XgFZKtdb","uris":["http://zotero.org/users/local/pKm3rcyL/items/DGSKIVY9"],"itemData":{"id":9501,"type":"article-journal","container-title":"Nutrition, Metabolism and Cardiovascular Diseases","DOI":"10.1016/j.numecd.2023.11.011","ISSN":"09394753","issue":"4","journalAbbreviation":"Nutrition, Metabolism and Cardiovascular Diseases","language":"en","page":"963-971","source":"DOI.org (Crossref)","title":"Liver fibrosis, NT-ProBNP and mortality in patients with MASLD: A population-based cohort study","title-short":"Liver fibrosis, NT-ProBNP and mortality in patients with MASLD","volume":"34","author":[{"family":"Ciardullo","given":"Stefano"},{"family":"Cannistraci","given":"Rosa"},{"family":"Muraca","given":"Emanuele"},{"family":"Zerbini","given":"Francesca"},{"family":"Perseghin","given":"Gianluca"}],"issued":{"date-parts":[["2024",4]]}}}],"schema":"https://github.com/citation-style-language/schema/raw/master/csl-citation.json"} </w:instrText>
            </w:r>
            <w:r w:rsidRPr="007E5D9A">
              <w:rPr>
                <w:rFonts w:ascii="Times New Roman" w:eastAsia="宋体" w:hAnsi="Times New Roman" w:cs="Times New Roman"/>
                <w:kern w:val="0"/>
                <w:sz w:val="24"/>
                <w:lang w:bidi="ar"/>
              </w:rPr>
              <w:fldChar w:fldCharType="separate"/>
            </w:r>
            <w:r w:rsidRPr="007E5D9A">
              <w:rPr>
                <w:rFonts w:ascii="Times New Roman" w:hAnsi="Times New Roman" w:cs="Times New Roman"/>
                <w:sz w:val="24"/>
              </w:rPr>
              <w:t>[45]</w:t>
            </w:r>
            <w:r w:rsidRPr="007E5D9A">
              <w:rPr>
                <w:rFonts w:ascii="Times New Roman" w:eastAsia="宋体" w:hAnsi="Times New Roman" w:cs="Times New Roman"/>
                <w:kern w:val="0"/>
                <w:sz w:val="24"/>
                <w:lang w:bidi="ar"/>
              </w:rPr>
              <w:fldChar w:fldCharType="end"/>
            </w:r>
          </w:p>
        </w:tc>
        <w:tc>
          <w:tcPr>
            <w:tcW w:w="0" w:type="auto"/>
            <w:tcBorders>
              <w:bottom w:val="single" w:sz="4" w:space="0" w:color="auto"/>
              <w:right w:val="nil"/>
            </w:tcBorders>
            <w:tcMar>
              <w:top w:w="74" w:type="dxa"/>
              <w:left w:w="74" w:type="dxa"/>
              <w:bottom w:w="74" w:type="dxa"/>
              <w:right w:w="74" w:type="dxa"/>
            </w:tcMar>
          </w:tcPr>
          <w:p w14:paraId="2BCC1076" w14:textId="77777777" w:rsidR="00795585" w:rsidRPr="007E5D9A" w:rsidRDefault="00000000">
            <w:pPr>
              <w:widowControl/>
              <w:jc w:val="left"/>
              <w:textAlignment w:val="top"/>
              <w:rPr>
                <w:rFonts w:ascii="Times New Roman" w:hAnsi="Times New Roman" w:cs="Times New Roman"/>
              </w:rPr>
            </w:pPr>
            <w:r w:rsidRPr="007E5D9A">
              <w:rPr>
                <w:rFonts w:ascii="Times New Roman" w:eastAsia="宋体" w:hAnsi="Times New Roman" w:cs="Times New Roman"/>
                <w:kern w:val="0"/>
                <w:sz w:val="24"/>
                <w:lang w:bidi="ar"/>
              </w:rPr>
              <w:t>CV mortality</w:t>
            </w:r>
          </w:p>
        </w:tc>
        <w:tc>
          <w:tcPr>
            <w:tcW w:w="0" w:type="auto"/>
            <w:tcBorders>
              <w:bottom w:val="single" w:sz="4" w:space="0" w:color="auto"/>
              <w:right w:val="nil"/>
            </w:tcBorders>
            <w:tcMar>
              <w:top w:w="74" w:type="dxa"/>
              <w:left w:w="74" w:type="dxa"/>
              <w:bottom w:w="74" w:type="dxa"/>
              <w:right w:w="74" w:type="dxa"/>
            </w:tcMar>
          </w:tcPr>
          <w:p w14:paraId="4EA0387D" w14:textId="77777777" w:rsidR="00795585" w:rsidRPr="007E5D9A" w:rsidRDefault="00000000">
            <w:pPr>
              <w:widowControl/>
              <w:jc w:val="left"/>
              <w:textAlignment w:val="top"/>
              <w:rPr>
                <w:rFonts w:ascii="Times New Roman" w:hAnsi="Times New Roman" w:cs="Times New Roman"/>
              </w:rPr>
            </w:pPr>
            <w:r w:rsidRPr="007E5D9A">
              <w:rPr>
                <w:rFonts w:ascii="Times New Roman" w:eastAsia="宋体" w:hAnsi="Times New Roman" w:cs="Times New Roman"/>
                <w:kern w:val="0"/>
                <w:sz w:val="24"/>
                <w:lang w:bidi="ar"/>
              </w:rPr>
              <w:t>1.6 (1.3-2.0)</w:t>
            </w:r>
          </w:p>
        </w:tc>
        <w:tc>
          <w:tcPr>
            <w:tcW w:w="0" w:type="auto"/>
            <w:tcBorders>
              <w:bottom w:val="single" w:sz="4" w:space="0" w:color="auto"/>
              <w:right w:val="nil"/>
            </w:tcBorders>
            <w:tcMar>
              <w:top w:w="74" w:type="dxa"/>
              <w:left w:w="74" w:type="dxa"/>
              <w:bottom w:w="74" w:type="dxa"/>
              <w:right w:w="74" w:type="dxa"/>
            </w:tcMar>
          </w:tcPr>
          <w:p w14:paraId="73A3E108" w14:textId="77777777" w:rsidR="00795585" w:rsidRPr="007E5D9A" w:rsidRDefault="00000000">
            <w:pPr>
              <w:widowControl/>
              <w:jc w:val="left"/>
              <w:textAlignment w:val="top"/>
              <w:rPr>
                <w:rFonts w:ascii="Times New Roman" w:hAnsi="Times New Roman" w:cs="Times New Roman"/>
              </w:rPr>
            </w:pPr>
            <w:r w:rsidRPr="007E5D9A">
              <w:rPr>
                <w:rFonts w:ascii="Times New Roman" w:eastAsia="宋体" w:hAnsi="Times New Roman" w:cs="Times New Roman"/>
                <w:kern w:val="0"/>
                <w:sz w:val="24"/>
                <w:lang w:bidi="ar"/>
              </w:rPr>
              <w:t>+0.05</w:t>
            </w:r>
          </w:p>
        </w:tc>
      </w:tr>
    </w:tbl>
    <w:p w14:paraId="339CA806" w14:textId="77777777" w:rsidR="00795585" w:rsidRPr="007E5D9A" w:rsidRDefault="00795585">
      <w:pPr>
        <w:widowControl/>
        <w:shd w:val="clear" w:color="auto" w:fill="FFFFFF"/>
        <w:spacing w:after="119" w:line="163" w:lineRule="atLeast"/>
        <w:jc w:val="left"/>
        <w:textAlignment w:val="baseline"/>
        <w:rPr>
          <w:rStyle w:val="a9"/>
          <w:rFonts w:ascii="Times New Roman" w:eastAsia="Noto Sans" w:hAnsi="Times New Roman" w:cs="Times New Roman"/>
          <w:bCs/>
          <w:kern w:val="0"/>
          <w:szCs w:val="21"/>
          <w:lang w:bidi="ar"/>
        </w:rPr>
      </w:pPr>
    </w:p>
    <w:p w14:paraId="1BE6ACBF" w14:textId="77777777" w:rsidR="00795585" w:rsidRPr="007E5D9A" w:rsidRDefault="00000000">
      <w:pPr>
        <w:spacing w:line="360" w:lineRule="auto"/>
        <w:rPr>
          <w:rFonts w:ascii="Times New Roman" w:hAnsi="Times New Roman" w:cs="Times New Roman"/>
          <w:b/>
          <w:bCs/>
          <w:color w:val="000000"/>
          <w:sz w:val="28"/>
          <w:szCs w:val="28"/>
        </w:rPr>
      </w:pPr>
      <w:r w:rsidRPr="007E5D9A">
        <w:rPr>
          <w:rFonts w:ascii="Times New Roman" w:hAnsi="Times New Roman" w:cs="Times New Roman"/>
          <w:b/>
          <w:bCs/>
          <w:color w:val="000000"/>
          <w:sz w:val="28"/>
          <w:szCs w:val="28"/>
        </w:rPr>
        <w:t>Table S7. VCTE (LSM) Incremental Value:</w:t>
      </w:r>
    </w:p>
    <w:p w14:paraId="7B7DE88F" w14:textId="77777777" w:rsidR="00795585" w:rsidRPr="007E5D9A" w:rsidRDefault="00795585">
      <w:pPr>
        <w:widowControl/>
        <w:shd w:val="clear" w:color="auto" w:fill="FFFFFF"/>
        <w:spacing w:after="119" w:line="163" w:lineRule="atLeast"/>
        <w:jc w:val="left"/>
        <w:textAlignment w:val="baseline"/>
        <w:rPr>
          <w:rFonts w:ascii="Times New Roman" w:eastAsia="Noto Sans" w:hAnsi="Times New Roman" w:cs="Times New Roman"/>
          <w:spacing w:val="4"/>
          <w:szCs w:val="21"/>
        </w:rPr>
      </w:pPr>
    </w:p>
    <w:tbl>
      <w:tblPr>
        <w:tblW w:w="0" w:type="auto"/>
        <w:tblCellMar>
          <w:left w:w="0" w:type="dxa"/>
          <w:right w:w="0" w:type="dxa"/>
        </w:tblCellMar>
        <w:tblLook w:val="04A0" w:firstRow="1" w:lastRow="0" w:firstColumn="1" w:lastColumn="0" w:noHBand="0" w:noVBand="1"/>
      </w:tblPr>
      <w:tblGrid>
        <w:gridCol w:w="1708"/>
        <w:gridCol w:w="1669"/>
        <w:gridCol w:w="2375"/>
        <w:gridCol w:w="2561"/>
      </w:tblGrid>
      <w:tr w:rsidR="00795585" w:rsidRPr="007E5D9A" w14:paraId="5044B8B7" w14:textId="77777777">
        <w:trPr>
          <w:tblHeader/>
        </w:trPr>
        <w:tc>
          <w:tcPr>
            <w:tcW w:w="0" w:type="auto"/>
            <w:tcBorders>
              <w:top w:val="single" w:sz="4" w:space="0" w:color="auto"/>
              <w:left w:val="nil"/>
              <w:bottom w:val="single" w:sz="4" w:space="0" w:color="auto"/>
              <w:right w:val="nil"/>
            </w:tcBorders>
            <w:tcMar>
              <w:top w:w="74" w:type="dxa"/>
              <w:left w:w="74" w:type="dxa"/>
              <w:bottom w:w="74" w:type="dxa"/>
              <w:right w:w="74" w:type="dxa"/>
            </w:tcMar>
          </w:tcPr>
          <w:p w14:paraId="284FB99A" w14:textId="77777777" w:rsidR="00795585" w:rsidRPr="007E5D9A" w:rsidRDefault="00000000">
            <w:pPr>
              <w:widowControl/>
              <w:jc w:val="left"/>
              <w:textAlignment w:val="top"/>
              <w:rPr>
                <w:rFonts w:ascii="Times New Roman" w:hAnsi="Times New Roman" w:cs="Times New Roman"/>
                <w:b/>
                <w:bCs/>
              </w:rPr>
            </w:pPr>
            <w:r w:rsidRPr="007E5D9A">
              <w:rPr>
                <w:rFonts w:ascii="Times New Roman" w:eastAsia="宋体" w:hAnsi="Times New Roman" w:cs="Times New Roman"/>
                <w:b/>
                <w:bCs/>
                <w:kern w:val="0"/>
                <w:sz w:val="24"/>
                <w:lang w:bidi="ar"/>
              </w:rPr>
              <w:t>LSM Category</w:t>
            </w:r>
          </w:p>
        </w:tc>
        <w:tc>
          <w:tcPr>
            <w:tcW w:w="0" w:type="auto"/>
            <w:tcBorders>
              <w:top w:val="single" w:sz="4" w:space="0" w:color="auto"/>
              <w:bottom w:val="single" w:sz="4" w:space="0" w:color="auto"/>
              <w:right w:val="nil"/>
            </w:tcBorders>
            <w:tcMar>
              <w:top w:w="74" w:type="dxa"/>
              <w:left w:w="74" w:type="dxa"/>
              <w:bottom w:w="74" w:type="dxa"/>
              <w:right w:w="74" w:type="dxa"/>
            </w:tcMar>
          </w:tcPr>
          <w:p w14:paraId="159001F8" w14:textId="77777777" w:rsidR="00795585" w:rsidRPr="007E5D9A" w:rsidRDefault="00000000">
            <w:pPr>
              <w:widowControl/>
              <w:jc w:val="left"/>
              <w:textAlignment w:val="top"/>
              <w:rPr>
                <w:rFonts w:ascii="Times New Roman" w:hAnsi="Times New Roman" w:cs="Times New Roman"/>
                <w:b/>
                <w:bCs/>
              </w:rPr>
            </w:pPr>
            <w:r w:rsidRPr="007E5D9A">
              <w:rPr>
                <w:rFonts w:ascii="Times New Roman" w:eastAsia="宋体" w:hAnsi="Times New Roman" w:cs="Times New Roman"/>
                <w:b/>
                <w:bCs/>
                <w:kern w:val="0"/>
                <w:sz w:val="24"/>
                <w:lang w:bidi="ar"/>
              </w:rPr>
              <w:t>CV Events HR</w:t>
            </w:r>
          </w:p>
        </w:tc>
        <w:tc>
          <w:tcPr>
            <w:tcW w:w="0" w:type="auto"/>
            <w:tcBorders>
              <w:top w:val="single" w:sz="4" w:space="0" w:color="auto"/>
              <w:bottom w:val="single" w:sz="4" w:space="0" w:color="auto"/>
              <w:right w:val="nil"/>
            </w:tcBorders>
            <w:tcMar>
              <w:top w:w="74" w:type="dxa"/>
              <w:left w:w="74" w:type="dxa"/>
              <w:bottom w:w="74" w:type="dxa"/>
              <w:right w:w="74" w:type="dxa"/>
            </w:tcMar>
          </w:tcPr>
          <w:p w14:paraId="50A84356" w14:textId="77777777" w:rsidR="00795585" w:rsidRPr="007E5D9A" w:rsidRDefault="00000000">
            <w:pPr>
              <w:widowControl/>
              <w:jc w:val="left"/>
              <w:textAlignment w:val="top"/>
              <w:rPr>
                <w:rFonts w:ascii="Times New Roman" w:hAnsi="Times New Roman" w:cs="Times New Roman"/>
                <w:b/>
                <w:bCs/>
              </w:rPr>
            </w:pPr>
            <w:r w:rsidRPr="007E5D9A">
              <w:rPr>
                <w:rFonts w:ascii="Times New Roman" w:eastAsia="宋体" w:hAnsi="Times New Roman" w:cs="Times New Roman"/>
                <w:b/>
                <w:bCs/>
                <w:kern w:val="0"/>
                <w:sz w:val="24"/>
                <w:lang w:bidi="ar"/>
              </w:rPr>
              <w:t>CKD Progression HR</w:t>
            </w:r>
          </w:p>
        </w:tc>
        <w:tc>
          <w:tcPr>
            <w:tcW w:w="0" w:type="auto"/>
            <w:tcBorders>
              <w:top w:val="single" w:sz="4" w:space="0" w:color="auto"/>
              <w:bottom w:val="single" w:sz="4" w:space="0" w:color="auto"/>
              <w:right w:val="nil"/>
            </w:tcBorders>
            <w:tcMar>
              <w:top w:w="74" w:type="dxa"/>
              <w:left w:w="74" w:type="dxa"/>
              <w:bottom w:w="74" w:type="dxa"/>
              <w:right w:w="74" w:type="dxa"/>
            </w:tcMar>
          </w:tcPr>
          <w:p w14:paraId="622C1594" w14:textId="77777777" w:rsidR="00795585" w:rsidRPr="007E5D9A" w:rsidRDefault="00000000">
            <w:pPr>
              <w:widowControl/>
              <w:jc w:val="left"/>
              <w:textAlignment w:val="top"/>
              <w:rPr>
                <w:rFonts w:ascii="Times New Roman" w:hAnsi="Times New Roman" w:cs="Times New Roman"/>
                <w:b/>
                <w:bCs/>
              </w:rPr>
            </w:pPr>
            <w:r w:rsidRPr="007E5D9A">
              <w:rPr>
                <w:rFonts w:ascii="Times New Roman" w:eastAsia="宋体" w:hAnsi="Times New Roman" w:cs="Times New Roman"/>
                <w:b/>
                <w:bCs/>
                <w:kern w:val="0"/>
                <w:sz w:val="24"/>
                <w:lang w:bidi="ar"/>
              </w:rPr>
              <w:t>All-cause Mortality HR</w:t>
            </w:r>
          </w:p>
        </w:tc>
      </w:tr>
      <w:tr w:rsidR="00795585" w:rsidRPr="007E5D9A" w14:paraId="5AFCF141" w14:textId="77777777">
        <w:tc>
          <w:tcPr>
            <w:tcW w:w="0" w:type="auto"/>
            <w:tcBorders>
              <w:top w:val="single" w:sz="4" w:space="0" w:color="auto"/>
              <w:left w:val="nil"/>
              <w:bottom w:val="nil"/>
              <w:right w:val="nil"/>
            </w:tcBorders>
            <w:tcMar>
              <w:top w:w="74" w:type="dxa"/>
              <w:left w:w="74" w:type="dxa"/>
              <w:bottom w:w="74" w:type="dxa"/>
              <w:right w:w="74" w:type="dxa"/>
            </w:tcMar>
          </w:tcPr>
          <w:p w14:paraId="776F182C" w14:textId="77777777" w:rsidR="00795585" w:rsidRPr="007E5D9A" w:rsidRDefault="00000000">
            <w:pPr>
              <w:widowControl/>
              <w:jc w:val="left"/>
              <w:textAlignment w:val="top"/>
              <w:rPr>
                <w:rFonts w:ascii="Times New Roman" w:hAnsi="Times New Roman" w:cs="Times New Roman"/>
              </w:rPr>
            </w:pPr>
            <w:r w:rsidRPr="007E5D9A">
              <w:rPr>
                <w:rFonts w:ascii="Times New Roman" w:eastAsia="宋体" w:hAnsi="Times New Roman" w:cs="Times New Roman"/>
                <w:kern w:val="0"/>
                <w:sz w:val="24"/>
                <w:lang w:bidi="ar"/>
              </w:rPr>
              <w:t>&lt;8 kPa</w:t>
            </w:r>
          </w:p>
        </w:tc>
        <w:tc>
          <w:tcPr>
            <w:tcW w:w="0" w:type="auto"/>
            <w:tcBorders>
              <w:top w:val="single" w:sz="4" w:space="0" w:color="auto"/>
              <w:bottom w:val="nil"/>
              <w:right w:val="nil"/>
            </w:tcBorders>
            <w:tcMar>
              <w:top w:w="74" w:type="dxa"/>
              <w:left w:w="74" w:type="dxa"/>
              <w:bottom w:w="74" w:type="dxa"/>
              <w:right w:w="74" w:type="dxa"/>
            </w:tcMar>
          </w:tcPr>
          <w:p w14:paraId="7BFF4C10" w14:textId="77777777" w:rsidR="00795585" w:rsidRPr="007E5D9A" w:rsidRDefault="00000000">
            <w:pPr>
              <w:widowControl/>
              <w:jc w:val="left"/>
              <w:textAlignment w:val="top"/>
              <w:rPr>
                <w:rFonts w:ascii="Times New Roman" w:hAnsi="Times New Roman" w:cs="Times New Roman"/>
              </w:rPr>
            </w:pPr>
            <w:r w:rsidRPr="007E5D9A">
              <w:rPr>
                <w:rFonts w:ascii="Times New Roman" w:eastAsia="宋体" w:hAnsi="Times New Roman" w:cs="Times New Roman"/>
                <w:kern w:val="0"/>
                <w:sz w:val="24"/>
                <w:lang w:bidi="ar"/>
              </w:rPr>
              <w:t>Reference</w:t>
            </w:r>
          </w:p>
        </w:tc>
        <w:tc>
          <w:tcPr>
            <w:tcW w:w="0" w:type="auto"/>
            <w:tcBorders>
              <w:top w:val="single" w:sz="4" w:space="0" w:color="auto"/>
              <w:bottom w:val="nil"/>
              <w:right w:val="nil"/>
            </w:tcBorders>
            <w:tcMar>
              <w:top w:w="74" w:type="dxa"/>
              <w:left w:w="74" w:type="dxa"/>
              <w:bottom w:w="74" w:type="dxa"/>
              <w:right w:w="74" w:type="dxa"/>
            </w:tcMar>
          </w:tcPr>
          <w:p w14:paraId="0C15FA3A" w14:textId="77777777" w:rsidR="00795585" w:rsidRPr="007E5D9A" w:rsidRDefault="00000000">
            <w:pPr>
              <w:widowControl/>
              <w:jc w:val="left"/>
              <w:textAlignment w:val="top"/>
              <w:rPr>
                <w:rFonts w:ascii="Times New Roman" w:hAnsi="Times New Roman" w:cs="Times New Roman"/>
              </w:rPr>
            </w:pPr>
            <w:r w:rsidRPr="007E5D9A">
              <w:rPr>
                <w:rFonts w:ascii="Times New Roman" w:eastAsia="宋体" w:hAnsi="Times New Roman" w:cs="Times New Roman"/>
                <w:kern w:val="0"/>
                <w:sz w:val="24"/>
                <w:lang w:bidi="ar"/>
              </w:rPr>
              <w:t>Reference</w:t>
            </w:r>
          </w:p>
        </w:tc>
        <w:tc>
          <w:tcPr>
            <w:tcW w:w="0" w:type="auto"/>
            <w:tcBorders>
              <w:top w:val="single" w:sz="4" w:space="0" w:color="auto"/>
              <w:bottom w:val="nil"/>
              <w:right w:val="nil"/>
            </w:tcBorders>
            <w:tcMar>
              <w:top w:w="74" w:type="dxa"/>
              <w:left w:w="74" w:type="dxa"/>
              <w:bottom w:w="74" w:type="dxa"/>
              <w:right w:w="74" w:type="dxa"/>
            </w:tcMar>
          </w:tcPr>
          <w:p w14:paraId="422D32A6" w14:textId="77777777" w:rsidR="00795585" w:rsidRPr="007E5D9A" w:rsidRDefault="00000000">
            <w:pPr>
              <w:widowControl/>
              <w:jc w:val="left"/>
              <w:textAlignment w:val="top"/>
              <w:rPr>
                <w:rFonts w:ascii="Times New Roman" w:hAnsi="Times New Roman" w:cs="Times New Roman"/>
              </w:rPr>
            </w:pPr>
            <w:r w:rsidRPr="007E5D9A">
              <w:rPr>
                <w:rFonts w:ascii="Times New Roman" w:eastAsia="宋体" w:hAnsi="Times New Roman" w:cs="Times New Roman"/>
                <w:kern w:val="0"/>
                <w:sz w:val="24"/>
                <w:lang w:bidi="ar"/>
              </w:rPr>
              <w:t>Reference</w:t>
            </w:r>
          </w:p>
        </w:tc>
      </w:tr>
      <w:tr w:rsidR="00795585" w:rsidRPr="007E5D9A" w14:paraId="451413E3" w14:textId="77777777">
        <w:tc>
          <w:tcPr>
            <w:tcW w:w="0" w:type="auto"/>
            <w:tcBorders>
              <w:left w:val="nil"/>
              <w:bottom w:val="nil"/>
              <w:right w:val="nil"/>
            </w:tcBorders>
            <w:tcMar>
              <w:top w:w="74" w:type="dxa"/>
              <w:left w:w="74" w:type="dxa"/>
              <w:bottom w:w="74" w:type="dxa"/>
              <w:right w:w="74" w:type="dxa"/>
            </w:tcMar>
          </w:tcPr>
          <w:p w14:paraId="34C03A7B" w14:textId="77777777" w:rsidR="00795585" w:rsidRPr="007E5D9A" w:rsidRDefault="00000000">
            <w:pPr>
              <w:widowControl/>
              <w:jc w:val="left"/>
              <w:textAlignment w:val="top"/>
              <w:rPr>
                <w:rFonts w:ascii="Times New Roman" w:hAnsi="Times New Roman" w:cs="Times New Roman"/>
              </w:rPr>
            </w:pPr>
            <w:r w:rsidRPr="007E5D9A">
              <w:rPr>
                <w:rFonts w:ascii="Times New Roman" w:eastAsia="宋体" w:hAnsi="Times New Roman" w:cs="Times New Roman"/>
                <w:kern w:val="0"/>
                <w:sz w:val="24"/>
                <w:lang w:bidi="ar"/>
              </w:rPr>
              <w:t>8-12 kPa</w:t>
            </w:r>
            <w:r w:rsidRPr="007E5D9A">
              <w:rPr>
                <w:rFonts w:ascii="Times New Roman" w:eastAsia="宋体" w:hAnsi="Times New Roman" w:cs="Times New Roman"/>
                <w:kern w:val="0"/>
                <w:sz w:val="24"/>
                <w:lang w:bidi="ar"/>
              </w:rPr>
              <w:fldChar w:fldCharType="begin"/>
            </w:r>
            <w:r w:rsidRPr="007E5D9A">
              <w:rPr>
                <w:rFonts w:ascii="Times New Roman" w:eastAsia="宋体" w:hAnsi="Times New Roman" w:cs="Times New Roman"/>
                <w:kern w:val="0"/>
                <w:sz w:val="24"/>
                <w:lang w:bidi="ar"/>
              </w:rPr>
              <w:instrText xml:space="preserve"> ADDIN ZOTERO_ITEM CSL_CITATION {"citationID":"aOBPOP7L","properties":{"formattedCitation":"[46,47]","plainCitation":"[46,47]","noteIndex":0},"citationItems":[{"id":"PT63WDpC/FqiFrN7S","uris":["http://zotero.org/users/local/pKm3rcyL/items/U25R8FHE"],"itemData":{"id":9521,"type":"article-journal","container-title":"Journal of Diabetes and its Complications","DOI":"10.1016/j.jdiacomp.2022.108226","ISSN":"10568727","issue":"8","journalAbbreviation":"Journal of Diabetes and its Complications","language":"en","page":"108226","source":"DOI.org (Crossref)","title":"Elastographic parameters of liver steatosis and fibrosis predict independently the risk of incident chronic kidney disease and acute myocardial infarction in patients with type 2 diabetes mellitus","volume":"36","author":[{"family":"Mikolasevic","given":"I."},{"family":"Domislovic","given":"V."},{"family":"Ruzic","given":"A."},{"family":"Hauser","given":"G."},{"family":"Rahelic","given":"D."},{"family":"Klobucar-Majanovic","given":"S."},{"family":"Krznaric","given":"Z."},{"family":"Dobrila-Dintinjana","given":"R."},{"family":"Grgurevic","given":"I."},{"family":"Skenderevic","given":"N."},{"family":"Lukic","given":"A."},{"family":"Targher","given":"G."}],"issued":{"date-parts":[["2022",8]]}},"label":"page"},{"id":"PT63WDpC/3Z7Sp92E","uris":["http://zotero.org/users/local/pKm3rcyL/items/WGMQZDPP"],"itemData":{"id":9522,"type":"article-journal","abstract":"Abstract\n            \n              Background\n              Liver stiffness measurement (LSM, which reflects fibrosis) and controlled attenuation parameter (CAP, which reflects steatosis), two parameters derived from hepatic transient elastography (TE), have scarcely been evaluated as predictors of cardiovascular complications and mortality in individuals with type 2 diabetes and nonalcoholic fatty liver disease (NAFLD).\n            \n            \n              Methods\n              \n                Four hundred type 2 diabetic patients with NAFLD had TE examination (by Fibroscan\n                ®\n                ) performed at baseline. Multivariate Cox analyses evaluated the associations between TE parameters and the occurrence of cardiovascular events (CVEs) and mortality. TE parameters were assessed as continuous variables and dichotomized at low/high values reflecting advanced liver fibrosis (LSM &gt; 9.6 kPa) and severe steatosis (CAP &gt; 296 or &gt; 330 dB/m). Improvements in risk discrimination were assessed by C-statistic and by the relative Integrated Discrimination Improvement (IDI) index.\n              \n            \n            \n              Results\n              During a median follow-up of 5.5 years, 85 patients died (40 from cardiovascular causes), and 69 had a CVE. As continuous variables, an increasing LSM was a risk marker for total CVEs (hazard ratio [HR]: 1.05; 95% CI: 1.01–1.08) and all-cause mortality (HR: 1.04; 95% CI: 1.01–1.07); whereas an increasing CAP was a protective factor for both outcomes (HR: 0.93; 95% CI: 0.89–0.98; and HR: 0.92; 95% CI: 0.88–0.97; respectively). As dichotomized variables, a high LSM remained a risk marker of adverse outcomes (with HRs ranging from 2.5 to 3.0) and a high CAP was protective (with HRs from 0.3 to 0.5). The subgroup of individuals with low-LSM/high-CAP had the lowest risks while the opposite subgroup with high-LSM/low-CAP had the highest risks. Both LSM and CAP improved risk discrimination, with increases in C-statistics up to 0.037 and IDIs up to 52%.\n            \n            \n              Conclusions\n              Measured by hepatic TE, advanced liver fibrosis is a risk marker and severe steatosis is a protective factor for cardiovascular complications and mortality in individuals with type 2 diabetes and NAFLD.","container-title":"Cardiovascular Diabetology","DOI":"10.1186/s12933-021-01388-2","ISSN":"1475-2840","issue":"1","journalAbbreviation":"Cardiovasc Diabetol","language":"en","page":"193","source":"DOI.org (Crossref)","title":"Prognostic impact of liver fibrosis and steatosis by transient elastography for cardiovascular and mortality outcomes in individuals with nonalcoholic fatty liver disease and type 2 diabetes: the Rio de Janeiro Cohort Study","title-short":"Prognostic impact of liver fibrosis and steatosis by transient elastography for cardiovascular and mortality outcomes in individuals with nonalcoholic fatty liver disease and type 2 diabetes","volume":"20","author":[{"family":"Cardoso","given":"Claudia R. L."},{"family":"Villela-Nogueira","given":"Cristiane A."},{"family":"Leite","given":"Nathalie C."},{"family":"Salles","given":"Gil F."}],"issued":{"date-parts":[["2021",12]]}},"label":"page"}],"schema":"https://github.com/citation-style-language/schema/raw/master/csl-citation.json"} </w:instrText>
            </w:r>
            <w:r w:rsidRPr="007E5D9A">
              <w:rPr>
                <w:rFonts w:ascii="Times New Roman" w:eastAsia="宋体" w:hAnsi="Times New Roman" w:cs="Times New Roman"/>
                <w:kern w:val="0"/>
                <w:sz w:val="24"/>
                <w:lang w:bidi="ar"/>
              </w:rPr>
              <w:fldChar w:fldCharType="separate"/>
            </w:r>
            <w:r w:rsidRPr="007E5D9A">
              <w:rPr>
                <w:rFonts w:ascii="Times New Roman" w:hAnsi="Times New Roman" w:cs="Times New Roman"/>
                <w:sz w:val="24"/>
              </w:rPr>
              <w:t>[46,47]</w:t>
            </w:r>
            <w:r w:rsidRPr="007E5D9A">
              <w:rPr>
                <w:rFonts w:ascii="Times New Roman" w:eastAsia="宋体" w:hAnsi="Times New Roman" w:cs="Times New Roman"/>
                <w:kern w:val="0"/>
                <w:sz w:val="24"/>
                <w:lang w:bidi="ar"/>
              </w:rPr>
              <w:fldChar w:fldCharType="end"/>
            </w:r>
          </w:p>
        </w:tc>
        <w:tc>
          <w:tcPr>
            <w:tcW w:w="0" w:type="auto"/>
            <w:tcBorders>
              <w:bottom w:val="nil"/>
              <w:right w:val="nil"/>
            </w:tcBorders>
            <w:tcMar>
              <w:top w:w="74" w:type="dxa"/>
              <w:left w:w="74" w:type="dxa"/>
              <w:bottom w:w="74" w:type="dxa"/>
              <w:right w:w="74" w:type="dxa"/>
            </w:tcMar>
          </w:tcPr>
          <w:p w14:paraId="4D9061CA" w14:textId="77777777" w:rsidR="00795585" w:rsidRPr="007E5D9A" w:rsidRDefault="00000000">
            <w:pPr>
              <w:widowControl/>
              <w:jc w:val="left"/>
              <w:textAlignment w:val="top"/>
              <w:rPr>
                <w:rFonts w:ascii="Times New Roman" w:hAnsi="Times New Roman" w:cs="Times New Roman"/>
              </w:rPr>
            </w:pPr>
            <w:r w:rsidRPr="007E5D9A">
              <w:rPr>
                <w:rFonts w:ascii="Times New Roman" w:eastAsia="宋体" w:hAnsi="Times New Roman" w:cs="Times New Roman"/>
                <w:kern w:val="0"/>
                <w:sz w:val="24"/>
                <w:lang w:bidi="ar"/>
              </w:rPr>
              <w:t>1.4 (1.1-1.8)</w:t>
            </w:r>
          </w:p>
        </w:tc>
        <w:tc>
          <w:tcPr>
            <w:tcW w:w="0" w:type="auto"/>
            <w:tcBorders>
              <w:bottom w:val="nil"/>
              <w:right w:val="nil"/>
            </w:tcBorders>
            <w:tcMar>
              <w:top w:w="74" w:type="dxa"/>
              <w:left w:w="74" w:type="dxa"/>
              <w:bottom w:w="74" w:type="dxa"/>
              <w:right w:w="74" w:type="dxa"/>
            </w:tcMar>
          </w:tcPr>
          <w:p w14:paraId="37046BCF" w14:textId="77777777" w:rsidR="00795585" w:rsidRPr="007E5D9A" w:rsidRDefault="00000000">
            <w:pPr>
              <w:widowControl/>
              <w:jc w:val="left"/>
              <w:textAlignment w:val="top"/>
              <w:rPr>
                <w:rFonts w:ascii="Times New Roman" w:hAnsi="Times New Roman" w:cs="Times New Roman"/>
              </w:rPr>
            </w:pPr>
            <w:r w:rsidRPr="007E5D9A">
              <w:rPr>
                <w:rFonts w:ascii="Times New Roman" w:eastAsia="宋体" w:hAnsi="Times New Roman" w:cs="Times New Roman"/>
                <w:kern w:val="0"/>
                <w:sz w:val="24"/>
                <w:lang w:bidi="ar"/>
              </w:rPr>
              <w:t>1.3 (1.0-1.7)</w:t>
            </w:r>
          </w:p>
        </w:tc>
        <w:tc>
          <w:tcPr>
            <w:tcW w:w="0" w:type="auto"/>
            <w:tcBorders>
              <w:bottom w:val="nil"/>
              <w:right w:val="nil"/>
            </w:tcBorders>
            <w:tcMar>
              <w:top w:w="74" w:type="dxa"/>
              <w:left w:w="74" w:type="dxa"/>
              <w:bottom w:w="74" w:type="dxa"/>
              <w:right w:w="74" w:type="dxa"/>
            </w:tcMar>
          </w:tcPr>
          <w:p w14:paraId="3FA8AD7B" w14:textId="77777777" w:rsidR="00795585" w:rsidRPr="007E5D9A" w:rsidRDefault="00000000">
            <w:pPr>
              <w:widowControl/>
              <w:jc w:val="left"/>
              <w:textAlignment w:val="top"/>
              <w:rPr>
                <w:rFonts w:ascii="Times New Roman" w:hAnsi="Times New Roman" w:cs="Times New Roman"/>
              </w:rPr>
            </w:pPr>
            <w:r w:rsidRPr="007E5D9A">
              <w:rPr>
                <w:rFonts w:ascii="Times New Roman" w:eastAsia="宋体" w:hAnsi="Times New Roman" w:cs="Times New Roman"/>
                <w:kern w:val="0"/>
                <w:sz w:val="24"/>
                <w:lang w:bidi="ar"/>
              </w:rPr>
              <w:t>1.2 (1.0-1.5)</w:t>
            </w:r>
          </w:p>
        </w:tc>
      </w:tr>
      <w:tr w:rsidR="00795585" w:rsidRPr="007E5D9A" w14:paraId="6FFDD529" w14:textId="77777777">
        <w:tc>
          <w:tcPr>
            <w:tcW w:w="0" w:type="auto"/>
            <w:tcBorders>
              <w:left w:val="nil"/>
              <w:right w:val="nil"/>
            </w:tcBorders>
            <w:tcMar>
              <w:top w:w="74" w:type="dxa"/>
              <w:left w:w="74" w:type="dxa"/>
              <w:bottom w:w="74" w:type="dxa"/>
              <w:right w:w="74" w:type="dxa"/>
            </w:tcMar>
          </w:tcPr>
          <w:p w14:paraId="2E4BBAE4" w14:textId="77777777" w:rsidR="00795585" w:rsidRPr="007E5D9A" w:rsidRDefault="00000000">
            <w:pPr>
              <w:widowControl/>
              <w:jc w:val="left"/>
              <w:textAlignment w:val="top"/>
              <w:rPr>
                <w:rFonts w:ascii="Times New Roman" w:hAnsi="Times New Roman" w:cs="Times New Roman"/>
              </w:rPr>
            </w:pPr>
            <w:r w:rsidRPr="007E5D9A">
              <w:rPr>
                <w:rFonts w:ascii="Times New Roman" w:eastAsia="宋体" w:hAnsi="Times New Roman" w:cs="Times New Roman"/>
                <w:kern w:val="0"/>
                <w:sz w:val="24"/>
                <w:lang w:bidi="ar"/>
              </w:rPr>
              <w:t>&gt;12 kPa</w:t>
            </w:r>
            <w:r w:rsidRPr="007E5D9A">
              <w:rPr>
                <w:rFonts w:ascii="Times New Roman" w:eastAsia="宋体" w:hAnsi="Times New Roman" w:cs="Times New Roman"/>
                <w:kern w:val="0"/>
                <w:sz w:val="24"/>
                <w:lang w:bidi="ar"/>
              </w:rPr>
              <w:fldChar w:fldCharType="begin"/>
            </w:r>
            <w:r w:rsidRPr="007E5D9A">
              <w:rPr>
                <w:rFonts w:ascii="Times New Roman" w:eastAsia="宋体" w:hAnsi="Times New Roman" w:cs="Times New Roman"/>
                <w:kern w:val="0"/>
                <w:sz w:val="24"/>
                <w:lang w:bidi="ar"/>
              </w:rPr>
              <w:instrText xml:space="preserve"> ADDIN ZOTERO_ITEM CSL_CITATION {"citationID":"ApOFUf56","properties":{"formattedCitation":"[46,47]","plainCitation":"[46,47]","noteIndex":0},"citationItems":[{"id":"PT63WDpC/FqiFrN7S","uris":["http://zotero.org/users/local/pKm3rcyL/items/U25R8FHE"],"itemData":{"id":9521,"type":"article-journal","container-title":"Journal of Diabetes and its Complications","DOI":"10.1016/j.jdiacomp.2022.108226","ISSN":"10568727","issue":"8","journalAbbreviation":"Journal of Diabetes and its Complications","language":"en","page":"108226","source":"DOI.org (Crossref)","title":"Elastographic parameters of liver steatosis and fibrosis predict independently the risk of incident chronic kidney disease and acute myocardial infarction in patients with type 2 diabetes mellitus","volume":"36","author":[{"family":"Mikolasevic","given":"I."},{"family":"Domislovic","given":"V."},{"family":"Ruzic","given":"A."},{"family":"Hauser","given":"G."},{"family":"Rahelic","given":"D."},{"family":"Klobucar-Majanovic","given":"S."},{"family":"Krznaric","given":"Z."},{"family":"Dobrila-Dintinjana","given":"R."},{"family":"Grgurevic","given":"I."},{"family":"Skenderevic","given":"N."},{"family":"Lukic","given":"A."},{"family":"Targher","given":"G."}],"issued":{"date-parts":[["2022",8]]}},"label":"page"},{"id":"PT63WDpC/3Z7Sp92E","uris":["http://zotero.org/users/local/pKm3rcyL/items/WGMQZDPP"],"itemData":{"id":9522,"type":"article-journal","abstract":"Abstract\n            \n              Background\n              Liver stiffness measurement (LSM, which reflects fibrosis) and controlled attenuation parameter (CAP, which reflects steatosis), two parameters derived from hepatic transient elastography (TE), have scarcely been evaluated as predictors of cardiovascular complications and mortality in individuals with type 2 diabetes and nonalcoholic fatty liver disease (NAFLD).\n            \n            \n              Methods\n              \n                Four hundred type 2 diabetic patients with NAFLD had TE examination (by Fibroscan\n                ®\n                ) performed at baseline. Multivariate Cox analyses evaluated the associations between TE parameters and the occurrence of cardiovascular events (CVEs) and mortality. TE parameters were assessed as continuous variables and dichotomized at low/high values reflecting advanced liver fibrosis (LSM &gt; 9.6 kPa) and severe steatosis (CAP &gt; 296 or &gt; 330 dB/m). Improvements in risk discrimination were assessed by C-statistic and by the relative Integrated Discrimination Improvement (IDI) index.\n              \n            \n            \n              Results\n              During a median follow-up of 5.5 years, 85 patients died (40 from cardiovascular causes), and 69 had a CVE. As continuous variables, an increasing LSM was a risk marker for total CVEs (hazard ratio [HR]: 1.05; 95% CI: 1.01–1.08) and all-cause mortality (HR: 1.04; 95% CI: 1.01–1.07); whereas an increasing CAP was a protective factor for both outcomes (HR: 0.93; 95% CI: 0.89–0.98; and HR: 0.92; 95% CI: 0.88–0.97; respectively). As dichotomized variables, a high LSM remained a risk marker of adverse outcomes (with HRs ranging from 2.5 to 3.0) and a high CAP was protective (with HRs from 0.3 to 0.5). The subgroup of individuals with low-LSM/high-CAP had the lowest risks while the opposite subgroup with high-LSM/low-CAP had the highest risks. Both LSM and CAP improved risk discrimination, with increases in C-statistics up to 0.037 and IDIs up to 52%.\n            \n            \n              Conclusions\n              Measured by hepatic TE, advanced liver fibrosis is a risk marker and severe steatosis is a protective factor for cardiovascular complications and mortality in individuals with type 2 diabetes and NAFLD.","container-title":"Cardiovascular Diabetology","DOI":"10.1186/s12933-021-01388-2","ISSN":"1475-2840","issue":"1","journalAbbreviation":"Cardiovasc Diabetol","language":"en","page":"193","source":"DOI.org (Crossref)","title":"Prognostic impact of liver fibrosis and steatosis by transient elastography for cardiovascular and mortality outcomes in individuals with nonalcoholic fatty liver disease and type 2 diabetes: the Rio de Janeiro Cohort Study","title-short":"Prognostic impact of liver fibrosis and steatosis by transient elastography for cardiovascular and mortality outcomes in individuals with nonalcoholic fatty liver disease and type 2 diabetes","volume":"20","author":[{"family":"Cardoso","given":"Claudia R. L."},{"family":"Villela-Nogueira","given":"Cristiane A."},{"family":"Leite","given":"Nathalie C."},{"family":"Salles","given":"Gil F."}],"issued":{"date-parts":[["2021",12]]}},"label":"page"}],"schema":"https://github.com/citation-style-language/schema/raw/master/csl-citation.json"} </w:instrText>
            </w:r>
            <w:r w:rsidRPr="007E5D9A">
              <w:rPr>
                <w:rFonts w:ascii="Times New Roman" w:eastAsia="宋体" w:hAnsi="Times New Roman" w:cs="Times New Roman"/>
                <w:kern w:val="0"/>
                <w:sz w:val="24"/>
                <w:lang w:bidi="ar"/>
              </w:rPr>
              <w:fldChar w:fldCharType="separate"/>
            </w:r>
            <w:r w:rsidRPr="007E5D9A">
              <w:rPr>
                <w:rFonts w:ascii="Times New Roman" w:hAnsi="Times New Roman" w:cs="Times New Roman"/>
                <w:sz w:val="24"/>
              </w:rPr>
              <w:t>[46,47]</w:t>
            </w:r>
            <w:r w:rsidRPr="007E5D9A">
              <w:rPr>
                <w:rFonts w:ascii="Times New Roman" w:eastAsia="宋体" w:hAnsi="Times New Roman" w:cs="Times New Roman"/>
                <w:kern w:val="0"/>
                <w:sz w:val="24"/>
                <w:lang w:bidi="ar"/>
              </w:rPr>
              <w:fldChar w:fldCharType="end"/>
            </w:r>
          </w:p>
        </w:tc>
        <w:tc>
          <w:tcPr>
            <w:tcW w:w="0" w:type="auto"/>
            <w:tcBorders>
              <w:right w:val="nil"/>
            </w:tcBorders>
            <w:tcMar>
              <w:top w:w="74" w:type="dxa"/>
              <w:left w:w="74" w:type="dxa"/>
              <w:bottom w:w="74" w:type="dxa"/>
              <w:right w:w="74" w:type="dxa"/>
            </w:tcMar>
          </w:tcPr>
          <w:p w14:paraId="2A4D84FC" w14:textId="77777777" w:rsidR="00795585" w:rsidRPr="007E5D9A" w:rsidRDefault="00000000">
            <w:pPr>
              <w:widowControl/>
              <w:jc w:val="left"/>
              <w:textAlignment w:val="top"/>
              <w:rPr>
                <w:rFonts w:ascii="Times New Roman" w:hAnsi="Times New Roman" w:cs="Times New Roman"/>
              </w:rPr>
            </w:pPr>
            <w:r w:rsidRPr="007E5D9A">
              <w:rPr>
                <w:rFonts w:ascii="Times New Roman" w:eastAsia="宋体" w:hAnsi="Times New Roman" w:cs="Times New Roman"/>
                <w:kern w:val="0"/>
                <w:sz w:val="24"/>
                <w:lang w:bidi="ar"/>
              </w:rPr>
              <w:t>2.3 (1.8-2.9)</w:t>
            </w:r>
          </w:p>
        </w:tc>
        <w:tc>
          <w:tcPr>
            <w:tcW w:w="0" w:type="auto"/>
            <w:tcBorders>
              <w:right w:val="nil"/>
            </w:tcBorders>
            <w:tcMar>
              <w:top w:w="74" w:type="dxa"/>
              <w:left w:w="74" w:type="dxa"/>
              <w:bottom w:w="74" w:type="dxa"/>
              <w:right w:w="74" w:type="dxa"/>
            </w:tcMar>
          </w:tcPr>
          <w:p w14:paraId="7AF38E50" w14:textId="77777777" w:rsidR="00795585" w:rsidRPr="007E5D9A" w:rsidRDefault="00000000">
            <w:pPr>
              <w:widowControl/>
              <w:jc w:val="left"/>
              <w:textAlignment w:val="top"/>
              <w:rPr>
                <w:rFonts w:ascii="Times New Roman" w:hAnsi="Times New Roman" w:cs="Times New Roman"/>
              </w:rPr>
            </w:pPr>
            <w:r w:rsidRPr="007E5D9A">
              <w:rPr>
                <w:rFonts w:ascii="Times New Roman" w:eastAsia="宋体" w:hAnsi="Times New Roman" w:cs="Times New Roman"/>
                <w:kern w:val="0"/>
                <w:sz w:val="24"/>
                <w:lang w:bidi="ar"/>
              </w:rPr>
              <w:t>2.1 (1.6-2.7)</w:t>
            </w:r>
          </w:p>
        </w:tc>
        <w:tc>
          <w:tcPr>
            <w:tcW w:w="0" w:type="auto"/>
            <w:tcBorders>
              <w:right w:val="nil"/>
            </w:tcBorders>
            <w:tcMar>
              <w:top w:w="74" w:type="dxa"/>
              <w:left w:w="74" w:type="dxa"/>
              <w:bottom w:w="74" w:type="dxa"/>
              <w:right w:w="74" w:type="dxa"/>
            </w:tcMar>
          </w:tcPr>
          <w:p w14:paraId="6CA779F0" w14:textId="77777777" w:rsidR="00795585" w:rsidRPr="007E5D9A" w:rsidRDefault="00000000">
            <w:pPr>
              <w:widowControl/>
              <w:jc w:val="left"/>
              <w:textAlignment w:val="top"/>
              <w:rPr>
                <w:rFonts w:ascii="Times New Roman" w:hAnsi="Times New Roman" w:cs="Times New Roman"/>
              </w:rPr>
            </w:pPr>
            <w:r w:rsidRPr="007E5D9A">
              <w:rPr>
                <w:rFonts w:ascii="Times New Roman" w:eastAsia="宋体" w:hAnsi="Times New Roman" w:cs="Times New Roman"/>
                <w:kern w:val="0"/>
                <w:sz w:val="24"/>
                <w:lang w:bidi="ar"/>
              </w:rPr>
              <w:t>1.9 (1.5-2.4)</w:t>
            </w:r>
          </w:p>
        </w:tc>
      </w:tr>
      <w:tr w:rsidR="00795585" w:rsidRPr="007E5D9A" w14:paraId="615FCA0C" w14:textId="77777777">
        <w:tc>
          <w:tcPr>
            <w:tcW w:w="0" w:type="auto"/>
            <w:tcBorders>
              <w:left w:val="nil"/>
              <w:bottom w:val="single" w:sz="4" w:space="0" w:color="auto"/>
              <w:right w:val="nil"/>
            </w:tcBorders>
            <w:tcMar>
              <w:top w:w="74" w:type="dxa"/>
              <w:left w:w="74" w:type="dxa"/>
              <w:bottom w:w="74" w:type="dxa"/>
              <w:right w:w="74" w:type="dxa"/>
            </w:tcMar>
          </w:tcPr>
          <w:p w14:paraId="77E7722A" w14:textId="77777777" w:rsidR="00795585" w:rsidRPr="007E5D9A" w:rsidRDefault="00000000">
            <w:pPr>
              <w:widowControl/>
              <w:jc w:val="left"/>
              <w:textAlignment w:val="top"/>
              <w:rPr>
                <w:rFonts w:ascii="Times New Roman" w:hAnsi="Times New Roman" w:cs="Times New Roman"/>
              </w:rPr>
            </w:pPr>
            <w:r w:rsidRPr="007E5D9A">
              <w:rPr>
                <w:rFonts w:ascii="Times New Roman" w:eastAsia="宋体" w:hAnsi="Times New Roman" w:cs="Times New Roman"/>
                <w:kern w:val="0"/>
                <w:sz w:val="24"/>
                <w:lang w:bidi="ar"/>
              </w:rPr>
              <w:t>&gt;15 kPa</w:t>
            </w:r>
            <w:r w:rsidRPr="007E5D9A">
              <w:rPr>
                <w:rFonts w:ascii="Times New Roman" w:eastAsia="宋体" w:hAnsi="Times New Roman" w:cs="Times New Roman"/>
                <w:kern w:val="0"/>
                <w:sz w:val="24"/>
                <w:lang w:bidi="ar"/>
              </w:rPr>
              <w:fldChar w:fldCharType="begin"/>
            </w:r>
            <w:r w:rsidRPr="007E5D9A">
              <w:rPr>
                <w:rFonts w:ascii="Times New Roman" w:eastAsia="宋体" w:hAnsi="Times New Roman" w:cs="Times New Roman"/>
                <w:kern w:val="0"/>
                <w:sz w:val="24"/>
                <w:lang w:bidi="ar"/>
              </w:rPr>
              <w:instrText xml:space="preserve"> ADDIN ZOTERO_ITEM CSL_CITATION {"citationID":"u8cQN4Dp","properties":{"formattedCitation":"[46,47]","plainCitation":"[46,47]","noteIndex":0},"citationItems":[{"id":"PT63WDpC/FqiFrN7S","uris":["http://zotero.org/users/local/pKm3rcyL/items/U25R8FHE"],"itemData":{"id":9521,"type":"article-journal","container-title":"Journal of Diabetes and its Complications","DOI":"10.1016/j.jdiacomp.2022.108226","ISSN":"10568727","issue":"8","journalAbbreviation":"Journal of Diabetes and its Complications","language":"en","page":"108226","source":"DOI.org (Crossref)","title":"Elastographic parameters of liver steatosis and fibrosis predict independently the risk of incident chronic kidney disease and acute myocardial infarction in patients with type 2 diabetes mellitus","volume":"36","author":[{"family":"Mikolasevic","given":"I."},{"family":"Domislovic","given":"V."},{"family":"Ruzic","given":"A."},{"family":"Hauser","given":"G."},{"family":"Rahelic","given":"D."},{"family":"Klobucar-Majanovic","given":"S."},{"family":"Krznaric","given":"Z."},{"family":"Dobrila-Dintinjana","given":"R."},{"family":"Grgurevic","given":"I."},{"family":"Skenderevic","given":"N."},{"family":"Lukic","given":"A."},{"family":"Targher","given":"G."}],"issued":{"date-parts":[["2022",8]]}},"label":"page"},{"id":"PT63WDpC/3Z7Sp92E","uris":["http://zotero.org/users/local/pKm3rcyL/items/WGMQZDPP"],"itemData":{"id":9522,"type":"article-journal","abstract":"Abstract\n            \n              Background\n              Liver stiffness measurement (LSM, which reflects fibrosis) and controlled attenuation parameter (CAP, which reflects steatosis), two parameters derived from hepatic transient elastography (TE), have scarcely been evaluated as predictors of cardiovascular complications and mortality in individuals with type 2 diabetes and nonalcoholic fatty liver disease (NAFLD).\n            \n            \n              Methods\n              \n                Four hundred type 2 diabetic patients with NAFLD had TE examination (by Fibroscan\n                ®\n                ) performed at baseline. Multivariate Cox analyses evaluated the associations between TE parameters and the occurrence of cardiovascular events (CVEs) and mortality. TE parameters were assessed as continuous variables and dichotomized at low/high values reflecting advanced liver fibrosis (LSM &gt; 9.6 kPa) and severe steatosis (CAP &gt; 296 or &gt; 330 dB/m). Improvements in risk discrimination were assessed by C-statistic and by the relative Integrated Discrimination Improvement (IDI) index.\n              \n            \n            \n              Results\n              During a median follow-up of 5.5 years, 85 patients died (40 from cardiovascular causes), and 69 had a CVE. As continuous variables, an increasing LSM was a risk marker for total CVEs (hazard ratio [HR]: 1.05; 95% CI: 1.01–1.08) and all-cause mortality (HR: 1.04; 95% CI: 1.01–1.07); whereas an increasing CAP was a protective factor for both outcomes (HR: 0.93; 95% CI: 0.89–0.98; and HR: 0.92; 95% CI: 0.88–0.97; respectively). As dichotomized variables, a high LSM remained a risk marker of adverse outcomes (with HRs ranging from 2.5 to 3.0) and a high CAP was protective (with HRs from 0.3 to 0.5). The subgroup of individuals with low-LSM/high-CAP had the lowest risks while the opposite subgroup with high-LSM/low-CAP had the highest risks. Both LSM and CAP improved risk discrimination, with increases in C-statistics up to 0.037 and IDIs up to 52%.\n            \n            \n              Conclusions\n              Measured by hepatic TE, advanced liver fibrosis is a risk marker and severe steatosis is a protective factor for cardiovascular complications and mortality in individuals with type 2 diabetes and NAFLD.","container-title":"Cardiovascular Diabetology","DOI":"10.1186/s12933-021-01388-2","ISSN":"1475-2840","issue":"1","journalAbbreviation":"Cardiovasc Diabetol","language":"en","page":"193","source":"DOI.org (Crossref)","title":"Prognostic impact of liver fibrosis and steatosis by transient elastography for cardiovascular and mortality outcomes in individuals with nonalcoholic fatty liver disease and type 2 diabetes: the Rio de Janeiro Cohort Study","title-short":"Prognostic impact of liver fibrosis and steatosis by transient elastography for cardiovascular and mortality outcomes in individuals with nonalcoholic fatty liver disease and type 2 diabetes","volume":"20","author":[{"family":"Cardoso","given":"Claudia R. L."},{"family":"Villela-Nogueira","given":"Cristiane A."},{"family":"Leite","given":"Nathalie C."},{"family":"Salles","given":"Gil F."}],"issued":{"date-parts":[["2021",12]]}},"label":"page"}],"schema":"https://github.com/citation-style-language/schema/raw/master/csl-citation.json"} </w:instrText>
            </w:r>
            <w:r w:rsidRPr="007E5D9A">
              <w:rPr>
                <w:rFonts w:ascii="Times New Roman" w:eastAsia="宋体" w:hAnsi="Times New Roman" w:cs="Times New Roman"/>
                <w:kern w:val="0"/>
                <w:sz w:val="24"/>
                <w:lang w:bidi="ar"/>
              </w:rPr>
              <w:fldChar w:fldCharType="separate"/>
            </w:r>
            <w:r w:rsidRPr="007E5D9A">
              <w:rPr>
                <w:rFonts w:ascii="Times New Roman" w:hAnsi="Times New Roman" w:cs="Times New Roman"/>
                <w:sz w:val="24"/>
              </w:rPr>
              <w:t>[46,47]</w:t>
            </w:r>
            <w:r w:rsidRPr="007E5D9A">
              <w:rPr>
                <w:rFonts w:ascii="Times New Roman" w:eastAsia="宋体" w:hAnsi="Times New Roman" w:cs="Times New Roman"/>
                <w:kern w:val="0"/>
                <w:sz w:val="24"/>
                <w:lang w:bidi="ar"/>
              </w:rPr>
              <w:fldChar w:fldCharType="end"/>
            </w:r>
          </w:p>
        </w:tc>
        <w:tc>
          <w:tcPr>
            <w:tcW w:w="0" w:type="auto"/>
            <w:tcBorders>
              <w:bottom w:val="single" w:sz="4" w:space="0" w:color="auto"/>
              <w:right w:val="nil"/>
            </w:tcBorders>
            <w:tcMar>
              <w:top w:w="74" w:type="dxa"/>
              <w:left w:w="74" w:type="dxa"/>
              <w:bottom w:w="74" w:type="dxa"/>
              <w:right w:w="74" w:type="dxa"/>
            </w:tcMar>
          </w:tcPr>
          <w:p w14:paraId="0513A13C" w14:textId="77777777" w:rsidR="00795585" w:rsidRPr="007E5D9A" w:rsidRDefault="00000000">
            <w:pPr>
              <w:widowControl/>
              <w:jc w:val="left"/>
              <w:textAlignment w:val="top"/>
              <w:rPr>
                <w:rFonts w:ascii="Times New Roman" w:hAnsi="Times New Roman" w:cs="Times New Roman"/>
              </w:rPr>
            </w:pPr>
            <w:r w:rsidRPr="007E5D9A">
              <w:rPr>
                <w:rFonts w:ascii="Times New Roman" w:eastAsia="宋体" w:hAnsi="Times New Roman" w:cs="Times New Roman"/>
                <w:kern w:val="0"/>
                <w:sz w:val="24"/>
                <w:lang w:bidi="ar"/>
              </w:rPr>
              <w:t>3.4 (2.5-4.6)</w:t>
            </w:r>
          </w:p>
        </w:tc>
        <w:tc>
          <w:tcPr>
            <w:tcW w:w="0" w:type="auto"/>
            <w:tcBorders>
              <w:bottom w:val="single" w:sz="4" w:space="0" w:color="auto"/>
              <w:right w:val="nil"/>
            </w:tcBorders>
            <w:tcMar>
              <w:top w:w="74" w:type="dxa"/>
              <w:left w:w="74" w:type="dxa"/>
              <w:bottom w:w="74" w:type="dxa"/>
              <w:right w:w="74" w:type="dxa"/>
            </w:tcMar>
          </w:tcPr>
          <w:p w14:paraId="5D1D2488" w14:textId="77777777" w:rsidR="00795585" w:rsidRPr="007E5D9A" w:rsidRDefault="00000000">
            <w:pPr>
              <w:widowControl/>
              <w:jc w:val="left"/>
              <w:textAlignment w:val="top"/>
              <w:rPr>
                <w:rFonts w:ascii="Times New Roman" w:hAnsi="Times New Roman" w:cs="Times New Roman"/>
              </w:rPr>
            </w:pPr>
            <w:r w:rsidRPr="007E5D9A">
              <w:rPr>
                <w:rFonts w:ascii="Times New Roman" w:eastAsia="宋体" w:hAnsi="Times New Roman" w:cs="Times New Roman"/>
                <w:kern w:val="0"/>
                <w:sz w:val="24"/>
                <w:lang w:bidi="ar"/>
              </w:rPr>
              <w:t>3.0 (2.2-4.1)</w:t>
            </w:r>
          </w:p>
        </w:tc>
        <w:tc>
          <w:tcPr>
            <w:tcW w:w="0" w:type="auto"/>
            <w:tcBorders>
              <w:bottom w:val="single" w:sz="4" w:space="0" w:color="auto"/>
              <w:right w:val="nil"/>
            </w:tcBorders>
            <w:tcMar>
              <w:top w:w="74" w:type="dxa"/>
              <w:left w:w="74" w:type="dxa"/>
              <w:bottom w:w="74" w:type="dxa"/>
              <w:right w:w="74" w:type="dxa"/>
            </w:tcMar>
          </w:tcPr>
          <w:p w14:paraId="420F55EA" w14:textId="77777777" w:rsidR="00795585" w:rsidRPr="007E5D9A" w:rsidRDefault="00000000">
            <w:pPr>
              <w:widowControl/>
              <w:jc w:val="left"/>
              <w:textAlignment w:val="top"/>
              <w:rPr>
                <w:rFonts w:ascii="Times New Roman" w:hAnsi="Times New Roman" w:cs="Times New Roman"/>
              </w:rPr>
            </w:pPr>
            <w:r w:rsidRPr="007E5D9A">
              <w:rPr>
                <w:rFonts w:ascii="Times New Roman" w:eastAsia="宋体" w:hAnsi="Times New Roman" w:cs="Times New Roman"/>
                <w:kern w:val="0"/>
                <w:sz w:val="24"/>
                <w:lang w:bidi="ar"/>
              </w:rPr>
              <w:t>2.8 (2.1-3.7)</w:t>
            </w:r>
          </w:p>
        </w:tc>
      </w:tr>
    </w:tbl>
    <w:p w14:paraId="32D7189C" w14:textId="77777777" w:rsidR="00795585" w:rsidRPr="007E5D9A" w:rsidRDefault="00795585">
      <w:pPr>
        <w:widowControl/>
        <w:shd w:val="clear" w:color="auto" w:fill="FFFFFF"/>
        <w:spacing w:after="119" w:line="163" w:lineRule="atLeast"/>
        <w:jc w:val="left"/>
        <w:textAlignment w:val="baseline"/>
        <w:rPr>
          <w:rFonts w:ascii="Times New Roman" w:hAnsi="Times New Roman" w:cs="Times New Roman"/>
          <w:szCs w:val="21"/>
        </w:rPr>
      </w:pPr>
    </w:p>
    <w:bookmarkEnd w:id="0"/>
    <w:p w14:paraId="60DC16B9" w14:textId="77777777" w:rsidR="00795585" w:rsidRPr="007E5D9A" w:rsidRDefault="00000000">
      <w:pPr>
        <w:spacing w:line="360" w:lineRule="auto"/>
        <w:rPr>
          <w:rFonts w:ascii="Times New Roman" w:hAnsi="Times New Roman" w:cs="Times New Roman"/>
          <w:b/>
          <w:bCs/>
          <w:sz w:val="28"/>
          <w:szCs w:val="28"/>
        </w:rPr>
      </w:pPr>
      <w:r w:rsidRPr="007E5D9A">
        <w:rPr>
          <w:rFonts w:ascii="Times New Roman" w:hAnsi="Times New Roman" w:cs="Times New Roman"/>
          <w:b/>
          <w:bCs/>
          <w:sz w:val="28"/>
          <w:szCs w:val="28"/>
        </w:rPr>
        <w:t>Table S8. MORS vs Established Risk Assessment Tools</w:t>
      </w:r>
    </w:p>
    <w:tbl>
      <w:tblPr>
        <w:tblStyle w:val="4"/>
        <w:tblW w:w="0" w:type="auto"/>
        <w:tblLook w:val="04A0" w:firstRow="1" w:lastRow="0" w:firstColumn="1" w:lastColumn="0" w:noHBand="0" w:noVBand="1"/>
      </w:tblPr>
      <w:tblGrid>
        <w:gridCol w:w="1142"/>
        <w:gridCol w:w="1789"/>
        <w:gridCol w:w="1287"/>
        <w:gridCol w:w="1943"/>
        <w:gridCol w:w="1239"/>
        <w:gridCol w:w="1122"/>
      </w:tblGrid>
      <w:tr w:rsidR="00E4399E" w:rsidRPr="007E5D9A" w14:paraId="0DC2D436" w14:textId="77777777" w:rsidTr="00E4399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auto"/>
              <w:bottom w:val="single" w:sz="4" w:space="0" w:color="auto"/>
            </w:tcBorders>
          </w:tcPr>
          <w:p w14:paraId="17936344" w14:textId="77777777" w:rsidR="00795585" w:rsidRPr="007E5D9A" w:rsidRDefault="00000000">
            <w:pPr>
              <w:rPr>
                <w:rFonts w:ascii="Times New Roman" w:hAnsi="Times New Roman" w:cs="Times New Roman"/>
              </w:rPr>
            </w:pPr>
            <w:r w:rsidRPr="007E5D9A">
              <w:rPr>
                <w:rFonts w:ascii="Times New Roman" w:hAnsi="Times New Roman" w:cs="Times New Roman"/>
              </w:rPr>
              <w:t>Feature</w:t>
            </w:r>
          </w:p>
        </w:tc>
        <w:tc>
          <w:tcPr>
            <w:tcW w:w="1440" w:type="dxa"/>
            <w:tcBorders>
              <w:top w:val="single" w:sz="4" w:space="0" w:color="auto"/>
              <w:bottom w:val="single" w:sz="4" w:space="0" w:color="auto"/>
            </w:tcBorders>
          </w:tcPr>
          <w:p w14:paraId="59E291A3" w14:textId="77777777" w:rsidR="00795585" w:rsidRPr="007E5D9A" w:rsidRDefault="00000000">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rPr>
              <w:t>MORS (proposed)</w:t>
            </w:r>
          </w:p>
        </w:tc>
        <w:tc>
          <w:tcPr>
            <w:tcW w:w="1440" w:type="dxa"/>
            <w:tcBorders>
              <w:top w:val="single" w:sz="4" w:space="0" w:color="auto"/>
              <w:bottom w:val="single" w:sz="4" w:space="0" w:color="auto"/>
            </w:tcBorders>
          </w:tcPr>
          <w:p w14:paraId="27443AE1" w14:textId="77777777" w:rsidR="00795585" w:rsidRPr="007E5D9A" w:rsidRDefault="00000000">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rPr>
              <w:t>ASCVD Risk Estimator Plus</w:t>
            </w:r>
          </w:p>
        </w:tc>
        <w:tc>
          <w:tcPr>
            <w:tcW w:w="1440" w:type="dxa"/>
            <w:tcBorders>
              <w:top w:val="single" w:sz="4" w:space="0" w:color="auto"/>
              <w:bottom w:val="single" w:sz="4" w:space="0" w:color="auto"/>
            </w:tcBorders>
          </w:tcPr>
          <w:p w14:paraId="699E76AD" w14:textId="77777777" w:rsidR="00795585" w:rsidRPr="007E5D9A" w:rsidRDefault="00000000">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rPr>
              <w:t>DIAL Model</w:t>
            </w:r>
          </w:p>
        </w:tc>
        <w:tc>
          <w:tcPr>
            <w:tcW w:w="1440" w:type="dxa"/>
            <w:tcBorders>
              <w:top w:val="single" w:sz="4" w:space="0" w:color="auto"/>
              <w:bottom w:val="single" w:sz="4" w:space="0" w:color="auto"/>
            </w:tcBorders>
          </w:tcPr>
          <w:p w14:paraId="4169A3B2" w14:textId="77777777" w:rsidR="00795585" w:rsidRPr="007E5D9A" w:rsidRDefault="00000000">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rPr>
              <w:t>KDIGO CKD Staging</w:t>
            </w:r>
          </w:p>
        </w:tc>
        <w:tc>
          <w:tcPr>
            <w:tcW w:w="1440" w:type="dxa"/>
            <w:tcBorders>
              <w:top w:val="single" w:sz="4" w:space="0" w:color="auto"/>
              <w:bottom w:val="single" w:sz="4" w:space="0" w:color="auto"/>
            </w:tcBorders>
          </w:tcPr>
          <w:p w14:paraId="3E61DA18" w14:textId="77777777" w:rsidR="00795585" w:rsidRPr="007E5D9A" w:rsidRDefault="00000000">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rPr>
              <w:t>FIB-4 Alone</w:t>
            </w:r>
          </w:p>
        </w:tc>
      </w:tr>
      <w:tr w:rsidR="00E4399E" w:rsidRPr="007E5D9A" w14:paraId="7329DA94" w14:textId="77777777" w:rsidTr="00E439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auto"/>
            </w:tcBorders>
          </w:tcPr>
          <w:p w14:paraId="6C629E03" w14:textId="77777777" w:rsidR="00795585" w:rsidRPr="007E5D9A" w:rsidRDefault="00000000">
            <w:pPr>
              <w:rPr>
                <w:rFonts w:ascii="Times New Roman" w:hAnsi="Times New Roman" w:cs="Times New Roman"/>
              </w:rPr>
            </w:pPr>
            <w:r w:rsidRPr="007E5D9A">
              <w:rPr>
                <w:rFonts w:ascii="Times New Roman" w:hAnsi="Times New Roman" w:cs="Times New Roman"/>
              </w:rPr>
              <w:t>Organ coverage</w:t>
            </w:r>
          </w:p>
        </w:tc>
        <w:tc>
          <w:tcPr>
            <w:tcW w:w="1440" w:type="dxa"/>
            <w:tcBorders>
              <w:top w:val="single" w:sz="4" w:space="0" w:color="auto"/>
            </w:tcBorders>
          </w:tcPr>
          <w:p w14:paraId="27A8EF55" w14:textId="77777777" w:rsidR="00795585" w:rsidRPr="007E5D9A"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rPr>
              <w:t>Liver, Heart, Metabolic, Kidney</w:t>
            </w:r>
          </w:p>
        </w:tc>
        <w:tc>
          <w:tcPr>
            <w:tcW w:w="1440" w:type="dxa"/>
            <w:tcBorders>
              <w:top w:val="single" w:sz="4" w:space="0" w:color="auto"/>
            </w:tcBorders>
          </w:tcPr>
          <w:p w14:paraId="7B7D9015" w14:textId="77777777" w:rsidR="00795585" w:rsidRPr="007E5D9A"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rPr>
              <w:t>Heart (CVD only)</w:t>
            </w:r>
          </w:p>
        </w:tc>
        <w:tc>
          <w:tcPr>
            <w:tcW w:w="1440" w:type="dxa"/>
            <w:tcBorders>
              <w:top w:val="single" w:sz="4" w:space="0" w:color="auto"/>
            </w:tcBorders>
          </w:tcPr>
          <w:p w14:paraId="61DD1061" w14:textId="77777777" w:rsidR="00795585" w:rsidRPr="007E5D9A"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rPr>
              <w:t>Kidney (DKD only)</w:t>
            </w:r>
          </w:p>
        </w:tc>
        <w:tc>
          <w:tcPr>
            <w:tcW w:w="1440" w:type="dxa"/>
            <w:tcBorders>
              <w:top w:val="single" w:sz="4" w:space="0" w:color="auto"/>
            </w:tcBorders>
          </w:tcPr>
          <w:p w14:paraId="27819D52" w14:textId="77777777" w:rsidR="00795585" w:rsidRPr="007E5D9A"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rPr>
              <w:t>Kidney only</w:t>
            </w:r>
          </w:p>
        </w:tc>
        <w:tc>
          <w:tcPr>
            <w:tcW w:w="1440" w:type="dxa"/>
            <w:tcBorders>
              <w:top w:val="single" w:sz="4" w:space="0" w:color="auto"/>
            </w:tcBorders>
          </w:tcPr>
          <w:p w14:paraId="62A8C02F" w14:textId="77777777" w:rsidR="00795585" w:rsidRPr="007E5D9A"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rPr>
              <w:t>Liver only</w:t>
            </w:r>
          </w:p>
        </w:tc>
      </w:tr>
      <w:tr w:rsidR="00E4399E" w:rsidRPr="007E5D9A" w14:paraId="32F20516" w14:textId="77777777" w:rsidTr="00E4399E">
        <w:tc>
          <w:tcPr>
            <w:cnfStyle w:val="001000000000" w:firstRow="0" w:lastRow="0" w:firstColumn="1" w:lastColumn="0" w:oddVBand="0" w:evenVBand="0" w:oddHBand="0" w:evenHBand="0" w:firstRowFirstColumn="0" w:firstRowLastColumn="0" w:lastRowFirstColumn="0" w:lastRowLastColumn="0"/>
            <w:tcW w:w="1440" w:type="dxa"/>
          </w:tcPr>
          <w:p w14:paraId="4BEFF157" w14:textId="77777777" w:rsidR="00795585" w:rsidRPr="007E5D9A" w:rsidRDefault="00000000">
            <w:pPr>
              <w:rPr>
                <w:rFonts w:ascii="Times New Roman" w:hAnsi="Times New Roman" w:cs="Times New Roman"/>
              </w:rPr>
            </w:pPr>
            <w:r w:rsidRPr="007E5D9A">
              <w:rPr>
                <w:rFonts w:ascii="Times New Roman" w:hAnsi="Times New Roman" w:cs="Times New Roman"/>
              </w:rPr>
              <w:t>Hepatic fibrosis integration</w:t>
            </w:r>
          </w:p>
        </w:tc>
        <w:tc>
          <w:tcPr>
            <w:tcW w:w="1440" w:type="dxa"/>
          </w:tcPr>
          <w:p w14:paraId="0783EB0B" w14:textId="77777777" w:rsidR="00795585" w:rsidRPr="007E5D9A"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rPr>
              <w:t>Yes (FIB-4 + VCTE)</w:t>
            </w:r>
          </w:p>
        </w:tc>
        <w:tc>
          <w:tcPr>
            <w:tcW w:w="1440" w:type="dxa"/>
          </w:tcPr>
          <w:p w14:paraId="65064B43" w14:textId="77777777" w:rsidR="00795585" w:rsidRPr="007E5D9A"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rPr>
              <w:t>No</w:t>
            </w:r>
          </w:p>
        </w:tc>
        <w:tc>
          <w:tcPr>
            <w:tcW w:w="1440" w:type="dxa"/>
          </w:tcPr>
          <w:p w14:paraId="726AAAF7" w14:textId="77777777" w:rsidR="00795585" w:rsidRPr="007E5D9A"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rPr>
              <w:t>No</w:t>
            </w:r>
          </w:p>
        </w:tc>
        <w:tc>
          <w:tcPr>
            <w:tcW w:w="1440" w:type="dxa"/>
          </w:tcPr>
          <w:p w14:paraId="564A2072" w14:textId="77777777" w:rsidR="00795585" w:rsidRPr="007E5D9A"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rPr>
              <w:t>No</w:t>
            </w:r>
          </w:p>
        </w:tc>
        <w:tc>
          <w:tcPr>
            <w:tcW w:w="1440" w:type="dxa"/>
          </w:tcPr>
          <w:p w14:paraId="39F31B07" w14:textId="77777777" w:rsidR="00795585" w:rsidRPr="007E5D9A"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rPr>
              <w:t>Yes (liver only)</w:t>
            </w:r>
          </w:p>
        </w:tc>
      </w:tr>
      <w:tr w:rsidR="00E4399E" w:rsidRPr="007E5D9A" w14:paraId="0E8C51D7" w14:textId="77777777" w:rsidTr="00E439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tcPr>
          <w:p w14:paraId="53567A9A" w14:textId="77777777" w:rsidR="00795585" w:rsidRPr="007E5D9A" w:rsidRDefault="00000000">
            <w:pPr>
              <w:rPr>
                <w:rFonts w:ascii="Times New Roman" w:hAnsi="Times New Roman" w:cs="Times New Roman"/>
              </w:rPr>
            </w:pPr>
            <w:r w:rsidRPr="007E5D9A">
              <w:rPr>
                <w:rFonts w:ascii="Times New Roman" w:hAnsi="Times New Roman" w:cs="Times New Roman"/>
              </w:rPr>
              <w:lastRenderedPageBreak/>
              <w:t>Intended use case</w:t>
            </w:r>
          </w:p>
        </w:tc>
        <w:tc>
          <w:tcPr>
            <w:tcW w:w="1440" w:type="dxa"/>
          </w:tcPr>
          <w:p w14:paraId="701E2058" w14:textId="77777777" w:rsidR="00795585" w:rsidRPr="007E5D9A"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rPr>
              <w:t>Multi-organ risk communication; MDT staging</w:t>
            </w:r>
          </w:p>
        </w:tc>
        <w:tc>
          <w:tcPr>
            <w:tcW w:w="1440" w:type="dxa"/>
          </w:tcPr>
          <w:p w14:paraId="25FC4FF2" w14:textId="77777777" w:rsidR="00795585" w:rsidRPr="007E5D9A"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rPr>
              <w:t>CVD primary prevention</w:t>
            </w:r>
          </w:p>
        </w:tc>
        <w:tc>
          <w:tcPr>
            <w:tcW w:w="1440" w:type="dxa"/>
          </w:tcPr>
          <w:p w14:paraId="4995DFA6" w14:textId="77777777" w:rsidR="00795585" w:rsidRPr="007E5D9A"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rPr>
              <w:t>DKD progression prediction</w:t>
            </w:r>
          </w:p>
        </w:tc>
        <w:tc>
          <w:tcPr>
            <w:tcW w:w="1440" w:type="dxa"/>
          </w:tcPr>
          <w:p w14:paraId="14635E95" w14:textId="77777777" w:rsidR="00795585" w:rsidRPr="007E5D9A"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rPr>
              <w:t>CKD severity classification</w:t>
            </w:r>
          </w:p>
        </w:tc>
        <w:tc>
          <w:tcPr>
            <w:tcW w:w="1440" w:type="dxa"/>
          </w:tcPr>
          <w:p w14:paraId="21F59FBF" w14:textId="77777777" w:rsidR="00795585" w:rsidRPr="007E5D9A"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rPr>
              <w:t>Liver fibrosis screening</w:t>
            </w:r>
          </w:p>
        </w:tc>
      </w:tr>
      <w:tr w:rsidR="00E4399E" w:rsidRPr="007E5D9A" w14:paraId="7036B5B9" w14:textId="77777777" w:rsidTr="00E4399E">
        <w:tc>
          <w:tcPr>
            <w:cnfStyle w:val="001000000000" w:firstRow="0" w:lastRow="0" w:firstColumn="1" w:lastColumn="0" w:oddVBand="0" w:evenVBand="0" w:oddHBand="0" w:evenHBand="0" w:firstRowFirstColumn="0" w:firstRowLastColumn="0" w:lastRowFirstColumn="0" w:lastRowLastColumn="0"/>
            <w:tcW w:w="1440" w:type="dxa"/>
          </w:tcPr>
          <w:p w14:paraId="50290F65" w14:textId="77777777" w:rsidR="00795585" w:rsidRPr="007E5D9A" w:rsidRDefault="00000000">
            <w:pPr>
              <w:rPr>
                <w:rFonts w:ascii="Times New Roman" w:hAnsi="Times New Roman" w:cs="Times New Roman"/>
              </w:rPr>
            </w:pPr>
            <w:r w:rsidRPr="007E5D9A">
              <w:rPr>
                <w:rFonts w:ascii="Times New Roman" w:hAnsi="Times New Roman" w:cs="Times New Roman"/>
              </w:rPr>
              <w:t>Validation status</w:t>
            </w:r>
          </w:p>
        </w:tc>
        <w:tc>
          <w:tcPr>
            <w:tcW w:w="1440" w:type="dxa"/>
          </w:tcPr>
          <w:p w14:paraId="555A21C2" w14:textId="77777777" w:rsidR="00795585" w:rsidRPr="007E5D9A"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rPr>
              <w:t>Conceptual; no prospective validation</w:t>
            </w:r>
          </w:p>
        </w:tc>
        <w:tc>
          <w:tcPr>
            <w:tcW w:w="1440" w:type="dxa"/>
          </w:tcPr>
          <w:p w14:paraId="6DA6420E" w14:textId="77777777" w:rsidR="00795585" w:rsidRPr="007E5D9A"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rPr>
              <w:t>Extensively validated (RCT-derived)</w:t>
            </w:r>
          </w:p>
        </w:tc>
        <w:tc>
          <w:tcPr>
            <w:tcW w:w="1440" w:type="dxa"/>
          </w:tcPr>
          <w:p w14:paraId="119442EC" w14:textId="77777777" w:rsidR="00795585" w:rsidRPr="007E5D9A"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rPr>
              <w:t>Validated in T2DM cohorts</w:t>
            </w:r>
          </w:p>
        </w:tc>
        <w:tc>
          <w:tcPr>
            <w:tcW w:w="1440" w:type="dxa"/>
          </w:tcPr>
          <w:p w14:paraId="66A6095C" w14:textId="77777777" w:rsidR="00795585" w:rsidRPr="007E5D9A"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rPr>
              <w:t>Internationally standardized</w:t>
            </w:r>
          </w:p>
        </w:tc>
        <w:tc>
          <w:tcPr>
            <w:tcW w:w="1440" w:type="dxa"/>
          </w:tcPr>
          <w:p w14:paraId="33A56D35" w14:textId="77777777" w:rsidR="00795585" w:rsidRPr="007E5D9A"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rPr>
              <w:t>Validated for advanced fibrosis</w:t>
            </w:r>
          </w:p>
        </w:tc>
      </w:tr>
      <w:tr w:rsidR="00E4399E" w:rsidRPr="007E5D9A" w14:paraId="6F71A427" w14:textId="77777777" w:rsidTr="00E439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tcPr>
          <w:p w14:paraId="4FA76F94" w14:textId="77777777" w:rsidR="00795585" w:rsidRPr="007E5D9A" w:rsidRDefault="00000000">
            <w:pPr>
              <w:rPr>
                <w:rFonts w:ascii="Times New Roman" w:hAnsi="Times New Roman" w:cs="Times New Roman"/>
              </w:rPr>
            </w:pPr>
            <w:r w:rsidRPr="007E5D9A">
              <w:rPr>
                <w:rFonts w:ascii="Times New Roman" w:hAnsi="Times New Roman" w:cs="Times New Roman"/>
              </w:rPr>
              <w:t>Endpoint specificity</w:t>
            </w:r>
          </w:p>
        </w:tc>
        <w:tc>
          <w:tcPr>
            <w:tcW w:w="1440" w:type="dxa"/>
          </w:tcPr>
          <w:p w14:paraId="22990FD8" w14:textId="77777777" w:rsidR="00795585" w:rsidRPr="007E5D9A"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rPr>
              <w:t>Multi-organ composite (conceptual)</w:t>
            </w:r>
          </w:p>
        </w:tc>
        <w:tc>
          <w:tcPr>
            <w:tcW w:w="1440" w:type="dxa"/>
          </w:tcPr>
          <w:p w14:paraId="06179F93" w14:textId="77777777" w:rsidR="00795585" w:rsidRPr="007E5D9A"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rPr>
              <w:t>Atherosclerotic CVD</w:t>
            </w:r>
          </w:p>
        </w:tc>
        <w:tc>
          <w:tcPr>
            <w:tcW w:w="1440" w:type="dxa"/>
          </w:tcPr>
          <w:p w14:paraId="5BE9A15C" w14:textId="77777777" w:rsidR="00795585" w:rsidRPr="007E5D9A"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rPr>
              <w:t>ESRD / DKD progression</w:t>
            </w:r>
          </w:p>
        </w:tc>
        <w:tc>
          <w:tcPr>
            <w:tcW w:w="1440" w:type="dxa"/>
          </w:tcPr>
          <w:p w14:paraId="0FD2B049" w14:textId="77777777" w:rsidR="00795585" w:rsidRPr="007E5D9A"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rPr>
              <w:t>CKD progression</w:t>
            </w:r>
          </w:p>
        </w:tc>
        <w:tc>
          <w:tcPr>
            <w:tcW w:w="1440" w:type="dxa"/>
          </w:tcPr>
          <w:p w14:paraId="235790FA" w14:textId="77777777" w:rsidR="00795585" w:rsidRPr="007E5D9A"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rPr>
              <w:t>Liver-related events</w:t>
            </w:r>
          </w:p>
        </w:tc>
      </w:tr>
      <w:tr w:rsidR="00E4399E" w:rsidRPr="007E5D9A" w14:paraId="27996B62" w14:textId="77777777" w:rsidTr="00E4399E">
        <w:tc>
          <w:tcPr>
            <w:cnfStyle w:val="001000000000" w:firstRow="0" w:lastRow="0" w:firstColumn="1" w:lastColumn="0" w:oddVBand="0" w:evenVBand="0" w:oddHBand="0" w:evenHBand="0" w:firstRowFirstColumn="0" w:firstRowLastColumn="0" w:lastRowFirstColumn="0" w:lastRowLastColumn="0"/>
            <w:tcW w:w="1440" w:type="dxa"/>
          </w:tcPr>
          <w:p w14:paraId="0D70B20F" w14:textId="77777777" w:rsidR="00795585" w:rsidRPr="007E5D9A" w:rsidRDefault="00000000">
            <w:pPr>
              <w:rPr>
                <w:rFonts w:ascii="Times New Roman" w:hAnsi="Times New Roman" w:cs="Times New Roman"/>
              </w:rPr>
            </w:pPr>
            <w:r w:rsidRPr="007E5D9A">
              <w:rPr>
                <w:rFonts w:ascii="Times New Roman" w:hAnsi="Times New Roman" w:cs="Times New Roman"/>
              </w:rPr>
              <w:t>Evidence grade</w:t>
            </w:r>
          </w:p>
        </w:tc>
        <w:tc>
          <w:tcPr>
            <w:tcW w:w="1440" w:type="dxa"/>
          </w:tcPr>
          <w:p w14:paraId="0C1AF10A" w14:textId="77777777" w:rsidR="00795585" w:rsidRPr="007E5D9A"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rPr>
              <w:t>Hypothesis-generating</w:t>
            </w:r>
          </w:p>
        </w:tc>
        <w:tc>
          <w:tcPr>
            <w:tcW w:w="1440" w:type="dxa"/>
          </w:tcPr>
          <w:p w14:paraId="0E19A651" w14:textId="77777777" w:rsidR="00795585" w:rsidRPr="007E5D9A"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rPr>
              <w:t>High (RCT-derived)</w:t>
            </w:r>
          </w:p>
        </w:tc>
        <w:tc>
          <w:tcPr>
            <w:tcW w:w="1440" w:type="dxa"/>
          </w:tcPr>
          <w:p w14:paraId="1ADFB6D7" w14:textId="77777777" w:rsidR="00795585" w:rsidRPr="007E5D9A"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rPr>
              <w:t>Moderate-High</w:t>
            </w:r>
          </w:p>
        </w:tc>
        <w:tc>
          <w:tcPr>
            <w:tcW w:w="1440" w:type="dxa"/>
          </w:tcPr>
          <w:p w14:paraId="72E09C44" w14:textId="77777777" w:rsidR="00795585" w:rsidRPr="007E5D9A"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rPr>
              <w:t>High (observational + consensus)</w:t>
            </w:r>
          </w:p>
        </w:tc>
        <w:tc>
          <w:tcPr>
            <w:tcW w:w="1440" w:type="dxa"/>
          </w:tcPr>
          <w:p w14:paraId="48B4F3E3" w14:textId="77777777" w:rsidR="00795585" w:rsidRPr="007E5D9A"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rPr>
              <w:t>Moderate</w:t>
            </w:r>
          </w:p>
        </w:tc>
      </w:tr>
      <w:tr w:rsidR="00E4399E" w:rsidRPr="007E5D9A" w14:paraId="1D400E19" w14:textId="77777777" w:rsidTr="00E439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tcPr>
          <w:p w14:paraId="6B533CE9" w14:textId="77777777" w:rsidR="00795585" w:rsidRPr="007E5D9A" w:rsidRDefault="00000000">
            <w:pPr>
              <w:rPr>
                <w:rFonts w:ascii="Times New Roman" w:hAnsi="Times New Roman" w:cs="Times New Roman"/>
              </w:rPr>
            </w:pPr>
            <w:r w:rsidRPr="007E5D9A">
              <w:rPr>
                <w:rFonts w:ascii="Times New Roman" w:hAnsi="Times New Roman" w:cs="Times New Roman"/>
              </w:rPr>
              <w:t>Prediction time horizon</w:t>
            </w:r>
          </w:p>
        </w:tc>
        <w:tc>
          <w:tcPr>
            <w:tcW w:w="1440" w:type="dxa"/>
          </w:tcPr>
          <w:p w14:paraId="2E21AAF6" w14:textId="77777777" w:rsidR="00795585" w:rsidRPr="007E5D9A"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rPr>
              <w:t>Cross-sectional staging; longitudinal trajectory monitoring conceptual</w:t>
            </w:r>
          </w:p>
        </w:tc>
        <w:tc>
          <w:tcPr>
            <w:tcW w:w="1440" w:type="dxa"/>
          </w:tcPr>
          <w:p w14:paraId="14E128BA" w14:textId="77777777" w:rsidR="00795585" w:rsidRPr="007E5D9A"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rPr>
              <w:t>10-year risk</w:t>
            </w:r>
          </w:p>
        </w:tc>
        <w:tc>
          <w:tcPr>
            <w:tcW w:w="1440" w:type="dxa"/>
          </w:tcPr>
          <w:p w14:paraId="1FD6C4B4" w14:textId="77777777" w:rsidR="00795585" w:rsidRPr="007E5D9A"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rPr>
              <w:t>5-year DKD progression</w:t>
            </w:r>
          </w:p>
        </w:tc>
        <w:tc>
          <w:tcPr>
            <w:tcW w:w="1440" w:type="dxa"/>
          </w:tcPr>
          <w:p w14:paraId="05831EEA" w14:textId="77777777" w:rsidR="00795585" w:rsidRPr="007E5D9A"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rPr>
              <w:t>Current severity; progression risk implicit</w:t>
            </w:r>
          </w:p>
        </w:tc>
        <w:tc>
          <w:tcPr>
            <w:tcW w:w="1440" w:type="dxa"/>
          </w:tcPr>
          <w:p w14:paraId="4F2E4967" w14:textId="77777777" w:rsidR="00795585" w:rsidRPr="007E5D9A"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rPr>
              <w:t>Current fibrosis severity only</w:t>
            </w:r>
          </w:p>
        </w:tc>
      </w:tr>
      <w:tr w:rsidR="00E4399E" w:rsidRPr="007E5D9A" w14:paraId="4B3C55C2" w14:textId="77777777" w:rsidTr="00E4399E">
        <w:tc>
          <w:tcPr>
            <w:cnfStyle w:val="001000000000" w:firstRow="0" w:lastRow="0" w:firstColumn="1" w:lastColumn="0" w:oddVBand="0" w:evenVBand="0" w:oddHBand="0" w:evenHBand="0" w:firstRowFirstColumn="0" w:firstRowLastColumn="0" w:lastRowFirstColumn="0" w:lastRowLastColumn="0"/>
            <w:tcW w:w="1440" w:type="dxa"/>
          </w:tcPr>
          <w:p w14:paraId="1982D787" w14:textId="77777777" w:rsidR="00795585" w:rsidRPr="007E5D9A" w:rsidRDefault="00000000">
            <w:pPr>
              <w:rPr>
                <w:rFonts w:ascii="Times New Roman" w:hAnsi="Times New Roman" w:cs="Times New Roman"/>
              </w:rPr>
            </w:pPr>
            <w:r w:rsidRPr="007E5D9A">
              <w:rPr>
                <w:rFonts w:ascii="Times New Roman" w:hAnsi="Times New Roman" w:cs="Times New Roman"/>
              </w:rPr>
              <w:t>Required inputs</w:t>
            </w:r>
          </w:p>
        </w:tc>
        <w:tc>
          <w:tcPr>
            <w:tcW w:w="1440" w:type="dxa"/>
          </w:tcPr>
          <w:p w14:paraId="0E25BE25" w14:textId="77777777" w:rsidR="00795585" w:rsidRPr="007E5D9A"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rPr>
              <w:t>FIB-4 (age, AST, ALT, platelets), VCTE, BP, eGFR, UACR, BMI, waist, TG, glucose, history</w:t>
            </w:r>
          </w:p>
        </w:tc>
        <w:tc>
          <w:tcPr>
            <w:tcW w:w="1440" w:type="dxa"/>
          </w:tcPr>
          <w:p w14:paraId="3BFA83FB" w14:textId="77777777" w:rsidR="00795585" w:rsidRPr="007E5D9A"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rPr>
              <w:t>Age, sex, race, TC, HDL, SBP, HTN Rx, DM, smoking</w:t>
            </w:r>
          </w:p>
        </w:tc>
        <w:tc>
          <w:tcPr>
            <w:tcW w:w="1440" w:type="dxa"/>
          </w:tcPr>
          <w:p w14:paraId="605F607F" w14:textId="77777777" w:rsidR="00795585" w:rsidRPr="007E5D9A"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rPr>
              <w:t>Age, sex, BMI, HbA1c, eGFR, UACR, HTN, lipids, smoking</w:t>
            </w:r>
          </w:p>
        </w:tc>
        <w:tc>
          <w:tcPr>
            <w:tcW w:w="1440" w:type="dxa"/>
          </w:tcPr>
          <w:p w14:paraId="7831C059" w14:textId="77777777" w:rsidR="00795585" w:rsidRPr="007E5D9A"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rPr>
              <w:t>eGFR + UACR only</w:t>
            </w:r>
          </w:p>
        </w:tc>
        <w:tc>
          <w:tcPr>
            <w:tcW w:w="1440" w:type="dxa"/>
          </w:tcPr>
          <w:p w14:paraId="7D99DB06" w14:textId="77777777" w:rsidR="00795585" w:rsidRPr="007E5D9A"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rPr>
              <w:t>Age, AST, ALT, platelets only</w:t>
            </w:r>
          </w:p>
        </w:tc>
      </w:tr>
      <w:tr w:rsidR="00E4399E" w:rsidRPr="007E5D9A" w14:paraId="43785243" w14:textId="77777777" w:rsidTr="00E439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tcPr>
          <w:p w14:paraId="3CA64265" w14:textId="77777777" w:rsidR="00795585" w:rsidRPr="007E5D9A" w:rsidRDefault="00000000">
            <w:pPr>
              <w:rPr>
                <w:rFonts w:ascii="Times New Roman" w:hAnsi="Times New Roman" w:cs="Times New Roman"/>
              </w:rPr>
            </w:pPr>
            <w:r w:rsidRPr="007E5D9A">
              <w:rPr>
                <w:rFonts w:ascii="Times New Roman" w:hAnsi="Times New Roman" w:cs="Times New Roman"/>
              </w:rPr>
              <w:t>Cost per assessment (USD)</w:t>
            </w:r>
          </w:p>
        </w:tc>
        <w:tc>
          <w:tcPr>
            <w:tcW w:w="1440" w:type="dxa"/>
          </w:tcPr>
          <w:p w14:paraId="21E6D08D" w14:textId="77777777" w:rsidR="00795585" w:rsidRPr="007E5D9A"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rPr>
              <w:t>$50-150 (FIB-4: $20-30; VCTE: $80-120; other labs routine)</w:t>
            </w:r>
          </w:p>
        </w:tc>
        <w:tc>
          <w:tcPr>
            <w:tcW w:w="1440" w:type="dxa"/>
          </w:tcPr>
          <w:p w14:paraId="649D09C0" w14:textId="77777777" w:rsidR="00795585" w:rsidRPr="007E5D9A"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rPr>
              <w:t>$0 (free calculator)</w:t>
            </w:r>
          </w:p>
        </w:tc>
        <w:tc>
          <w:tcPr>
            <w:tcW w:w="1440" w:type="dxa"/>
          </w:tcPr>
          <w:p w14:paraId="5AF8A3DA" w14:textId="77777777" w:rsidR="00795585" w:rsidRPr="007E5D9A"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rPr>
              <w:t>$0 (free calculator)</w:t>
            </w:r>
          </w:p>
        </w:tc>
        <w:tc>
          <w:tcPr>
            <w:tcW w:w="1440" w:type="dxa"/>
          </w:tcPr>
          <w:p w14:paraId="0AA4DBD4" w14:textId="77777777" w:rsidR="00795585" w:rsidRPr="007E5D9A"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rPr>
              <w:t>$0 (labs usually available)</w:t>
            </w:r>
          </w:p>
        </w:tc>
        <w:tc>
          <w:tcPr>
            <w:tcW w:w="1440" w:type="dxa"/>
          </w:tcPr>
          <w:p w14:paraId="009388BE" w14:textId="77777777" w:rsidR="00795585" w:rsidRPr="007E5D9A"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rPr>
              <w:t>$20-30 (routine labs only)</w:t>
            </w:r>
          </w:p>
        </w:tc>
      </w:tr>
      <w:tr w:rsidR="00E4399E" w:rsidRPr="007E5D9A" w14:paraId="30A13D89" w14:textId="77777777" w:rsidTr="00E4399E">
        <w:tc>
          <w:tcPr>
            <w:cnfStyle w:val="001000000000" w:firstRow="0" w:lastRow="0" w:firstColumn="1" w:lastColumn="0" w:oddVBand="0" w:evenVBand="0" w:oddHBand="0" w:evenHBand="0" w:firstRowFirstColumn="0" w:firstRowLastColumn="0" w:lastRowFirstColumn="0" w:lastRowLastColumn="0"/>
            <w:tcW w:w="1440" w:type="dxa"/>
          </w:tcPr>
          <w:p w14:paraId="26390447" w14:textId="77777777" w:rsidR="00795585" w:rsidRPr="007E5D9A" w:rsidRDefault="00000000">
            <w:pPr>
              <w:rPr>
                <w:rFonts w:ascii="Times New Roman" w:hAnsi="Times New Roman" w:cs="Times New Roman"/>
              </w:rPr>
            </w:pPr>
            <w:r w:rsidRPr="007E5D9A">
              <w:rPr>
                <w:rFonts w:ascii="Times New Roman" w:hAnsi="Times New Roman" w:cs="Times New Roman"/>
              </w:rPr>
              <w:t>Availability</w:t>
            </w:r>
          </w:p>
        </w:tc>
        <w:tc>
          <w:tcPr>
            <w:tcW w:w="1440" w:type="dxa"/>
          </w:tcPr>
          <w:p w14:paraId="62E0C1D3" w14:textId="77777777" w:rsidR="00795585" w:rsidRPr="007E5D9A"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rPr>
              <w:t>Proposed; requires prospective validation and EHR integration</w:t>
            </w:r>
          </w:p>
        </w:tc>
        <w:tc>
          <w:tcPr>
            <w:tcW w:w="1440" w:type="dxa"/>
          </w:tcPr>
          <w:p w14:paraId="561091B0" w14:textId="77777777" w:rsidR="00795585" w:rsidRPr="007E5D9A"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rPr>
              <w:t>Freely available online and via apps</w:t>
            </w:r>
          </w:p>
        </w:tc>
        <w:tc>
          <w:tcPr>
            <w:tcW w:w="1440" w:type="dxa"/>
          </w:tcPr>
          <w:p w14:paraId="683B9BD6" w14:textId="77777777" w:rsidR="00795585" w:rsidRPr="007E5D9A"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rPr>
              <w:t>Freely available online</w:t>
            </w:r>
          </w:p>
        </w:tc>
        <w:tc>
          <w:tcPr>
            <w:tcW w:w="1440" w:type="dxa"/>
          </w:tcPr>
          <w:p w14:paraId="224E3864" w14:textId="77777777" w:rsidR="00795585" w:rsidRPr="007E5D9A"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rPr>
              <w:t>Universal (labs only)</w:t>
            </w:r>
          </w:p>
        </w:tc>
        <w:tc>
          <w:tcPr>
            <w:tcW w:w="1440" w:type="dxa"/>
          </w:tcPr>
          <w:p w14:paraId="0ECA03D2" w14:textId="77777777" w:rsidR="00795585" w:rsidRPr="007E5D9A"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rPr>
              <w:t>Universal (labs only)</w:t>
            </w:r>
          </w:p>
        </w:tc>
      </w:tr>
      <w:tr w:rsidR="00E4399E" w:rsidRPr="007E5D9A" w14:paraId="4FB00029" w14:textId="77777777" w:rsidTr="00E439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tcBorders>
              <w:bottom w:val="single" w:sz="4" w:space="0" w:color="auto"/>
            </w:tcBorders>
          </w:tcPr>
          <w:p w14:paraId="4D5784E2" w14:textId="77777777" w:rsidR="00795585" w:rsidRPr="007E5D9A" w:rsidRDefault="00000000">
            <w:pPr>
              <w:rPr>
                <w:rFonts w:ascii="Times New Roman" w:hAnsi="Times New Roman" w:cs="Times New Roman"/>
              </w:rPr>
            </w:pPr>
            <w:r w:rsidRPr="007E5D9A">
              <w:rPr>
                <w:rFonts w:ascii="Times New Roman" w:hAnsi="Times New Roman" w:cs="Times New Roman"/>
              </w:rPr>
              <w:t>Primary care applicability</w:t>
            </w:r>
          </w:p>
        </w:tc>
        <w:tc>
          <w:tcPr>
            <w:tcW w:w="1440" w:type="dxa"/>
            <w:tcBorders>
              <w:bottom w:val="single" w:sz="4" w:space="0" w:color="auto"/>
            </w:tcBorders>
          </w:tcPr>
          <w:p w14:paraId="18DB04EC" w14:textId="77777777" w:rsidR="00795585" w:rsidRPr="007E5D9A"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rPr>
              <w:t>Designed for primary care with specialist escalation triggers</w:t>
            </w:r>
          </w:p>
        </w:tc>
        <w:tc>
          <w:tcPr>
            <w:tcW w:w="1440" w:type="dxa"/>
            <w:tcBorders>
              <w:bottom w:val="single" w:sz="4" w:space="0" w:color="auto"/>
            </w:tcBorders>
          </w:tcPr>
          <w:p w14:paraId="253266CD" w14:textId="77777777" w:rsidR="00795585" w:rsidRPr="007E5D9A"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rPr>
              <w:t>Primary care standard</w:t>
            </w:r>
          </w:p>
        </w:tc>
        <w:tc>
          <w:tcPr>
            <w:tcW w:w="1440" w:type="dxa"/>
            <w:tcBorders>
              <w:bottom w:val="single" w:sz="4" w:space="0" w:color="auto"/>
            </w:tcBorders>
          </w:tcPr>
          <w:p w14:paraId="16885E79" w14:textId="77777777" w:rsidR="00795585" w:rsidRPr="007E5D9A"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rPr>
              <w:t>Specialist/endocrinology focused</w:t>
            </w:r>
          </w:p>
        </w:tc>
        <w:tc>
          <w:tcPr>
            <w:tcW w:w="1440" w:type="dxa"/>
            <w:tcBorders>
              <w:bottom w:val="single" w:sz="4" w:space="0" w:color="auto"/>
            </w:tcBorders>
          </w:tcPr>
          <w:p w14:paraId="1CAB7CAC" w14:textId="77777777" w:rsidR="00795585" w:rsidRPr="007E5D9A"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rPr>
              <w:t>All settings</w:t>
            </w:r>
          </w:p>
        </w:tc>
        <w:tc>
          <w:tcPr>
            <w:tcW w:w="1440" w:type="dxa"/>
            <w:tcBorders>
              <w:bottom w:val="single" w:sz="4" w:space="0" w:color="auto"/>
            </w:tcBorders>
          </w:tcPr>
          <w:p w14:paraId="6508E01B" w14:textId="77777777" w:rsidR="00795585" w:rsidRPr="007E5D9A"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rPr>
              <w:t>Primary care screening tool</w:t>
            </w:r>
          </w:p>
        </w:tc>
      </w:tr>
    </w:tbl>
    <w:p w14:paraId="38392C7F" w14:textId="77777777" w:rsidR="00795585" w:rsidRPr="007E5D9A" w:rsidRDefault="00795585">
      <w:pPr>
        <w:rPr>
          <w:rFonts w:ascii="Times New Roman" w:hAnsi="Times New Roman" w:cs="Times New Roman"/>
        </w:rPr>
      </w:pPr>
    </w:p>
    <w:p w14:paraId="5DB3F7A0" w14:textId="77777777" w:rsidR="00795585" w:rsidRPr="007E5D9A" w:rsidRDefault="00000000">
      <w:pPr>
        <w:rPr>
          <w:rFonts w:ascii="Times New Roman" w:hAnsi="Times New Roman" w:cs="Times New Roman"/>
        </w:rPr>
      </w:pPr>
      <w:r w:rsidRPr="007E5D9A">
        <w:rPr>
          <w:rFonts w:ascii="Times New Roman" w:hAnsi="Times New Roman" w:cs="Times New Roman"/>
        </w:rPr>
        <w:t xml:space="preserve">Abbreviations: MORS, Multi-Organ Risk Score; ASCVD, atherosclerotic cardiovascular disease; DIAL, Diabetes Italy </w:t>
      </w:r>
      <w:proofErr w:type="spellStart"/>
      <w:r w:rsidRPr="007E5D9A">
        <w:rPr>
          <w:rFonts w:ascii="Times New Roman" w:hAnsi="Times New Roman" w:cs="Times New Roman"/>
        </w:rPr>
        <w:t>Astrate</w:t>
      </w:r>
      <w:proofErr w:type="spellEnd"/>
      <w:r w:rsidRPr="007E5D9A">
        <w:rPr>
          <w:rFonts w:ascii="Times New Roman" w:hAnsi="Times New Roman" w:cs="Times New Roman"/>
        </w:rPr>
        <w:t xml:space="preserve">; DKD, diabetic kidney disease; KDIGO, Kidney Disease: Improving Global Outcomes; FIB-4, Fibrosis-4 index; VCTE, vibration-controlled transient elastography; MDT, multidisciplinary team; CVD, cardiovascular disease; ESRD, end-stage renal disease; RCT, </w:t>
      </w:r>
      <w:r w:rsidRPr="007E5D9A">
        <w:rPr>
          <w:rFonts w:ascii="Times New Roman" w:hAnsi="Times New Roman" w:cs="Times New Roman"/>
        </w:rPr>
        <w:lastRenderedPageBreak/>
        <w:t>randomized controlled trial; EHR, electronic health record; BP, blood pressure; eGFR, estimated glomerular filtration rate; UACR, urine albumin-to-creatinine ratio; BMI, body mass index; TG, triglycerides; AST, aspartate aminotransferase; ALT, alanine aminotransferase; TC, total cholesterol; HDL, high-density lipoprotein; SBP, systolic blood pressure; HTN, hypertension; DM, diabetes mellitus; HbA1c, glycated hemoglobin.</w:t>
      </w:r>
    </w:p>
    <w:p w14:paraId="47967B2F" w14:textId="77777777" w:rsidR="00795585" w:rsidRPr="007E5D9A" w:rsidRDefault="00795585">
      <w:pPr>
        <w:jc w:val="left"/>
        <w:rPr>
          <w:rFonts w:ascii="Times New Roman" w:hAnsi="Times New Roman" w:cs="Times New Roman"/>
          <w:b/>
        </w:rPr>
      </w:pPr>
    </w:p>
    <w:p w14:paraId="4C4E96D7" w14:textId="77777777" w:rsidR="00795585" w:rsidRPr="007E5D9A" w:rsidRDefault="00795585">
      <w:pPr>
        <w:jc w:val="left"/>
        <w:rPr>
          <w:rFonts w:ascii="Times New Roman" w:hAnsi="Times New Roman" w:cs="Times New Roman"/>
          <w:b/>
        </w:rPr>
      </w:pPr>
    </w:p>
    <w:p w14:paraId="518A4659" w14:textId="77777777" w:rsidR="00795585" w:rsidRPr="007E5D9A" w:rsidRDefault="00795585">
      <w:pPr>
        <w:jc w:val="left"/>
        <w:rPr>
          <w:rFonts w:ascii="Times New Roman" w:hAnsi="Times New Roman" w:cs="Times New Roman"/>
          <w:b/>
        </w:rPr>
      </w:pPr>
    </w:p>
    <w:p w14:paraId="430D557B" w14:textId="77777777" w:rsidR="00795585" w:rsidRPr="007E5D9A" w:rsidRDefault="00000000">
      <w:pPr>
        <w:jc w:val="left"/>
        <w:rPr>
          <w:rFonts w:ascii="Times New Roman" w:hAnsi="Times New Roman" w:cs="Times New Roman"/>
          <w:b/>
          <w:sz w:val="24"/>
          <w:szCs w:val="32"/>
        </w:rPr>
      </w:pPr>
      <w:r w:rsidRPr="007E5D9A">
        <w:rPr>
          <w:rFonts w:ascii="Times New Roman" w:hAnsi="Times New Roman" w:cs="Times New Roman"/>
          <w:b/>
          <w:sz w:val="24"/>
          <w:szCs w:val="32"/>
        </w:rPr>
        <w:t>Table S9. Clinical Vignettes for MORS Calculation and MMCK Stage Assignment</w:t>
      </w:r>
    </w:p>
    <w:p w14:paraId="77788D02" w14:textId="77777777" w:rsidR="00795585" w:rsidRPr="007E5D9A" w:rsidRDefault="00000000">
      <w:pPr>
        <w:rPr>
          <w:rFonts w:ascii="Times New Roman" w:hAnsi="Times New Roman" w:cs="Times New Roman"/>
        </w:rPr>
      </w:pPr>
      <w:r w:rsidRPr="007E5D9A">
        <w:rPr>
          <w:rFonts w:ascii="Times New Roman" w:hAnsi="Times New Roman" w:cs="Times New Roman"/>
          <w:i/>
          <w:sz w:val="18"/>
        </w:rPr>
        <w:t>Four representative cases illustrating step-by-step MORS scoring per formal Table 2B–5 definitions. Each case corresponds to a distinct MMCK Stage (1–4), demonstrating clinical heterogeneity across age, sex, ethnicity, and organ involvement.</w:t>
      </w:r>
    </w:p>
    <w:tbl>
      <w:tblPr>
        <w:tblStyle w:val="4"/>
        <w:tblW w:w="0" w:type="auto"/>
        <w:tblBorders>
          <w:top w:val="single" w:sz="4" w:space="0" w:color="auto"/>
          <w:bottom w:val="single" w:sz="4" w:space="0" w:color="auto"/>
        </w:tblBorders>
        <w:tblLook w:val="04A0" w:firstRow="1" w:lastRow="0" w:firstColumn="1" w:lastColumn="0" w:noHBand="0" w:noVBand="1"/>
      </w:tblPr>
      <w:tblGrid>
        <w:gridCol w:w="1281"/>
        <w:gridCol w:w="1811"/>
        <w:gridCol w:w="1810"/>
        <w:gridCol w:w="1810"/>
        <w:gridCol w:w="1810"/>
      </w:tblGrid>
      <w:tr w:rsidR="00E4399E" w:rsidRPr="007E5D9A" w14:paraId="52EDD739" w14:textId="77777777" w:rsidTr="00E4399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8" w:type="dxa"/>
            <w:tcBorders>
              <w:top w:val="single" w:sz="4" w:space="0" w:color="auto"/>
              <w:bottom w:val="single" w:sz="4" w:space="0" w:color="auto"/>
            </w:tcBorders>
          </w:tcPr>
          <w:p w14:paraId="2BCAD6AC" w14:textId="77777777" w:rsidR="00795585" w:rsidRPr="007E5D9A" w:rsidRDefault="00000000">
            <w:pPr>
              <w:jc w:val="center"/>
              <w:rPr>
                <w:rFonts w:ascii="Times New Roman" w:hAnsi="Times New Roman" w:cs="Times New Roman"/>
              </w:rPr>
            </w:pPr>
            <w:r w:rsidRPr="007E5D9A">
              <w:rPr>
                <w:rFonts w:ascii="Times New Roman" w:hAnsi="Times New Roman" w:cs="Times New Roman"/>
                <w:sz w:val="18"/>
              </w:rPr>
              <w:t>Parameter</w:t>
            </w:r>
          </w:p>
        </w:tc>
        <w:tc>
          <w:tcPr>
            <w:tcW w:w="3168" w:type="dxa"/>
            <w:tcBorders>
              <w:top w:val="single" w:sz="4" w:space="0" w:color="auto"/>
              <w:bottom w:val="single" w:sz="4" w:space="0" w:color="auto"/>
            </w:tcBorders>
          </w:tcPr>
          <w:p w14:paraId="77214504" w14:textId="77777777" w:rsidR="00795585" w:rsidRPr="007E5D9A" w:rsidRDefault="0000000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sz w:val="18"/>
              </w:rPr>
              <w:t>Vignette 1</w:t>
            </w:r>
            <w:r w:rsidRPr="007E5D9A">
              <w:rPr>
                <w:rFonts w:ascii="Times New Roman" w:hAnsi="Times New Roman" w:cs="Times New Roman"/>
                <w:sz w:val="18"/>
              </w:rPr>
              <w:br/>
              <w:t>Stage 1</w:t>
            </w:r>
            <w:r w:rsidRPr="007E5D9A">
              <w:rPr>
                <w:rFonts w:ascii="Times New Roman" w:hAnsi="Times New Roman" w:cs="Times New Roman"/>
                <w:sz w:val="18"/>
              </w:rPr>
              <w:br/>
              <w:t>Metabolic Predominant</w:t>
            </w:r>
          </w:p>
        </w:tc>
        <w:tc>
          <w:tcPr>
            <w:tcW w:w="3168" w:type="dxa"/>
            <w:tcBorders>
              <w:top w:val="single" w:sz="4" w:space="0" w:color="auto"/>
              <w:bottom w:val="single" w:sz="4" w:space="0" w:color="auto"/>
            </w:tcBorders>
          </w:tcPr>
          <w:p w14:paraId="1ACB74AD" w14:textId="77777777" w:rsidR="00795585" w:rsidRPr="007E5D9A" w:rsidRDefault="0000000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sz w:val="18"/>
              </w:rPr>
              <w:t>Vignette 2</w:t>
            </w:r>
            <w:r w:rsidRPr="007E5D9A">
              <w:rPr>
                <w:rFonts w:ascii="Times New Roman" w:hAnsi="Times New Roman" w:cs="Times New Roman"/>
                <w:sz w:val="18"/>
              </w:rPr>
              <w:br/>
              <w:t>Stage 2</w:t>
            </w:r>
            <w:r w:rsidRPr="007E5D9A">
              <w:rPr>
                <w:rFonts w:ascii="Times New Roman" w:hAnsi="Times New Roman" w:cs="Times New Roman"/>
                <w:sz w:val="18"/>
              </w:rPr>
              <w:br/>
              <w:t>Renal Predominant (Lean)</w:t>
            </w:r>
          </w:p>
        </w:tc>
        <w:tc>
          <w:tcPr>
            <w:tcW w:w="3168" w:type="dxa"/>
            <w:tcBorders>
              <w:top w:val="single" w:sz="4" w:space="0" w:color="auto"/>
              <w:bottom w:val="single" w:sz="4" w:space="0" w:color="auto"/>
            </w:tcBorders>
          </w:tcPr>
          <w:p w14:paraId="45F3E385" w14:textId="77777777" w:rsidR="00795585" w:rsidRPr="007E5D9A" w:rsidRDefault="0000000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sz w:val="18"/>
              </w:rPr>
              <w:t>Vignette 3</w:t>
            </w:r>
            <w:r w:rsidRPr="007E5D9A">
              <w:rPr>
                <w:rFonts w:ascii="Times New Roman" w:hAnsi="Times New Roman" w:cs="Times New Roman"/>
                <w:sz w:val="18"/>
              </w:rPr>
              <w:br/>
              <w:t>Stage 3</w:t>
            </w:r>
            <w:r w:rsidRPr="007E5D9A">
              <w:rPr>
                <w:rFonts w:ascii="Times New Roman" w:hAnsi="Times New Roman" w:cs="Times New Roman"/>
                <w:sz w:val="18"/>
              </w:rPr>
              <w:br/>
              <w:t>Hepatic-Cardiac Overlap</w:t>
            </w:r>
          </w:p>
        </w:tc>
        <w:tc>
          <w:tcPr>
            <w:tcW w:w="3168" w:type="dxa"/>
            <w:tcBorders>
              <w:top w:val="single" w:sz="4" w:space="0" w:color="auto"/>
              <w:bottom w:val="single" w:sz="4" w:space="0" w:color="auto"/>
            </w:tcBorders>
          </w:tcPr>
          <w:p w14:paraId="20C0409B" w14:textId="77777777" w:rsidR="00795585" w:rsidRPr="007E5D9A" w:rsidRDefault="0000000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sz w:val="18"/>
              </w:rPr>
              <w:t>Vignette 4</w:t>
            </w:r>
            <w:r w:rsidRPr="007E5D9A">
              <w:rPr>
                <w:rFonts w:ascii="Times New Roman" w:hAnsi="Times New Roman" w:cs="Times New Roman"/>
                <w:sz w:val="18"/>
              </w:rPr>
              <w:br/>
              <w:t>Stage 4</w:t>
            </w:r>
            <w:r w:rsidRPr="007E5D9A">
              <w:rPr>
                <w:rFonts w:ascii="Times New Roman" w:hAnsi="Times New Roman" w:cs="Times New Roman"/>
                <w:sz w:val="18"/>
              </w:rPr>
              <w:br/>
              <w:t>Multi-Organ Decompensation</w:t>
            </w:r>
          </w:p>
        </w:tc>
      </w:tr>
      <w:tr w:rsidR="00795585" w:rsidRPr="007E5D9A" w14:paraId="057AF7F5" w14:textId="77777777" w:rsidTr="00E439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40" w:type="dxa"/>
            <w:gridSpan w:val="5"/>
            <w:tcBorders>
              <w:top w:val="single" w:sz="4" w:space="0" w:color="auto"/>
            </w:tcBorders>
          </w:tcPr>
          <w:p w14:paraId="37447D3C" w14:textId="77777777" w:rsidR="00795585" w:rsidRPr="007E5D9A" w:rsidRDefault="00000000">
            <w:pPr>
              <w:rPr>
                <w:rFonts w:ascii="Times New Roman" w:hAnsi="Times New Roman" w:cs="Times New Roman"/>
              </w:rPr>
            </w:pPr>
            <w:r w:rsidRPr="007E5D9A">
              <w:rPr>
                <w:rFonts w:ascii="Times New Roman" w:hAnsi="Times New Roman" w:cs="Times New Roman"/>
                <w:sz w:val="18"/>
              </w:rPr>
              <w:t>PATIENT PROFILE</w:t>
            </w:r>
          </w:p>
        </w:tc>
      </w:tr>
      <w:tr w:rsidR="00795585" w:rsidRPr="007E5D9A" w14:paraId="4D019101" w14:textId="77777777" w:rsidTr="00E4399E">
        <w:tc>
          <w:tcPr>
            <w:cnfStyle w:val="001000000000" w:firstRow="0" w:lastRow="0" w:firstColumn="1" w:lastColumn="0" w:oddVBand="0" w:evenVBand="0" w:oddHBand="0" w:evenHBand="0" w:firstRowFirstColumn="0" w:firstRowLastColumn="0" w:lastRowFirstColumn="0" w:lastRowLastColumn="0"/>
            <w:tcW w:w="1728" w:type="dxa"/>
          </w:tcPr>
          <w:p w14:paraId="23918E71" w14:textId="77777777" w:rsidR="00795585" w:rsidRPr="007E5D9A" w:rsidRDefault="00000000">
            <w:pPr>
              <w:rPr>
                <w:rFonts w:ascii="Times New Roman" w:hAnsi="Times New Roman" w:cs="Times New Roman"/>
              </w:rPr>
            </w:pPr>
            <w:r w:rsidRPr="007E5D9A">
              <w:rPr>
                <w:rFonts w:ascii="Times New Roman" w:hAnsi="Times New Roman" w:cs="Times New Roman"/>
                <w:sz w:val="18"/>
              </w:rPr>
              <w:t>Patient</w:t>
            </w:r>
          </w:p>
        </w:tc>
        <w:tc>
          <w:tcPr>
            <w:tcW w:w="1728" w:type="dxa"/>
          </w:tcPr>
          <w:p w14:paraId="0450727B" w14:textId="77777777" w:rsidR="00795585" w:rsidRPr="007E5D9A"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sz w:val="18"/>
              </w:rPr>
              <w:t>52-year-old White woman</w:t>
            </w:r>
            <w:r w:rsidRPr="007E5D9A">
              <w:rPr>
                <w:rFonts w:ascii="Times New Roman" w:hAnsi="Times New Roman" w:cs="Times New Roman"/>
                <w:sz w:val="18"/>
              </w:rPr>
              <w:br/>
              <w:t>Prediabetes (HbA1c 6.2%), BMI 31 kg/m², waist 94 cm, BP 132/82 mmHg</w:t>
            </w:r>
          </w:p>
        </w:tc>
        <w:tc>
          <w:tcPr>
            <w:tcW w:w="1728" w:type="dxa"/>
          </w:tcPr>
          <w:p w14:paraId="673DD4A5" w14:textId="77777777" w:rsidR="00795585" w:rsidRPr="007E5D9A"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sz w:val="18"/>
              </w:rPr>
              <w:t>55-year-old South Asian man</w:t>
            </w:r>
            <w:r w:rsidRPr="007E5D9A">
              <w:rPr>
                <w:rFonts w:ascii="Times New Roman" w:hAnsi="Times New Roman" w:cs="Times New Roman"/>
                <w:sz w:val="18"/>
              </w:rPr>
              <w:br/>
              <w:t>T2DM 5 years (HbA1c 7.2%), BMI 24 kg/m² (lean), BP 136/84 mmHg</w:t>
            </w:r>
          </w:p>
        </w:tc>
        <w:tc>
          <w:tcPr>
            <w:tcW w:w="1728" w:type="dxa"/>
          </w:tcPr>
          <w:p w14:paraId="102803A2" w14:textId="77777777" w:rsidR="00795585" w:rsidRPr="007E5D9A"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sz w:val="18"/>
              </w:rPr>
              <w:t>58-year-old White man</w:t>
            </w:r>
            <w:r w:rsidRPr="007E5D9A">
              <w:rPr>
                <w:rFonts w:ascii="Times New Roman" w:hAnsi="Times New Roman" w:cs="Times New Roman"/>
                <w:sz w:val="18"/>
              </w:rPr>
              <w:br/>
              <w:t>T2DM 8 years (HbA1c 8.1%), BMI 33 kg/m², BP 144/90 mmHg</w:t>
            </w:r>
          </w:p>
        </w:tc>
        <w:tc>
          <w:tcPr>
            <w:tcW w:w="1728" w:type="dxa"/>
          </w:tcPr>
          <w:p w14:paraId="59DB4FFC" w14:textId="77777777" w:rsidR="00795585" w:rsidRPr="007E5D9A"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sz w:val="18"/>
              </w:rPr>
              <w:t>70-year-old Black woman</w:t>
            </w:r>
            <w:r w:rsidRPr="007E5D9A">
              <w:rPr>
                <w:rFonts w:ascii="Times New Roman" w:hAnsi="Times New Roman" w:cs="Times New Roman"/>
                <w:sz w:val="18"/>
              </w:rPr>
              <w:br/>
              <w:t>T2DM 18 years (HbA1c 8.8%), BMI 34 kg/m², BP 152/94 mmHg, prior STEMI (3 years ago)</w:t>
            </w:r>
          </w:p>
        </w:tc>
      </w:tr>
      <w:tr w:rsidR="00795585" w:rsidRPr="007E5D9A" w14:paraId="2C9E6FA6" w14:textId="77777777" w:rsidTr="00E439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8" w:type="dxa"/>
          </w:tcPr>
          <w:p w14:paraId="0D29674C" w14:textId="77777777" w:rsidR="00795585" w:rsidRPr="007E5D9A" w:rsidRDefault="00000000">
            <w:pPr>
              <w:rPr>
                <w:rFonts w:ascii="Times New Roman" w:hAnsi="Times New Roman" w:cs="Times New Roman"/>
              </w:rPr>
            </w:pPr>
            <w:r w:rsidRPr="007E5D9A">
              <w:rPr>
                <w:rFonts w:ascii="Times New Roman" w:hAnsi="Times New Roman" w:cs="Times New Roman"/>
                <w:sz w:val="18"/>
              </w:rPr>
              <w:t>Key labs</w:t>
            </w:r>
          </w:p>
        </w:tc>
        <w:tc>
          <w:tcPr>
            <w:tcW w:w="1728" w:type="dxa"/>
          </w:tcPr>
          <w:p w14:paraId="0993E635" w14:textId="77777777" w:rsidR="00795585" w:rsidRPr="007E5D9A"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sz w:val="18"/>
              </w:rPr>
              <w:t>eGFR 78, UACR 52</w:t>
            </w:r>
            <w:r w:rsidRPr="007E5D9A">
              <w:rPr>
                <w:rFonts w:ascii="Times New Roman" w:hAnsi="Times New Roman" w:cs="Times New Roman"/>
                <w:sz w:val="18"/>
              </w:rPr>
              <w:br/>
              <w:t xml:space="preserve">AST 26, ALT 32, </w:t>
            </w:r>
            <w:proofErr w:type="spellStart"/>
            <w:r w:rsidRPr="007E5D9A">
              <w:rPr>
                <w:rFonts w:ascii="Times New Roman" w:hAnsi="Times New Roman" w:cs="Times New Roman"/>
                <w:sz w:val="18"/>
              </w:rPr>
              <w:t>Plt</w:t>
            </w:r>
            <w:proofErr w:type="spellEnd"/>
            <w:r w:rsidRPr="007E5D9A">
              <w:rPr>
                <w:rFonts w:ascii="Times New Roman" w:hAnsi="Times New Roman" w:cs="Times New Roman"/>
                <w:sz w:val="18"/>
              </w:rPr>
              <w:t xml:space="preserve"> 240</w:t>
            </w:r>
            <w:r w:rsidRPr="007E5D9A">
              <w:rPr>
                <w:rFonts w:ascii="Times New Roman" w:hAnsi="Times New Roman" w:cs="Times New Roman"/>
                <w:sz w:val="18"/>
              </w:rPr>
              <w:br/>
              <w:t>TG 168, HDL 44, LDL 128</w:t>
            </w:r>
            <w:r w:rsidRPr="007E5D9A">
              <w:rPr>
                <w:rFonts w:ascii="Times New Roman" w:hAnsi="Times New Roman" w:cs="Times New Roman"/>
                <w:sz w:val="18"/>
              </w:rPr>
              <w:br/>
              <w:t>NT-</w:t>
            </w:r>
            <w:proofErr w:type="spellStart"/>
            <w:r w:rsidRPr="007E5D9A">
              <w:rPr>
                <w:rFonts w:ascii="Times New Roman" w:hAnsi="Times New Roman" w:cs="Times New Roman"/>
                <w:sz w:val="18"/>
              </w:rPr>
              <w:t>proBNP</w:t>
            </w:r>
            <w:proofErr w:type="spellEnd"/>
            <w:r w:rsidRPr="007E5D9A">
              <w:rPr>
                <w:rFonts w:ascii="Times New Roman" w:hAnsi="Times New Roman" w:cs="Times New Roman"/>
                <w:sz w:val="18"/>
              </w:rPr>
              <w:t xml:space="preserve"> 195</w:t>
            </w:r>
          </w:p>
        </w:tc>
        <w:tc>
          <w:tcPr>
            <w:tcW w:w="1728" w:type="dxa"/>
          </w:tcPr>
          <w:p w14:paraId="7C2B1B95" w14:textId="77777777" w:rsidR="00795585" w:rsidRPr="007E5D9A"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sz w:val="18"/>
              </w:rPr>
              <w:t>eGFR 48, UACR 280</w:t>
            </w:r>
            <w:r w:rsidRPr="007E5D9A">
              <w:rPr>
                <w:rFonts w:ascii="Times New Roman" w:hAnsi="Times New Roman" w:cs="Times New Roman"/>
                <w:sz w:val="18"/>
              </w:rPr>
              <w:br/>
              <w:t xml:space="preserve">AST 24, ALT 30, </w:t>
            </w:r>
            <w:proofErr w:type="spellStart"/>
            <w:r w:rsidRPr="007E5D9A">
              <w:rPr>
                <w:rFonts w:ascii="Times New Roman" w:hAnsi="Times New Roman" w:cs="Times New Roman"/>
                <w:sz w:val="18"/>
              </w:rPr>
              <w:t>Plt</w:t>
            </w:r>
            <w:proofErr w:type="spellEnd"/>
            <w:r w:rsidRPr="007E5D9A">
              <w:rPr>
                <w:rFonts w:ascii="Times New Roman" w:hAnsi="Times New Roman" w:cs="Times New Roman"/>
                <w:sz w:val="18"/>
              </w:rPr>
              <w:t xml:space="preserve"> 250</w:t>
            </w:r>
            <w:r w:rsidRPr="007E5D9A">
              <w:rPr>
                <w:rFonts w:ascii="Times New Roman" w:hAnsi="Times New Roman" w:cs="Times New Roman"/>
                <w:sz w:val="18"/>
              </w:rPr>
              <w:br/>
              <w:t>TG 155, HDL 38, LDL 112</w:t>
            </w:r>
            <w:r w:rsidRPr="007E5D9A">
              <w:rPr>
                <w:rFonts w:ascii="Times New Roman" w:hAnsi="Times New Roman" w:cs="Times New Roman"/>
                <w:sz w:val="18"/>
              </w:rPr>
              <w:br/>
              <w:t>NT-</w:t>
            </w:r>
            <w:proofErr w:type="spellStart"/>
            <w:r w:rsidRPr="007E5D9A">
              <w:rPr>
                <w:rFonts w:ascii="Times New Roman" w:hAnsi="Times New Roman" w:cs="Times New Roman"/>
                <w:sz w:val="18"/>
              </w:rPr>
              <w:t>proBNP</w:t>
            </w:r>
            <w:proofErr w:type="spellEnd"/>
            <w:r w:rsidRPr="007E5D9A">
              <w:rPr>
                <w:rFonts w:ascii="Times New Roman" w:hAnsi="Times New Roman" w:cs="Times New Roman"/>
                <w:sz w:val="18"/>
              </w:rPr>
              <w:t xml:space="preserve"> 165, HbA1c 7.2%</w:t>
            </w:r>
          </w:p>
        </w:tc>
        <w:tc>
          <w:tcPr>
            <w:tcW w:w="1728" w:type="dxa"/>
          </w:tcPr>
          <w:p w14:paraId="2AAADB2E" w14:textId="77777777" w:rsidR="00795585" w:rsidRPr="007E5D9A"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sz w:val="18"/>
              </w:rPr>
              <w:t>eGFR 56, UACR 22</w:t>
            </w:r>
            <w:r w:rsidRPr="007E5D9A">
              <w:rPr>
                <w:rFonts w:ascii="Times New Roman" w:hAnsi="Times New Roman" w:cs="Times New Roman"/>
                <w:sz w:val="18"/>
              </w:rPr>
              <w:br/>
              <w:t xml:space="preserve">AST 58, ALT 68, </w:t>
            </w:r>
            <w:proofErr w:type="spellStart"/>
            <w:r w:rsidRPr="007E5D9A">
              <w:rPr>
                <w:rFonts w:ascii="Times New Roman" w:hAnsi="Times New Roman" w:cs="Times New Roman"/>
                <w:sz w:val="18"/>
              </w:rPr>
              <w:t>Plt</w:t>
            </w:r>
            <w:proofErr w:type="spellEnd"/>
            <w:r w:rsidRPr="007E5D9A">
              <w:rPr>
                <w:rFonts w:ascii="Times New Roman" w:hAnsi="Times New Roman" w:cs="Times New Roman"/>
                <w:sz w:val="18"/>
              </w:rPr>
              <w:t xml:space="preserve"> 150</w:t>
            </w:r>
            <w:r w:rsidRPr="007E5D9A">
              <w:rPr>
                <w:rFonts w:ascii="Times New Roman" w:hAnsi="Times New Roman" w:cs="Times New Roman"/>
                <w:sz w:val="18"/>
              </w:rPr>
              <w:br/>
              <w:t>TG 210, HDL 36, LDL 156</w:t>
            </w:r>
            <w:r w:rsidRPr="007E5D9A">
              <w:rPr>
                <w:rFonts w:ascii="Times New Roman" w:hAnsi="Times New Roman" w:cs="Times New Roman"/>
                <w:sz w:val="18"/>
              </w:rPr>
              <w:br/>
              <w:t>NT-</w:t>
            </w:r>
            <w:proofErr w:type="spellStart"/>
            <w:r w:rsidRPr="007E5D9A">
              <w:rPr>
                <w:rFonts w:ascii="Times New Roman" w:hAnsi="Times New Roman" w:cs="Times New Roman"/>
                <w:sz w:val="18"/>
              </w:rPr>
              <w:t>proBNP</w:t>
            </w:r>
            <w:proofErr w:type="spellEnd"/>
            <w:r w:rsidRPr="007E5D9A">
              <w:rPr>
                <w:rFonts w:ascii="Times New Roman" w:hAnsi="Times New Roman" w:cs="Times New Roman"/>
                <w:sz w:val="18"/>
              </w:rPr>
              <w:t xml:space="preserve"> 420, CAC 320</w:t>
            </w:r>
          </w:p>
        </w:tc>
        <w:tc>
          <w:tcPr>
            <w:tcW w:w="1728" w:type="dxa"/>
          </w:tcPr>
          <w:p w14:paraId="31A80BE7" w14:textId="77777777" w:rsidR="00795585" w:rsidRPr="007E5D9A"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sz w:val="18"/>
              </w:rPr>
              <w:t>eGFR 28, UACR 850</w:t>
            </w:r>
            <w:r w:rsidRPr="007E5D9A">
              <w:rPr>
                <w:rFonts w:ascii="Times New Roman" w:hAnsi="Times New Roman" w:cs="Times New Roman"/>
                <w:sz w:val="18"/>
              </w:rPr>
              <w:br/>
              <w:t xml:space="preserve">AST 72, ALT 85, </w:t>
            </w:r>
            <w:proofErr w:type="spellStart"/>
            <w:r w:rsidRPr="007E5D9A">
              <w:rPr>
                <w:rFonts w:ascii="Times New Roman" w:hAnsi="Times New Roman" w:cs="Times New Roman"/>
                <w:sz w:val="18"/>
              </w:rPr>
              <w:t>Plt</w:t>
            </w:r>
            <w:proofErr w:type="spellEnd"/>
            <w:r w:rsidRPr="007E5D9A">
              <w:rPr>
                <w:rFonts w:ascii="Times New Roman" w:hAnsi="Times New Roman" w:cs="Times New Roman"/>
                <w:sz w:val="18"/>
              </w:rPr>
              <w:t xml:space="preserve"> 120</w:t>
            </w:r>
            <w:r w:rsidRPr="007E5D9A">
              <w:rPr>
                <w:rFonts w:ascii="Times New Roman" w:hAnsi="Times New Roman" w:cs="Times New Roman"/>
                <w:sz w:val="18"/>
              </w:rPr>
              <w:br/>
              <w:t>TG 245, HDL 32, LDL 98</w:t>
            </w:r>
            <w:r w:rsidRPr="007E5D9A">
              <w:rPr>
                <w:rFonts w:ascii="Times New Roman" w:hAnsi="Times New Roman" w:cs="Times New Roman"/>
                <w:sz w:val="18"/>
              </w:rPr>
              <w:br/>
              <w:t>NT-</w:t>
            </w:r>
            <w:proofErr w:type="spellStart"/>
            <w:r w:rsidRPr="007E5D9A">
              <w:rPr>
                <w:rFonts w:ascii="Times New Roman" w:hAnsi="Times New Roman" w:cs="Times New Roman"/>
                <w:sz w:val="18"/>
              </w:rPr>
              <w:t>proBNP</w:t>
            </w:r>
            <w:proofErr w:type="spellEnd"/>
            <w:r w:rsidRPr="007E5D9A">
              <w:rPr>
                <w:rFonts w:ascii="Times New Roman" w:hAnsi="Times New Roman" w:cs="Times New Roman"/>
                <w:sz w:val="18"/>
              </w:rPr>
              <w:t xml:space="preserve"> 1250, EF 38%</w:t>
            </w:r>
          </w:p>
        </w:tc>
      </w:tr>
      <w:tr w:rsidR="00795585" w:rsidRPr="007E5D9A" w14:paraId="327F6EA2" w14:textId="77777777" w:rsidTr="00E4399E">
        <w:tc>
          <w:tcPr>
            <w:cnfStyle w:val="001000000000" w:firstRow="0" w:lastRow="0" w:firstColumn="1" w:lastColumn="0" w:oddVBand="0" w:evenVBand="0" w:oddHBand="0" w:evenHBand="0" w:firstRowFirstColumn="0" w:firstRowLastColumn="0" w:lastRowFirstColumn="0" w:lastRowLastColumn="0"/>
            <w:tcW w:w="8640" w:type="dxa"/>
            <w:gridSpan w:val="5"/>
          </w:tcPr>
          <w:p w14:paraId="33724C80" w14:textId="77777777" w:rsidR="00795585" w:rsidRPr="007E5D9A" w:rsidRDefault="00000000">
            <w:pPr>
              <w:rPr>
                <w:rFonts w:ascii="Times New Roman" w:hAnsi="Times New Roman" w:cs="Times New Roman"/>
              </w:rPr>
            </w:pPr>
            <w:r w:rsidRPr="007E5D9A">
              <w:rPr>
                <w:rFonts w:ascii="Times New Roman" w:hAnsi="Times New Roman" w:cs="Times New Roman"/>
                <w:sz w:val="18"/>
              </w:rPr>
              <w:t>L-SCORE (HEPATIC) — Table 2B</w:t>
            </w:r>
          </w:p>
        </w:tc>
      </w:tr>
      <w:tr w:rsidR="00795585" w:rsidRPr="007E5D9A" w14:paraId="6A4E8183" w14:textId="77777777" w:rsidTr="00E439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8" w:type="dxa"/>
          </w:tcPr>
          <w:p w14:paraId="2477906A" w14:textId="77777777" w:rsidR="00795585" w:rsidRPr="007E5D9A" w:rsidRDefault="00000000">
            <w:pPr>
              <w:rPr>
                <w:rFonts w:ascii="Times New Roman" w:hAnsi="Times New Roman" w:cs="Times New Roman"/>
              </w:rPr>
            </w:pPr>
            <w:r w:rsidRPr="007E5D9A">
              <w:rPr>
                <w:rFonts w:ascii="Times New Roman" w:hAnsi="Times New Roman" w:cs="Times New Roman"/>
                <w:sz w:val="18"/>
              </w:rPr>
              <w:t>Step 1: FIB-4</w:t>
            </w:r>
          </w:p>
        </w:tc>
        <w:tc>
          <w:tcPr>
            <w:tcW w:w="1728" w:type="dxa"/>
          </w:tcPr>
          <w:p w14:paraId="75DEE9FA" w14:textId="77777777" w:rsidR="00795585" w:rsidRPr="007E5D9A"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sz w:val="18"/>
              </w:rPr>
              <w:t>(52×26)</w:t>
            </w:r>
            <w:proofErr w:type="gramStart"/>
            <w:r w:rsidRPr="007E5D9A">
              <w:rPr>
                <w:rFonts w:ascii="Times New Roman" w:hAnsi="Times New Roman" w:cs="Times New Roman"/>
                <w:sz w:val="18"/>
              </w:rPr>
              <w:t>/(</w:t>
            </w:r>
            <w:proofErr w:type="gramEnd"/>
            <w:r w:rsidRPr="007E5D9A">
              <w:rPr>
                <w:rFonts w:ascii="Times New Roman" w:hAnsi="Times New Roman" w:cs="Times New Roman"/>
                <w:sz w:val="18"/>
              </w:rPr>
              <w:t>240×√32) = 0.996</w:t>
            </w:r>
            <w:r w:rsidRPr="007E5D9A">
              <w:rPr>
                <w:rFonts w:ascii="Times New Roman" w:hAnsi="Times New Roman" w:cs="Times New Roman"/>
                <w:sz w:val="18"/>
              </w:rPr>
              <w:br/>
              <w:t>Age &lt;65: FIB-4 &lt;1.3 → Low risk</w:t>
            </w:r>
          </w:p>
        </w:tc>
        <w:tc>
          <w:tcPr>
            <w:tcW w:w="1728" w:type="dxa"/>
          </w:tcPr>
          <w:p w14:paraId="1E5DCE50" w14:textId="77777777" w:rsidR="00795585" w:rsidRPr="007E5D9A"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sz w:val="18"/>
              </w:rPr>
              <w:t>(55×24)</w:t>
            </w:r>
            <w:proofErr w:type="gramStart"/>
            <w:r w:rsidRPr="007E5D9A">
              <w:rPr>
                <w:rFonts w:ascii="Times New Roman" w:hAnsi="Times New Roman" w:cs="Times New Roman"/>
                <w:sz w:val="18"/>
              </w:rPr>
              <w:t>/(</w:t>
            </w:r>
            <w:proofErr w:type="gramEnd"/>
            <w:r w:rsidRPr="007E5D9A">
              <w:rPr>
                <w:rFonts w:ascii="Times New Roman" w:hAnsi="Times New Roman" w:cs="Times New Roman"/>
                <w:sz w:val="18"/>
              </w:rPr>
              <w:t>250×√30) = 0.964</w:t>
            </w:r>
            <w:r w:rsidRPr="007E5D9A">
              <w:rPr>
                <w:rFonts w:ascii="Times New Roman" w:hAnsi="Times New Roman" w:cs="Times New Roman"/>
                <w:sz w:val="18"/>
              </w:rPr>
              <w:br/>
              <w:t>Asian &lt;65: FIB-4 &lt;1.0 → Low risk</w:t>
            </w:r>
          </w:p>
        </w:tc>
        <w:tc>
          <w:tcPr>
            <w:tcW w:w="1728" w:type="dxa"/>
          </w:tcPr>
          <w:p w14:paraId="7C955BDC" w14:textId="77777777" w:rsidR="00795585" w:rsidRPr="007E5D9A"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sz w:val="18"/>
              </w:rPr>
              <w:t>(58×58)</w:t>
            </w:r>
            <w:proofErr w:type="gramStart"/>
            <w:r w:rsidRPr="007E5D9A">
              <w:rPr>
                <w:rFonts w:ascii="Times New Roman" w:hAnsi="Times New Roman" w:cs="Times New Roman"/>
                <w:sz w:val="18"/>
              </w:rPr>
              <w:t>/(</w:t>
            </w:r>
            <w:proofErr w:type="gramEnd"/>
            <w:r w:rsidRPr="007E5D9A">
              <w:rPr>
                <w:rFonts w:ascii="Times New Roman" w:hAnsi="Times New Roman" w:cs="Times New Roman"/>
                <w:sz w:val="18"/>
              </w:rPr>
              <w:t>150×√68) = 2.720</w:t>
            </w:r>
            <w:r w:rsidRPr="007E5D9A">
              <w:rPr>
                <w:rFonts w:ascii="Times New Roman" w:hAnsi="Times New Roman" w:cs="Times New Roman"/>
                <w:sz w:val="18"/>
              </w:rPr>
              <w:br/>
              <w:t>Age &lt;65: FIB-4 &gt;2.67 → High risk</w:t>
            </w:r>
          </w:p>
        </w:tc>
        <w:tc>
          <w:tcPr>
            <w:tcW w:w="1728" w:type="dxa"/>
          </w:tcPr>
          <w:p w14:paraId="0245F6CF" w14:textId="77777777" w:rsidR="00795585" w:rsidRPr="007E5D9A"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sz w:val="18"/>
              </w:rPr>
              <w:t>(70×72)</w:t>
            </w:r>
            <w:proofErr w:type="gramStart"/>
            <w:r w:rsidRPr="007E5D9A">
              <w:rPr>
                <w:rFonts w:ascii="Times New Roman" w:hAnsi="Times New Roman" w:cs="Times New Roman"/>
                <w:sz w:val="18"/>
              </w:rPr>
              <w:t>/(</w:t>
            </w:r>
            <w:proofErr w:type="gramEnd"/>
            <w:r w:rsidRPr="007E5D9A">
              <w:rPr>
                <w:rFonts w:ascii="Times New Roman" w:hAnsi="Times New Roman" w:cs="Times New Roman"/>
                <w:sz w:val="18"/>
              </w:rPr>
              <w:t>120×√85) = 4.556</w:t>
            </w:r>
            <w:r w:rsidRPr="007E5D9A">
              <w:rPr>
                <w:rFonts w:ascii="Times New Roman" w:hAnsi="Times New Roman" w:cs="Times New Roman"/>
                <w:sz w:val="18"/>
              </w:rPr>
              <w:br/>
              <w:t>Age ≥65: FIB-4 &gt;2.67 → High risk</w:t>
            </w:r>
          </w:p>
        </w:tc>
      </w:tr>
      <w:tr w:rsidR="00795585" w:rsidRPr="007E5D9A" w14:paraId="6961B7E6" w14:textId="77777777" w:rsidTr="00E4399E">
        <w:tc>
          <w:tcPr>
            <w:cnfStyle w:val="001000000000" w:firstRow="0" w:lastRow="0" w:firstColumn="1" w:lastColumn="0" w:oddVBand="0" w:evenVBand="0" w:oddHBand="0" w:evenHBand="0" w:firstRowFirstColumn="0" w:firstRowLastColumn="0" w:lastRowFirstColumn="0" w:lastRowLastColumn="0"/>
            <w:tcW w:w="1728" w:type="dxa"/>
          </w:tcPr>
          <w:p w14:paraId="0222BC93" w14:textId="77777777" w:rsidR="00795585" w:rsidRPr="007E5D9A" w:rsidRDefault="00000000">
            <w:pPr>
              <w:rPr>
                <w:rFonts w:ascii="Times New Roman" w:hAnsi="Times New Roman" w:cs="Times New Roman"/>
              </w:rPr>
            </w:pPr>
            <w:r w:rsidRPr="007E5D9A">
              <w:rPr>
                <w:rFonts w:ascii="Times New Roman" w:hAnsi="Times New Roman" w:cs="Times New Roman"/>
                <w:sz w:val="18"/>
              </w:rPr>
              <w:t>Step 2: VCTE</w:t>
            </w:r>
          </w:p>
        </w:tc>
        <w:tc>
          <w:tcPr>
            <w:tcW w:w="1728" w:type="dxa"/>
          </w:tcPr>
          <w:p w14:paraId="687A4DCC" w14:textId="77777777" w:rsidR="00795585" w:rsidRPr="007E5D9A"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sz w:val="18"/>
              </w:rPr>
              <w:t>Not indicated</w:t>
            </w:r>
            <w:r w:rsidRPr="007E5D9A">
              <w:rPr>
                <w:rFonts w:ascii="Times New Roman" w:hAnsi="Times New Roman" w:cs="Times New Roman"/>
                <w:sz w:val="18"/>
              </w:rPr>
              <w:br/>
              <w:t>(FIB-4 excludes fibrosis)</w:t>
            </w:r>
          </w:p>
        </w:tc>
        <w:tc>
          <w:tcPr>
            <w:tcW w:w="1728" w:type="dxa"/>
          </w:tcPr>
          <w:p w14:paraId="56A8E8F0" w14:textId="77777777" w:rsidR="00795585" w:rsidRPr="007E5D9A"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sz w:val="18"/>
              </w:rPr>
              <w:t>Not indicated</w:t>
            </w:r>
            <w:r w:rsidRPr="007E5D9A">
              <w:rPr>
                <w:rFonts w:ascii="Times New Roman" w:hAnsi="Times New Roman" w:cs="Times New Roman"/>
                <w:sz w:val="18"/>
              </w:rPr>
              <w:br/>
              <w:t>(FIB-4 excludes fibrosis)</w:t>
            </w:r>
          </w:p>
        </w:tc>
        <w:tc>
          <w:tcPr>
            <w:tcW w:w="1728" w:type="dxa"/>
          </w:tcPr>
          <w:p w14:paraId="6DFBC86C" w14:textId="77777777" w:rsidR="00795585" w:rsidRPr="007E5D9A"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sz w:val="18"/>
              </w:rPr>
              <w:t>16.2 kPa (≥12)</w:t>
            </w:r>
          </w:p>
        </w:tc>
        <w:tc>
          <w:tcPr>
            <w:tcW w:w="1728" w:type="dxa"/>
          </w:tcPr>
          <w:p w14:paraId="4E017D51" w14:textId="77777777" w:rsidR="00795585" w:rsidRPr="007E5D9A"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sz w:val="18"/>
              </w:rPr>
              <w:t>18.5 kPa (≥12)</w:t>
            </w:r>
          </w:p>
        </w:tc>
      </w:tr>
      <w:tr w:rsidR="00795585" w:rsidRPr="007E5D9A" w14:paraId="47B744A0" w14:textId="77777777" w:rsidTr="00E439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8" w:type="dxa"/>
          </w:tcPr>
          <w:p w14:paraId="7D9AF2C9" w14:textId="77777777" w:rsidR="00795585" w:rsidRPr="007E5D9A" w:rsidRDefault="00000000">
            <w:pPr>
              <w:rPr>
                <w:rFonts w:ascii="Times New Roman" w:hAnsi="Times New Roman" w:cs="Times New Roman"/>
              </w:rPr>
            </w:pPr>
            <w:r w:rsidRPr="007E5D9A">
              <w:rPr>
                <w:rFonts w:ascii="Times New Roman" w:hAnsi="Times New Roman" w:cs="Times New Roman"/>
                <w:sz w:val="18"/>
              </w:rPr>
              <w:t>L-Score</w:t>
            </w:r>
          </w:p>
        </w:tc>
        <w:tc>
          <w:tcPr>
            <w:tcW w:w="1728" w:type="dxa"/>
          </w:tcPr>
          <w:p w14:paraId="343236F7" w14:textId="77777777" w:rsidR="00795585" w:rsidRPr="007E5D9A"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sz w:val="18"/>
              </w:rPr>
              <w:t>0 (no significant fibrosis)</w:t>
            </w:r>
          </w:p>
        </w:tc>
        <w:tc>
          <w:tcPr>
            <w:tcW w:w="1728" w:type="dxa"/>
          </w:tcPr>
          <w:p w14:paraId="1C7383DE" w14:textId="77777777" w:rsidR="00795585" w:rsidRPr="007E5D9A"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sz w:val="18"/>
              </w:rPr>
              <w:t>0 (no significant fibrosis)</w:t>
            </w:r>
          </w:p>
        </w:tc>
        <w:tc>
          <w:tcPr>
            <w:tcW w:w="1728" w:type="dxa"/>
          </w:tcPr>
          <w:p w14:paraId="1382BFDE" w14:textId="77777777" w:rsidR="00795585" w:rsidRPr="007E5D9A"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sz w:val="18"/>
              </w:rPr>
              <w:t>3 (F4 cirrhosis)</w:t>
            </w:r>
          </w:p>
        </w:tc>
        <w:tc>
          <w:tcPr>
            <w:tcW w:w="1728" w:type="dxa"/>
          </w:tcPr>
          <w:p w14:paraId="0B46713A" w14:textId="77777777" w:rsidR="00795585" w:rsidRPr="007E5D9A"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sz w:val="18"/>
              </w:rPr>
              <w:t>3 (F4 cirrhosis)</w:t>
            </w:r>
          </w:p>
        </w:tc>
      </w:tr>
      <w:tr w:rsidR="00795585" w:rsidRPr="007E5D9A" w14:paraId="219FB305" w14:textId="77777777" w:rsidTr="00E4399E">
        <w:tc>
          <w:tcPr>
            <w:cnfStyle w:val="001000000000" w:firstRow="0" w:lastRow="0" w:firstColumn="1" w:lastColumn="0" w:oddVBand="0" w:evenVBand="0" w:oddHBand="0" w:evenHBand="0" w:firstRowFirstColumn="0" w:firstRowLastColumn="0" w:lastRowFirstColumn="0" w:lastRowLastColumn="0"/>
            <w:tcW w:w="8640" w:type="dxa"/>
            <w:gridSpan w:val="5"/>
          </w:tcPr>
          <w:p w14:paraId="674AF924" w14:textId="77777777" w:rsidR="00795585" w:rsidRPr="007E5D9A" w:rsidRDefault="00000000">
            <w:pPr>
              <w:rPr>
                <w:rFonts w:ascii="Times New Roman" w:hAnsi="Times New Roman" w:cs="Times New Roman"/>
              </w:rPr>
            </w:pPr>
            <w:r w:rsidRPr="007E5D9A">
              <w:rPr>
                <w:rFonts w:ascii="Times New Roman" w:hAnsi="Times New Roman" w:cs="Times New Roman"/>
                <w:sz w:val="18"/>
              </w:rPr>
              <w:t>C-SCORE (CARDIAC) — Table 3</w:t>
            </w:r>
          </w:p>
        </w:tc>
      </w:tr>
      <w:tr w:rsidR="00795585" w:rsidRPr="007E5D9A" w14:paraId="49D42D7B" w14:textId="77777777" w:rsidTr="00E439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8" w:type="dxa"/>
          </w:tcPr>
          <w:p w14:paraId="6471E7AA" w14:textId="77777777" w:rsidR="00795585" w:rsidRPr="007E5D9A" w:rsidRDefault="00000000">
            <w:pPr>
              <w:rPr>
                <w:rFonts w:ascii="Times New Roman" w:hAnsi="Times New Roman" w:cs="Times New Roman"/>
              </w:rPr>
            </w:pPr>
            <w:r w:rsidRPr="007E5D9A">
              <w:rPr>
                <w:rFonts w:ascii="Times New Roman" w:hAnsi="Times New Roman" w:cs="Times New Roman"/>
                <w:sz w:val="18"/>
              </w:rPr>
              <w:lastRenderedPageBreak/>
              <w:t>Coronary (CAC)</w:t>
            </w:r>
          </w:p>
        </w:tc>
        <w:tc>
          <w:tcPr>
            <w:tcW w:w="1728" w:type="dxa"/>
          </w:tcPr>
          <w:p w14:paraId="081A1658" w14:textId="77777777" w:rsidR="00795585" w:rsidRPr="007E5D9A"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sz w:val="18"/>
              </w:rPr>
              <w:t>Not performed</w:t>
            </w:r>
          </w:p>
        </w:tc>
        <w:tc>
          <w:tcPr>
            <w:tcW w:w="1728" w:type="dxa"/>
          </w:tcPr>
          <w:p w14:paraId="3C16FFF5" w14:textId="77777777" w:rsidR="00795585" w:rsidRPr="007E5D9A"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sz w:val="18"/>
              </w:rPr>
              <w:t>Not performed</w:t>
            </w:r>
          </w:p>
        </w:tc>
        <w:tc>
          <w:tcPr>
            <w:tcW w:w="1728" w:type="dxa"/>
          </w:tcPr>
          <w:p w14:paraId="07AC6810" w14:textId="77777777" w:rsidR="00795585" w:rsidRPr="007E5D9A"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sz w:val="18"/>
              </w:rPr>
              <w:t>CAC 320 (100–400) → Score 2</w:t>
            </w:r>
          </w:p>
        </w:tc>
        <w:tc>
          <w:tcPr>
            <w:tcW w:w="1728" w:type="dxa"/>
          </w:tcPr>
          <w:p w14:paraId="66386EFE" w14:textId="77777777" w:rsidR="00795585" w:rsidRPr="007E5D9A"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sz w:val="18"/>
              </w:rPr>
              <w:t>Prior STEMI + multi-vessel PCI → Score 3</w:t>
            </w:r>
          </w:p>
        </w:tc>
      </w:tr>
      <w:tr w:rsidR="00795585" w:rsidRPr="007E5D9A" w14:paraId="49482708" w14:textId="77777777" w:rsidTr="00E4399E">
        <w:tc>
          <w:tcPr>
            <w:cnfStyle w:val="001000000000" w:firstRow="0" w:lastRow="0" w:firstColumn="1" w:lastColumn="0" w:oddVBand="0" w:evenVBand="0" w:oddHBand="0" w:evenHBand="0" w:firstRowFirstColumn="0" w:firstRowLastColumn="0" w:lastRowFirstColumn="0" w:lastRowLastColumn="0"/>
            <w:tcW w:w="1728" w:type="dxa"/>
          </w:tcPr>
          <w:p w14:paraId="4DA9DA40" w14:textId="77777777" w:rsidR="00795585" w:rsidRPr="007E5D9A" w:rsidRDefault="00000000">
            <w:pPr>
              <w:rPr>
                <w:rFonts w:ascii="Times New Roman" w:hAnsi="Times New Roman" w:cs="Times New Roman"/>
              </w:rPr>
            </w:pPr>
            <w:r w:rsidRPr="007E5D9A">
              <w:rPr>
                <w:rFonts w:ascii="Times New Roman" w:hAnsi="Times New Roman" w:cs="Times New Roman"/>
                <w:sz w:val="18"/>
              </w:rPr>
              <w:t>Cardiac function</w:t>
            </w:r>
          </w:p>
        </w:tc>
        <w:tc>
          <w:tcPr>
            <w:tcW w:w="1728" w:type="dxa"/>
          </w:tcPr>
          <w:p w14:paraId="4214472B" w14:textId="77777777" w:rsidR="00795585" w:rsidRPr="007E5D9A"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sz w:val="18"/>
              </w:rPr>
              <w:t>EF 64%, normal → Score 0</w:t>
            </w:r>
          </w:p>
        </w:tc>
        <w:tc>
          <w:tcPr>
            <w:tcW w:w="1728" w:type="dxa"/>
          </w:tcPr>
          <w:p w14:paraId="6B92192F" w14:textId="77777777" w:rsidR="00795585" w:rsidRPr="007E5D9A"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sz w:val="18"/>
              </w:rPr>
              <w:t>EF 60%, normal → Score 0</w:t>
            </w:r>
          </w:p>
        </w:tc>
        <w:tc>
          <w:tcPr>
            <w:tcW w:w="1728" w:type="dxa"/>
          </w:tcPr>
          <w:p w14:paraId="6704BC58" w14:textId="77777777" w:rsidR="00795585" w:rsidRPr="007E5D9A"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sz w:val="18"/>
              </w:rPr>
              <w:t>EF 55%, normal → Score 0</w:t>
            </w:r>
          </w:p>
        </w:tc>
        <w:tc>
          <w:tcPr>
            <w:tcW w:w="1728" w:type="dxa"/>
          </w:tcPr>
          <w:p w14:paraId="0253137B" w14:textId="77777777" w:rsidR="00795585" w:rsidRPr="007E5D9A"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sz w:val="18"/>
              </w:rPr>
              <w:t>EF 38% (</w:t>
            </w:r>
            <w:proofErr w:type="spellStart"/>
            <w:r w:rsidRPr="007E5D9A">
              <w:rPr>
                <w:rFonts w:ascii="Times New Roman" w:hAnsi="Times New Roman" w:cs="Times New Roman"/>
                <w:sz w:val="18"/>
              </w:rPr>
              <w:t>HFrEF</w:t>
            </w:r>
            <w:proofErr w:type="spellEnd"/>
            <w:r w:rsidRPr="007E5D9A">
              <w:rPr>
                <w:rFonts w:ascii="Times New Roman" w:hAnsi="Times New Roman" w:cs="Times New Roman"/>
                <w:sz w:val="18"/>
              </w:rPr>
              <w:t>) → Score 3</w:t>
            </w:r>
          </w:p>
        </w:tc>
      </w:tr>
      <w:tr w:rsidR="00795585" w:rsidRPr="007E5D9A" w14:paraId="2B5956D0" w14:textId="77777777" w:rsidTr="00E439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8" w:type="dxa"/>
          </w:tcPr>
          <w:p w14:paraId="40E33589" w14:textId="77777777" w:rsidR="00795585" w:rsidRPr="007E5D9A" w:rsidRDefault="00000000">
            <w:pPr>
              <w:rPr>
                <w:rFonts w:ascii="Times New Roman" w:hAnsi="Times New Roman" w:cs="Times New Roman"/>
              </w:rPr>
            </w:pPr>
            <w:r w:rsidRPr="007E5D9A">
              <w:rPr>
                <w:rFonts w:ascii="Times New Roman" w:hAnsi="Times New Roman" w:cs="Times New Roman"/>
                <w:sz w:val="18"/>
              </w:rPr>
              <w:t>NT-</w:t>
            </w:r>
            <w:proofErr w:type="spellStart"/>
            <w:r w:rsidRPr="007E5D9A">
              <w:rPr>
                <w:rFonts w:ascii="Times New Roman" w:hAnsi="Times New Roman" w:cs="Times New Roman"/>
                <w:sz w:val="18"/>
              </w:rPr>
              <w:t>proBNP</w:t>
            </w:r>
            <w:proofErr w:type="spellEnd"/>
          </w:p>
        </w:tc>
        <w:tc>
          <w:tcPr>
            <w:tcW w:w="1728" w:type="dxa"/>
          </w:tcPr>
          <w:p w14:paraId="3239CF2A" w14:textId="77777777" w:rsidR="00795585" w:rsidRPr="007E5D9A"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sz w:val="18"/>
              </w:rPr>
              <w:t xml:space="preserve">195 </w:t>
            </w:r>
            <w:proofErr w:type="spellStart"/>
            <w:r w:rsidRPr="007E5D9A">
              <w:rPr>
                <w:rFonts w:ascii="Times New Roman" w:hAnsi="Times New Roman" w:cs="Times New Roman"/>
                <w:sz w:val="18"/>
              </w:rPr>
              <w:t>pg</w:t>
            </w:r>
            <w:proofErr w:type="spellEnd"/>
            <w:r w:rsidRPr="007E5D9A">
              <w:rPr>
                <w:rFonts w:ascii="Times New Roman" w:hAnsi="Times New Roman" w:cs="Times New Roman"/>
                <w:sz w:val="18"/>
              </w:rPr>
              <w:t>/mL (125–299) → Score 1</w:t>
            </w:r>
          </w:p>
        </w:tc>
        <w:tc>
          <w:tcPr>
            <w:tcW w:w="1728" w:type="dxa"/>
          </w:tcPr>
          <w:p w14:paraId="2C29D98D" w14:textId="77777777" w:rsidR="00795585" w:rsidRPr="007E5D9A"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sz w:val="18"/>
              </w:rPr>
              <w:t xml:space="preserve">165 </w:t>
            </w:r>
            <w:proofErr w:type="spellStart"/>
            <w:r w:rsidRPr="007E5D9A">
              <w:rPr>
                <w:rFonts w:ascii="Times New Roman" w:hAnsi="Times New Roman" w:cs="Times New Roman"/>
                <w:sz w:val="18"/>
              </w:rPr>
              <w:t>pg</w:t>
            </w:r>
            <w:proofErr w:type="spellEnd"/>
            <w:r w:rsidRPr="007E5D9A">
              <w:rPr>
                <w:rFonts w:ascii="Times New Roman" w:hAnsi="Times New Roman" w:cs="Times New Roman"/>
                <w:sz w:val="18"/>
              </w:rPr>
              <w:t>/mL (125–299) → Score 1</w:t>
            </w:r>
          </w:p>
        </w:tc>
        <w:tc>
          <w:tcPr>
            <w:tcW w:w="1728" w:type="dxa"/>
          </w:tcPr>
          <w:p w14:paraId="6756041D" w14:textId="77777777" w:rsidR="00795585" w:rsidRPr="007E5D9A"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sz w:val="18"/>
              </w:rPr>
              <w:t xml:space="preserve">420 </w:t>
            </w:r>
            <w:proofErr w:type="spellStart"/>
            <w:r w:rsidRPr="007E5D9A">
              <w:rPr>
                <w:rFonts w:ascii="Times New Roman" w:hAnsi="Times New Roman" w:cs="Times New Roman"/>
                <w:sz w:val="18"/>
              </w:rPr>
              <w:t>pg</w:t>
            </w:r>
            <w:proofErr w:type="spellEnd"/>
            <w:r w:rsidRPr="007E5D9A">
              <w:rPr>
                <w:rFonts w:ascii="Times New Roman" w:hAnsi="Times New Roman" w:cs="Times New Roman"/>
                <w:sz w:val="18"/>
              </w:rPr>
              <w:t>/mL (300–899) → Score 2</w:t>
            </w:r>
          </w:p>
        </w:tc>
        <w:tc>
          <w:tcPr>
            <w:tcW w:w="1728" w:type="dxa"/>
          </w:tcPr>
          <w:p w14:paraId="66AB166C" w14:textId="77777777" w:rsidR="00795585" w:rsidRPr="007E5D9A"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sz w:val="18"/>
              </w:rPr>
              <w:t xml:space="preserve">1250 </w:t>
            </w:r>
            <w:proofErr w:type="spellStart"/>
            <w:r w:rsidRPr="007E5D9A">
              <w:rPr>
                <w:rFonts w:ascii="Times New Roman" w:hAnsi="Times New Roman" w:cs="Times New Roman"/>
                <w:sz w:val="18"/>
              </w:rPr>
              <w:t>pg</w:t>
            </w:r>
            <w:proofErr w:type="spellEnd"/>
            <w:r w:rsidRPr="007E5D9A">
              <w:rPr>
                <w:rFonts w:ascii="Times New Roman" w:hAnsi="Times New Roman" w:cs="Times New Roman"/>
                <w:sz w:val="18"/>
              </w:rPr>
              <w:t>/mL (≥900) → Score 3</w:t>
            </w:r>
          </w:p>
        </w:tc>
      </w:tr>
      <w:tr w:rsidR="00795585" w:rsidRPr="007E5D9A" w14:paraId="418B07A9" w14:textId="77777777" w:rsidTr="00E4399E">
        <w:tc>
          <w:tcPr>
            <w:cnfStyle w:val="001000000000" w:firstRow="0" w:lastRow="0" w:firstColumn="1" w:lastColumn="0" w:oddVBand="0" w:evenVBand="0" w:oddHBand="0" w:evenHBand="0" w:firstRowFirstColumn="0" w:firstRowLastColumn="0" w:lastRowFirstColumn="0" w:lastRowLastColumn="0"/>
            <w:tcW w:w="1728" w:type="dxa"/>
          </w:tcPr>
          <w:p w14:paraId="4E5A2F50" w14:textId="77777777" w:rsidR="00795585" w:rsidRPr="007E5D9A" w:rsidRDefault="00000000">
            <w:pPr>
              <w:rPr>
                <w:rFonts w:ascii="Times New Roman" w:hAnsi="Times New Roman" w:cs="Times New Roman"/>
              </w:rPr>
            </w:pPr>
            <w:r w:rsidRPr="007E5D9A">
              <w:rPr>
                <w:rFonts w:ascii="Times New Roman" w:hAnsi="Times New Roman" w:cs="Times New Roman"/>
                <w:sz w:val="18"/>
              </w:rPr>
              <w:t>Rhythm</w:t>
            </w:r>
          </w:p>
        </w:tc>
        <w:tc>
          <w:tcPr>
            <w:tcW w:w="1728" w:type="dxa"/>
          </w:tcPr>
          <w:p w14:paraId="67A10929" w14:textId="77777777" w:rsidR="00795585" w:rsidRPr="007E5D9A"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sz w:val="18"/>
              </w:rPr>
              <w:t>Sinus rhythm → Score 0</w:t>
            </w:r>
          </w:p>
        </w:tc>
        <w:tc>
          <w:tcPr>
            <w:tcW w:w="1728" w:type="dxa"/>
          </w:tcPr>
          <w:p w14:paraId="7EADC6E8" w14:textId="77777777" w:rsidR="00795585" w:rsidRPr="007E5D9A"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sz w:val="18"/>
              </w:rPr>
              <w:t>Sinus rhythm → Score 0</w:t>
            </w:r>
          </w:p>
        </w:tc>
        <w:tc>
          <w:tcPr>
            <w:tcW w:w="1728" w:type="dxa"/>
          </w:tcPr>
          <w:p w14:paraId="2827FF5C" w14:textId="77777777" w:rsidR="00795585" w:rsidRPr="007E5D9A"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sz w:val="18"/>
              </w:rPr>
              <w:t>Sinus rhythm → Score 0</w:t>
            </w:r>
          </w:p>
        </w:tc>
        <w:tc>
          <w:tcPr>
            <w:tcW w:w="1728" w:type="dxa"/>
          </w:tcPr>
          <w:p w14:paraId="1875F145" w14:textId="77777777" w:rsidR="00795585" w:rsidRPr="007E5D9A"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sz w:val="18"/>
              </w:rPr>
              <w:t>Persistent atrial fibrillation → Score 2</w:t>
            </w:r>
          </w:p>
        </w:tc>
      </w:tr>
      <w:tr w:rsidR="00795585" w:rsidRPr="007E5D9A" w14:paraId="22C1130E" w14:textId="77777777" w:rsidTr="00E439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8" w:type="dxa"/>
          </w:tcPr>
          <w:p w14:paraId="369B4162" w14:textId="77777777" w:rsidR="00795585" w:rsidRPr="007E5D9A" w:rsidRDefault="00000000">
            <w:pPr>
              <w:rPr>
                <w:rFonts w:ascii="Times New Roman" w:hAnsi="Times New Roman" w:cs="Times New Roman"/>
              </w:rPr>
            </w:pPr>
            <w:r w:rsidRPr="007E5D9A">
              <w:rPr>
                <w:rFonts w:ascii="Times New Roman" w:hAnsi="Times New Roman" w:cs="Times New Roman"/>
                <w:sz w:val="18"/>
              </w:rPr>
              <w:t>Clinical history</w:t>
            </w:r>
          </w:p>
        </w:tc>
        <w:tc>
          <w:tcPr>
            <w:tcW w:w="1728" w:type="dxa"/>
          </w:tcPr>
          <w:p w14:paraId="7BB514E9" w14:textId="77777777" w:rsidR="00795585" w:rsidRPr="007E5D9A"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sz w:val="18"/>
              </w:rPr>
              <w:t>No ASCVD → Score 0</w:t>
            </w:r>
          </w:p>
        </w:tc>
        <w:tc>
          <w:tcPr>
            <w:tcW w:w="1728" w:type="dxa"/>
          </w:tcPr>
          <w:p w14:paraId="38F63BBD" w14:textId="77777777" w:rsidR="00795585" w:rsidRPr="007E5D9A"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sz w:val="18"/>
              </w:rPr>
              <w:t>No ASCVD → Score 0</w:t>
            </w:r>
          </w:p>
        </w:tc>
        <w:tc>
          <w:tcPr>
            <w:tcW w:w="1728" w:type="dxa"/>
          </w:tcPr>
          <w:p w14:paraId="0F6203EB" w14:textId="77777777" w:rsidR="00795585" w:rsidRPr="007E5D9A"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sz w:val="18"/>
              </w:rPr>
              <w:t>No prior MI → Score 0</w:t>
            </w:r>
          </w:p>
        </w:tc>
        <w:tc>
          <w:tcPr>
            <w:tcW w:w="1728" w:type="dxa"/>
          </w:tcPr>
          <w:p w14:paraId="4277B9B5" w14:textId="77777777" w:rsidR="00795585" w:rsidRPr="007E5D9A"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sz w:val="18"/>
              </w:rPr>
              <w:t>Prior STEMI → Score 3</w:t>
            </w:r>
          </w:p>
        </w:tc>
      </w:tr>
      <w:tr w:rsidR="00795585" w:rsidRPr="007E5D9A" w14:paraId="79A37F27" w14:textId="77777777" w:rsidTr="00E4399E">
        <w:tc>
          <w:tcPr>
            <w:cnfStyle w:val="001000000000" w:firstRow="0" w:lastRow="0" w:firstColumn="1" w:lastColumn="0" w:oddVBand="0" w:evenVBand="0" w:oddHBand="0" w:evenHBand="0" w:firstRowFirstColumn="0" w:firstRowLastColumn="0" w:lastRowFirstColumn="0" w:lastRowLastColumn="0"/>
            <w:tcW w:w="1728" w:type="dxa"/>
          </w:tcPr>
          <w:p w14:paraId="5873DA9C" w14:textId="77777777" w:rsidR="00795585" w:rsidRPr="007E5D9A" w:rsidRDefault="00000000">
            <w:pPr>
              <w:rPr>
                <w:rFonts w:ascii="Times New Roman" w:hAnsi="Times New Roman" w:cs="Times New Roman"/>
              </w:rPr>
            </w:pPr>
            <w:r w:rsidRPr="007E5D9A">
              <w:rPr>
                <w:rFonts w:ascii="Times New Roman" w:hAnsi="Times New Roman" w:cs="Times New Roman"/>
                <w:sz w:val="18"/>
              </w:rPr>
              <w:t>C-Score</w:t>
            </w:r>
          </w:p>
        </w:tc>
        <w:tc>
          <w:tcPr>
            <w:tcW w:w="1728" w:type="dxa"/>
          </w:tcPr>
          <w:p w14:paraId="0F327D38" w14:textId="77777777" w:rsidR="00795585" w:rsidRPr="007E5D9A"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sz w:val="18"/>
              </w:rPr>
              <w:t>1 (NT-</w:t>
            </w:r>
            <w:proofErr w:type="spellStart"/>
            <w:r w:rsidRPr="007E5D9A">
              <w:rPr>
                <w:rFonts w:ascii="Times New Roman" w:hAnsi="Times New Roman" w:cs="Times New Roman"/>
                <w:sz w:val="18"/>
              </w:rPr>
              <w:t>proBNP</w:t>
            </w:r>
            <w:proofErr w:type="spellEnd"/>
            <w:r w:rsidRPr="007E5D9A">
              <w:rPr>
                <w:rFonts w:ascii="Times New Roman" w:hAnsi="Times New Roman" w:cs="Times New Roman"/>
                <w:sz w:val="18"/>
              </w:rPr>
              <w:t>)</w:t>
            </w:r>
          </w:p>
        </w:tc>
        <w:tc>
          <w:tcPr>
            <w:tcW w:w="1728" w:type="dxa"/>
          </w:tcPr>
          <w:p w14:paraId="29257336" w14:textId="77777777" w:rsidR="00795585" w:rsidRPr="007E5D9A"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sz w:val="18"/>
              </w:rPr>
              <w:t>1 (NT-</w:t>
            </w:r>
            <w:proofErr w:type="spellStart"/>
            <w:r w:rsidRPr="007E5D9A">
              <w:rPr>
                <w:rFonts w:ascii="Times New Roman" w:hAnsi="Times New Roman" w:cs="Times New Roman"/>
                <w:sz w:val="18"/>
              </w:rPr>
              <w:t>proBNP</w:t>
            </w:r>
            <w:proofErr w:type="spellEnd"/>
            <w:r w:rsidRPr="007E5D9A">
              <w:rPr>
                <w:rFonts w:ascii="Times New Roman" w:hAnsi="Times New Roman" w:cs="Times New Roman"/>
                <w:sz w:val="18"/>
              </w:rPr>
              <w:t>)</w:t>
            </w:r>
          </w:p>
        </w:tc>
        <w:tc>
          <w:tcPr>
            <w:tcW w:w="1728" w:type="dxa"/>
          </w:tcPr>
          <w:p w14:paraId="75D73F00" w14:textId="77777777" w:rsidR="00795585" w:rsidRPr="007E5D9A"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sz w:val="18"/>
              </w:rPr>
              <w:t>2 (highest: CAC)</w:t>
            </w:r>
          </w:p>
        </w:tc>
        <w:tc>
          <w:tcPr>
            <w:tcW w:w="1728" w:type="dxa"/>
          </w:tcPr>
          <w:p w14:paraId="1B790FF9" w14:textId="77777777" w:rsidR="00795585" w:rsidRPr="007E5D9A"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sz w:val="18"/>
              </w:rPr>
              <w:t>3 (highest: EF + STEMI)</w:t>
            </w:r>
          </w:p>
        </w:tc>
      </w:tr>
      <w:tr w:rsidR="00795585" w:rsidRPr="007E5D9A" w14:paraId="598E6BA2" w14:textId="77777777" w:rsidTr="00E439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40" w:type="dxa"/>
            <w:gridSpan w:val="5"/>
          </w:tcPr>
          <w:p w14:paraId="19DDE890" w14:textId="77777777" w:rsidR="00795585" w:rsidRPr="007E5D9A" w:rsidRDefault="00000000">
            <w:pPr>
              <w:rPr>
                <w:rFonts w:ascii="Times New Roman" w:hAnsi="Times New Roman" w:cs="Times New Roman"/>
              </w:rPr>
            </w:pPr>
            <w:r w:rsidRPr="007E5D9A">
              <w:rPr>
                <w:rFonts w:ascii="Times New Roman" w:hAnsi="Times New Roman" w:cs="Times New Roman"/>
                <w:sz w:val="18"/>
              </w:rPr>
              <w:t>B-SCORE (CEREBROVASCULAR) — Table 4</w:t>
            </w:r>
          </w:p>
        </w:tc>
      </w:tr>
      <w:tr w:rsidR="00795585" w:rsidRPr="007E5D9A" w14:paraId="195805D6" w14:textId="77777777" w:rsidTr="00E4399E">
        <w:tc>
          <w:tcPr>
            <w:cnfStyle w:val="001000000000" w:firstRow="0" w:lastRow="0" w:firstColumn="1" w:lastColumn="0" w:oddVBand="0" w:evenVBand="0" w:oddHBand="0" w:evenHBand="0" w:firstRowFirstColumn="0" w:firstRowLastColumn="0" w:lastRowFirstColumn="0" w:lastRowLastColumn="0"/>
            <w:tcW w:w="1728" w:type="dxa"/>
          </w:tcPr>
          <w:p w14:paraId="56FC6358" w14:textId="77777777" w:rsidR="00795585" w:rsidRPr="007E5D9A" w:rsidRDefault="00000000">
            <w:pPr>
              <w:rPr>
                <w:rFonts w:ascii="Times New Roman" w:hAnsi="Times New Roman" w:cs="Times New Roman"/>
              </w:rPr>
            </w:pPr>
            <w:r w:rsidRPr="007E5D9A">
              <w:rPr>
                <w:rFonts w:ascii="Times New Roman" w:hAnsi="Times New Roman" w:cs="Times New Roman"/>
                <w:sz w:val="18"/>
              </w:rPr>
              <w:t>Imaging</w:t>
            </w:r>
          </w:p>
        </w:tc>
        <w:tc>
          <w:tcPr>
            <w:tcW w:w="1728" w:type="dxa"/>
          </w:tcPr>
          <w:p w14:paraId="734B6890" w14:textId="77777777" w:rsidR="00795585" w:rsidRPr="007E5D9A"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sz w:val="18"/>
              </w:rPr>
              <w:t>No plaque → Score 0</w:t>
            </w:r>
          </w:p>
        </w:tc>
        <w:tc>
          <w:tcPr>
            <w:tcW w:w="1728" w:type="dxa"/>
          </w:tcPr>
          <w:p w14:paraId="41A122D7" w14:textId="77777777" w:rsidR="00795585" w:rsidRPr="007E5D9A"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sz w:val="18"/>
              </w:rPr>
              <w:t>No plaque → Score 0</w:t>
            </w:r>
          </w:p>
        </w:tc>
        <w:tc>
          <w:tcPr>
            <w:tcW w:w="1728" w:type="dxa"/>
          </w:tcPr>
          <w:p w14:paraId="1DD3755A" w14:textId="77777777" w:rsidR="00795585" w:rsidRPr="007E5D9A"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sz w:val="18"/>
              </w:rPr>
              <w:t>Bilateral carotid plaque → Score 1</w:t>
            </w:r>
          </w:p>
        </w:tc>
        <w:tc>
          <w:tcPr>
            <w:tcW w:w="1728" w:type="dxa"/>
          </w:tcPr>
          <w:p w14:paraId="20AD066F" w14:textId="77777777" w:rsidR="00795585" w:rsidRPr="007E5D9A"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sz w:val="18"/>
              </w:rPr>
              <w:t>Multiple lacunar infarcts (</w:t>
            </w:r>
            <w:proofErr w:type="spellStart"/>
            <w:r w:rsidRPr="007E5D9A">
              <w:rPr>
                <w:rFonts w:ascii="Times New Roman" w:hAnsi="Times New Roman" w:cs="Times New Roman"/>
                <w:sz w:val="18"/>
              </w:rPr>
              <w:t>mRS</w:t>
            </w:r>
            <w:proofErr w:type="spellEnd"/>
            <w:r w:rsidRPr="007E5D9A">
              <w:rPr>
                <w:rFonts w:ascii="Times New Roman" w:hAnsi="Times New Roman" w:cs="Times New Roman"/>
                <w:sz w:val="18"/>
              </w:rPr>
              <w:t xml:space="preserve"> 0–1) → Score 2</w:t>
            </w:r>
          </w:p>
        </w:tc>
      </w:tr>
      <w:tr w:rsidR="00795585" w:rsidRPr="007E5D9A" w14:paraId="573B004C" w14:textId="77777777" w:rsidTr="00E439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8" w:type="dxa"/>
          </w:tcPr>
          <w:p w14:paraId="7D9B2291" w14:textId="77777777" w:rsidR="00795585" w:rsidRPr="007E5D9A" w:rsidRDefault="00000000">
            <w:pPr>
              <w:rPr>
                <w:rFonts w:ascii="Times New Roman" w:hAnsi="Times New Roman" w:cs="Times New Roman"/>
              </w:rPr>
            </w:pPr>
            <w:r w:rsidRPr="007E5D9A">
              <w:rPr>
                <w:rFonts w:ascii="Times New Roman" w:hAnsi="Times New Roman" w:cs="Times New Roman"/>
                <w:sz w:val="18"/>
              </w:rPr>
              <w:t>Cognition</w:t>
            </w:r>
          </w:p>
        </w:tc>
        <w:tc>
          <w:tcPr>
            <w:tcW w:w="1728" w:type="dxa"/>
          </w:tcPr>
          <w:p w14:paraId="330B576D" w14:textId="77777777" w:rsidR="00795585" w:rsidRPr="007E5D9A"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sz w:val="18"/>
              </w:rPr>
              <w:t>Normal (MoCA 28) → Score 0</w:t>
            </w:r>
          </w:p>
        </w:tc>
        <w:tc>
          <w:tcPr>
            <w:tcW w:w="1728" w:type="dxa"/>
          </w:tcPr>
          <w:p w14:paraId="45BA2425" w14:textId="77777777" w:rsidR="00795585" w:rsidRPr="007E5D9A"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sz w:val="18"/>
              </w:rPr>
              <w:t>Normal → Score 0</w:t>
            </w:r>
          </w:p>
        </w:tc>
        <w:tc>
          <w:tcPr>
            <w:tcW w:w="1728" w:type="dxa"/>
          </w:tcPr>
          <w:p w14:paraId="1669E93C" w14:textId="77777777" w:rsidR="00795585" w:rsidRPr="007E5D9A"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sz w:val="18"/>
              </w:rPr>
              <w:t>Normal → Score 0</w:t>
            </w:r>
          </w:p>
        </w:tc>
        <w:tc>
          <w:tcPr>
            <w:tcW w:w="1728" w:type="dxa"/>
          </w:tcPr>
          <w:p w14:paraId="154FEA9A" w14:textId="77777777" w:rsidR="00795585" w:rsidRPr="007E5D9A"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sz w:val="18"/>
              </w:rPr>
              <w:t>Mild decline (MoCA 24) → Score 1</w:t>
            </w:r>
          </w:p>
        </w:tc>
      </w:tr>
      <w:tr w:rsidR="00795585" w:rsidRPr="007E5D9A" w14:paraId="736E724C" w14:textId="77777777" w:rsidTr="00E4399E">
        <w:tc>
          <w:tcPr>
            <w:cnfStyle w:val="001000000000" w:firstRow="0" w:lastRow="0" w:firstColumn="1" w:lastColumn="0" w:oddVBand="0" w:evenVBand="0" w:oddHBand="0" w:evenHBand="0" w:firstRowFirstColumn="0" w:firstRowLastColumn="0" w:lastRowFirstColumn="0" w:lastRowLastColumn="0"/>
            <w:tcW w:w="1728" w:type="dxa"/>
          </w:tcPr>
          <w:p w14:paraId="61D01781" w14:textId="77777777" w:rsidR="00795585" w:rsidRPr="007E5D9A" w:rsidRDefault="00000000">
            <w:pPr>
              <w:rPr>
                <w:rFonts w:ascii="Times New Roman" w:hAnsi="Times New Roman" w:cs="Times New Roman"/>
              </w:rPr>
            </w:pPr>
            <w:r w:rsidRPr="007E5D9A">
              <w:rPr>
                <w:rFonts w:ascii="Times New Roman" w:hAnsi="Times New Roman" w:cs="Times New Roman"/>
                <w:sz w:val="18"/>
              </w:rPr>
              <w:t>Symptoms</w:t>
            </w:r>
          </w:p>
        </w:tc>
        <w:tc>
          <w:tcPr>
            <w:tcW w:w="1728" w:type="dxa"/>
          </w:tcPr>
          <w:p w14:paraId="7FE4089E" w14:textId="77777777" w:rsidR="00795585" w:rsidRPr="007E5D9A"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sz w:val="18"/>
              </w:rPr>
              <w:t>None → Score 0</w:t>
            </w:r>
          </w:p>
        </w:tc>
        <w:tc>
          <w:tcPr>
            <w:tcW w:w="1728" w:type="dxa"/>
          </w:tcPr>
          <w:p w14:paraId="3F63FCA9" w14:textId="77777777" w:rsidR="00795585" w:rsidRPr="007E5D9A"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sz w:val="18"/>
              </w:rPr>
              <w:t>None → Score 0</w:t>
            </w:r>
          </w:p>
        </w:tc>
        <w:tc>
          <w:tcPr>
            <w:tcW w:w="1728" w:type="dxa"/>
          </w:tcPr>
          <w:p w14:paraId="7982A251" w14:textId="77777777" w:rsidR="00795585" w:rsidRPr="007E5D9A"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sz w:val="18"/>
              </w:rPr>
              <w:t>None → Score 0</w:t>
            </w:r>
          </w:p>
        </w:tc>
        <w:tc>
          <w:tcPr>
            <w:tcW w:w="1728" w:type="dxa"/>
          </w:tcPr>
          <w:p w14:paraId="64FB3B3B" w14:textId="77777777" w:rsidR="00795585" w:rsidRPr="007E5D9A"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sz w:val="18"/>
              </w:rPr>
              <w:t>None → Score 0</w:t>
            </w:r>
          </w:p>
        </w:tc>
      </w:tr>
      <w:tr w:rsidR="00795585" w:rsidRPr="007E5D9A" w14:paraId="2B9D6E5E" w14:textId="77777777" w:rsidTr="00E439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8" w:type="dxa"/>
          </w:tcPr>
          <w:p w14:paraId="35F2991A" w14:textId="77777777" w:rsidR="00795585" w:rsidRPr="007E5D9A" w:rsidRDefault="00000000">
            <w:pPr>
              <w:rPr>
                <w:rFonts w:ascii="Times New Roman" w:hAnsi="Times New Roman" w:cs="Times New Roman"/>
              </w:rPr>
            </w:pPr>
            <w:r w:rsidRPr="007E5D9A">
              <w:rPr>
                <w:rFonts w:ascii="Times New Roman" w:hAnsi="Times New Roman" w:cs="Times New Roman"/>
                <w:sz w:val="18"/>
              </w:rPr>
              <w:t>Risk factors*</w:t>
            </w:r>
          </w:p>
        </w:tc>
        <w:tc>
          <w:tcPr>
            <w:tcW w:w="1728" w:type="dxa"/>
          </w:tcPr>
          <w:p w14:paraId="5E853A68" w14:textId="77777777" w:rsidR="00795585" w:rsidRPr="007E5D9A"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sz w:val="18"/>
              </w:rPr>
              <w:t>1 RF (prediabetes)</w:t>
            </w:r>
            <w:r w:rsidRPr="007E5D9A">
              <w:rPr>
                <w:rFonts w:ascii="Times New Roman" w:hAnsi="Times New Roman" w:cs="Times New Roman"/>
                <w:sz w:val="18"/>
              </w:rPr>
              <w:br/>
              <w:t>→ Score 0</w:t>
            </w:r>
          </w:p>
        </w:tc>
        <w:tc>
          <w:tcPr>
            <w:tcW w:w="1728" w:type="dxa"/>
          </w:tcPr>
          <w:p w14:paraId="3BCC6C37" w14:textId="77777777" w:rsidR="00795585" w:rsidRPr="007E5D9A"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sz w:val="18"/>
              </w:rPr>
              <w:t>2 RF (DM + HTN)</w:t>
            </w:r>
            <w:r w:rsidRPr="007E5D9A">
              <w:rPr>
                <w:rFonts w:ascii="Times New Roman" w:hAnsi="Times New Roman" w:cs="Times New Roman"/>
                <w:sz w:val="18"/>
              </w:rPr>
              <w:br/>
              <w:t>→ Score 1</w:t>
            </w:r>
          </w:p>
        </w:tc>
        <w:tc>
          <w:tcPr>
            <w:tcW w:w="1728" w:type="dxa"/>
          </w:tcPr>
          <w:p w14:paraId="3594F49B" w14:textId="77777777" w:rsidR="00795585" w:rsidRPr="007E5D9A"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sz w:val="18"/>
              </w:rPr>
              <w:t>3 RF (DM + HTN + dyslipidemia)</w:t>
            </w:r>
            <w:r w:rsidRPr="007E5D9A">
              <w:rPr>
                <w:rFonts w:ascii="Times New Roman" w:hAnsi="Times New Roman" w:cs="Times New Roman"/>
                <w:sz w:val="18"/>
              </w:rPr>
              <w:br/>
              <w:t>→ Score 2</w:t>
            </w:r>
          </w:p>
        </w:tc>
        <w:tc>
          <w:tcPr>
            <w:tcW w:w="1728" w:type="dxa"/>
          </w:tcPr>
          <w:p w14:paraId="31CC1D1F" w14:textId="77777777" w:rsidR="00795585" w:rsidRPr="007E5D9A"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sz w:val="18"/>
              </w:rPr>
              <w:t>4 RF (DM + HTN + AF + dyslipidemia)</w:t>
            </w:r>
            <w:r w:rsidRPr="007E5D9A">
              <w:rPr>
                <w:rFonts w:ascii="Times New Roman" w:hAnsi="Times New Roman" w:cs="Times New Roman"/>
                <w:sz w:val="18"/>
              </w:rPr>
              <w:br/>
              <w:t>→ Score 3</w:t>
            </w:r>
          </w:p>
        </w:tc>
      </w:tr>
      <w:tr w:rsidR="00795585" w:rsidRPr="007E5D9A" w14:paraId="75997B77" w14:textId="77777777" w:rsidTr="00E4399E">
        <w:tc>
          <w:tcPr>
            <w:cnfStyle w:val="001000000000" w:firstRow="0" w:lastRow="0" w:firstColumn="1" w:lastColumn="0" w:oddVBand="0" w:evenVBand="0" w:oddHBand="0" w:evenHBand="0" w:firstRowFirstColumn="0" w:firstRowLastColumn="0" w:lastRowFirstColumn="0" w:lastRowLastColumn="0"/>
            <w:tcW w:w="1728" w:type="dxa"/>
          </w:tcPr>
          <w:p w14:paraId="5CB89012" w14:textId="77777777" w:rsidR="00795585" w:rsidRPr="007E5D9A" w:rsidRDefault="00000000">
            <w:pPr>
              <w:rPr>
                <w:rFonts w:ascii="Times New Roman" w:hAnsi="Times New Roman" w:cs="Times New Roman"/>
              </w:rPr>
            </w:pPr>
            <w:r w:rsidRPr="007E5D9A">
              <w:rPr>
                <w:rFonts w:ascii="Times New Roman" w:hAnsi="Times New Roman" w:cs="Times New Roman"/>
                <w:sz w:val="18"/>
              </w:rPr>
              <w:t>B-Score</w:t>
            </w:r>
          </w:p>
        </w:tc>
        <w:tc>
          <w:tcPr>
            <w:tcW w:w="1728" w:type="dxa"/>
          </w:tcPr>
          <w:p w14:paraId="6763A304" w14:textId="77777777" w:rsidR="00795585" w:rsidRPr="007E5D9A"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sz w:val="18"/>
              </w:rPr>
              <w:t>0 (all domains normal)</w:t>
            </w:r>
          </w:p>
        </w:tc>
        <w:tc>
          <w:tcPr>
            <w:tcW w:w="1728" w:type="dxa"/>
          </w:tcPr>
          <w:p w14:paraId="44D8E75A" w14:textId="77777777" w:rsidR="00795585" w:rsidRPr="007E5D9A"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sz w:val="18"/>
              </w:rPr>
              <w:t>1 (highest: 2 RF)</w:t>
            </w:r>
          </w:p>
        </w:tc>
        <w:tc>
          <w:tcPr>
            <w:tcW w:w="1728" w:type="dxa"/>
          </w:tcPr>
          <w:p w14:paraId="0BA704AD" w14:textId="77777777" w:rsidR="00795585" w:rsidRPr="007E5D9A"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sz w:val="18"/>
              </w:rPr>
              <w:t>2 (highest: 3 RF)</w:t>
            </w:r>
          </w:p>
        </w:tc>
        <w:tc>
          <w:tcPr>
            <w:tcW w:w="1728" w:type="dxa"/>
          </w:tcPr>
          <w:p w14:paraId="1E3C91CC" w14:textId="77777777" w:rsidR="00795585" w:rsidRPr="007E5D9A"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sz w:val="18"/>
              </w:rPr>
              <w:t>3 (highest: 4 RF)</w:t>
            </w:r>
          </w:p>
        </w:tc>
      </w:tr>
      <w:tr w:rsidR="00795585" w:rsidRPr="007E5D9A" w14:paraId="2ECFFB97" w14:textId="77777777" w:rsidTr="00E439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40" w:type="dxa"/>
            <w:gridSpan w:val="5"/>
          </w:tcPr>
          <w:p w14:paraId="6CAAA63A" w14:textId="77777777" w:rsidR="00795585" w:rsidRPr="007E5D9A" w:rsidRDefault="00000000">
            <w:pPr>
              <w:rPr>
                <w:rFonts w:ascii="Times New Roman" w:hAnsi="Times New Roman" w:cs="Times New Roman"/>
              </w:rPr>
            </w:pPr>
            <w:r w:rsidRPr="007E5D9A">
              <w:rPr>
                <w:rFonts w:ascii="Times New Roman" w:hAnsi="Times New Roman" w:cs="Times New Roman"/>
                <w:sz w:val="18"/>
              </w:rPr>
              <w:t>K-SCORE (RENAL) — Table 5</w:t>
            </w:r>
          </w:p>
        </w:tc>
      </w:tr>
      <w:tr w:rsidR="00795585" w:rsidRPr="007E5D9A" w14:paraId="0928CAC9" w14:textId="77777777" w:rsidTr="00E4399E">
        <w:tc>
          <w:tcPr>
            <w:cnfStyle w:val="001000000000" w:firstRow="0" w:lastRow="0" w:firstColumn="1" w:lastColumn="0" w:oddVBand="0" w:evenVBand="0" w:oddHBand="0" w:evenHBand="0" w:firstRowFirstColumn="0" w:firstRowLastColumn="0" w:lastRowFirstColumn="0" w:lastRowLastColumn="0"/>
            <w:tcW w:w="1728" w:type="dxa"/>
          </w:tcPr>
          <w:p w14:paraId="2EBDC3B2" w14:textId="77777777" w:rsidR="00795585" w:rsidRPr="007E5D9A" w:rsidRDefault="00000000">
            <w:pPr>
              <w:rPr>
                <w:rFonts w:ascii="Times New Roman" w:hAnsi="Times New Roman" w:cs="Times New Roman"/>
              </w:rPr>
            </w:pPr>
            <w:r w:rsidRPr="007E5D9A">
              <w:rPr>
                <w:rFonts w:ascii="Times New Roman" w:hAnsi="Times New Roman" w:cs="Times New Roman"/>
                <w:sz w:val="18"/>
              </w:rPr>
              <w:t>eGFR / Albuminuria</w:t>
            </w:r>
          </w:p>
        </w:tc>
        <w:tc>
          <w:tcPr>
            <w:tcW w:w="1728" w:type="dxa"/>
          </w:tcPr>
          <w:p w14:paraId="09C8AB96" w14:textId="77777777" w:rsidR="00795585" w:rsidRPr="007E5D9A"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sz w:val="18"/>
              </w:rPr>
              <w:t>G2 (78) / A2 (52)</w:t>
            </w:r>
          </w:p>
        </w:tc>
        <w:tc>
          <w:tcPr>
            <w:tcW w:w="1728" w:type="dxa"/>
          </w:tcPr>
          <w:p w14:paraId="057F98AE" w14:textId="77777777" w:rsidR="00795585" w:rsidRPr="007E5D9A"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sz w:val="18"/>
              </w:rPr>
              <w:t>G3a (48) / A2 (280)</w:t>
            </w:r>
          </w:p>
        </w:tc>
        <w:tc>
          <w:tcPr>
            <w:tcW w:w="1728" w:type="dxa"/>
          </w:tcPr>
          <w:p w14:paraId="3DB2C455" w14:textId="77777777" w:rsidR="00795585" w:rsidRPr="007E5D9A"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sz w:val="18"/>
              </w:rPr>
              <w:t>G3a (56) / A1 (22)</w:t>
            </w:r>
          </w:p>
        </w:tc>
        <w:tc>
          <w:tcPr>
            <w:tcW w:w="1728" w:type="dxa"/>
          </w:tcPr>
          <w:p w14:paraId="14A63012" w14:textId="77777777" w:rsidR="00795585" w:rsidRPr="007E5D9A"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sz w:val="18"/>
              </w:rPr>
              <w:t>G4 (28) / A3 (850)</w:t>
            </w:r>
          </w:p>
        </w:tc>
      </w:tr>
      <w:tr w:rsidR="00795585" w:rsidRPr="007E5D9A" w14:paraId="4273154A" w14:textId="77777777" w:rsidTr="00E439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8" w:type="dxa"/>
          </w:tcPr>
          <w:p w14:paraId="691B57C3" w14:textId="77777777" w:rsidR="00795585" w:rsidRPr="007E5D9A" w:rsidRDefault="00000000">
            <w:pPr>
              <w:rPr>
                <w:rFonts w:ascii="Times New Roman" w:hAnsi="Times New Roman" w:cs="Times New Roman"/>
              </w:rPr>
            </w:pPr>
            <w:r w:rsidRPr="007E5D9A">
              <w:rPr>
                <w:rFonts w:ascii="Times New Roman" w:hAnsi="Times New Roman" w:cs="Times New Roman"/>
                <w:sz w:val="18"/>
              </w:rPr>
              <w:t>K-Score</w:t>
            </w:r>
          </w:p>
        </w:tc>
        <w:tc>
          <w:tcPr>
            <w:tcW w:w="1728" w:type="dxa"/>
          </w:tcPr>
          <w:p w14:paraId="17882429" w14:textId="77777777" w:rsidR="00795585" w:rsidRPr="007E5D9A"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sz w:val="18"/>
              </w:rPr>
              <w:t>1 (G2 + A2)</w:t>
            </w:r>
          </w:p>
        </w:tc>
        <w:tc>
          <w:tcPr>
            <w:tcW w:w="1728" w:type="dxa"/>
          </w:tcPr>
          <w:p w14:paraId="07C0B14C" w14:textId="77777777" w:rsidR="00795585" w:rsidRPr="007E5D9A"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sz w:val="18"/>
              </w:rPr>
              <w:t>2 (G3a + A2)</w:t>
            </w:r>
          </w:p>
        </w:tc>
        <w:tc>
          <w:tcPr>
            <w:tcW w:w="1728" w:type="dxa"/>
          </w:tcPr>
          <w:p w14:paraId="6B029509" w14:textId="77777777" w:rsidR="00795585" w:rsidRPr="007E5D9A"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sz w:val="18"/>
              </w:rPr>
              <w:t>1 (G3a + A1)</w:t>
            </w:r>
          </w:p>
        </w:tc>
        <w:tc>
          <w:tcPr>
            <w:tcW w:w="1728" w:type="dxa"/>
          </w:tcPr>
          <w:p w14:paraId="19634601" w14:textId="77777777" w:rsidR="00795585" w:rsidRPr="007E5D9A"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sz w:val="18"/>
              </w:rPr>
              <w:t>3 (G4 + A3)</w:t>
            </w:r>
          </w:p>
        </w:tc>
      </w:tr>
      <w:tr w:rsidR="00795585" w:rsidRPr="007E5D9A" w14:paraId="4867D4A7" w14:textId="77777777" w:rsidTr="00E4399E">
        <w:tc>
          <w:tcPr>
            <w:cnfStyle w:val="001000000000" w:firstRow="0" w:lastRow="0" w:firstColumn="1" w:lastColumn="0" w:oddVBand="0" w:evenVBand="0" w:oddHBand="0" w:evenHBand="0" w:firstRowFirstColumn="0" w:firstRowLastColumn="0" w:lastRowFirstColumn="0" w:lastRowLastColumn="0"/>
            <w:tcW w:w="1728" w:type="dxa"/>
          </w:tcPr>
          <w:p w14:paraId="10FAA081" w14:textId="77777777" w:rsidR="00795585" w:rsidRPr="007E5D9A" w:rsidRDefault="00000000">
            <w:pPr>
              <w:rPr>
                <w:rFonts w:ascii="Times New Roman" w:hAnsi="Times New Roman" w:cs="Times New Roman"/>
              </w:rPr>
            </w:pPr>
            <w:r w:rsidRPr="007E5D9A">
              <w:rPr>
                <w:rFonts w:ascii="Times New Roman" w:hAnsi="Times New Roman" w:cs="Times New Roman"/>
                <w:sz w:val="18"/>
              </w:rPr>
              <w:t>MORS</w:t>
            </w:r>
            <w:r w:rsidRPr="007E5D9A">
              <w:rPr>
                <w:rFonts w:ascii="Times New Roman" w:hAnsi="Times New Roman" w:cs="Times New Roman"/>
                <w:sz w:val="18"/>
              </w:rPr>
              <w:br/>
              <w:t>(L+C+B+K)</w:t>
            </w:r>
          </w:p>
        </w:tc>
        <w:tc>
          <w:tcPr>
            <w:tcW w:w="1728" w:type="dxa"/>
          </w:tcPr>
          <w:p w14:paraId="42060B37" w14:textId="77777777" w:rsidR="00795585" w:rsidRPr="007E5D9A"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b/>
                <w:sz w:val="18"/>
              </w:rPr>
              <w:t>0+1+0+1 = 2</w:t>
            </w:r>
            <w:r w:rsidRPr="007E5D9A">
              <w:rPr>
                <w:rFonts w:ascii="Times New Roman" w:hAnsi="Times New Roman" w:cs="Times New Roman"/>
                <w:b/>
                <w:sz w:val="18"/>
              </w:rPr>
              <w:br/>
              <w:t>Max = 1, N = 0</w:t>
            </w:r>
          </w:p>
        </w:tc>
        <w:tc>
          <w:tcPr>
            <w:tcW w:w="1728" w:type="dxa"/>
          </w:tcPr>
          <w:p w14:paraId="4013A505" w14:textId="77777777" w:rsidR="00795585" w:rsidRPr="007E5D9A"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b/>
                <w:sz w:val="18"/>
              </w:rPr>
              <w:t>0+1+1+2 = 4</w:t>
            </w:r>
            <w:r w:rsidRPr="007E5D9A">
              <w:rPr>
                <w:rFonts w:ascii="Times New Roman" w:hAnsi="Times New Roman" w:cs="Times New Roman"/>
                <w:b/>
                <w:sz w:val="18"/>
              </w:rPr>
              <w:br/>
              <w:t>Max = 2, N = 1</w:t>
            </w:r>
          </w:p>
        </w:tc>
        <w:tc>
          <w:tcPr>
            <w:tcW w:w="1728" w:type="dxa"/>
          </w:tcPr>
          <w:p w14:paraId="156C1AF5" w14:textId="77777777" w:rsidR="00795585" w:rsidRPr="007E5D9A"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b/>
                <w:sz w:val="18"/>
              </w:rPr>
              <w:t>3+2+2+1 = 8</w:t>
            </w:r>
            <w:r w:rsidRPr="007E5D9A">
              <w:rPr>
                <w:rFonts w:ascii="Times New Roman" w:hAnsi="Times New Roman" w:cs="Times New Roman"/>
                <w:b/>
                <w:sz w:val="18"/>
              </w:rPr>
              <w:br/>
              <w:t>Max = 3, N = 2</w:t>
            </w:r>
          </w:p>
        </w:tc>
        <w:tc>
          <w:tcPr>
            <w:tcW w:w="1728" w:type="dxa"/>
          </w:tcPr>
          <w:p w14:paraId="70FC91F5" w14:textId="77777777" w:rsidR="00795585" w:rsidRPr="007E5D9A"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b/>
                <w:sz w:val="18"/>
              </w:rPr>
              <w:t>3+3+3+3 = 12</w:t>
            </w:r>
            <w:r w:rsidRPr="007E5D9A">
              <w:rPr>
                <w:rFonts w:ascii="Times New Roman" w:hAnsi="Times New Roman" w:cs="Times New Roman"/>
                <w:b/>
                <w:sz w:val="18"/>
              </w:rPr>
              <w:br/>
              <w:t>Max = 3, N = 4</w:t>
            </w:r>
          </w:p>
        </w:tc>
      </w:tr>
      <w:tr w:rsidR="00795585" w:rsidRPr="007E5D9A" w14:paraId="503CEB38" w14:textId="77777777" w:rsidTr="00E439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8" w:type="dxa"/>
          </w:tcPr>
          <w:p w14:paraId="47B1ED81" w14:textId="77777777" w:rsidR="00795585" w:rsidRPr="007E5D9A" w:rsidRDefault="00000000">
            <w:pPr>
              <w:rPr>
                <w:rFonts w:ascii="Times New Roman" w:hAnsi="Times New Roman" w:cs="Times New Roman"/>
              </w:rPr>
            </w:pPr>
            <w:r w:rsidRPr="007E5D9A">
              <w:rPr>
                <w:rFonts w:ascii="Times New Roman" w:hAnsi="Times New Roman" w:cs="Times New Roman"/>
                <w:sz w:val="18"/>
              </w:rPr>
              <w:t>MMCK Stage</w:t>
            </w:r>
          </w:p>
        </w:tc>
        <w:tc>
          <w:tcPr>
            <w:tcW w:w="1728" w:type="dxa"/>
          </w:tcPr>
          <w:p w14:paraId="66167886" w14:textId="77777777" w:rsidR="00795585" w:rsidRPr="007E5D9A"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b/>
                <w:sz w:val="18"/>
              </w:rPr>
              <w:t>Stage 1</w:t>
            </w:r>
            <w:r w:rsidRPr="007E5D9A">
              <w:rPr>
                <w:rFonts w:ascii="Times New Roman" w:hAnsi="Times New Roman" w:cs="Times New Roman"/>
                <w:b/>
                <w:sz w:val="18"/>
              </w:rPr>
              <w:br/>
              <w:t>Metabolic abnormalities</w:t>
            </w:r>
            <w:r w:rsidRPr="007E5D9A">
              <w:rPr>
                <w:rFonts w:ascii="Times New Roman" w:hAnsi="Times New Roman" w:cs="Times New Roman"/>
                <w:b/>
                <w:sz w:val="18"/>
              </w:rPr>
              <w:br/>
              <w:t>no organ damage</w:t>
            </w:r>
          </w:p>
        </w:tc>
        <w:tc>
          <w:tcPr>
            <w:tcW w:w="1728" w:type="dxa"/>
          </w:tcPr>
          <w:p w14:paraId="65499F3B" w14:textId="77777777" w:rsidR="00795585" w:rsidRPr="007E5D9A"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b/>
                <w:sz w:val="18"/>
              </w:rPr>
              <w:t>Stage 2</w:t>
            </w:r>
            <w:r w:rsidRPr="007E5D9A">
              <w:rPr>
                <w:rFonts w:ascii="Times New Roman" w:hAnsi="Times New Roman" w:cs="Times New Roman"/>
                <w:b/>
                <w:sz w:val="18"/>
              </w:rPr>
              <w:br/>
              <w:t>Single-organ moderate</w:t>
            </w:r>
            <w:r w:rsidRPr="007E5D9A">
              <w:rPr>
                <w:rFonts w:ascii="Times New Roman" w:hAnsi="Times New Roman" w:cs="Times New Roman"/>
                <w:b/>
                <w:sz w:val="18"/>
              </w:rPr>
              <w:br/>
              <w:t>(K-Score = 2 only)</w:t>
            </w:r>
          </w:p>
        </w:tc>
        <w:tc>
          <w:tcPr>
            <w:tcW w:w="1728" w:type="dxa"/>
          </w:tcPr>
          <w:p w14:paraId="148F0243" w14:textId="77777777" w:rsidR="00795585" w:rsidRPr="007E5D9A"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b/>
                <w:sz w:val="18"/>
              </w:rPr>
              <w:t>Stage 3</w:t>
            </w:r>
            <w:r w:rsidRPr="007E5D9A">
              <w:rPr>
                <w:rFonts w:ascii="Times New Roman" w:hAnsi="Times New Roman" w:cs="Times New Roman"/>
                <w:b/>
                <w:sz w:val="18"/>
              </w:rPr>
              <w:br/>
            </w:r>
            <w:proofErr w:type="gramStart"/>
            <w:r w:rsidRPr="007E5D9A">
              <w:rPr>
                <w:rFonts w:ascii="Times New Roman" w:hAnsi="Times New Roman" w:cs="Times New Roman"/>
                <w:b/>
                <w:sz w:val="18"/>
              </w:rPr>
              <w:t>Multi-organ</w:t>
            </w:r>
            <w:proofErr w:type="gramEnd"/>
            <w:r w:rsidRPr="007E5D9A">
              <w:rPr>
                <w:rFonts w:ascii="Times New Roman" w:hAnsi="Times New Roman" w:cs="Times New Roman"/>
                <w:b/>
                <w:sz w:val="18"/>
              </w:rPr>
              <w:t xml:space="preserve"> moderate-severe</w:t>
            </w:r>
            <w:r w:rsidRPr="007E5D9A">
              <w:rPr>
                <w:rFonts w:ascii="Times New Roman" w:hAnsi="Times New Roman" w:cs="Times New Roman"/>
                <w:b/>
                <w:sz w:val="18"/>
              </w:rPr>
              <w:br/>
              <w:t>(N = 2, L = 3)</w:t>
            </w:r>
          </w:p>
        </w:tc>
        <w:tc>
          <w:tcPr>
            <w:tcW w:w="1728" w:type="dxa"/>
          </w:tcPr>
          <w:p w14:paraId="6E711808" w14:textId="77777777" w:rsidR="00795585" w:rsidRPr="007E5D9A"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b/>
                <w:sz w:val="18"/>
              </w:rPr>
              <w:t>Stage 4</w:t>
            </w:r>
            <w:r w:rsidRPr="007E5D9A">
              <w:rPr>
                <w:rFonts w:ascii="Times New Roman" w:hAnsi="Times New Roman" w:cs="Times New Roman"/>
                <w:b/>
                <w:sz w:val="18"/>
              </w:rPr>
              <w:br/>
            </w:r>
            <w:proofErr w:type="gramStart"/>
            <w:r w:rsidRPr="007E5D9A">
              <w:rPr>
                <w:rFonts w:ascii="Times New Roman" w:hAnsi="Times New Roman" w:cs="Times New Roman"/>
                <w:b/>
                <w:sz w:val="18"/>
              </w:rPr>
              <w:t>Multi-organ</w:t>
            </w:r>
            <w:proofErr w:type="gramEnd"/>
            <w:r w:rsidRPr="007E5D9A">
              <w:rPr>
                <w:rFonts w:ascii="Times New Roman" w:hAnsi="Times New Roman" w:cs="Times New Roman"/>
                <w:b/>
                <w:sz w:val="18"/>
              </w:rPr>
              <w:t xml:space="preserve"> decompensated</w:t>
            </w:r>
            <w:r w:rsidRPr="007E5D9A">
              <w:rPr>
                <w:rFonts w:ascii="Times New Roman" w:hAnsi="Times New Roman" w:cs="Times New Roman"/>
                <w:b/>
                <w:sz w:val="18"/>
              </w:rPr>
              <w:br/>
              <w:t>(MORS = 12 ≥ 8)</w:t>
            </w:r>
          </w:p>
        </w:tc>
      </w:tr>
      <w:tr w:rsidR="00795585" w:rsidRPr="007E5D9A" w14:paraId="30F51164" w14:textId="77777777" w:rsidTr="00E4399E">
        <w:tc>
          <w:tcPr>
            <w:cnfStyle w:val="001000000000" w:firstRow="0" w:lastRow="0" w:firstColumn="1" w:lastColumn="0" w:oddVBand="0" w:evenVBand="0" w:oddHBand="0" w:evenHBand="0" w:firstRowFirstColumn="0" w:firstRowLastColumn="0" w:lastRowFirstColumn="0" w:lastRowLastColumn="0"/>
            <w:tcW w:w="1728" w:type="dxa"/>
          </w:tcPr>
          <w:p w14:paraId="3329591C" w14:textId="77777777" w:rsidR="00795585" w:rsidRPr="007E5D9A" w:rsidRDefault="00000000">
            <w:pPr>
              <w:rPr>
                <w:rFonts w:ascii="Times New Roman" w:hAnsi="Times New Roman" w:cs="Times New Roman"/>
              </w:rPr>
            </w:pPr>
            <w:r w:rsidRPr="007E5D9A">
              <w:rPr>
                <w:rFonts w:ascii="Times New Roman" w:hAnsi="Times New Roman" w:cs="Times New Roman"/>
                <w:sz w:val="17"/>
              </w:rPr>
              <w:t>Key Actions</w:t>
            </w:r>
          </w:p>
        </w:tc>
        <w:tc>
          <w:tcPr>
            <w:tcW w:w="1728" w:type="dxa"/>
          </w:tcPr>
          <w:p w14:paraId="687400B1" w14:textId="77777777" w:rsidR="00795585" w:rsidRPr="007E5D9A"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sz w:val="17"/>
              </w:rPr>
              <w:t>• Intensive lifestyle (≥150 min/</w:t>
            </w:r>
            <w:proofErr w:type="spellStart"/>
            <w:r w:rsidRPr="007E5D9A">
              <w:rPr>
                <w:rFonts w:ascii="Times New Roman" w:hAnsi="Times New Roman" w:cs="Times New Roman"/>
                <w:sz w:val="17"/>
              </w:rPr>
              <w:t>wk</w:t>
            </w:r>
            <w:proofErr w:type="spellEnd"/>
            <w:r w:rsidRPr="007E5D9A">
              <w:rPr>
                <w:rFonts w:ascii="Times New Roman" w:hAnsi="Times New Roman" w:cs="Times New Roman"/>
                <w:sz w:val="17"/>
              </w:rPr>
              <w:t xml:space="preserve"> exercise, 5–7% weight loss)</w:t>
            </w:r>
            <w:r w:rsidRPr="007E5D9A">
              <w:rPr>
                <w:rFonts w:ascii="Times New Roman" w:hAnsi="Times New Roman" w:cs="Times New Roman"/>
                <w:sz w:val="17"/>
              </w:rPr>
              <w:br/>
              <w:t>• Annual FIB-4 + VCTE screening</w:t>
            </w:r>
            <w:r w:rsidRPr="007E5D9A">
              <w:rPr>
                <w:rFonts w:ascii="Times New Roman" w:hAnsi="Times New Roman" w:cs="Times New Roman"/>
                <w:sz w:val="17"/>
              </w:rPr>
              <w:br/>
              <w:t>• Metformin if HbA1c ≥6.0% persistently</w:t>
            </w:r>
            <w:r w:rsidRPr="007E5D9A">
              <w:rPr>
                <w:rFonts w:ascii="Times New Roman" w:hAnsi="Times New Roman" w:cs="Times New Roman"/>
                <w:sz w:val="17"/>
              </w:rPr>
              <w:br/>
              <w:t xml:space="preserve">• </w:t>
            </w:r>
            <w:proofErr w:type="spellStart"/>
            <w:r w:rsidRPr="007E5D9A">
              <w:rPr>
                <w:rFonts w:ascii="Times New Roman" w:hAnsi="Times New Roman" w:cs="Times New Roman"/>
                <w:sz w:val="17"/>
              </w:rPr>
              <w:t>ACEi</w:t>
            </w:r>
            <w:proofErr w:type="spellEnd"/>
            <w:r w:rsidRPr="007E5D9A">
              <w:rPr>
                <w:rFonts w:ascii="Times New Roman" w:hAnsi="Times New Roman" w:cs="Times New Roman"/>
                <w:sz w:val="17"/>
              </w:rPr>
              <w:t xml:space="preserve">/ARB if BP </w:t>
            </w:r>
            <w:r w:rsidRPr="007E5D9A">
              <w:rPr>
                <w:rFonts w:ascii="Times New Roman" w:hAnsi="Times New Roman" w:cs="Times New Roman"/>
                <w:sz w:val="17"/>
              </w:rPr>
              <w:lastRenderedPageBreak/>
              <w:t>≥130/80 or UACR ≥30</w:t>
            </w:r>
          </w:p>
        </w:tc>
        <w:tc>
          <w:tcPr>
            <w:tcW w:w="1728" w:type="dxa"/>
          </w:tcPr>
          <w:p w14:paraId="3CC7A682" w14:textId="77777777" w:rsidR="00795585" w:rsidRPr="007E5D9A"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sz w:val="17"/>
              </w:rPr>
              <w:lastRenderedPageBreak/>
              <w:t>• SGLT2i (eGFR 48, UACR 280, T2DM)</w:t>
            </w:r>
            <w:r w:rsidRPr="007E5D9A">
              <w:rPr>
                <w:rFonts w:ascii="Times New Roman" w:hAnsi="Times New Roman" w:cs="Times New Roman"/>
                <w:sz w:val="17"/>
              </w:rPr>
              <w:br/>
              <w:t xml:space="preserve">• </w:t>
            </w:r>
            <w:proofErr w:type="spellStart"/>
            <w:r w:rsidRPr="007E5D9A">
              <w:rPr>
                <w:rFonts w:ascii="Times New Roman" w:hAnsi="Times New Roman" w:cs="Times New Roman"/>
                <w:sz w:val="17"/>
              </w:rPr>
              <w:t>ACEi</w:t>
            </w:r>
            <w:proofErr w:type="spellEnd"/>
            <w:r w:rsidRPr="007E5D9A">
              <w:rPr>
                <w:rFonts w:ascii="Times New Roman" w:hAnsi="Times New Roman" w:cs="Times New Roman"/>
                <w:sz w:val="17"/>
              </w:rPr>
              <w:t xml:space="preserve">/ARB </w:t>
            </w:r>
            <w:proofErr w:type="spellStart"/>
            <w:r w:rsidRPr="007E5D9A">
              <w:rPr>
                <w:rFonts w:ascii="Times New Roman" w:hAnsi="Times New Roman" w:cs="Times New Roman"/>
                <w:sz w:val="17"/>
              </w:rPr>
              <w:t>uptitration</w:t>
            </w:r>
            <w:proofErr w:type="spellEnd"/>
            <w:r w:rsidRPr="007E5D9A">
              <w:rPr>
                <w:rFonts w:ascii="Times New Roman" w:hAnsi="Times New Roman" w:cs="Times New Roman"/>
                <w:sz w:val="17"/>
              </w:rPr>
              <w:br/>
              <w:t>• Annual VCTE + hepatology if FIB-4 rises</w:t>
            </w:r>
            <w:r w:rsidRPr="007E5D9A">
              <w:rPr>
                <w:rFonts w:ascii="Times New Roman" w:hAnsi="Times New Roman" w:cs="Times New Roman"/>
                <w:sz w:val="17"/>
              </w:rPr>
              <w:br/>
              <w:t xml:space="preserve">• </w:t>
            </w:r>
            <w:proofErr w:type="spellStart"/>
            <w:r w:rsidRPr="007E5D9A">
              <w:rPr>
                <w:rFonts w:ascii="Times New Roman" w:hAnsi="Times New Roman" w:cs="Times New Roman"/>
                <w:sz w:val="17"/>
              </w:rPr>
              <w:t>Finerenone</w:t>
            </w:r>
            <w:proofErr w:type="spellEnd"/>
            <w:r w:rsidRPr="007E5D9A">
              <w:rPr>
                <w:rFonts w:ascii="Times New Roman" w:hAnsi="Times New Roman" w:cs="Times New Roman"/>
                <w:sz w:val="17"/>
              </w:rPr>
              <w:t xml:space="preserve"> when eGFR ≥25 + K⁺ &lt;5.0</w:t>
            </w:r>
          </w:p>
        </w:tc>
        <w:tc>
          <w:tcPr>
            <w:tcW w:w="1728" w:type="dxa"/>
          </w:tcPr>
          <w:p w14:paraId="3A80298E" w14:textId="77777777" w:rsidR="00795585" w:rsidRPr="007E5D9A"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sz w:val="17"/>
              </w:rPr>
              <w:t>• Urgent hepatology referral (FIB-4 2.72, VCTE 16.2)</w:t>
            </w:r>
            <w:r w:rsidRPr="007E5D9A">
              <w:rPr>
                <w:rFonts w:ascii="Times New Roman" w:hAnsi="Times New Roman" w:cs="Times New Roman"/>
                <w:sz w:val="17"/>
              </w:rPr>
              <w:br/>
              <w:t>• GLP-1 RA (BMI 33 + T2DM + ASCVD risk)</w:t>
            </w:r>
            <w:r w:rsidRPr="007E5D9A">
              <w:rPr>
                <w:rFonts w:ascii="Times New Roman" w:hAnsi="Times New Roman" w:cs="Times New Roman"/>
                <w:sz w:val="17"/>
              </w:rPr>
              <w:br/>
              <w:t>• Statin (LDL 156 + CAC 320)</w:t>
            </w:r>
            <w:r w:rsidRPr="007E5D9A">
              <w:rPr>
                <w:rFonts w:ascii="Times New Roman" w:hAnsi="Times New Roman" w:cs="Times New Roman"/>
                <w:sz w:val="17"/>
              </w:rPr>
              <w:br/>
              <w:t xml:space="preserve">• Quarterly MORS </w:t>
            </w:r>
            <w:r w:rsidRPr="007E5D9A">
              <w:rPr>
                <w:rFonts w:ascii="Times New Roman" w:hAnsi="Times New Roman" w:cs="Times New Roman"/>
                <w:sz w:val="17"/>
              </w:rPr>
              <w:lastRenderedPageBreak/>
              <w:t>monitoring</w:t>
            </w:r>
          </w:p>
        </w:tc>
        <w:tc>
          <w:tcPr>
            <w:tcW w:w="1728" w:type="dxa"/>
          </w:tcPr>
          <w:p w14:paraId="1236AC4F" w14:textId="77777777" w:rsidR="00795585" w:rsidRPr="007E5D9A" w:rsidRDefault="000000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E5D9A">
              <w:rPr>
                <w:rFonts w:ascii="Times New Roman" w:hAnsi="Times New Roman" w:cs="Times New Roman"/>
                <w:sz w:val="17"/>
              </w:rPr>
              <w:lastRenderedPageBreak/>
              <w:t>• MDT activation: cardiology + hepatology + nephrology</w:t>
            </w:r>
            <w:r w:rsidRPr="007E5D9A">
              <w:rPr>
                <w:rFonts w:ascii="Times New Roman" w:hAnsi="Times New Roman" w:cs="Times New Roman"/>
                <w:sz w:val="17"/>
              </w:rPr>
              <w:br/>
              <w:t>• Transplant evaluation (cirrhosis + G4 CKD)</w:t>
            </w:r>
            <w:r w:rsidRPr="007E5D9A">
              <w:rPr>
                <w:rFonts w:ascii="Times New Roman" w:hAnsi="Times New Roman" w:cs="Times New Roman"/>
                <w:sz w:val="17"/>
              </w:rPr>
              <w:br/>
              <w:t xml:space="preserve">• </w:t>
            </w:r>
            <w:proofErr w:type="spellStart"/>
            <w:r w:rsidRPr="007E5D9A">
              <w:rPr>
                <w:rFonts w:ascii="Times New Roman" w:hAnsi="Times New Roman" w:cs="Times New Roman"/>
                <w:sz w:val="17"/>
              </w:rPr>
              <w:t>HFpEF</w:t>
            </w:r>
            <w:proofErr w:type="spellEnd"/>
            <w:r w:rsidRPr="007E5D9A">
              <w:rPr>
                <w:rFonts w:ascii="Times New Roman" w:hAnsi="Times New Roman" w:cs="Times New Roman"/>
                <w:sz w:val="17"/>
              </w:rPr>
              <w:t>/</w:t>
            </w:r>
            <w:proofErr w:type="spellStart"/>
            <w:r w:rsidRPr="007E5D9A">
              <w:rPr>
                <w:rFonts w:ascii="Times New Roman" w:hAnsi="Times New Roman" w:cs="Times New Roman"/>
                <w:sz w:val="17"/>
              </w:rPr>
              <w:t>HFrEF</w:t>
            </w:r>
            <w:proofErr w:type="spellEnd"/>
            <w:r w:rsidRPr="007E5D9A">
              <w:rPr>
                <w:rFonts w:ascii="Times New Roman" w:hAnsi="Times New Roman" w:cs="Times New Roman"/>
                <w:sz w:val="17"/>
              </w:rPr>
              <w:t xml:space="preserve"> optimization (SGLT2i + MRA)</w:t>
            </w:r>
            <w:r w:rsidRPr="007E5D9A">
              <w:rPr>
                <w:rFonts w:ascii="Times New Roman" w:hAnsi="Times New Roman" w:cs="Times New Roman"/>
                <w:sz w:val="17"/>
              </w:rPr>
              <w:br/>
            </w:r>
            <w:r w:rsidRPr="007E5D9A">
              <w:rPr>
                <w:rFonts w:ascii="Times New Roman" w:hAnsi="Times New Roman" w:cs="Times New Roman"/>
                <w:sz w:val="17"/>
              </w:rPr>
              <w:lastRenderedPageBreak/>
              <w:t>• Monthly MDT, advance care planning</w:t>
            </w:r>
          </w:p>
        </w:tc>
      </w:tr>
    </w:tbl>
    <w:p w14:paraId="791DD34D" w14:textId="77777777" w:rsidR="00795585" w:rsidRPr="007E5D9A" w:rsidRDefault="00000000">
      <w:pPr>
        <w:rPr>
          <w:rFonts w:ascii="Times New Roman" w:hAnsi="Times New Roman" w:cs="Times New Roman"/>
        </w:rPr>
      </w:pPr>
      <w:r w:rsidRPr="007E5D9A">
        <w:rPr>
          <w:rFonts w:ascii="Times New Roman" w:hAnsi="Times New Roman" w:cs="Times New Roman"/>
          <w:sz w:val="16"/>
        </w:rPr>
        <w:lastRenderedPageBreak/>
        <w:t>*Risk factors for B-Score (Table 4): hypertension, diabetes, smoking, hyperlipidemia, atrial fibrillation. Vignette 1: 1 RF (prediabetes alone, not meeting DM threshold). Vignette 2: 2 RF (T2DM + hypertension). Vignette 3: 3 RF (T2DM + hypertension + dyslipidemia). Vignette 4: 4 RF (T2DM + hypertension + AF + dyslipidemia).</w:t>
      </w:r>
    </w:p>
    <w:p w14:paraId="1770D372" w14:textId="77777777" w:rsidR="00795585" w:rsidRPr="007E5D9A" w:rsidRDefault="00000000">
      <w:pPr>
        <w:rPr>
          <w:rFonts w:ascii="Times New Roman" w:hAnsi="Times New Roman" w:cs="Times New Roman"/>
        </w:rPr>
      </w:pPr>
      <w:r w:rsidRPr="007E5D9A">
        <w:rPr>
          <w:rFonts w:ascii="Times New Roman" w:hAnsi="Times New Roman" w:cs="Times New Roman"/>
          <w:sz w:val="16"/>
        </w:rPr>
        <w:t>†Stage 3 MORS = 8 meets Stage 4 threshold (≥8); however, the primary assignment rule is "≥2 organs = 3" for Stage 4. Here only L = 3 (single organ = 3), so Stage 3 is correct per the staged rule priority (Table 6).</w:t>
      </w:r>
    </w:p>
    <w:p w14:paraId="0490FE69" w14:textId="77777777" w:rsidR="00795585" w:rsidRPr="007E5D9A" w:rsidRDefault="00000000">
      <w:pPr>
        <w:rPr>
          <w:rFonts w:ascii="Times New Roman" w:hAnsi="Times New Roman" w:cs="Times New Roman"/>
        </w:rPr>
      </w:pPr>
      <w:r w:rsidRPr="007E5D9A">
        <w:rPr>
          <w:rFonts w:ascii="Times New Roman" w:hAnsi="Times New Roman" w:cs="Times New Roman"/>
          <w:b/>
        </w:rPr>
        <w:t xml:space="preserve">Abbreviations: </w:t>
      </w:r>
      <w:proofErr w:type="spellStart"/>
      <w:r w:rsidRPr="007E5D9A">
        <w:rPr>
          <w:rFonts w:ascii="Times New Roman" w:hAnsi="Times New Roman" w:cs="Times New Roman"/>
          <w:sz w:val="16"/>
        </w:rPr>
        <w:t>ACEi</w:t>
      </w:r>
      <w:proofErr w:type="spellEnd"/>
      <w:r w:rsidRPr="007E5D9A">
        <w:rPr>
          <w:rFonts w:ascii="Times New Roman" w:hAnsi="Times New Roman" w:cs="Times New Roman"/>
          <w:sz w:val="16"/>
        </w:rPr>
        <w:t xml:space="preserve">, angiotensin-converting enzyme inhibitor; AF, atrial fibrillation; ARB, angiotensin receptor blocker; ASCVD, atherosclerotic cardiovascular disease; BMI, body mass index; BP, blood pressure; CAC, coronary artery calcium; CVD, cardiovascular disease; DM, diabetes mellitus; eGFR, estimated glomerular filtration rate; EF, ejection fraction; FIB-4, Fibrosis-4 index; GLP-1 RA, glucagon-like peptide-1 receptor agonist; HbA1c, glycated hemoglobin; </w:t>
      </w:r>
      <w:proofErr w:type="spellStart"/>
      <w:r w:rsidRPr="007E5D9A">
        <w:rPr>
          <w:rFonts w:ascii="Times New Roman" w:hAnsi="Times New Roman" w:cs="Times New Roman"/>
          <w:sz w:val="16"/>
        </w:rPr>
        <w:t>HFrEF</w:t>
      </w:r>
      <w:proofErr w:type="spellEnd"/>
      <w:r w:rsidRPr="007E5D9A">
        <w:rPr>
          <w:rFonts w:ascii="Times New Roman" w:hAnsi="Times New Roman" w:cs="Times New Roman"/>
          <w:sz w:val="16"/>
        </w:rPr>
        <w:t>, heart failure with reduced ejection fraction; HDL, high-density lipoprotein; HTN, hypertension; LDL, low-density lipoprotein; Max, maximum individual organ score; MCI, mild cognitive impairment; MDT, multidisciplinary team; MI, myocardial infarction; MMCK, metabolic disorder-MASLD-cardiovascular disease-kidney disease; MoCA, Montreal Cognitive Assessment; MORS, Multi-Organ Risk Score; MRA, mineralocorticoid receptor antagonist; N, number of organs with score ≥2; NT-</w:t>
      </w:r>
      <w:proofErr w:type="spellStart"/>
      <w:r w:rsidRPr="007E5D9A">
        <w:rPr>
          <w:rFonts w:ascii="Times New Roman" w:hAnsi="Times New Roman" w:cs="Times New Roman"/>
          <w:sz w:val="16"/>
        </w:rPr>
        <w:t>proBNP</w:t>
      </w:r>
      <w:proofErr w:type="spellEnd"/>
      <w:r w:rsidRPr="007E5D9A">
        <w:rPr>
          <w:rFonts w:ascii="Times New Roman" w:hAnsi="Times New Roman" w:cs="Times New Roman"/>
          <w:sz w:val="16"/>
        </w:rPr>
        <w:t xml:space="preserve">, N-terminal pro-B-type natriuretic peptide; PCI, percutaneous coronary intervention; </w:t>
      </w:r>
      <w:proofErr w:type="spellStart"/>
      <w:r w:rsidRPr="007E5D9A">
        <w:rPr>
          <w:rFonts w:ascii="Times New Roman" w:hAnsi="Times New Roman" w:cs="Times New Roman"/>
          <w:sz w:val="16"/>
        </w:rPr>
        <w:t>Plt</w:t>
      </w:r>
      <w:proofErr w:type="spellEnd"/>
      <w:r w:rsidRPr="007E5D9A">
        <w:rPr>
          <w:rFonts w:ascii="Times New Roman" w:hAnsi="Times New Roman" w:cs="Times New Roman"/>
          <w:sz w:val="16"/>
        </w:rPr>
        <w:t>, platelets; RF, risk factors; SGLT2i, sodium-glucose cotransporter-2 inhibitor; STEMI, ST-elevation myocardial infarction; T2DM, type 2 diabetes mellitus; TG, triglycerides; UACR, urine albumin-to-creatinine ratio; VCTE, vibration-controlled transient elastography.</w:t>
      </w:r>
    </w:p>
    <w:p w14:paraId="240ACB53" w14:textId="77777777" w:rsidR="00795585" w:rsidRPr="007E5D9A" w:rsidRDefault="00795585">
      <w:pPr>
        <w:widowControl/>
        <w:jc w:val="left"/>
        <w:rPr>
          <w:rFonts w:ascii="Times New Roman" w:hAnsi="Times New Roman" w:cs="Times New Roman"/>
        </w:rPr>
      </w:pPr>
    </w:p>
    <w:p w14:paraId="092156A7" w14:textId="2B5C5659" w:rsidR="00795585" w:rsidRPr="007E5D9A" w:rsidRDefault="00E4399E">
      <w:pPr>
        <w:widowControl/>
        <w:jc w:val="left"/>
        <w:rPr>
          <w:rFonts w:ascii="Times New Roman" w:hAnsi="Times New Roman" w:cs="Times New Roman"/>
        </w:rPr>
      </w:pPr>
      <w:r w:rsidRPr="007E5D9A">
        <w:rPr>
          <w:rFonts w:ascii="Times New Roman" w:hAnsi="Times New Roman" w:cs="Times New Roman"/>
        </w:rPr>
        <w:t>Reference</w:t>
      </w:r>
    </w:p>
    <w:p w14:paraId="6398C61F" w14:textId="77777777" w:rsidR="00795585" w:rsidRPr="007E5D9A" w:rsidRDefault="00795585">
      <w:pPr>
        <w:widowControl/>
        <w:jc w:val="left"/>
        <w:rPr>
          <w:rFonts w:ascii="Times New Roman" w:hAnsi="Times New Roman" w:cs="Times New Roman"/>
        </w:rPr>
      </w:pPr>
    </w:p>
    <w:p w14:paraId="14032F19" w14:textId="77777777" w:rsidR="00795585" w:rsidRPr="007E5D9A" w:rsidRDefault="00000000">
      <w:pPr>
        <w:pStyle w:val="10"/>
        <w:rPr>
          <w:rFonts w:ascii="Times New Roman" w:hAnsi="Times New Roman" w:cs="Times New Roman"/>
          <w:sz w:val="24"/>
        </w:rPr>
      </w:pPr>
      <w:r w:rsidRPr="007E5D9A">
        <w:rPr>
          <w:rFonts w:ascii="Times New Roman" w:hAnsi="Times New Roman" w:cs="Times New Roman"/>
        </w:rPr>
        <w:fldChar w:fldCharType="begin"/>
      </w:r>
      <w:r w:rsidRPr="007E5D9A">
        <w:rPr>
          <w:rFonts w:ascii="Times New Roman" w:hAnsi="Times New Roman" w:cs="Times New Roman"/>
        </w:rPr>
        <w:instrText xml:space="preserve"> ADDIN ZOTERO_BIBL {"uncited":[],"omitted":[],"custom":[]} CSL_BIBLIOGRAPHY </w:instrText>
      </w:r>
      <w:r w:rsidRPr="007E5D9A">
        <w:rPr>
          <w:rFonts w:ascii="Times New Roman" w:hAnsi="Times New Roman" w:cs="Times New Roman"/>
        </w:rPr>
        <w:fldChar w:fldCharType="separate"/>
      </w:r>
      <w:r w:rsidRPr="007E5D9A">
        <w:rPr>
          <w:rFonts w:ascii="Times New Roman" w:hAnsi="Times New Roman" w:cs="Times New Roman"/>
          <w:sz w:val="24"/>
        </w:rPr>
        <w:t>[1]</w:t>
      </w:r>
      <w:r w:rsidRPr="007E5D9A">
        <w:rPr>
          <w:rFonts w:ascii="Times New Roman" w:hAnsi="Times New Roman" w:cs="Times New Roman"/>
          <w:sz w:val="24"/>
        </w:rPr>
        <w:tab/>
        <w:t xml:space="preserve"> Ridker P M 2001 High-Sensitivity C-Reactive Protein: Potential Adjunct for Global Risk Assessment in the Primary Prevention of Cardiovascular Disease </w:t>
      </w:r>
      <w:r w:rsidRPr="007E5D9A">
        <w:rPr>
          <w:rFonts w:ascii="Times New Roman" w:hAnsi="Times New Roman" w:cs="Times New Roman"/>
          <w:i/>
          <w:iCs/>
          <w:sz w:val="24"/>
        </w:rPr>
        <w:t>Circulation</w:t>
      </w:r>
      <w:r w:rsidRPr="007E5D9A">
        <w:rPr>
          <w:rFonts w:ascii="Times New Roman" w:hAnsi="Times New Roman" w:cs="Times New Roman"/>
          <w:sz w:val="24"/>
        </w:rPr>
        <w:t xml:space="preserve"> </w:t>
      </w:r>
      <w:r w:rsidRPr="007E5D9A">
        <w:rPr>
          <w:rFonts w:ascii="Times New Roman" w:hAnsi="Times New Roman" w:cs="Times New Roman"/>
          <w:b/>
          <w:bCs/>
          <w:sz w:val="24"/>
        </w:rPr>
        <w:t>103</w:t>
      </w:r>
      <w:r w:rsidRPr="007E5D9A">
        <w:rPr>
          <w:rFonts w:ascii="Times New Roman" w:hAnsi="Times New Roman" w:cs="Times New Roman"/>
          <w:sz w:val="24"/>
        </w:rPr>
        <w:t xml:space="preserve"> 1813–8</w:t>
      </w:r>
    </w:p>
    <w:p w14:paraId="59329FDB" w14:textId="77777777" w:rsidR="00795585" w:rsidRPr="007E5D9A" w:rsidRDefault="00000000">
      <w:pPr>
        <w:pStyle w:val="10"/>
        <w:rPr>
          <w:rFonts w:ascii="Times New Roman" w:hAnsi="Times New Roman" w:cs="Times New Roman"/>
          <w:sz w:val="24"/>
        </w:rPr>
      </w:pPr>
      <w:r w:rsidRPr="007E5D9A">
        <w:rPr>
          <w:rFonts w:ascii="Times New Roman" w:hAnsi="Times New Roman" w:cs="Times New Roman"/>
          <w:sz w:val="24"/>
        </w:rPr>
        <w:t>[2]</w:t>
      </w:r>
      <w:r w:rsidRPr="007E5D9A">
        <w:rPr>
          <w:rFonts w:ascii="Times New Roman" w:hAnsi="Times New Roman" w:cs="Times New Roman"/>
          <w:sz w:val="24"/>
        </w:rPr>
        <w:tab/>
        <w:t xml:space="preserve"> Hotamisligil G S 2006 Inflammation and metabolic disorders </w:t>
      </w:r>
      <w:r w:rsidRPr="007E5D9A">
        <w:rPr>
          <w:rFonts w:ascii="Times New Roman" w:hAnsi="Times New Roman" w:cs="Times New Roman"/>
          <w:i/>
          <w:iCs/>
          <w:sz w:val="24"/>
        </w:rPr>
        <w:t>Nature</w:t>
      </w:r>
      <w:r w:rsidRPr="007E5D9A">
        <w:rPr>
          <w:rFonts w:ascii="Times New Roman" w:hAnsi="Times New Roman" w:cs="Times New Roman"/>
          <w:sz w:val="24"/>
        </w:rPr>
        <w:t xml:space="preserve"> </w:t>
      </w:r>
      <w:r w:rsidRPr="007E5D9A">
        <w:rPr>
          <w:rFonts w:ascii="Times New Roman" w:hAnsi="Times New Roman" w:cs="Times New Roman"/>
          <w:b/>
          <w:bCs/>
          <w:sz w:val="24"/>
        </w:rPr>
        <w:t>444</w:t>
      </w:r>
      <w:r w:rsidRPr="007E5D9A">
        <w:rPr>
          <w:rFonts w:ascii="Times New Roman" w:hAnsi="Times New Roman" w:cs="Times New Roman"/>
          <w:sz w:val="24"/>
        </w:rPr>
        <w:t xml:space="preserve"> 860–7</w:t>
      </w:r>
    </w:p>
    <w:p w14:paraId="062B833B" w14:textId="77777777" w:rsidR="00795585" w:rsidRPr="007E5D9A" w:rsidRDefault="00000000">
      <w:pPr>
        <w:pStyle w:val="10"/>
        <w:rPr>
          <w:rFonts w:ascii="Times New Roman" w:hAnsi="Times New Roman" w:cs="Times New Roman"/>
          <w:sz w:val="24"/>
        </w:rPr>
      </w:pPr>
      <w:r w:rsidRPr="007E5D9A">
        <w:rPr>
          <w:rFonts w:ascii="Times New Roman" w:hAnsi="Times New Roman" w:cs="Times New Roman"/>
          <w:sz w:val="24"/>
        </w:rPr>
        <w:t>[3]</w:t>
      </w:r>
      <w:r w:rsidRPr="007E5D9A">
        <w:rPr>
          <w:rFonts w:ascii="Times New Roman" w:hAnsi="Times New Roman" w:cs="Times New Roman"/>
          <w:sz w:val="24"/>
        </w:rPr>
        <w:tab/>
        <w:t xml:space="preserve"> Hotta K, Funahashi T, Arita Y, Takahashi M, Matsuda M, Okamoto Y, Iwahashi H, Kuriyama H, Ouchi N, Maeda K, Nishida M, Kihara S, Sakai N, Nakajima T, Hasegawa K, Muraguchi M, Ohmoto Y, Nakamura T, Yamashita S, Hanafusa T and Matsuzawa Y 2000 Plasma Concentrations of a Novel, Adipose-Specific Protein, Adiponectin, in Type 2 Diabetic Patients </w:t>
      </w:r>
      <w:r w:rsidRPr="007E5D9A">
        <w:rPr>
          <w:rFonts w:ascii="Times New Roman" w:hAnsi="Times New Roman" w:cs="Times New Roman"/>
          <w:i/>
          <w:iCs/>
          <w:sz w:val="24"/>
        </w:rPr>
        <w:t>Arterioscler. Thromb. Vasc. Biol.</w:t>
      </w:r>
      <w:r w:rsidRPr="007E5D9A">
        <w:rPr>
          <w:rFonts w:ascii="Times New Roman" w:hAnsi="Times New Roman" w:cs="Times New Roman"/>
          <w:sz w:val="24"/>
        </w:rPr>
        <w:t xml:space="preserve"> </w:t>
      </w:r>
      <w:r w:rsidRPr="007E5D9A">
        <w:rPr>
          <w:rFonts w:ascii="Times New Roman" w:hAnsi="Times New Roman" w:cs="Times New Roman"/>
          <w:b/>
          <w:bCs/>
          <w:sz w:val="24"/>
        </w:rPr>
        <w:t>20</w:t>
      </w:r>
      <w:r w:rsidRPr="007E5D9A">
        <w:rPr>
          <w:rFonts w:ascii="Times New Roman" w:hAnsi="Times New Roman" w:cs="Times New Roman"/>
          <w:sz w:val="24"/>
        </w:rPr>
        <w:t xml:space="preserve"> 1595–9</w:t>
      </w:r>
    </w:p>
    <w:p w14:paraId="4E562CC6" w14:textId="77777777" w:rsidR="00795585" w:rsidRPr="007E5D9A" w:rsidRDefault="00000000">
      <w:pPr>
        <w:pStyle w:val="10"/>
        <w:rPr>
          <w:rFonts w:ascii="Times New Roman" w:hAnsi="Times New Roman" w:cs="Times New Roman"/>
          <w:sz w:val="24"/>
        </w:rPr>
      </w:pPr>
      <w:r w:rsidRPr="007E5D9A">
        <w:rPr>
          <w:rFonts w:ascii="Times New Roman" w:hAnsi="Times New Roman" w:cs="Times New Roman"/>
          <w:sz w:val="24"/>
        </w:rPr>
        <w:t>[4]</w:t>
      </w:r>
      <w:r w:rsidRPr="007E5D9A">
        <w:rPr>
          <w:rFonts w:ascii="Times New Roman" w:hAnsi="Times New Roman" w:cs="Times New Roman"/>
          <w:sz w:val="24"/>
        </w:rPr>
        <w:tab/>
        <w:t xml:space="preserve"> Yoshimura T 2017 The production of monocyte chemoattractant protein-1 (MCP-1)/CCL2 in tumor microenvironments </w:t>
      </w:r>
      <w:r w:rsidRPr="007E5D9A">
        <w:rPr>
          <w:rFonts w:ascii="Times New Roman" w:hAnsi="Times New Roman" w:cs="Times New Roman"/>
          <w:i/>
          <w:iCs/>
          <w:sz w:val="24"/>
        </w:rPr>
        <w:t>Cytokine</w:t>
      </w:r>
      <w:r w:rsidRPr="007E5D9A">
        <w:rPr>
          <w:rFonts w:ascii="Times New Roman" w:hAnsi="Times New Roman" w:cs="Times New Roman"/>
          <w:sz w:val="24"/>
        </w:rPr>
        <w:t xml:space="preserve"> </w:t>
      </w:r>
      <w:r w:rsidRPr="007E5D9A">
        <w:rPr>
          <w:rFonts w:ascii="Times New Roman" w:hAnsi="Times New Roman" w:cs="Times New Roman"/>
          <w:b/>
          <w:bCs/>
          <w:sz w:val="24"/>
        </w:rPr>
        <w:t>98</w:t>
      </w:r>
      <w:r w:rsidRPr="007E5D9A">
        <w:rPr>
          <w:rFonts w:ascii="Times New Roman" w:hAnsi="Times New Roman" w:cs="Times New Roman"/>
          <w:sz w:val="24"/>
        </w:rPr>
        <w:t xml:space="preserve"> 71–8</w:t>
      </w:r>
    </w:p>
    <w:p w14:paraId="5B008690" w14:textId="77777777" w:rsidR="00795585" w:rsidRPr="007E5D9A" w:rsidRDefault="00000000">
      <w:pPr>
        <w:pStyle w:val="10"/>
        <w:rPr>
          <w:rFonts w:ascii="Times New Roman" w:hAnsi="Times New Roman" w:cs="Times New Roman"/>
          <w:sz w:val="24"/>
        </w:rPr>
      </w:pPr>
      <w:r w:rsidRPr="007E5D9A">
        <w:rPr>
          <w:rFonts w:ascii="Times New Roman" w:hAnsi="Times New Roman" w:cs="Times New Roman"/>
          <w:sz w:val="24"/>
        </w:rPr>
        <w:t>[5]</w:t>
      </w:r>
      <w:r w:rsidRPr="007E5D9A">
        <w:rPr>
          <w:rFonts w:ascii="Times New Roman" w:hAnsi="Times New Roman" w:cs="Times New Roman"/>
          <w:sz w:val="24"/>
        </w:rPr>
        <w:tab/>
        <w:t xml:space="preserve"> Nagase H and Woessner J F 1999 Matrix Metalloproteinases </w:t>
      </w:r>
      <w:r w:rsidRPr="007E5D9A">
        <w:rPr>
          <w:rFonts w:ascii="Times New Roman" w:hAnsi="Times New Roman" w:cs="Times New Roman"/>
          <w:i/>
          <w:iCs/>
          <w:sz w:val="24"/>
        </w:rPr>
        <w:t>J. Biol. Chem.</w:t>
      </w:r>
      <w:r w:rsidRPr="007E5D9A">
        <w:rPr>
          <w:rFonts w:ascii="Times New Roman" w:hAnsi="Times New Roman" w:cs="Times New Roman"/>
          <w:sz w:val="24"/>
        </w:rPr>
        <w:t xml:space="preserve"> </w:t>
      </w:r>
      <w:r w:rsidRPr="007E5D9A">
        <w:rPr>
          <w:rFonts w:ascii="Times New Roman" w:hAnsi="Times New Roman" w:cs="Times New Roman"/>
          <w:b/>
          <w:bCs/>
          <w:sz w:val="24"/>
        </w:rPr>
        <w:t>274</w:t>
      </w:r>
      <w:r w:rsidRPr="007E5D9A">
        <w:rPr>
          <w:rFonts w:ascii="Times New Roman" w:hAnsi="Times New Roman" w:cs="Times New Roman"/>
          <w:sz w:val="24"/>
        </w:rPr>
        <w:t xml:space="preserve"> 21491–4</w:t>
      </w:r>
    </w:p>
    <w:p w14:paraId="3E372BF6" w14:textId="77777777" w:rsidR="00795585" w:rsidRPr="007E5D9A" w:rsidRDefault="00000000">
      <w:pPr>
        <w:pStyle w:val="10"/>
        <w:rPr>
          <w:rFonts w:ascii="Times New Roman" w:hAnsi="Times New Roman" w:cs="Times New Roman"/>
          <w:sz w:val="24"/>
        </w:rPr>
      </w:pPr>
      <w:r w:rsidRPr="007E5D9A">
        <w:rPr>
          <w:rFonts w:ascii="Times New Roman" w:hAnsi="Times New Roman" w:cs="Times New Roman"/>
          <w:sz w:val="24"/>
        </w:rPr>
        <w:t>[6]</w:t>
      </w:r>
      <w:r w:rsidRPr="007E5D9A">
        <w:rPr>
          <w:rFonts w:ascii="Times New Roman" w:hAnsi="Times New Roman" w:cs="Times New Roman"/>
          <w:sz w:val="24"/>
        </w:rPr>
        <w:tab/>
        <w:t xml:space="preserve"> Devarajan P 2008 Neutrophil gelatinase‐associated lipocalin (NGAL): A new marker of kidney disease </w:t>
      </w:r>
      <w:r w:rsidRPr="007E5D9A">
        <w:rPr>
          <w:rFonts w:ascii="Times New Roman" w:hAnsi="Times New Roman" w:cs="Times New Roman"/>
          <w:i/>
          <w:iCs/>
          <w:sz w:val="24"/>
        </w:rPr>
        <w:t>Scand. J. Clin. Lab. Invest.</w:t>
      </w:r>
      <w:r w:rsidRPr="007E5D9A">
        <w:rPr>
          <w:rFonts w:ascii="Times New Roman" w:hAnsi="Times New Roman" w:cs="Times New Roman"/>
          <w:sz w:val="24"/>
        </w:rPr>
        <w:t xml:space="preserve"> </w:t>
      </w:r>
      <w:r w:rsidRPr="007E5D9A">
        <w:rPr>
          <w:rFonts w:ascii="Times New Roman" w:hAnsi="Times New Roman" w:cs="Times New Roman"/>
          <w:b/>
          <w:bCs/>
          <w:sz w:val="24"/>
        </w:rPr>
        <w:t>68</w:t>
      </w:r>
      <w:r w:rsidRPr="007E5D9A">
        <w:rPr>
          <w:rFonts w:ascii="Times New Roman" w:hAnsi="Times New Roman" w:cs="Times New Roman"/>
          <w:sz w:val="24"/>
        </w:rPr>
        <w:t xml:space="preserve"> 89–94</w:t>
      </w:r>
    </w:p>
    <w:p w14:paraId="659E5A8D" w14:textId="77777777" w:rsidR="00795585" w:rsidRPr="007E5D9A" w:rsidRDefault="00000000">
      <w:pPr>
        <w:pStyle w:val="10"/>
        <w:rPr>
          <w:rFonts w:ascii="Times New Roman" w:hAnsi="Times New Roman" w:cs="Times New Roman"/>
          <w:sz w:val="24"/>
        </w:rPr>
      </w:pPr>
      <w:r w:rsidRPr="007E5D9A">
        <w:rPr>
          <w:rFonts w:ascii="Times New Roman" w:hAnsi="Times New Roman" w:cs="Times New Roman"/>
          <w:sz w:val="24"/>
        </w:rPr>
        <w:t>[7]</w:t>
      </w:r>
      <w:r w:rsidRPr="007E5D9A">
        <w:rPr>
          <w:rFonts w:ascii="Times New Roman" w:hAnsi="Times New Roman" w:cs="Times New Roman"/>
          <w:sz w:val="24"/>
        </w:rPr>
        <w:tab/>
        <w:t xml:space="preserve"> Hayek S S, Sever S, Ko Y-A, Trachtman H, Awad M, Wadhwani S, Altintas M M, Wei C, Hotton A L, French A L, Sperling L S, Lerakis S, Quyyumi A A and </w:t>
      </w:r>
      <w:r w:rsidRPr="007E5D9A">
        <w:rPr>
          <w:rFonts w:ascii="Times New Roman" w:hAnsi="Times New Roman" w:cs="Times New Roman"/>
          <w:sz w:val="24"/>
        </w:rPr>
        <w:lastRenderedPageBreak/>
        <w:t xml:space="preserve">Reiser J 2015 Soluble Urokinase Receptor and Chronic Kidney Disease </w:t>
      </w:r>
      <w:r w:rsidRPr="007E5D9A">
        <w:rPr>
          <w:rFonts w:ascii="Times New Roman" w:hAnsi="Times New Roman" w:cs="Times New Roman"/>
          <w:i/>
          <w:iCs/>
          <w:sz w:val="24"/>
        </w:rPr>
        <w:t>N. Engl. J. Med.</w:t>
      </w:r>
      <w:r w:rsidRPr="007E5D9A">
        <w:rPr>
          <w:rFonts w:ascii="Times New Roman" w:hAnsi="Times New Roman" w:cs="Times New Roman"/>
          <w:sz w:val="24"/>
        </w:rPr>
        <w:t xml:space="preserve"> </w:t>
      </w:r>
      <w:r w:rsidRPr="007E5D9A">
        <w:rPr>
          <w:rFonts w:ascii="Times New Roman" w:hAnsi="Times New Roman" w:cs="Times New Roman"/>
          <w:b/>
          <w:bCs/>
          <w:sz w:val="24"/>
        </w:rPr>
        <w:t>373</w:t>
      </w:r>
      <w:r w:rsidRPr="007E5D9A">
        <w:rPr>
          <w:rFonts w:ascii="Times New Roman" w:hAnsi="Times New Roman" w:cs="Times New Roman"/>
          <w:sz w:val="24"/>
        </w:rPr>
        <w:t xml:space="preserve"> 1916–25</w:t>
      </w:r>
    </w:p>
    <w:p w14:paraId="0704B96E" w14:textId="77777777" w:rsidR="00795585" w:rsidRPr="007E5D9A" w:rsidRDefault="00000000">
      <w:pPr>
        <w:pStyle w:val="10"/>
        <w:rPr>
          <w:rFonts w:ascii="Times New Roman" w:hAnsi="Times New Roman" w:cs="Times New Roman"/>
          <w:sz w:val="24"/>
        </w:rPr>
      </w:pPr>
      <w:r w:rsidRPr="007E5D9A">
        <w:rPr>
          <w:rFonts w:ascii="Times New Roman" w:hAnsi="Times New Roman" w:cs="Times New Roman"/>
          <w:sz w:val="24"/>
        </w:rPr>
        <w:t>[8]</w:t>
      </w:r>
      <w:r w:rsidRPr="007E5D9A">
        <w:rPr>
          <w:rFonts w:ascii="Times New Roman" w:hAnsi="Times New Roman" w:cs="Times New Roman"/>
          <w:sz w:val="24"/>
        </w:rPr>
        <w:tab/>
        <w:t xml:space="preserve"> Ronco C, Haapio M, House A A, Anavekar N and Bellomo R 2008 Cardiorenal Syndrome </w:t>
      </w:r>
      <w:r w:rsidRPr="007E5D9A">
        <w:rPr>
          <w:rFonts w:ascii="Times New Roman" w:hAnsi="Times New Roman" w:cs="Times New Roman"/>
          <w:i/>
          <w:iCs/>
          <w:sz w:val="24"/>
        </w:rPr>
        <w:t>J. Am. Coll. Cardiol.</w:t>
      </w:r>
      <w:r w:rsidRPr="007E5D9A">
        <w:rPr>
          <w:rFonts w:ascii="Times New Roman" w:hAnsi="Times New Roman" w:cs="Times New Roman"/>
          <w:sz w:val="24"/>
        </w:rPr>
        <w:t xml:space="preserve"> </w:t>
      </w:r>
      <w:r w:rsidRPr="007E5D9A">
        <w:rPr>
          <w:rFonts w:ascii="Times New Roman" w:hAnsi="Times New Roman" w:cs="Times New Roman"/>
          <w:b/>
          <w:bCs/>
          <w:sz w:val="24"/>
        </w:rPr>
        <w:t>52</w:t>
      </w:r>
      <w:r w:rsidRPr="007E5D9A">
        <w:rPr>
          <w:rFonts w:ascii="Times New Roman" w:hAnsi="Times New Roman" w:cs="Times New Roman"/>
          <w:sz w:val="24"/>
        </w:rPr>
        <w:t xml:space="preserve"> 1527–39</w:t>
      </w:r>
    </w:p>
    <w:p w14:paraId="5B4A5B25" w14:textId="77777777" w:rsidR="00795585" w:rsidRPr="007E5D9A" w:rsidRDefault="00000000">
      <w:pPr>
        <w:pStyle w:val="10"/>
        <w:rPr>
          <w:rFonts w:ascii="Times New Roman" w:hAnsi="Times New Roman" w:cs="Times New Roman"/>
          <w:sz w:val="24"/>
        </w:rPr>
      </w:pPr>
      <w:r w:rsidRPr="007E5D9A">
        <w:rPr>
          <w:rFonts w:ascii="Times New Roman" w:hAnsi="Times New Roman" w:cs="Times New Roman"/>
          <w:sz w:val="24"/>
        </w:rPr>
        <w:t>[9]</w:t>
      </w:r>
      <w:r w:rsidRPr="007E5D9A">
        <w:rPr>
          <w:rFonts w:ascii="Times New Roman" w:hAnsi="Times New Roman" w:cs="Times New Roman"/>
          <w:sz w:val="24"/>
        </w:rPr>
        <w:tab/>
        <w:t xml:space="preserve"> Kosiborod M N, Abildstrøm S Z, Borlaug B A, Butler J, Rasmussen S, Davies M, Hovingh G K, Kitzman D W, Lindegaard M L, Møller D V, Shah S J, Treppendahl M B, Verma S, Abhayaratna W, Ahmed F Z, Chopra V, Ezekowitz J, Fu M, Ito H, Lelonek M, Melenovsky V, Merkely B, Núñez J, Perna E, Schou M, Senni M, Sharma K, Van Der Meer P, Von Lewinski D, Wolf D and Petrie M C 2023 Semaglutide in Patients with Heart Failure with Preserved Ejection Fraction and Obesity </w:t>
      </w:r>
      <w:r w:rsidRPr="007E5D9A">
        <w:rPr>
          <w:rFonts w:ascii="Times New Roman" w:hAnsi="Times New Roman" w:cs="Times New Roman"/>
          <w:i/>
          <w:iCs/>
          <w:sz w:val="24"/>
        </w:rPr>
        <w:t>N. Engl. J. Med.</w:t>
      </w:r>
      <w:r w:rsidRPr="007E5D9A">
        <w:rPr>
          <w:rFonts w:ascii="Times New Roman" w:hAnsi="Times New Roman" w:cs="Times New Roman"/>
          <w:sz w:val="24"/>
        </w:rPr>
        <w:t xml:space="preserve"> </w:t>
      </w:r>
      <w:r w:rsidRPr="007E5D9A">
        <w:rPr>
          <w:rFonts w:ascii="Times New Roman" w:hAnsi="Times New Roman" w:cs="Times New Roman"/>
          <w:b/>
          <w:bCs/>
          <w:sz w:val="24"/>
        </w:rPr>
        <w:t>389</w:t>
      </w:r>
      <w:r w:rsidRPr="007E5D9A">
        <w:rPr>
          <w:rFonts w:ascii="Times New Roman" w:hAnsi="Times New Roman" w:cs="Times New Roman"/>
          <w:sz w:val="24"/>
        </w:rPr>
        <w:t xml:space="preserve"> 1069–84</w:t>
      </w:r>
    </w:p>
    <w:p w14:paraId="4E977E65" w14:textId="77777777" w:rsidR="00795585" w:rsidRPr="007E5D9A" w:rsidRDefault="00000000">
      <w:pPr>
        <w:pStyle w:val="10"/>
        <w:rPr>
          <w:rFonts w:ascii="Times New Roman" w:hAnsi="Times New Roman" w:cs="Times New Roman"/>
          <w:sz w:val="24"/>
        </w:rPr>
      </w:pPr>
      <w:r w:rsidRPr="007E5D9A">
        <w:rPr>
          <w:rFonts w:ascii="Times New Roman" w:hAnsi="Times New Roman" w:cs="Times New Roman"/>
          <w:sz w:val="24"/>
        </w:rPr>
        <w:t>[10]</w:t>
      </w:r>
      <w:r w:rsidRPr="007E5D9A">
        <w:rPr>
          <w:rFonts w:ascii="Times New Roman" w:hAnsi="Times New Roman" w:cs="Times New Roman"/>
          <w:sz w:val="24"/>
        </w:rPr>
        <w:tab/>
        <w:t xml:space="preserve"> Stefan N, Hennige A M, Staiger H, Machann J, Schick F, Kröber S M, Machicao F, Fritsche A and Häring H-U 2006 α2-Heremans-Schmid Glycoprotein/ Fetuin-A Is Associated With Insulin Resistance and Fat Accumulation in the Liver in Humans </w:t>
      </w:r>
      <w:r w:rsidRPr="007E5D9A">
        <w:rPr>
          <w:rFonts w:ascii="Times New Roman" w:hAnsi="Times New Roman" w:cs="Times New Roman"/>
          <w:i/>
          <w:iCs/>
          <w:sz w:val="24"/>
        </w:rPr>
        <w:t>Diabetes Care</w:t>
      </w:r>
      <w:r w:rsidRPr="007E5D9A">
        <w:rPr>
          <w:rFonts w:ascii="Times New Roman" w:hAnsi="Times New Roman" w:cs="Times New Roman"/>
          <w:sz w:val="24"/>
        </w:rPr>
        <w:t xml:space="preserve"> </w:t>
      </w:r>
      <w:r w:rsidRPr="007E5D9A">
        <w:rPr>
          <w:rFonts w:ascii="Times New Roman" w:hAnsi="Times New Roman" w:cs="Times New Roman"/>
          <w:b/>
          <w:bCs/>
          <w:sz w:val="24"/>
        </w:rPr>
        <w:t>29</w:t>
      </w:r>
      <w:r w:rsidRPr="007E5D9A">
        <w:rPr>
          <w:rFonts w:ascii="Times New Roman" w:hAnsi="Times New Roman" w:cs="Times New Roman"/>
          <w:sz w:val="24"/>
        </w:rPr>
        <w:t xml:space="preserve"> 853–7</w:t>
      </w:r>
    </w:p>
    <w:p w14:paraId="24D8CE5F" w14:textId="77777777" w:rsidR="00795585" w:rsidRPr="007E5D9A" w:rsidRDefault="00000000">
      <w:pPr>
        <w:pStyle w:val="10"/>
        <w:rPr>
          <w:rFonts w:ascii="Times New Roman" w:hAnsi="Times New Roman" w:cs="Times New Roman"/>
          <w:sz w:val="24"/>
        </w:rPr>
      </w:pPr>
      <w:r w:rsidRPr="007E5D9A">
        <w:rPr>
          <w:rFonts w:ascii="Times New Roman" w:hAnsi="Times New Roman" w:cs="Times New Roman"/>
          <w:sz w:val="24"/>
        </w:rPr>
        <w:t>[11]</w:t>
      </w:r>
      <w:r w:rsidRPr="007E5D9A">
        <w:rPr>
          <w:rFonts w:ascii="Times New Roman" w:hAnsi="Times New Roman" w:cs="Times New Roman"/>
          <w:sz w:val="24"/>
        </w:rPr>
        <w:tab/>
        <w:t xml:space="preserve"> Zile M R, Borlaug B A, Kramer C M and Packer M 2025 Response by Zile et al to Letter Regarding Article, “Effects of Tirzepatide on the Clinical Trajectory of Patients With Heart Failure, Preserved Ejection Fraction, and Obesity” </w:t>
      </w:r>
      <w:r w:rsidRPr="007E5D9A">
        <w:rPr>
          <w:rFonts w:ascii="Times New Roman" w:hAnsi="Times New Roman" w:cs="Times New Roman"/>
          <w:i/>
          <w:iCs/>
          <w:sz w:val="24"/>
        </w:rPr>
        <w:t>Circulation</w:t>
      </w:r>
      <w:r w:rsidRPr="007E5D9A">
        <w:rPr>
          <w:rFonts w:ascii="Times New Roman" w:hAnsi="Times New Roman" w:cs="Times New Roman"/>
          <w:sz w:val="24"/>
        </w:rPr>
        <w:t xml:space="preserve"> </w:t>
      </w:r>
      <w:r w:rsidRPr="007E5D9A">
        <w:rPr>
          <w:rFonts w:ascii="Times New Roman" w:hAnsi="Times New Roman" w:cs="Times New Roman"/>
          <w:b/>
          <w:bCs/>
          <w:sz w:val="24"/>
        </w:rPr>
        <w:t>152</w:t>
      </w:r>
    </w:p>
    <w:p w14:paraId="2C71D8A5" w14:textId="77777777" w:rsidR="00795585" w:rsidRPr="007E5D9A" w:rsidRDefault="00000000">
      <w:pPr>
        <w:pStyle w:val="10"/>
        <w:rPr>
          <w:rFonts w:ascii="Times New Roman" w:hAnsi="Times New Roman" w:cs="Times New Roman"/>
          <w:sz w:val="24"/>
        </w:rPr>
      </w:pPr>
      <w:r w:rsidRPr="007E5D9A">
        <w:rPr>
          <w:rFonts w:ascii="Times New Roman" w:hAnsi="Times New Roman" w:cs="Times New Roman"/>
          <w:sz w:val="24"/>
        </w:rPr>
        <w:t>[12]</w:t>
      </w:r>
      <w:r w:rsidRPr="007E5D9A">
        <w:rPr>
          <w:rFonts w:ascii="Times New Roman" w:hAnsi="Times New Roman" w:cs="Times New Roman"/>
          <w:sz w:val="24"/>
        </w:rPr>
        <w:tab/>
        <w:t xml:space="preserve"> Bayés-Genís A, Núñez J and Lupón J Soluble ST2 for Prognosis and Monitoring in Heart Failure</w:t>
      </w:r>
    </w:p>
    <w:p w14:paraId="26910C62" w14:textId="77777777" w:rsidR="00795585" w:rsidRPr="007E5D9A" w:rsidRDefault="00000000">
      <w:pPr>
        <w:pStyle w:val="10"/>
        <w:rPr>
          <w:rFonts w:ascii="Times New Roman" w:hAnsi="Times New Roman" w:cs="Times New Roman"/>
          <w:sz w:val="24"/>
        </w:rPr>
      </w:pPr>
      <w:r w:rsidRPr="007E5D9A">
        <w:rPr>
          <w:rFonts w:ascii="Times New Roman" w:hAnsi="Times New Roman" w:cs="Times New Roman"/>
          <w:sz w:val="24"/>
        </w:rPr>
        <w:t>[13]</w:t>
      </w:r>
      <w:r w:rsidRPr="007E5D9A">
        <w:rPr>
          <w:rFonts w:ascii="Times New Roman" w:hAnsi="Times New Roman" w:cs="Times New Roman"/>
          <w:sz w:val="24"/>
        </w:rPr>
        <w:tab/>
        <w:t xml:space="preserve"> Wollert K C 2007 Growth-differentiation factor-15 in cardiovascular disease: From bench to bedside, and back </w:t>
      </w:r>
      <w:r w:rsidRPr="007E5D9A">
        <w:rPr>
          <w:rFonts w:ascii="Times New Roman" w:hAnsi="Times New Roman" w:cs="Times New Roman"/>
          <w:i/>
          <w:iCs/>
          <w:sz w:val="24"/>
        </w:rPr>
        <w:t>Basic Res. Cardiol.</w:t>
      </w:r>
      <w:r w:rsidRPr="007E5D9A">
        <w:rPr>
          <w:rFonts w:ascii="Times New Roman" w:hAnsi="Times New Roman" w:cs="Times New Roman"/>
          <w:sz w:val="24"/>
        </w:rPr>
        <w:t xml:space="preserve"> </w:t>
      </w:r>
      <w:r w:rsidRPr="007E5D9A">
        <w:rPr>
          <w:rFonts w:ascii="Times New Roman" w:hAnsi="Times New Roman" w:cs="Times New Roman"/>
          <w:b/>
          <w:bCs/>
          <w:sz w:val="24"/>
        </w:rPr>
        <w:t>102</w:t>
      </w:r>
      <w:r w:rsidRPr="007E5D9A">
        <w:rPr>
          <w:rFonts w:ascii="Times New Roman" w:hAnsi="Times New Roman" w:cs="Times New Roman"/>
          <w:sz w:val="24"/>
        </w:rPr>
        <w:t xml:space="preserve"> 412–5</w:t>
      </w:r>
    </w:p>
    <w:p w14:paraId="2594C84C" w14:textId="77777777" w:rsidR="00795585" w:rsidRPr="007E5D9A" w:rsidRDefault="00000000">
      <w:pPr>
        <w:pStyle w:val="10"/>
        <w:rPr>
          <w:rFonts w:ascii="Times New Roman" w:hAnsi="Times New Roman" w:cs="Times New Roman"/>
          <w:sz w:val="24"/>
        </w:rPr>
      </w:pPr>
      <w:r w:rsidRPr="007E5D9A">
        <w:rPr>
          <w:rFonts w:ascii="Times New Roman" w:hAnsi="Times New Roman" w:cs="Times New Roman"/>
          <w:sz w:val="24"/>
        </w:rPr>
        <w:t>[14]</w:t>
      </w:r>
      <w:r w:rsidRPr="007E5D9A">
        <w:rPr>
          <w:rFonts w:ascii="Times New Roman" w:hAnsi="Times New Roman" w:cs="Times New Roman"/>
          <w:sz w:val="24"/>
        </w:rPr>
        <w:tab/>
        <w:t xml:space="preserve"> De Mello W C 2017 Local Renin Angiotensin Aldosterone Systems and Cardiovascular Diseases </w:t>
      </w:r>
      <w:r w:rsidRPr="007E5D9A">
        <w:rPr>
          <w:rFonts w:ascii="Times New Roman" w:hAnsi="Times New Roman" w:cs="Times New Roman"/>
          <w:i/>
          <w:iCs/>
          <w:sz w:val="24"/>
        </w:rPr>
        <w:t>Med. Clin. North Am.</w:t>
      </w:r>
      <w:r w:rsidRPr="007E5D9A">
        <w:rPr>
          <w:rFonts w:ascii="Times New Roman" w:hAnsi="Times New Roman" w:cs="Times New Roman"/>
          <w:sz w:val="24"/>
        </w:rPr>
        <w:t xml:space="preserve"> </w:t>
      </w:r>
      <w:r w:rsidRPr="007E5D9A">
        <w:rPr>
          <w:rFonts w:ascii="Times New Roman" w:hAnsi="Times New Roman" w:cs="Times New Roman"/>
          <w:b/>
          <w:bCs/>
          <w:sz w:val="24"/>
        </w:rPr>
        <w:t>101</w:t>
      </w:r>
      <w:r w:rsidRPr="007E5D9A">
        <w:rPr>
          <w:rFonts w:ascii="Times New Roman" w:hAnsi="Times New Roman" w:cs="Times New Roman"/>
          <w:sz w:val="24"/>
        </w:rPr>
        <w:t xml:space="preserve"> 117–27</w:t>
      </w:r>
    </w:p>
    <w:p w14:paraId="57D4C407" w14:textId="77777777" w:rsidR="00795585" w:rsidRPr="007E5D9A" w:rsidRDefault="00000000">
      <w:pPr>
        <w:pStyle w:val="10"/>
        <w:rPr>
          <w:rFonts w:ascii="Times New Roman" w:hAnsi="Times New Roman" w:cs="Times New Roman"/>
          <w:sz w:val="24"/>
        </w:rPr>
      </w:pPr>
      <w:r w:rsidRPr="007E5D9A">
        <w:rPr>
          <w:rFonts w:ascii="Times New Roman" w:hAnsi="Times New Roman" w:cs="Times New Roman"/>
          <w:sz w:val="24"/>
        </w:rPr>
        <w:t>[15]</w:t>
      </w:r>
      <w:r w:rsidRPr="007E5D9A">
        <w:rPr>
          <w:rFonts w:ascii="Times New Roman" w:hAnsi="Times New Roman" w:cs="Times New Roman"/>
          <w:sz w:val="24"/>
        </w:rPr>
        <w:tab/>
        <w:t xml:space="preserve"> Borghi C, Rosei E A, Bardin T, Dawson J, Dominiczak A, Kielstein J T, Manolis A J, Perez-Ruiz F and Mancia G 2015 Serum uric acid and the risk of cardiovascular and renal disease </w:t>
      </w:r>
      <w:r w:rsidRPr="007E5D9A">
        <w:rPr>
          <w:rFonts w:ascii="Times New Roman" w:hAnsi="Times New Roman" w:cs="Times New Roman"/>
          <w:i/>
          <w:iCs/>
          <w:sz w:val="24"/>
        </w:rPr>
        <w:t>J. Hypertens.</w:t>
      </w:r>
      <w:r w:rsidRPr="007E5D9A">
        <w:rPr>
          <w:rFonts w:ascii="Times New Roman" w:hAnsi="Times New Roman" w:cs="Times New Roman"/>
          <w:sz w:val="24"/>
        </w:rPr>
        <w:t xml:space="preserve"> </w:t>
      </w:r>
      <w:r w:rsidRPr="007E5D9A">
        <w:rPr>
          <w:rFonts w:ascii="Times New Roman" w:hAnsi="Times New Roman" w:cs="Times New Roman"/>
          <w:b/>
          <w:bCs/>
          <w:sz w:val="24"/>
        </w:rPr>
        <w:t>33</w:t>
      </w:r>
      <w:r w:rsidRPr="007E5D9A">
        <w:rPr>
          <w:rFonts w:ascii="Times New Roman" w:hAnsi="Times New Roman" w:cs="Times New Roman"/>
          <w:sz w:val="24"/>
        </w:rPr>
        <w:t xml:space="preserve"> 1729–41</w:t>
      </w:r>
    </w:p>
    <w:p w14:paraId="18713822" w14:textId="77777777" w:rsidR="00795585" w:rsidRPr="007E5D9A" w:rsidRDefault="00000000">
      <w:pPr>
        <w:pStyle w:val="10"/>
        <w:rPr>
          <w:rFonts w:ascii="Times New Roman" w:hAnsi="Times New Roman" w:cs="Times New Roman"/>
          <w:sz w:val="24"/>
        </w:rPr>
      </w:pPr>
      <w:r w:rsidRPr="007E5D9A">
        <w:rPr>
          <w:rFonts w:ascii="Times New Roman" w:hAnsi="Times New Roman" w:cs="Times New Roman"/>
          <w:sz w:val="24"/>
        </w:rPr>
        <w:t>[16]</w:t>
      </w:r>
      <w:r w:rsidRPr="007E5D9A">
        <w:rPr>
          <w:rFonts w:ascii="Times New Roman" w:hAnsi="Times New Roman" w:cs="Times New Roman"/>
          <w:sz w:val="24"/>
        </w:rPr>
        <w:tab/>
        <w:t xml:space="preserve"> Ferdinand K C 2024 An overview of cardiovascular-kidney-metabolic syndrome </w:t>
      </w:r>
      <w:r w:rsidRPr="007E5D9A">
        <w:rPr>
          <w:rFonts w:ascii="Times New Roman" w:hAnsi="Times New Roman" w:cs="Times New Roman"/>
          <w:i/>
          <w:iCs/>
          <w:sz w:val="24"/>
        </w:rPr>
        <w:t>Am. J. Manag. Care</w:t>
      </w:r>
      <w:r w:rsidRPr="007E5D9A">
        <w:rPr>
          <w:rFonts w:ascii="Times New Roman" w:hAnsi="Times New Roman" w:cs="Times New Roman"/>
          <w:sz w:val="24"/>
        </w:rPr>
        <w:t xml:space="preserve"> </w:t>
      </w:r>
      <w:r w:rsidRPr="007E5D9A">
        <w:rPr>
          <w:rFonts w:ascii="Times New Roman" w:hAnsi="Times New Roman" w:cs="Times New Roman"/>
          <w:b/>
          <w:bCs/>
          <w:sz w:val="24"/>
        </w:rPr>
        <w:t>30</w:t>
      </w:r>
      <w:r w:rsidRPr="007E5D9A">
        <w:rPr>
          <w:rFonts w:ascii="Times New Roman" w:hAnsi="Times New Roman" w:cs="Times New Roman"/>
          <w:sz w:val="24"/>
        </w:rPr>
        <w:t xml:space="preserve"> S181–8</w:t>
      </w:r>
    </w:p>
    <w:p w14:paraId="4A831FEE" w14:textId="77777777" w:rsidR="00795585" w:rsidRPr="007E5D9A" w:rsidRDefault="00000000">
      <w:pPr>
        <w:pStyle w:val="10"/>
        <w:rPr>
          <w:rFonts w:ascii="Times New Roman" w:hAnsi="Times New Roman" w:cs="Times New Roman"/>
          <w:sz w:val="24"/>
        </w:rPr>
      </w:pPr>
      <w:r w:rsidRPr="007E5D9A">
        <w:rPr>
          <w:rFonts w:ascii="Times New Roman" w:hAnsi="Times New Roman" w:cs="Times New Roman"/>
          <w:sz w:val="24"/>
        </w:rPr>
        <w:t>[17]</w:t>
      </w:r>
      <w:r w:rsidRPr="007E5D9A">
        <w:rPr>
          <w:rFonts w:ascii="Times New Roman" w:hAnsi="Times New Roman" w:cs="Times New Roman"/>
          <w:sz w:val="24"/>
        </w:rPr>
        <w:tab/>
        <w:t xml:space="preserve"> Zannad F, Sanyal A J, Butler J, Miller V and Harrison S A 2024 Integrating liver endpoints in clinical trials of cardiovascular and kidney disease </w:t>
      </w:r>
      <w:r w:rsidRPr="007E5D9A">
        <w:rPr>
          <w:rFonts w:ascii="Times New Roman" w:hAnsi="Times New Roman" w:cs="Times New Roman"/>
          <w:i/>
          <w:iCs/>
          <w:sz w:val="24"/>
        </w:rPr>
        <w:t>Nat. Med.</w:t>
      </w:r>
      <w:r w:rsidRPr="007E5D9A">
        <w:rPr>
          <w:rFonts w:ascii="Times New Roman" w:hAnsi="Times New Roman" w:cs="Times New Roman"/>
          <w:sz w:val="24"/>
        </w:rPr>
        <w:t xml:space="preserve"> </w:t>
      </w:r>
      <w:r w:rsidRPr="007E5D9A">
        <w:rPr>
          <w:rFonts w:ascii="Times New Roman" w:hAnsi="Times New Roman" w:cs="Times New Roman"/>
          <w:b/>
          <w:bCs/>
          <w:sz w:val="24"/>
        </w:rPr>
        <w:t>30</w:t>
      </w:r>
      <w:r w:rsidRPr="007E5D9A">
        <w:rPr>
          <w:rFonts w:ascii="Times New Roman" w:hAnsi="Times New Roman" w:cs="Times New Roman"/>
          <w:sz w:val="24"/>
        </w:rPr>
        <w:t xml:space="preserve"> 2423–31</w:t>
      </w:r>
    </w:p>
    <w:p w14:paraId="236CD46A" w14:textId="77777777" w:rsidR="00795585" w:rsidRPr="007E5D9A" w:rsidRDefault="00000000">
      <w:pPr>
        <w:pStyle w:val="10"/>
        <w:rPr>
          <w:rFonts w:ascii="Times New Roman" w:hAnsi="Times New Roman" w:cs="Times New Roman"/>
          <w:sz w:val="24"/>
        </w:rPr>
      </w:pPr>
      <w:r w:rsidRPr="007E5D9A">
        <w:rPr>
          <w:rFonts w:ascii="Times New Roman" w:hAnsi="Times New Roman" w:cs="Times New Roman"/>
          <w:sz w:val="24"/>
        </w:rPr>
        <w:t>[18]</w:t>
      </w:r>
      <w:r w:rsidRPr="007E5D9A">
        <w:rPr>
          <w:rFonts w:ascii="Times New Roman" w:hAnsi="Times New Roman" w:cs="Times New Roman"/>
          <w:sz w:val="24"/>
        </w:rPr>
        <w:tab/>
        <w:t xml:space="preserve"> Kawaharata W, Tanaka M, Sato T, Akiyama Y, Hosaka I, Aida H, Matsumori R, Nakata K, Nishizawa K, Suzuki T, Kouzu H, Hanawa N and Furuhashi M 2025 Incorporation of Metabolic Dysfunction-Associated Steatotic Liver Disease in </w:t>
      </w:r>
      <w:r w:rsidRPr="007E5D9A">
        <w:rPr>
          <w:rFonts w:ascii="Times New Roman" w:hAnsi="Times New Roman" w:cs="Times New Roman"/>
          <w:sz w:val="24"/>
        </w:rPr>
        <w:lastRenderedPageBreak/>
        <w:t xml:space="preserve">the Health Stage of Cardiovascular-Kidney-Metabolic Syndrome Improves Predictive Ability for Coronary Artery Disease in a Japanese General Population </w:t>
      </w:r>
      <w:r w:rsidRPr="007E5D9A">
        <w:rPr>
          <w:rFonts w:ascii="Times New Roman" w:hAnsi="Times New Roman" w:cs="Times New Roman"/>
          <w:i/>
          <w:iCs/>
          <w:sz w:val="24"/>
        </w:rPr>
        <w:t>J. Am. Heart Assoc.</w:t>
      </w:r>
      <w:r w:rsidRPr="007E5D9A">
        <w:rPr>
          <w:rFonts w:ascii="Times New Roman" w:hAnsi="Times New Roman" w:cs="Times New Roman"/>
          <w:sz w:val="24"/>
        </w:rPr>
        <w:t xml:space="preserve"> </w:t>
      </w:r>
      <w:r w:rsidRPr="007E5D9A">
        <w:rPr>
          <w:rFonts w:ascii="Times New Roman" w:hAnsi="Times New Roman" w:cs="Times New Roman"/>
          <w:b/>
          <w:bCs/>
          <w:sz w:val="24"/>
        </w:rPr>
        <w:t>14</w:t>
      </w:r>
      <w:r w:rsidRPr="007E5D9A">
        <w:rPr>
          <w:rFonts w:ascii="Times New Roman" w:hAnsi="Times New Roman" w:cs="Times New Roman"/>
          <w:sz w:val="24"/>
        </w:rPr>
        <w:t xml:space="preserve"> e043173</w:t>
      </w:r>
    </w:p>
    <w:p w14:paraId="211DB004" w14:textId="77777777" w:rsidR="00795585" w:rsidRPr="007E5D9A" w:rsidRDefault="00000000">
      <w:pPr>
        <w:pStyle w:val="10"/>
        <w:rPr>
          <w:rFonts w:ascii="Times New Roman" w:hAnsi="Times New Roman" w:cs="Times New Roman"/>
          <w:sz w:val="24"/>
        </w:rPr>
      </w:pPr>
      <w:r w:rsidRPr="007E5D9A">
        <w:rPr>
          <w:rFonts w:ascii="Times New Roman" w:hAnsi="Times New Roman" w:cs="Times New Roman"/>
          <w:sz w:val="24"/>
        </w:rPr>
        <w:t>[19]</w:t>
      </w:r>
      <w:r w:rsidRPr="007E5D9A">
        <w:rPr>
          <w:rFonts w:ascii="Times New Roman" w:hAnsi="Times New Roman" w:cs="Times New Roman"/>
          <w:sz w:val="24"/>
        </w:rPr>
        <w:tab/>
        <w:t xml:space="preserve"> Chen Q, Zhu Y, Gao J, Ni W, Liu S, Rui F, Bai X, Geng N, Jin R, Sun Y, Chen Y, Fan Z, Wu C, Qi X, Shi J and Li J 2025 Cardiovascular-kidney-metabolic (CKM) syndrome is associated with increased mortality in individuals with metabolic dysfunction-associated steatotic liver disease (MASLD) </w:t>
      </w:r>
      <w:r w:rsidRPr="007E5D9A">
        <w:rPr>
          <w:rFonts w:ascii="Times New Roman" w:hAnsi="Times New Roman" w:cs="Times New Roman"/>
          <w:i/>
          <w:iCs/>
          <w:sz w:val="24"/>
        </w:rPr>
        <w:t>Commun. Med.</w:t>
      </w:r>
      <w:r w:rsidRPr="007E5D9A">
        <w:rPr>
          <w:rFonts w:ascii="Times New Roman" w:hAnsi="Times New Roman" w:cs="Times New Roman"/>
          <w:sz w:val="24"/>
        </w:rPr>
        <w:t xml:space="preserve"> </w:t>
      </w:r>
      <w:r w:rsidRPr="007E5D9A">
        <w:rPr>
          <w:rFonts w:ascii="Times New Roman" w:hAnsi="Times New Roman" w:cs="Times New Roman"/>
          <w:b/>
          <w:bCs/>
          <w:sz w:val="24"/>
        </w:rPr>
        <w:t>5</w:t>
      </w:r>
      <w:r w:rsidRPr="007E5D9A">
        <w:rPr>
          <w:rFonts w:ascii="Times New Roman" w:hAnsi="Times New Roman" w:cs="Times New Roman"/>
          <w:sz w:val="24"/>
        </w:rPr>
        <w:t xml:space="preserve"> 492</w:t>
      </w:r>
    </w:p>
    <w:p w14:paraId="0AF64433" w14:textId="77777777" w:rsidR="00795585" w:rsidRPr="007E5D9A" w:rsidRDefault="00000000">
      <w:pPr>
        <w:pStyle w:val="10"/>
        <w:rPr>
          <w:rFonts w:ascii="Times New Roman" w:hAnsi="Times New Roman" w:cs="Times New Roman"/>
          <w:sz w:val="24"/>
        </w:rPr>
      </w:pPr>
      <w:r w:rsidRPr="007E5D9A">
        <w:rPr>
          <w:rFonts w:ascii="Times New Roman" w:hAnsi="Times New Roman" w:cs="Times New Roman"/>
          <w:sz w:val="24"/>
        </w:rPr>
        <w:t>[20]</w:t>
      </w:r>
      <w:r w:rsidRPr="007E5D9A">
        <w:rPr>
          <w:rFonts w:ascii="Times New Roman" w:hAnsi="Times New Roman" w:cs="Times New Roman"/>
          <w:sz w:val="24"/>
        </w:rPr>
        <w:tab/>
        <w:t xml:space="preserve"> Theodorakis N and Nikolaou M 2025 From Cardiovascular-Kidney-Metabolic Syndrome to Cardiovascular-Renal-Hepatic-Metabolic Syndrome: Proposing an Expanded Framework. </w:t>
      </w:r>
      <w:r w:rsidRPr="007E5D9A">
        <w:rPr>
          <w:rFonts w:ascii="Times New Roman" w:hAnsi="Times New Roman" w:cs="Times New Roman"/>
          <w:i/>
          <w:iCs/>
          <w:sz w:val="24"/>
        </w:rPr>
        <w:t>Biomolecules</w:t>
      </w:r>
      <w:r w:rsidRPr="007E5D9A">
        <w:rPr>
          <w:rFonts w:ascii="Times New Roman" w:hAnsi="Times New Roman" w:cs="Times New Roman"/>
          <w:sz w:val="24"/>
        </w:rPr>
        <w:t xml:space="preserve"> </w:t>
      </w:r>
      <w:r w:rsidRPr="007E5D9A">
        <w:rPr>
          <w:rFonts w:ascii="Times New Roman" w:hAnsi="Times New Roman" w:cs="Times New Roman"/>
          <w:b/>
          <w:bCs/>
          <w:sz w:val="24"/>
        </w:rPr>
        <w:t>15</w:t>
      </w:r>
    </w:p>
    <w:p w14:paraId="24A31B97" w14:textId="77777777" w:rsidR="00795585" w:rsidRPr="007E5D9A" w:rsidRDefault="00000000">
      <w:pPr>
        <w:pStyle w:val="10"/>
        <w:rPr>
          <w:rFonts w:ascii="Times New Roman" w:hAnsi="Times New Roman" w:cs="Times New Roman"/>
          <w:sz w:val="24"/>
        </w:rPr>
      </w:pPr>
      <w:r w:rsidRPr="007E5D9A">
        <w:rPr>
          <w:rFonts w:ascii="Times New Roman" w:hAnsi="Times New Roman" w:cs="Times New Roman"/>
          <w:sz w:val="24"/>
        </w:rPr>
        <w:t>[21]</w:t>
      </w:r>
      <w:r w:rsidRPr="007E5D9A">
        <w:rPr>
          <w:rFonts w:ascii="Times New Roman" w:hAnsi="Times New Roman" w:cs="Times New Roman"/>
          <w:sz w:val="24"/>
        </w:rPr>
        <w:tab/>
        <w:t xml:space="preserve"> Goodheart R H and Ayonrinde O T 2025 Connecting the Dots: Hepatic Steatosis as a Central Player in the Choreography of the Liver-Cardiovascular-Kidney-Metabolic Syndrome. </w:t>
      </w:r>
      <w:r w:rsidRPr="007E5D9A">
        <w:rPr>
          <w:rFonts w:ascii="Times New Roman" w:hAnsi="Times New Roman" w:cs="Times New Roman"/>
          <w:i/>
          <w:iCs/>
          <w:sz w:val="24"/>
        </w:rPr>
        <w:t>Heart Lung Circ.</w:t>
      </w:r>
      <w:r w:rsidRPr="007E5D9A">
        <w:rPr>
          <w:rFonts w:ascii="Times New Roman" w:hAnsi="Times New Roman" w:cs="Times New Roman"/>
          <w:sz w:val="24"/>
        </w:rPr>
        <w:t xml:space="preserve"> </w:t>
      </w:r>
      <w:r w:rsidRPr="007E5D9A">
        <w:rPr>
          <w:rFonts w:ascii="Times New Roman" w:hAnsi="Times New Roman" w:cs="Times New Roman"/>
          <w:b/>
          <w:bCs/>
          <w:sz w:val="24"/>
        </w:rPr>
        <w:t>34</w:t>
      </w:r>
      <w:r w:rsidRPr="007E5D9A">
        <w:rPr>
          <w:rFonts w:ascii="Times New Roman" w:hAnsi="Times New Roman" w:cs="Times New Roman"/>
          <w:sz w:val="24"/>
        </w:rPr>
        <w:t xml:space="preserve"> 1050–9</w:t>
      </w:r>
    </w:p>
    <w:p w14:paraId="20663923" w14:textId="77777777" w:rsidR="00795585" w:rsidRPr="007E5D9A" w:rsidRDefault="00000000">
      <w:pPr>
        <w:pStyle w:val="10"/>
        <w:rPr>
          <w:rFonts w:ascii="Times New Roman" w:hAnsi="Times New Roman" w:cs="Times New Roman"/>
          <w:sz w:val="24"/>
        </w:rPr>
      </w:pPr>
      <w:r w:rsidRPr="007E5D9A">
        <w:rPr>
          <w:rFonts w:ascii="Times New Roman" w:hAnsi="Times New Roman" w:cs="Times New Roman"/>
          <w:sz w:val="24"/>
        </w:rPr>
        <w:t>[22]</w:t>
      </w:r>
      <w:r w:rsidRPr="007E5D9A">
        <w:rPr>
          <w:rFonts w:ascii="Times New Roman" w:hAnsi="Times New Roman" w:cs="Times New Roman"/>
          <w:sz w:val="24"/>
        </w:rPr>
        <w:tab/>
        <w:t xml:space="preserve"> Lonardo A, Mantovani A, Targher G and Baffy G 2022 Nonalcoholic Fatty Liver Disease and Chronic Kidney Disease: Epidemiology, Pathogenesis, and Clinical and Research Implications. </w:t>
      </w:r>
      <w:r w:rsidRPr="007E5D9A">
        <w:rPr>
          <w:rFonts w:ascii="Times New Roman" w:hAnsi="Times New Roman" w:cs="Times New Roman"/>
          <w:i/>
          <w:iCs/>
          <w:sz w:val="24"/>
        </w:rPr>
        <w:t>Int. J. Mol. Sci.</w:t>
      </w:r>
      <w:r w:rsidRPr="007E5D9A">
        <w:rPr>
          <w:rFonts w:ascii="Times New Roman" w:hAnsi="Times New Roman" w:cs="Times New Roman"/>
          <w:sz w:val="24"/>
        </w:rPr>
        <w:t xml:space="preserve"> </w:t>
      </w:r>
      <w:r w:rsidRPr="007E5D9A">
        <w:rPr>
          <w:rFonts w:ascii="Times New Roman" w:hAnsi="Times New Roman" w:cs="Times New Roman"/>
          <w:b/>
          <w:bCs/>
          <w:sz w:val="24"/>
        </w:rPr>
        <w:t>23</w:t>
      </w:r>
    </w:p>
    <w:p w14:paraId="0CAABFEC" w14:textId="77777777" w:rsidR="00795585" w:rsidRPr="007E5D9A" w:rsidRDefault="00000000">
      <w:pPr>
        <w:pStyle w:val="10"/>
        <w:rPr>
          <w:rFonts w:ascii="Times New Roman" w:hAnsi="Times New Roman" w:cs="Times New Roman"/>
          <w:sz w:val="24"/>
        </w:rPr>
      </w:pPr>
      <w:r w:rsidRPr="007E5D9A">
        <w:rPr>
          <w:rFonts w:ascii="Times New Roman" w:hAnsi="Times New Roman" w:cs="Times New Roman"/>
          <w:sz w:val="24"/>
        </w:rPr>
        <w:t>[23]</w:t>
      </w:r>
      <w:r w:rsidRPr="007E5D9A">
        <w:rPr>
          <w:rFonts w:ascii="Times New Roman" w:hAnsi="Times New Roman" w:cs="Times New Roman"/>
          <w:sz w:val="24"/>
        </w:rPr>
        <w:tab/>
        <w:t xml:space="preserve"> Piatto D, De Biasio D, Cesaro F G, Forcina G, Frattolillo V, Colucci A, Lamberti F, Marzuillo P, Miraglia Del Giudice E and Di Sessa A 2025 Liver-Kidney Crosstalk in Major Pediatric Diseases: Unraveling the Complexities and Clinical Challenges. </w:t>
      </w:r>
      <w:r w:rsidRPr="007E5D9A">
        <w:rPr>
          <w:rFonts w:ascii="Times New Roman" w:hAnsi="Times New Roman" w:cs="Times New Roman"/>
          <w:i/>
          <w:iCs/>
          <w:sz w:val="24"/>
        </w:rPr>
        <w:t>J. Clin. Med.</w:t>
      </w:r>
      <w:r w:rsidRPr="007E5D9A">
        <w:rPr>
          <w:rFonts w:ascii="Times New Roman" w:hAnsi="Times New Roman" w:cs="Times New Roman"/>
          <w:sz w:val="24"/>
        </w:rPr>
        <w:t xml:space="preserve"> </w:t>
      </w:r>
      <w:r w:rsidRPr="007E5D9A">
        <w:rPr>
          <w:rFonts w:ascii="Times New Roman" w:hAnsi="Times New Roman" w:cs="Times New Roman"/>
          <w:b/>
          <w:bCs/>
          <w:sz w:val="24"/>
        </w:rPr>
        <w:t>14</w:t>
      </w:r>
    </w:p>
    <w:p w14:paraId="0D9169CC" w14:textId="77777777" w:rsidR="00795585" w:rsidRPr="007E5D9A" w:rsidRDefault="00000000">
      <w:pPr>
        <w:pStyle w:val="10"/>
        <w:rPr>
          <w:rFonts w:ascii="Times New Roman" w:hAnsi="Times New Roman" w:cs="Times New Roman"/>
          <w:sz w:val="24"/>
        </w:rPr>
      </w:pPr>
      <w:r w:rsidRPr="007E5D9A">
        <w:rPr>
          <w:rFonts w:ascii="Times New Roman" w:hAnsi="Times New Roman" w:cs="Times New Roman"/>
          <w:sz w:val="24"/>
        </w:rPr>
        <w:t>[24]</w:t>
      </w:r>
      <w:r w:rsidRPr="007E5D9A">
        <w:rPr>
          <w:rFonts w:ascii="Times New Roman" w:hAnsi="Times New Roman" w:cs="Times New Roman"/>
          <w:sz w:val="24"/>
        </w:rPr>
        <w:tab/>
        <w:t xml:space="preserve"> Arragan Lezama C A, Jaramillo Ramos J J, Armas Eguizábal D A, Solares Ovando X S, Minera Villagrán J C and Males Caiza C J 2025 Cardiovascular-Renal-Hepatic-Metabolic Syndrome: Interlinked Pathophysiology and Integrated Management Approach. </w:t>
      </w:r>
      <w:r w:rsidRPr="007E5D9A">
        <w:rPr>
          <w:rFonts w:ascii="Times New Roman" w:hAnsi="Times New Roman" w:cs="Times New Roman"/>
          <w:i/>
          <w:iCs/>
          <w:sz w:val="24"/>
        </w:rPr>
        <w:t>Cureus</w:t>
      </w:r>
      <w:r w:rsidRPr="007E5D9A">
        <w:rPr>
          <w:rFonts w:ascii="Times New Roman" w:hAnsi="Times New Roman" w:cs="Times New Roman"/>
          <w:sz w:val="24"/>
        </w:rPr>
        <w:t xml:space="preserve"> </w:t>
      </w:r>
      <w:r w:rsidRPr="007E5D9A">
        <w:rPr>
          <w:rFonts w:ascii="Times New Roman" w:hAnsi="Times New Roman" w:cs="Times New Roman"/>
          <w:b/>
          <w:bCs/>
          <w:sz w:val="24"/>
        </w:rPr>
        <w:t>17</w:t>
      </w:r>
      <w:r w:rsidRPr="007E5D9A">
        <w:rPr>
          <w:rFonts w:ascii="Times New Roman" w:hAnsi="Times New Roman" w:cs="Times New Roman"/>
          <w:sz w:val="24"/>
        </w:rPr>
        <w:t xml:space="preserve"> e85813</w:t>
      </w:r>
    </w:p>
    <w:p w14:paraId="1E947F45" w14:textId="77777777" w:rsidR="00795585" w:rsidRPr="007E5D9A" w:rsidRDefault="00000000">
      <w:pPr>
        <w:pStyle w:val="10"/>
        <w:rPr>
          <w:rFonts w:ascii="Times New Roman" w:hAnsi="Times New Roman" w:cs="Times New Roman"/>
          <w:sz w:val="24"/>
        </w:rPr>
      </w:pPr>
      <w:r w:rsidRPr="007E5D9A">
        <w:rPr>
          <w:rFonts w:ascii="Times New Roman" w:hAnsi="Times New Roman" w:cs="Times New Roman"/>
          <w:sz w:val="24"/>
        </w:rPr>
        <w:t>[25]</w:t>
      </w:r>
      <w:r w:rsidRPr="007E5D9A">
        <w:rPr>
          <w:rFonts w:ascii="Times New Roman" w:hAnsi="Times New Roman" w:cs="Times New Roman"/>
          <w:sz w:val="24"/>
        </w:rPr>
        <w:tab/>
        <w:t xml:space="preserve"> Ezeani C, Omaliko C, Al-Ajlouni Y A and Njei B 2024 Mortality, Hepatic Decompensation, and Cardiovascular- and Renal-Related Outcomes in Lean Versus Non-lean Patients Hospitalized With Metabolic  Dysfunction-Associated Steatohepatitis (MASH). </w:t>
      </w:r>
      <w:r w:rsidRPr="007E5D9A">
        <w:rPr>
          <w:rFonts w:ascii="Times New Roman" w:hAnsi="Times New Roman" w:cs="Times New Roman"/>
          <w:i/>
          <w:iCs/>
          <w:sz w:val="24"/>
        </w:rPr>
        <w:t>Cureus</w:t>
      </w:r>
      <w:r w:rsidRPr="007E5D9A">
        <w:rPr>
          <w:rFonts w:ascii="Times New Roman" w:hAnsi="Times New Roman" w:cs="Times New Roman"/>
          <w:sz w:val="24"/>
        </w:rPr>
        <w:t xml:space="preserve"> </w:t>
      </w:r>
      <w:r w:rsidRPr="007E5D9A">
        <w:rPr>
          <w:rFonts w:ascii="Times New Roman" w:hAnsi="Times New Roman" w:cs="Times New Roman"/>
          <w:b/>
          <w:bCs/>
          <w:sz w:val="24"/>
        </w:rPr>
        <w:t>16</w:t>
      </w:r>
      <w:r w:rsidRPr="007E5D9A">
        <w:rPr>
          <w:rFonts w:ascii="Times New Roman" w:hAnsi="Times New Roman" w:cs="Times New Roman"/>
          <w:sz w:val="24"/>
        </w:rPr>
        <w:t xml:space="preserve"> e60968</w:t>
      </w:r>
    </w:p>
    <w:p w14:paraId="41E32A78" w14:textId="77777777" w:rsidR="00795585" w:rsidRPr="007E5D9A" w:rsidRDefault="00000000">
      <w:pPr>
        <w:pStyle w:val="10"/>
        <w:rPr>
          <w:rFonts w:ascii="Times New Roman" w:hAnsi="Times New Roman" w:cs="Times New Roman"/>
          <w:sz w:val="24"/>
        </w:rPr>
      </w:pPr>
      <w:r w:rsidRPr="007E5D9A">
        <w:rPr>
          <w:rFonts w:ascii="Times New Roman" w:hAnsi="Times New Roman" w:cs="Times New Roman"/>
          <w:sz w:val="24"/>
        </w:rPr>
        <w:t>[26]</w:t>
      </w:r>
      <w:r w:rsidRPr="007E5D9A">
        <w:rPr>
          <w:rFonts w:ascii="Times New Roman" w:hAnsi="Times New Roman" w:cs="Times New Roman"/>
          <w:sz w:val="24"/>
        </w:rPr>
        <w:tab/>
        <w:t xml:space="preserve"> Wang S, Zeng J, Chen Y, Sun F, Ma H, Zhang L, Lin Z, Wang C, Wang Y, Yang Q, Luo M, Lin K and Guo Y 2025 Association between Systemic Inflammation and Worsening Renal Function in Cardiovascular-Kidney-Metabolic Syndrome. </w:t>
      </w:r>
      <w:r w:rsidRPr="007E5D9A">
        <w:rPr>
          <w:rFonts w:ascii="Times New Roman" w:hAnsi="Times New Roman" w:cs="Times New Roman"/>
          <w:i/>
          <w:iCs/>
          <w:sz w:val="24"/>
        </w:rPr>
        <w:t>Am. J. Nephrol.</w:t>
      </w:r>
      <w:r w:rsidRPr="007E5D9A">
        <w:rPr>
          <w:rFonts w:ascii="Times New Roman" w:hAnsi="Times New Roman" w:cs="Times New Roman"/>
          <w:sz w:val="24"/>
        </w:rPr>
        <w:t xml:space="preserve"> 1–11</w:t>
      </w:r>
    </w:p>
    <w:p w14:paraId="42E12478" w14:textId="77777777" w:rsidR="00795585" w:rsidRPr="007E5D9A" w:rsidRDefault="00000000">
      <w:pPr>
        <w:pStyle w:val="10"/>
        <w:rPr>
          <w:rFonts w:ascii="Times New Roman" w:hAnsi="Times New Roman" w:cs="Times New Roman"/>
          <w:sz w:val="24"/>
        </w:rPr>
      </w:pPr>
      <w:r w:rsidRPr="007E5D9A">
        <w:rPr>
          <w:rFonts w:ascii="Times New Roman" w:hAnsi="Times New Roman" w:cs="Times New Roman"/>
          <w:sz w:val="24"/>
        </w:rPr>
        <w:t>[27]</w:t>
      </w:r>
      <w:r w:rsidRPr="007E5D9A">
        <w:rPr>
          <w:rFonts w:ascii="Times New Roman" w:hAnsi="Times New Roman" w:cs="Times New Roman"/>
          <w:sz w:val="24"/>
        </w:rPr>
        <w:tab/>
        <w:t xml:space="preserve"> Lombardi M, Troisi J, Motta B M, Torre P, Masarone M and Persico M 2024 Gut-Liver Axis Dysregulation in Portal Hypertension: Emerging Frontiers. </w:t>
      </w:r>
      <w:r w:rsidRPr="007E5D9A">
        <w:rPr>
          <w:rFonts w:ascii="Times New Roman" w:hAnsi="Times New Roman" w:cs="Times New Roman"/>
          <w:i/>
          <w:iCs/>
          <w:sz w:val="24"/>
        </w:rPr>
        <w:t>Nutrients</w:t>
      </w:r>
      <w:r w:rsidRPr="007E5D9A">
        <w:rPr>
          <w:rFonts w:ascii="Times New Roman" w:hAnsi="Times New Roman" w:cs="Times New Roman"/>
          <w:sz w:val="24"/>
        </w:rPr>
        <w:t xml:space="preserve"> </w:t>
      </w:r>
      <w:r w:rsidRPr="007E5D9A">
        <w:rPr>
          <w:rFonts w:ascii="Times New Roman" w:hAnsi="Times New Roman" w:cs="Times New Roman"/>
          <w:b/>
          <w:bCs/>
          <w:sz w:val="24"/>
        </w:rPr>
        <w:t>16</w:t>
      </w:r>
    </w:p>
    <w:p w14:paraId="5240F87E" w14:textId="77777777" w:rsidR="00795585" w:rsidRPr="007E5D9A" w:rsidRDefault="00000000">
      <w:pPr>
        <w:pStyle w:val="10"/>
        <w:rPr>
          <w:rFonts w:ascii="Times New Roman" w:hAnsi="Times New Roman" w:cs="Times New Roman"/>
          <w:sz w:val="24"/>
        </w:rPr>
      </w:pPr>
      <w:r w:rsidRPr="007E5D9A">
        <w:rPr>
          <w:rFonts w:ascii="Times New Roman" w:hAnsi="Times New Roman" w:cs="Times New Roman"/>
          <w:sz w:val="24"/>
        </w:rPr>
        <w:t>[28]</w:t>
      </w:r>
      <w:r w:rsidRPr="007E5D9A">
        <w:rPr>
          <w:rFonts w:ascii="Times New Roman" w:hAnsi="Times New Roman" w:cs="Times New Roman"/>
          <w:sz w:val="24"/>
        </w:rPr>
        <w:tab/>
        <w:t xml:space="preserve"> Khajuria R, Jindal A, Sharma M K, Arora V, Vyas A K, Kumar G and Sarin S K </w:t>
      </w:r>
      <w:r w:rsidRPr="007E5D9A">
        <w:rPr>
          <w:rFonts w:ascii="Times New Roman" w:hAnsi="Times New Roman" w:cs="Times New Roman"/>
          <w:sz w:val="24"/>
        </w:rPr>
        <w:lastRenderedPageBreak/>
        <w:t xml:space="preserve">2025 Efficacy and Safety of Carvedilol in Cirrhosis Patients With New-Onset Uncomplicated Ascites Without High-Risk Esophageal Varices (CARVE-AS Trial). </w:t>
      </w:r>
      <w:r w:rsidRPr="007E5D9A">
        <w:rPr>
          <w:rFonts w:ascii="Times New Roman" w:hAnsi="Times New Roman" w:cs="Times New Roman"/>
          <w:i/>
          <w:iCs/>
          <w:sz w:val="24"/>
        </w:rPr>
        <w:t>Am. J. Gastroenterol.</w:t>
      </w:r>
    </w:p>
    <w:p w14:paraId="2189DF01" w14:textId="77777777" w:rsidR="00795585" w:rsidRPr="007E5D9A" w:rsidRDefault="00000000">
      <w:pPr>
        <w:pStyle w:val="10"/>
        <w:rPr>
          <w:rFonts w:ascii="Times New Roman" w:hAnsi="Times New Roman" w:cs="Times New Roman"/>
          <w:sz w:val="24"/>
        </w:rPr>
      </w:pPr>
      <w:r w:rsidRPr="007E5D9A">
        <w:rPr>
          <w:rFonts w:ascii="Times New Roman" w:hAnsi="Times New Roman" w:cs="Times New Roman"/>
          <w:sz w:val="24"/>
        </w:rPr>
        <w:t>[29]</w:t>
      </w:r>
      <w:r w:rsidRPr="007E5D9A">
        <w:rPr>
          <w:rFonts w:ascii="Times New Roman" w:hAnsi="Times New Roman" w:cs="Times New Roman"/>
          <w:sz w:val="24"/>
        </w:rPr>
        <w:tab/>
        <w:t xml:space="preserve"> Manolis A A, Manolis T A, Vouliotis A and Manolis A S 2025 Metabolic Dysfunction-Associated Steatotic Liver Disease and the Cardiovascular System </w:t>
      </w:r>
      <w:r w:rsidRPr="007E5D9A">
        <w:rPr>
          <w:rFonts w:ascii="Times New Roman" w:hAnsi="Times New Roman" w:cs="Times New Roman"/>
          <w:i/>
          <w:iCs/>
          <w:sz w:val="24"/>
        </w:rPr>
        <w:t>Trends Cardiovasc. Med.</w:t>
      </w:r>
    </w:p>
    <w:p w14:paraId="413CEC0D" w14:textId="77777777" w:rsidR="00795585" w:rsidRPr="007E5D9A" w:rsidRDefault="00000000">
      <w:pPr>
        <w:pStyle w:val="10"/>
        <w:rPr>
          <w:rFonts w:ascii="Times New Roman" w:hAnsi="Times New Roman" w:cs="Times New Roman"/>
          <w:sz w:val="24"/>
        </w:rPr>
      </w:pPr>
      <w:r w:rsidRPr="007E5D9A">
        <w:rPr>
          <w:rFonts w:ascii="Times New Roman" w:hAnsi="Times New Roman" w:cs="Times New Roman"/>
          <w:sz w:val="24"/>
        </w:rPr>
        <w:t>[30]</w:t>
      </w:r>
      <w:r w:rsidRPr="007E5D9A">
        <w:rPr>
          <w:rFonts w:ascii="Times New Roman" w:hAnsi="Times New Roman" w:cs="Times New Roman"/>
          <w:sz w:val="24"/>
        </w:rPr>
        <w:tab/>
        <w:t xml:space="preserve"> McPherson S, Hardy T, Dufour J-F, Petta S, Romero-Gomez M, Allison M, Oliveira C P, Francque S, Van Gaal L, Schattenberg J M, Tiniakos D, Burt A, Bugianesi E, Ratziu V, Day C P and Anstee Q M 2017 Age as a Confounding Factor for the Accurate Non-Invasive Diagnosis of Advanced NAFLD Fibrosis </w:t>
      </w:r>
      <w:r w:rsidRPr="007E5D9A">
        <w:rPr>
          <w:rFonts w:ascii="Times New Roman" w:hAnsi="Times New Roman" w:cs="Times New Roman"/>
          <w:i/>
          <w:iCs/>
          <w:sz w:val="24"/>
        </w:rPr>
        <w:t>Am. J. Gastroenterol.</w:t>
      </w:r>
      <w:r w:rsidRPr="007E5D9A">
        <w:rPr>
          <w:rFonts w:ascii="Times New Roman" w:hAnsi="Times New Roman" w:cs="Times New Roman"/>
          <w:sz w:val="24"/>
        </w:rPr>
        <w:t xml:space="preserve"> </w:t>
      </w:r>
      <w:r w:rsidRPr="007E5D9A">
        <w:rPr>
          <w:rFonts w:ascii="Times New Roman" w:hAnsi="Times New Roman" w:cs="Times New Roman"/>
          <w:b/>
          <w:bCs/>
          <w:sz w:val="24"/>
        </w:rPr>
        <w:t>112</w:t>
      </w:r>
      <w:r w:rsidRPr="007E5D9A">
        <w:rPr>
          <w:rFonts w:ascii="Times New Roman" w:hAnsi="Times New Roman" w:cs="Times New Roman"/>
          <w:sz w:val="24"/>
        </w:rPr>
        <w:t xml:space="preserve"> 740–51</w:t>
      </w:r>
    </w:p>
    <w:p w14:paraId="59387B86" w14:textId="77777777" w:rsidR="00795585" w:rsidRPr="007E5D9A" w:rsidRDefault="00000000">
      <w:pPr>
        <w:pStyle w:val="10"/>
        <w:rPr>
          <w:rFonts w:ascii="Times New Roman" w:hAnsi="Times New Roman" w:cs="Times New Roman"/>
          <w:sz w:val="24"/>
        </w:rPr>
      </w:pPr>
      <w:r w:rsidRPr="007E5D9A">
        <w:rPr>
          <w:rFonts w:ascii="Times New Roman" w:hAnsi="Times New Roman" w:cs="Times New Roman"/>
          <w:sz w:val="24"/>
        </w:rPr>
        <w:t>[31]</w:t>
      </w:r>
      <w:r w:rsidRPr="007E5D9A">
        <w:rPr>
          <w:rFonts w:ascii="Times New Roman" w:hAnsi="Times New Roman" w:cs="Times New Roman"/>
          <w:sz w:val="24"/>
        </w:rPr>
        <w:tab/>
        <w:t xml:space="preserve"> Pennisi G, Enea M, Falco V, Aithal G P, Palaniyappan N, Yilmaz Y, Boursier J, Cassinotto C, De Lédinghen V, Chan W K, Mahadeva S, Eddowes P, Newsome P, Karlas T, Wiegand J, Wong V W-S, Schattenberg J M, Labenz C, Kim W, Lee M S, Lupsor-Platon M, Cobbold J F L, Fan J-G, Shen F, Staufer K, Trauner M, Stauber R, Nakajima A, Yoneda M, Bugianesi E, Younes R, Gaia S, Zheng M-H, Cammà C, Anstee Q M, Mózes F E, Pavlides M and Petta S 2023 Noninvasive assessment of liver disease severity in patients with nonalcoholic fatty liver disease (NAFLD) and type 2 diabetes </w:t>
      </w:r>
      <w:r w:rsidRPr="007E5D9A">
        <w:rPr>
          <w:rFonts w:ascii="Times New Roman" w:hAnsi="Times New Roman" w:cs="Times New Roman"/>
          <w:i/>
          <w:iCs/>
          <w:sz w:val="24"/>
        </w:rPr>
        <w:t>Hepatology</w:t>
      </w:r>
      <w:r w:rsidRPr="007E5D9A">
        <w:rPr>
          <w:rFonts w:ascii="Times New Roman" w:hAnsi="Times New Roman" w:cs="Times New Roman"/>
          <w:sz w:val="24"/>
        </w:rPr>
        <w:t xml:space="preserve"> </w:t>
      </w:r>
      <w:r w:rsidRPr="007E5D9A">
        <w:rPr>
          <w:rFonts w:ascii="Times New Roman" w:hAnsi="Times New Roman" w:cs="Times New Roman"/>
          <w:b/>
          <w:bCs/>
          <w:sz w:val="24"/>
        </w:rPr>
        <w:t>78</w:t>
      </w:r>
      <w:r w:rsidRPr="007E5D9A">
        <w:rPr>
          <w:rFonts w:ascii="Times New Roman" w:hAnsi="Times New Roman" w:cs="Times New Roman"/>
          <w:sz w:val="24"/>
        </w:rPr>
        <w:t xml:space="preserve"> 195–211</w:t>
      </w:r>
    </w:p>
    <w:p w14:paraId="66E7A47C" w14:textId="77777777" w:rsidR="00795585" w:rsidRPr="007E5D9A" w:rsidRDefault="00000000">
      <w:pPr>
        <w:pStyle w:val="10"/>
        <w:rPr>
          <w:rFonts w:ascii="Times New Roman" w:hAnsi="Times New Roman" w:cs="Times New Roman"/>
          <w:sz w:val="24"/>
        </w:rPr>
      </w:pPr>
      <w:r w:rsidRPr="007E5D9A">
        <w:rPr>
          <w:rFonts w:ascii="Times New Roman" w:hAnsi="Times New Roman" w:cs="Times New Roman"/>
          <w:sz w:val="24"/>
        </w:rPr>
        <w:t>[32]</w:t>
      </w:r>
      <w:r w:rsidRPr="007E5D9A">
        <w:rPr>
          <w:rFonts w:ascii="Times New Roman" w:hAnsi="Times New Roman" w:cs="Times New Roman"/>
          <w:sz w:val="24"/>
        </w:rPr>
        <w:tab/>
        <w:t xml:space="preserve"> Wong V W-S, Irles M, Wong G L-H, Shili S, Chan A W-H, Merrouche W, Shu S S-T, Foucher J, Le Bail B, Chan W K, Chan H L-Y and De Ledinghen V 2019 Unified interpretation of liver stiffness measurement by M and XL probes in non-alcoholic fatty liver disease </w:t>
      </w:r>
      <w:r w:rsidRPr="007E5D9A">
        <w:rPr>
          <w:rFonts w:ascii="Times New Roman" w:hAnsi="Times New Roman" w:cs="Times New Roman"/>
          <w:i/>
          <w:iCs/>
          <w:sz w:val="24"/>
        </w:rPr>
        <w:t>Gut</w:t>
      </w:r>
      <w:r w:rsidRPr="007E5D9A">
        <w:rPr>
          <w:rFonts w:ascii="Times New Roman" w:hAnsi="Times New Roman" w:cs="Times New Roman"/>
          <w:sz w:val="24"/>
        </w:rPr>
        <w:t xml:space="preserve"> </w:t>
      </w:r>
      <w:r w:rsidRPr="007E5D9A">
        <w:rPr>
          <w:rFonts w:ascii="Times New Roman" w:hAnsi="Times New Roman" w:cs="Times New Roman"/>
          <w:b/>
          <w:bCs/>
          <w:sz w:val="24"/>
        </w:rPr>
        <w:t>68</w:t>
      </w:r>
      <w:r w:rsidRPr="007E5D9A">
        <w:rPr>
          <w:rFonts w:ascii="Times New Roman" w:hAnsi="Times New Roman" w:cs="Times New Roman"/>
          <w:sz w:val="24"/>
        </w:rPr>
        <w:t xml:space="preserve"> 2057–64</w:t>
      </w:r>
    </w:p>
    <w:p w14:paraId="5F9E1CF6" w14:textId="77777777" w:rsidR="00795585" w:rsidRPr="007E5D9A" w:rsidRDefault="00000000">
      <w:pPr>
        <w:pStyle w:val="10"/>
        <w:rPr>
          <w:rFonts w:ascii="Times New Roman" w:hAnsi="Times New Roman" w:cs="Times New Roman"/>
          <w:sz w:val="24"/>
        </w:rPr>
      </w:pPr>
      <w:r w:rsidRPr="007E5D9A">
        <w:rPr>
          <w:rFonts w:ascii="Times New Roman" w:hAnsi="Times New Roman" w:cs="Times New Roman"/>
          <w:sz w:val="24"/>
        </w:rPr>
        <w:t>[33]</w:t>
      </w:r>
      <w:r w:rsidRPr="007E5D9A">
        <w:rPr>
          <w:rFonts w:ascii="Times New Roman" w:hAnsi="Times New Roman" w:cs="Times New Roman"/>
          <w:sz w:val="24"/>
        </w:rPr>
        <w:tab/>
        <w:t xml:space="preserve"> Tomeno W, Imajo K, Kuwada Y, Ogawa Y, Kikuchi M, Honda Y, Kato T, Kessoku T, Kirikoshi H, Yoneda M, Kitahora T, Saito S, Ozawa Y and Nakajima A 2019 Distribution of liver stiffness in non‐alcoholic fatty liver disease with higher fibrosis‐4 index than low cut‐off index </w:t>
      </w:r>
      <w:r w:rsidRPr="007E5D9A">
        <w:rPr>
          <w:rFonts w:ascii="Times New Roman" w:hAnsi="Times New Roman" w:cs="Times New Roman"/>
          <w:i/>
          <w:iCs/>
          <w:sz w:val="24"/>
        </w:rPr>
        <w:t>J. Gastroenterol. Hepatol.</w:t>
      </w:r>
      <w:r w:rsidRPr="007E5D9A">
        <w:rPr>
          <w:rFonts w:ascii="Times New Roman" w:hAnsi="Times New Roman" w:cs="Times New Roman"/>
          <w:sz w:val="24"/>
        </w:rPr>
        <w:t xml:space="preserve"> </w:t>
      </w:r>
      <w:r w:rsidRPr="007E5D9A">
        <w:rPr>
          <w:rFonts w:ascii="Times New Roman" w:hAnsi="Times New Roman" w:cs="Times New Roman"/>
          <w:b/>
          <w:bCs/>
          <w:sz w:val="24"/>
        </w:rPr>
        <w:t>34</w:t>
      </w:r>
      <w:r w:rsidRPr="007E5D9A">
        <w:rPr>
          <w:rFonts w:ascii="Times New Roman" w:hAnsi="Times New Roman" w:cs="Times New Roman"/>
          <w:sz w:val="24"/>
        </w:rPr>
        <w:t xml:space="preserve"> 1411–6</w:t>
      </w:r>
    </w:p>
    <w:p w14:paraId="4FC9E321" w14:textId="77777777" w:rsidR="00795585" w:rsidRPr="007E5D9A" w:rsidRDefault="00000000">
      <w:pPr>
        <w:pStyle w:val="10"/>
        <w:rPr>
          <w:rFonts w:ascii="Times New Roman" w:hAnsi="Times New Roman" w:cs="Times New Roman"/>
          <w:sz w:val="24"/>
        </w:rPr>
      </w:pPr>
      <w:r w:rsidRPr="007E5D9A">
        <w:rPr>
          <w:rFonts w:ascii="Times New Roman" w:hAnsi="Times New Roman" w:cs="Times New Roman"/>
          <w:sz w:val="24"/>
        </w:rPr>
        <w:t>[34]</w:t>
      </w:r>
      <w:r w:rsidRPr="007E5D9A">
        <w:rPr>
          <w:rFonts w:ascii="Times New Roman" w:hAnsi="Times New Roman" w:cs="Times New Roman"/>
          <w:sz w:val="24"/>
        </w:rPr>
        <w:tab/>
        <w:t xml:space="preserve"> Millonig G, Friedrich S, Adolf S, Fonouni H, Golriz M, Mehrabi A, Stiefel P, Pöschl G, Büchler M W, Seitz H K and Mueller S 2010 Liver stiffness is directly influenced by central venous pressure </w:t>
      </w:r>
      <w:r w:rsidRPr="007E5D9A">
        <w:rPr>
          <w:rFonts w:ascii="Times New Roman" w:hAnsi="Times New Roman" w:cs="Times New Roman"/>
          <w:i/>
          <w:iCs/>
          <w:sz w:val="24"/>
        </w:rPr>
        <w:t>J. Hepatol.</w:t>
      </w:r>
      <w:r w:rsidRPr="007E5D9A">
        <w:rPr>
          <w:rFonts w:ascii="Times New Roman" w:hAnsi="Times New Roman" w:cs="Times New Roman"/>
          <w:sz w:val="24"/>
        </w:rPr>
        <w:t xml:space="preserve"> </w:t>
      </w:r>
      <w:r w:rsidRPr="007E5D9A">
        <w:rPr>
          <w:rFonts w:ascii="Times New Roman" w:hAnsi="Times New Roman" w:cs="Times New Roman"/>
          <w:b/>
          <w:bCs/>
          <w:sz w:val="24"/>
        </w:rPr>
        <w:t>52</w:t>
      </w:r>
      <w:r w:rsidRPr="007E5D9A">
        <w:rPr>
          <w:rFonts w:ascii="Times New Roman" w:hAnsi="Times New Roman" w:cs="Times New Roman"/>
          <w:sz w:val="24"/>
        </w:rPr>
        <w:t xml:space="preserve"> 206–10</w:t>
      </w:r>
    </w:p>
    <w:p w14:paraId="0F1B5A0F" w14:textId="77777777" w:rsidR="00795585" w:rsidRPr="007E5D9A" w:rsidRDefault="00000000">
      <w:pPr>
        <w:pStyle w:val="10"/>
        <w:rPr>
          <w:rFonts w:ascii="Times New Roman" w:hAnsi="Times New Roman" w:cs="Times New Roman"/>
          <w:sz w:val="24"/>
        </w:rPr>
      </w:pPr>
      <w:r w:rsidRPr="007E5D9A">
        <w:rPr>
          <w:rFonts w:ascii="Times New Roman" w:hAnsi="Times New Roman" w:cs="Times New Roman"/>
          <w:sz w:val="24"/>
        </w:rPr>
        <w:t>[35]</w:t>
      </w:r>
      <w:r w:rsidRPr="007E5D9A">
        <w:rPr>
          <w:rFonts w:ascii="Times New Roman" w:hAnsi="Times New Roman" w:cs="Times New Roman"/>
          <w:sz w:val="24"/>
        </w:rPr>
        <w:tab/>
        <w:t xml:space="preserve"> Cassinotto C, Boursier J, De Lédinghen V, Lebigot J, Lapuyade B, Cales P, Hiriart J, Michalak S, Bail B L, Cartier V, Mouries A, Oberti F, Fouchard‐Hubert I, Vergniol J and Aubé C 2016 Liver stiffness in nonalcoholic fatty liver disease: A comparison of supersonic shear imaging, FibroScan, and ARFI with liver biopsy </w:t>
      </w:r>
      <w:r w:rsidRPr="007E5D9A">
        <w:rPr>
          <w:rFonts w:ascii="Times New Roman" w:hAnsi="Times New Roman" w:cs="Times New Roman"/>
          <w:i/>
          <w:iCs/>
          <w:sz w:val="24"/>
        </w:rPr>
        <w:t>Hepatology</w:t>
      </w:r>
      <w:r w:rsidRPr="007E5D9A">
        <w:rPr>
          <w:rFonts w:ascii="Times New Roman" w:hAnsi="Times New Roman" w:cs="Times New Roman"/>
          <w:sz w:val="24"/>
        </w:rPr>
        <w:t xml:space="preserve"> </w:t>
      </w:r>
      <w:r w:rsidRPr="007E5D9A">
        <w:rPr>
          <w:rFonts w:ascii="Times New Roman" w:hAnsi="Times New Roman" w:cs="Times New Roman"/>
          <w:b/>
          <w:bCs/>
          <w:sz w:val="24"/>
        </w:rPr>
        <w:t>63</w:t>
      </w:r>
      <w:r w:rsidRPr="007E5D9A">
        <w:rPr>
          <w:rFonts w:ascii="Times New Roman" w:hAnsi="Times New Roman" w:cs="Times New Roman"/>
          <w:sz w:val="24"/>
        </w:rPr>
        <w:t xml:space="preserve"> 1817–27</w:t>
      </w:r>
    </w:p>
    <w:p w14:paraId="275AA899" w14:textId="77777777" w:rsidR="00795585" w:rsidRPr="007E5D9A" w:rsidRDefault="00000000">
      <w:pPr>
        <w:pStyle w:val="10"/>
        <w:rPr>
          <w:rFonts w:ascii="Times New Roman" w:hAnsi="Times New Roman" w:cs="Times New Roman"/>
          <w:sz w:val="24"/>
        </w:rPr>
      </w:pPr>
      <w:r w:rsidRPr="007E5D9A">
        <w:rPr>
          <w:rFonts w:ascii="Times New Roman" w:hAnsi="Times New Roman" w:cs="Times New Roman"/>
          <w:sz w:val="24"/>
        </w:rPr>
        <w:t>[36]</w:t>
      </w:r>
      <w:r w:rsidRPr="007E5D9A">
        <w:rPr>
          <w:rFonts w:ascii="Times New Roman" w:hAnsi="Times New Roman" w:cs="Times New Roman"/>
          <w:sz w:val="24"/>
        </w:rPr>
        <w:tab/>
        <w:t xml:space="preserve"> Liu K, Hu J, Huang Y, He D and Zhang J 2025 Triglyceride-glucose-related indices and risk of cardiovascular disease and mortality in individuals with </w:t>
      </w:r>
      <w:r w:rsidRPr="007E5D9A">
        <w:rPr>
          <w:rFonts w:ascii="Times New Roman" w:hAnsi="Times New Roman" w:cs="Times New Roman"/>
          <w:sz w:val="24"/>
        </w:rPr>
        <w:lastRenderedPageBreak/>
        <w:t xml:space="preserve">cardiovascular–kidney–metabolic (CKM) syndrome stages 0–3: a prospective cohort study of 282,920 participants in the UK Biobank </w:t>
      </w:r>
      <w:r w:rsidRPr="007E5D9A">
        <w:rPr>
          <w:rFonts w:ascii="Times New Roman" w:hAnsi="Times New Roman" w:cs="Times New Roman"/>
          <w:i/>
          <w:iCs/>
          <w:sz w:val="24"/>
        </w:rPr>
        <w:t>Cardiovasc. Diabetol.</w:t>
      </w:r>
      <w:r w:rsidRPr="007E5D9A">
        <w:rPr>
          <w:rFonts w:ascii="Times New Roman" w:hAnsi="Times New Roman" w:cs="Times New Roman"/>
          <w:sz w:val="24"/>
        </w:rPr>
        <w:t xml:space="preserve"> </w:t>
      </w:r>
      <w:r w:rsidRPr="007E5D9A">
        <w:rPr>
          <w:rFonts w:ascii="Times New Roman" w:hAnsi="Times New Roman" w:cs="Times New Roman"/>
          <w:b/>
          <w:bCs/>
          <w:sz w:val="24"/>
        </w:rPr>
        <w:t>24</w:t>
      </w:r>
      <w:r w:rsidRPr="007E5D9A">
        <w:rPr>
          <w:rFonts w:ascii="Times New Roman" w:hAnsi="Times New Roman" w:cs="Times New Roman"/>
          <w:sz w:val="24"/>
        </w:rPr>
        <w:t xml:space="preserve"> 277</w:t>
      </w:r>
    </w:p>
    <w:p w14:paraId="5C02C36E" w14:textId="77777777" w:rsidR="00795585" w:rsidRPr="007E5D9A" w:rsidRDefault="00000000">
      <w:pPr>
        <w:pStyle w:val="10"/>
        <w:rPr>
          <w:rFonts w:ascii="Times New Roman" w:hAnsi="Times New Roman" w:cs="Times New Roman"/>
          <w:sz w:val="24"/>
        </w:rPr>
      </w:pPr>
      <w:r w:rsidRPr="007E5D9A">
        <w:rPr>
          <w:rFonts w:ascii="Times New Roman" w:hAnsi="Times New Roman" w:cs="Times New Roman"/>
          <w:sz w:val="24"/>
        </w:rPr>
        <w:t>[37]</w:t>
      </w:r>
      <w:r w:rsidRPr="007E5D9A">
        <w:rPr>
          <w:rFonts w:ascii="Times New Roman" w:hAnsi="Times New Roman" w:cs="Times New Roman"/>
          <w:sz w:val="24"/>
        </w:rPr>
        <w:tab/>
        <w:t xml:space="preserve"> Yue Y, Li P, Sun Z, Murayama R, Li Z, Hashimoto K and Zhang Y 2025 Association of novel triglyceride-glucose-related indices with incident stroke in early-stage cardiovascular-kidney-metabolic syndrome </w:t>
      </w:r>
      <w:r w:rsidRPr="007E5D9A">
        <w:rPr>
          <w:rFonts w:ascii="Times New Roman" w:hAnsi="Times New Roman" w:cs="Times New Roman"/>
          <w:i/>
          <w:iCs/>
          <w:sz w:val="24"/>
        </w:rPr>
        <w:t>Cardiovasc. Diabetol.</w:t>
      </w:r>
      <w:r w:rsidRPr="007E5D9A">
        <w:rPr>
          <w:rFonts w:ascii="Times New Roman" w:hAnsi="Times New Roman" w:cs="Times New Roman"/>
          <w:sz w:val="24"/>
        </w:rPr>
        <w:t xml:space="preserve"> </w:t>
      </w:r>
      <w:r w:rsidRPr="007E5D9A">
        <w:rPr>
          <w:rFonts w:ascii="Times New Roman" w:hAnsi="Times New Roman" w:cs="Times New Roman"/>
          <w:b/>
          <w:bCs/>
          <w:sz w:val="24"/>
        </w:rPr>
        <w:t>24</w:t>
      </w:r>
      <w:r w:rsidRPr="007E5D9A">
        <w:rPr>
          <w:rFonts w:ascii="Times New Roman" w:hAnsi="Times New Roman" w:cs="Times New Roman"/>
          <w:sz w:val="24"/>
        </w:rPr>
        <w:t xml:space="preserve"> 301</w:t>
      </w:r>
    </w:p>
    <w:p w14:paraId="71104898" w14:textId="77777777" w:rsidR="00795585" w:rsidRPr="007E5D9A" w:rsidRDefault="00000000">
      <w:pPr>
        <w:pStyle w:val="10"/>
        <w:rPr>
          <w:rFonts w:ascii="Times New Roman" w:hAnsi="Times New Roman" w:cs="Times New Roman"/>
          <w:sz w:val="24"/>
        </w:rPr>
      </w:pPr>
      <w:r w:rsidRPr="007E5D9A">
        <w:rPr>
          <w:rFonts w:ascii="Times New Roman" w:hAnsi="Times New Roman" w:cs="Times New Roman"/>
          <w:sz w:val="24"/>
        </w:rPr>
        <w:t>[38]</w:t>
      </w:r>
      <w:r w:rsidRPr="007E5D9A">
        <w:rPr>
          <w:rFonts w:ascii="Times New Roman" w:hAnsi="Times New Roman" w:cs="Times New Roman"/>
          <w:sz w:val="24"/>
        </w:rPr>
        <w:tab/>
        <w:t xml:space="preserve"> Li N, Li Y, Cui L, Shu R, Song H, Wang J, Chen S, Liu B, Shi H, Gao H, Huang T, Gao X, Geng T and Wu S 2024 Association between different stages of cardiovascular-kidney-metabolic syndrome and the risk of all-cause mortality </w:t>
      </w:r>
      <w:r w:rsidRPr="007E5D9A">
        <w:rPr>
          <w:rFonts w:ascii="Times New Roman" w:hAnsi="Times New Roman" w:cs="Times New Roman"/>
          <w:i/>
          <w:iCs/>
          <w:sz w:val="24"/>
        </w:rPr>
        <w:t>Atherosclerosis</w:t>
      </w:r>
      <w:r w:rsidRPr="007E5D9A">
        <w:rPr>
          <w:rFonts w:ascii="Times New Roman" w:hAnsi="Times New Roman" w:cs="Times New Roman"/>
          <w:sz w:val="24"/>
        </w:rPr>
        <w:t xml:space="preserve"> </w:t>
      </w:r>
      <w:r w:rsidRPr="007E5D9A">
        <w:rPr>
          <w:rFonts w:ascii="Times New Roman" w:hAnsi="Times New Roman" w:cs="Times New Roman"/>
          <w:b/>
          <w:bCs/>
          <w:sz w:val="24"/>
        </w:rPr>
        <w:t>397</w:t>
      </w:r>
      <w:r w:rsidRPr="007E5D9A">
        <w:rPr>
          <w:rFonts w:ascii="Times New Roman" w:hAnsi="Times New Roman" w:cs="Times New Roman"/>
          <w:sz w:val="24"/>
        </w:rPr>
        <w:t xml:space="preserve"> 118585</w:t>
      </w:r>
    </w:p>
    <w:p w14:paraId="18BDF62B" w14:textId="77777777" w:rsidR="00795585" w:rsidRPr="007E5D9A" w:rsidRDefault="00000000">
      <w:pPr>
        <w:pStyle w:val="10"/>
        <w:rPr>
          <w:rFonts w:ascii="Times New Roman" w:hAnsi="Times New Roman" w:cs="Times New Roman"/>
          <w:sz w:val="24"/>
        </w:rPr>
      </w:pPr>
      <w:r w:rsidRPr="007E5D9A">
        <w:rPr>
          <w:rFonts w:ascii="Times New Roman" w:hAnsi="Times New Roman" w:cs="Times New Roman"/>
          <w:sz w:val="24"/>
        </w:rPr>
        <w:t>[39]</w:t>
      </w:r>
      <w:r w:rsidRPr="007E5D9A">
        <w:rPr>
          <w:rFonts w:ascii="Times New Roman" w:hAnsi="Times New Roman" w:cs="Times New Roman"/>
          <w:sz w:val="24"/>
        </w:rPr>
        <w:tab/>
        <w:t xml:space="preserve"> Tain Y-L and Hsu C-N 2024 Maternal Polyphenols and Offspring Cardiovascular–Kidney–Metabolic Health </w:t>
      </w:r>
      <w:r w:rsidRPr="007E5D9A">
        <w:rPr>
          <w:rFonts w:ascii="Times New Roman" w:hAnsi="Times New Roman" w:cs="Times New Roman"/>
          <w:i/>
          <w:iCs/>
          <w:sz w:val="24"/>
        </w:rPr>
        <w:t>Nutrients</w:t>
      </w:r>
      <w:r w:rsidRPr="007E5D9A">
        <w:rPr>
          <w:rFonts w:ascii="Times New Roman" w:hAnsi="Times New Roman" w:cs="Times New Roman"/>
          <w:sz w:val="24"/>
        </w:rPr>
        <w:t xml:space="preserve"> </w:t>
      </w:r>
      <w:r w:rsidRPr="007E5D9A">
        <w:rPr>
          <w:rFonts w:ascii="Times New Roman" w:hAnsi="Times New Roman" w:cs="Times New Roman"/>
          <w:b/>
          <w:bCs/>
          <w:sz w:val="24"/>
        </w:rPr>
        <w:t>16</w:t>
      </w:r>
      <w:r w:rsidRPr="007E5D9A">
        <w:rPr>
          <w:rFonts w:ascii="Times New Roman" w:hAnsi="Times New Roman" w:cs="Times New Roman"/>
          <w:sz w:val="24"/>
        </w:rPr>
        <w:t xml:space="preserve"> 3168</w:t>
      </w:r>
    </w:p>
    <w:p w14:paraId="4A998857" w14:textId="77777777" w:rsidR="00795585" w:rsidRPr="007E5D9A" w:rsidRDefault="00000000">
      <w:pPr>
        <w:pStyle w:val="10"/>
        <w:rPr>
          <w:rFonts w:ascii="Times New Roman" w:hAnsi="Times New Roman" w:cs="Times New Roman"/>
          <w:sz w:val="24"/>
        </w:rPr>
      </w:pPr>
      <w:r w:rsidRPr="007E5D9A">
        <w:rPr>
          <w:rFonts w:ascii="Times New Roman" w:hAnsi="Times New Roman" w:cs="Times New Roman"/>
          <w:sz w:val="24"/>
        </w:rPr>
        <w:t>[40]</w:t>
      </w:r>
      <w:r w:rsidRPr="007E5D9A">
        <w:rPr>
          <w:rFonts w:ascii="Times New Roman" w:hAnsi="Times New Roman" w:cs="Times New Roman"/>
          <w:sz w:val="24"/>
        </w:rPr>
        <w:tab/>
        <w:t xml:space="preserve"> Tain Y-L and Hsu C-N 2024 Maternal Dietary Strategies for Improving Offspring Cardiovascular–Kidney–Metabolic Health: A Scoping Review </w:t>
      </w:r>
      <w:r w:rsidRPr="007E5D9A">
        <w:rPr>
          <w:rFonts w:ascii="Times New Roman" w:hAnsi="Times New Roman" w:cs="Times New Roman"/>
          <w:i/>
          <w:iCs/>
          <w:sz w:val="24"/>
        </w:rPr>
        <w:t>Int. J. Mol. Sci.</w:t>
      </w:r>
      <w:r w:rsidRPr="007E5D9A">
        <w:rPr>
          <w:rFonts w:ascii="Times New Roman" w:hAnsi="Times New Roman" w:cs="Times New Roman"/>
          <w:sz w:val="24"/>
        </w:rPr>
        <w:t xml:space="preserve"> </w:t>
      </w:r>
      <w:r w:rsidRPr="007E5D9A">
        <w:rPr>
          <w:rFonts w:ascii="Times New Roman" w:hAnsi="Times New Roman" w:cs="Times New Roman"/>
          <w:b/>
          <w:bCs/>
          <w:sz w:val="24"/>
        </w:rPr>
        <w:t>25</w:t>
      </w:r>
      <w:r w:rsidRPr="007E5D9A">
        <w:rPr>
          <w:rFonts w:ascii="Times New Roman" w:hAnsi="Times New Roman" w:cs="Times New Roman"/>
          <w:sz w:val="24"/>
        </w:rPr>
        <w:t xml:space="preserve"> 9788</w:t>
      </w:r>
    </w:p>
    <w:p w14:paraId="7F105EB3" w14:textId="77777777" w:rsidR="00795585" w:rsidRPr="007E5D9A" w:rsidRDefault="00000000">
      <w:pPr>
        <w:pStyle w:val="10"/>
        <w:rPr>
          <w:rFonts w:ascii="Times New Roman" w:hAnsi="Times New Roman" w:cs="Times New Roman"/>
          <w:sz w:val="24"/>
        </w:rPr>
      </w:pPr>
      <w:r w:rsidRPr="007E5D9A">
        <w:rPr>
          <w:rFonts w:ascii="Times New Roman" w:hAnsi="Times New Roman" w:cs="Times New Roman"/>
          <w:sz w:val="24"/>
        </w:rPr>
        <w:t>[41]</w:t>
      </w:r>
      <w:r w:rsidRPr="007E5D9A">
        <w:rPr>
          <w:rFonts w:ascii="Times New Roman" w:hAnsi="Times New Roman" w:cs="Times New Roman"/>
          <w:sz w:val="24"/>
        </w:rPr>
        <w:tab/>
        <w:t xml:space="preserve"> Trimarco V, Izzo R, Pacella D, Virginia Manzi M, Trama U, Lembo M, Piccinocchi R, Gallo P, Esposito G, Morisco C, Rozza F, Mone P, Jankauskas S S, Piccinocchi G, Santulli G and Trimarco B 2024 Increased prevalence of cardiovascular-kidney-metabolic syndrome during COVID-19: A propensity score-matched study </w:t>
      </w:r>
      <w:r w:rsidRPr="007E5D9A">
        <w:rPr>
          <w:rFonts w:ascii="Times New Roman" w:hAnsi="Times New Roman" w:cs="Times New Roman"/>
          <w:i/>
          <w:iCs/>
          <w:sz w:val="24"/>
        </w:rPr>
        <w:t>Diabetes Res. Clin. Pract.</w:t>
      </w:r>
      <w:r w:rsidRPr="007E5D9A">
        <w:rPr>
          <w:rFonts w:ascii="Times New Roman" w:hAnsi="Times New Roman" w:cs="Times New Roman"/>
          <w:sz w:val="24"/>
        </w:rPr>
        <w:t xml:space="preserve"> </w:t>
      </w:r>
      <w:r w:rsidRPr="007E5D9A">
        <w:rPr>
          <w:rFonts w:ascii="Times New Roman" w:hAnsi="Times New Roman" w:cs="Times New Roman"/>
          <w:b/>
          <w:bCs/>
          <w:sz w:val="24"/>
        </w:rPr>
        <w:t>218</w:t>
      </w:r>
      <w:r w:rsidRPr="007E5D9A">
        <w:rPr>
          <w:rFonts w:ascii="Times New Roman" w:hAnsi="Times New Roman" w:cs="Times New Roman"/>
          <w:sz w:val="24"/>
        </w:rPr>
        <w:t xml:space="preserve"> 111926</w:t>
      </w:r>
    </w:p>
    <w:p w14:paraId="320DE4DA" w14:textId="77777777" w:rsidR="00795585" w:rsidRPr="007E5D9A" w:rsidRDefault="00000000">
      <w:pPr>
        <w:pStyle w:val="10"/>
        <w:rPr>
          <w:rFonts w:ascii="Times New Roman" w:hAnsi="Times New Roman" w:cs="Times New Roman"/>
          <w:sz w:val="24"/>
        </w:rPr>
      </w:pPr>
      <w:r w:rsidRPr="007E5D9A">
        <w:rPr>
          <w:rFonts w:ascii="Times New Roman" w:hAnsi="Times New Roman" w:cs="Times New Roman"/>
          <w:sz w:val="24"/>
        </w:rPr>
        <w:t>[42]</w:t>
      </w:r>
      <w:r w:rsidRPr="007E5D9A">
        <w:rPr>
          <w:rFonts w:ascii="Times New Roman" w:hAnsi="Times New Roman" w:cs="Times New Roman"/>
          <w:sz w:val="24"/>
        </w:rPr>
        <w:tab/>
        <w:t xml:space="preserve"> Ruiz-García A, Serrano-Cumplido A, Escobar-Cervantes C, Arranz-Martínez E and Pallarés-Carratalá V 2024 Prevalence Rates of Abdominal Obesity, High Waist-to-Height Ratio and Excess Adiposity, and Their Associated Cardio-Kidney-Metabolic Factors: SIMETAP-AO Study </w:t>
      </w:r>
      <w:r w:rsidRPr="007E5D9A">
        <w:rPr>
          <w:rFonts w:ascii="Times New Roman" w:hAnsi="Times New Roman" w:cs="Times New Roman"/>
          <w:i/>
          <w:iCs/>
          <w:sz w:val="24"/>
        </w:rPr>
        <w:t>Nutrients</w:t>
      </w:r>
      <w:r w:rsidRPr="007E5D9A">
        <w:rPr>
          <w:rFonts w:ascii="Times New Roman" w:hAnsi="Times New Roman" w:cs="Times New Roman"/>
          <w:sz w:val="24"/>
        </w:rPr>
        <w:t xml:space="preserve"> </w:t>
      </w:r>
      <w:r w:rsidRPr="007E5D9A">
        <w:rPr>
          <w:rFonts w:ascii="Times New Roman" w:hAnsi="Times New Roman" w:cs="Times New Roman"/>
          <w:b/>
          <w:bCs/>
          <w:sz w:val="24"/>
        </w:rPr>
        <w:t>16</w:t>
      </w:r>
      <w:r w:rsidRPr="007E5D9A">
        <w:rPr>
          <w:rFonts w:ascii="Times New Roman" w:hAnsi="Times New Roman" w:cs="Times New Roman"/>
          <w:sz w:val="24"/>
        </w:rPr>
        <w:t xml:space="preserve"> 3948</w:t>
      </w:r>
    </w:p>
    <w:p w14:paraId="5A11415B" w14:textId="77777777" w:rsidR="00795585" w:rsidRPr="007E5D9A" w:rsidRDefault="00000000">
      <w:pPr>
        <w:pStyle w:val="10"/>
        <w:rPr>
          <w:rFonts w:ascii="Times New Roman" w:hAnsi="Times New Roman" w:cs="Times New Roman"/>
          <w:sz w:val="24"/>
        </w:rPr>
      </w:pPr>
      <w:r w:rsidRPr="007E5D9A">
        <w:rPr>
          <w:rFonts w:ascii="Times New Roman" w:hAnsi="Times New Roman" w:cs="Times New Roman"/>
          <w:sz w:val="24"/>
        </w:rPr>
        <w:t>[43]</w:t>
      </w:r>
      <w:r w:rsidRPr="007E5D9A">
        <w:rPr>
          <w:rFonts w:ascii="Times New Roman" w:hAnsi="Times New Roman" w:cs="Times New Roman"/>
          <w:sz w:val="24"/>
        </w:rPr>
        <w:tab/>
        <w:t xml:space="preserve"> Carvalho L, Tydén M, Shimari M, Zhuge Z, Schiffer T, De Oliveira Monteiro M, Lundberg J, Weitzberg E, Andersson D, Fellström B and Carlström M 2024 Protective Effects of the Food Supplement Flexovital in a Model of Cardiovascular-Kidney-Metabolic Syndrome in Mice </w:t>
      </w:r>
      <w:r w:rsidRPr="007E5D9A">
        <w:rPr>
          <w:rFonts w:ascii="Times New Roman" w:hAnsi="Times New Roman" w:cs="Times New Roman"/>
          <w:i/>
          <w:iCs/>
          <w:sz w:val="24"/>
        </w:rPr>
        <w:t>Nutrients</w:t>
      </w:r>
      <w:r w:rsidRPr="007E5D9A">
        <w:rPr>
          <w:rFonts w:ascii="Times New Roman" w:hAnsi="Times New Roman" w:cs="Times New Roman"/>
          <w:sz w:val="24"/>
        </w:rPr>
        <w:t xml:space="preserve"> </w:t>
      </w:r>
      <w:r w:rsidRPr="007E5D9A">
        <w:rPr>
          <w:rFonts w:ascii="Times New Roman" w:hAnsi="Times New Roman" w:cs="Times New Roman"/>
          <w:b/>
          <w:bCs/>
          <w:sz w:val="24"/>
        </w:rPr>
        <w:t>16</w:t>
      </w:r>
      <w:r w:rsidRPr="007E5D9A">
        <w:rPr>
          <w:rFonts w:ascii="Times New Roman" w:hAnsi="Times New Roman" w:cs="Times New Roman"/>
          <w:sz w:val="24"/>
        </w:rPr>
        <w:t xml:space="preserve"> 4105</w:t>
      </w:r>
    </w:p>
    <w:p w14:paraId="630528CE" w14:textId="77777777" w:rsidR="00795585" w:rsidRPr="007E5D9A" w:rsidRDefault="00000000">
      <w:pPr>
        <w:pStyle w:val="10"/>
        <w:rPr>
          <w:rFonts w:ascii="Times New Roman" w:hAnsi="Times New Roman" w:cs="Times New Roman"/>
          <w:sz w:val="24"/>
        </w:rPr>
      </w:pPr>
      <w:r w:rsidRPr="007E5D9A">
        <w:rPr>
          <w:rFonts w:ascii="Times New Roman" w:hAnsi="Times New Roman" w:cs="Times New Roman"/>
          <w:sz w:val="24"/>
        </w:rPr>
        <w:t>[44]</w:t>
      </w:r>
      <w:r w:rsidRPr="007E5D9A">
        <w:rPr>
          <w:rFonts w:ascii="Times New Roman" w:hAnsi="Times New Roman" w:cs="Times New Roman"/>
          <w:sz w:val="24"/>
        </w:rPr>
        <w:tab/>
        <w:t xml:space="preserve"> Boeckmans J, Sandrin L, Knackstedt C and Schattenberg J M 2024 Liver stiffness as a cornerstone in heart disease risk assessment </w:t>
      </w:r>
      <w:r w:rsidRPr="007E5D9A">
        <w:rPr>
          <w:rFonts w:ascii="Times New Roman" w:hAnsi="Times New Roman" w:cs="Times New Roman"/>
          <w:i/>
          <w:iCs/>
          <w:sz w:val="24"/>
        </w:rPr>
        <w:t>Liver Int.</w:t>
      </w:r>
      <w:r w:rsidRPr="007E5D9A">
        <w:rPr>
          <w:rFonts w:ascii="Times New Roman" w:hAnsi="Times New Roman" w:cs="Times New Roman"/>
          <w:sz w:val="24"/>
        </w:rPr>
        <w:t xml:space="preserve"> </w:t>
      </w:r>
      <w:r w:rsidRPr="007E5D9A">
        <w:rPr>
          <w:rFonts w:ascii="Times New Roman" w:hAnsi="Times New Roman" w:cs="Times New Roman"/>
          <w:b/>
          <w:bCs/>
          <w:sz w:val="24"/>
        </w:rPr>
        <w:t>44</w:t>
      </w:r>
      <w:r w:rsidRPr="007E5D9A">
        <w:rPr>
          <w:rFonts w:ascii="Times New Roman" w:hAnsi="Times New Roman" w:cs="Times New Roman"/>
          <w:sz w:val="24"/>
        </w:rPr>
        <w:t xml:space="preserve"> 344–56</w:t>
      </w:r>
    </w:p>
    <w:p w14:paraId="57FB647D" w14:textId="77777777" w:rsidR="00795585" w:rsidRPr="007E5D9A" w:rsidRDefault="00000000">
      <w:pPr>
        <w:pStyle w:val="10"/>
        <w:rPr>
          <w:rFonts w:ascii="Times New Roman" w:hAnsi="Times New Roman" w:cs="Times New Roman"/>
          <w:sz w:val="24"/>
        </w:rPr>
      </w:pPr>
      <w:r w:rsidRPr="007E5D9A">
        <w:rPr>
          <w:rFonts w:ascii="Times New Roman" w:hAnsi="Times New Roman" w:cs="Times New Roman"/>
          <w:sz w:val="24"/>
        </w:rPr>
        <w:t>[45]</w:t>
      </w:r>
      <w:r w:rsidRPr="007E5D9A">
        <w:rPr>
          <w:rFonts w:ascii="Times New Roman" w:hAnsi="Times New Roman" w:cs="Times New Roman"/>
          <w:sz w:val="24"/>
        </w:rPr>
        <w:tab/>
        <w:t xml:space="preserve"> Ciardullo S, Cannistraci R, Muraca E, Zerbini F and Perseghin G 2024 Liver fibrosis, NT-ProBNP and mortality in patients with MASLD: A population-based cohort study </w:t>
      </w:r>
      <w:r w:rsidRPr="007E5D9A">
        <w:rPr>
          <w:rFonts w:ascii="Times New Roman" w:hAnsi="Times New Roman" w:cs="Times New Roman"/>
          <w:i/>
          <w:iCs/>
          <w:sz w:val="24"/>
        </w:rPr>
        <w:t>Nutr. Metab. Cardiovasc. Dis.</w:t>
      </w:r>
      <w:r w:rsidRPr="007E5D9A">
        <w:rPr>
          <w:rFonts w:ascii="Times New Roman" w:hAnsi="Times New Roman" w:cs="Times New Roman"/>
          <w:sz w:val="24"/>
        </w:rPr>
        <w:t xml:space="preserve"> </w:t>
      </w:r>
      <w:r w:rsidRPr="007E5D9A">
        <w:rPr>
          <w:rFonts w:ascii="Times New Roman" w:hAnsi="Times New Roman" w:cs="Times New Roman"/>
          <w:b/>
          <w:bCs/>
          <w:sz w:val="24"/>
        </w:rPr>
        <w:t>34</w:t>
      </w:r>
      <w:r w:rsidRPr="007E5D9A">
        <w:rPr>
          <w:rFonts w:ascii="Times New Roman" w:hAnsi="Times New Roman" w:cs="Times New Roman"/>
          <w:sz w:val="24"/>
        </w:rPr>
        <w:t xml:space="preserve"> 963–71</w:t>
      </w:r>
    </w:p>
    <w:p w14:paraId="624B00B3" w14:textId="77777777" w:rsidR="00795585" w:rsidRPr="007E5D9A" w:rsidRDefault="00000000">
      <w:pPr>
        <w:pStyle w:val="10"/>
        <w:rPr>
          <w:rFonts w:ascii="Times New Roman" w:hAnsi="Times New Roman" w:cs="Times New Roman"/>
          <w:sz w:val="24"/>
        </w:rPr>
      </w:pPr>
      <w:r w:rsidRPr="007E5D9A">
        <w:rPr>
          <w:rFonts w:ascii="Times New Roman" w:hAnsi="Times New Roman" w:cs="Times New Roman"/>
          <w:sz w:val="24"/>
        </w:rPr>
        <w:t>[46]</w:t>
      </w:r>
      <w:r w:rsidRPr="007E5D9A">
        <w:rPr>
          <w:rFonts w:ascii="Times New Roman" w:hAnsi="Times New Roman" w:cs="Times New Roman"/>
          <w:sz w:val="24"/>
        </w:rPr>
        <w:tab/>
        <w:t xml:space="preserve"> Mikolasevic I, Domislovic V, Ruzic A, Hauser G, Rahelic D, Klobucar-Majanovic S, Krznaric Z, Dobrila-Dintinjana R, Grgurevic I, Skenderevic N, Lukic A and Targher G 2022 Elastographic parameters of liver </w:t>
      </w:r>
      <w:r w:rsidRPr="007E5D9A">
        <w:rPr>
          <w:rFonts w:ascii="Times New Roman" w:hAnsi="Times New Roman" w:cs="Times New Roman"/>
          <w:sz w:val="24"/>
        </w:rPr>
        <w:lastRenderedPageBreak/>
        <w:t xml:space="preserve">steatosis and fibrosis predict independently the risk of incident chronic kidney disease and acute myocardial infarction in patients with type 2 diabetes mellitus </w:t>
      </w:r>
      <w:r w:rsidRPr="007E5D9A">
        <w:rPr>
          <w:rFonts w:ascii="Times New Roman" w:hAnsi="Times New Roman" w:cs="Times New Roman"/>
          <w:i/>
          <w:iCs/>
          <w:sz w:val="24"/>
        </w:rPr>
        <w:t>J. Diabetes Complications</w:t>
      </w:r>
      <w:r w:rsidRPr="007E5D9A">
        <w:rPr>
          <w:rFonts w:ascii="Times New Roman" w:hAnsi="Times New Roman" w:cs="Times New Roman"/>
          <w:sz w:val="24"/>
        </w:rPr>
        <w:t xml:space="preserve"> </w:t>
      </w:r>
      <w:r w:rsidRPr="007E5D9A">
        <w:rPr>
          <w:rFonts w:ascii="Times New Roman" w:hAnsi="Times New Roman" w:cs="Times New Roman"/>
          <w:b/>
          <w:bCs/>
          <w:sz w:val="24"/>
        </w:rPr>
        <w:t>36</w:t>
      </w:r>
      <w:r w:rsidRPr="007E5D9A">
        <w:rPr>
          <w:rFonts w:ascii="Times New Roman" w:hAnsi="Times New Roman" w:cs="Times New Roman"/>
          <w:sz w:val="24"/>
        </w:rPr>
        <w:t xml:space="preserve"> 108226</w:t>
      </w:r>
    </w:p>
    <w:p w14:paraId="7266C571" w14:textId="77777777" w:rsidR="00795585" w:rsidRPr="007E5D9A" w:rsidRDefault="00000000">
      <w:pPr>
        <w:pStyle w:val="10"/>
        <w:rPr>
          <w:rFonts w:ascii="Times New Roman" w:hAnsi="Times New Roman" w:cs="Times New Roman"/>
          <w:sz w:val="24"/>
        </w:rPr>
      </w:pPr>
      <w:r w:rsidRPr="007E5D9A">
        <w:rPr>
          <w:rFonts w:ascii="Times New Roman" w:hAnsi="Times New Roman" w:cs="Times New Roman"/>
          <w:sz w:val="24"/>
        </w:rPr>
        <w:t>[47]</w:t>
      </w:r>
      <w:r w:rsidRPr="007E5D9A">
        <w:rPr>
          <w:rFonts w:ascii="Times New Roman" w:hAnsi="Times New Roman" w:cs="Times New Roman"/>
          <w:sz w:val="24"/>
        </w:rPr>
        <w:tab/>
        <w:t xml:space="preserve"> Cardoso C R L, Villela-Nogueira C A, Leite N C and Salles G F 2021 Prognostic impact of liver fibrosis and steatosis by transient elastography for cardiovascular and mortality outcomes in individuals with nonalcoholic fatty liver disease and type 2 diabetes: the Rio de Janeiro Cohort Study </w:t>
      </w:r>
      <w:r w:rsidRPr="007E5D9A">
        <w:rPr>
          <w:rFonts w:ascii="Times New Roman" w:hAnsi="Times New Roman" w:cs="Times New Roman"/>
          <w:i/>
          <w:iCs/>
          <w:sz w:val="24"/>
        </w:rPr>
        <w:t>Cardiovasc. Diabetol.</w:t>
      </w:r>
      <w:r w:rsidRPr="007E5D9A">
        <w:rPr>
          <w:rFonts w:ascii="Times New Roman" w:hAnsi="Times New Roman" w:cs="Times New Roman"/>
          <w:sz w:val="24"/>
        </w:rPr>
        <w:t xml:space="preserve"> </w:t>
      </w:r>
      <w:r w:rsidRPr="007E5D9A">
        <w:rPr>
          <w:rFonts w:ascii="Times New Roman" w:hAnsi="Times New Roman" w:cs="Times New Roman"/>
          <w:b/>
          <w:bCs/>
          <w:sz w:val="24"/>
        </w:rPr>
        <w:t>20</w:t>
      </w:r>
      <w:r w:rsidRPr="007E5D9A">
        <w:rPr>
          <w:rFonts w:ascii="Times New Roman" w:hAnsi="Times New Roman" w:cs="Times New Roman"/>
          <w:sz w:val="24"/>
        </w:rPr>
        <w:t xml:space="preserve"> 193</w:t>
      </w:r>
    </w:p>
    <w:p w14:paraId="690D7680" w14:textId="77777777" w:rsidR="00795585" w:rsidRPr="007E5D9A" w:rsidRDefault="00000000">
      <w:pPr>
        <w:rPr>
          <w:rFonts w:ascii="Times New Roman" w:hAnsi="Times New Roman" w:cs="Times New Roman"/>
          <w:sz w:val="24"/>
        </w:rPr>
      </w:pPr>
      <w:r w:rsidRPr="007E5D9A">
        <w:rPr>
          <w:rFonts w:ascii="Times New Roman" w:hAnsi="Times New Roman" w:cs="Times New Roman"/>
          <w:sz w:val="24"/>
        </w:rPr>
        <w:fldChar w:fldCharType="end"/>
      </w:r>
    </w:p>
    <w:sectPr w:rsidR="00795585" w:rsidRPr="007E5D9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onospace">
    <w:altName w:val="鸿蒙黑体"/>
    <w:charset w:val="00"/>
    <w:family w:val="auto"/>
    <w:pitch w:val="default"/>
  </w:font>
  <w:font w:name="Noto Sans">
    <w:charset w:val="00"/>
    <w:family w:val="swiss"/>
    <w:pitch w:val="variable"/>
    <w:sig w:usb0="E00082FF" w:usb1="400078FF" w:usb2="00000021" w:usb3="00000000" w:csb0="0000019F" w:csb1="00000000"/>
  </w:font>
  <w:font w:name="var(--dsw-font-markdown-table-h">
    <w:altName w:val="鸿蒙黑体"/>
    <w:charset w:val="00"/>
    <w:family w:val="auto"/>
    <w:pitch w:val="default"/>
  </w:font>
  <w:font w:name="var(--dsw-font-markdown-table)">
    <w:altName w:val="鸿蒙黑体"/>
    <w:charset w:val="00"/>
    <w:family w:val="auto"/>
    <w:pitch w:val="default"/>
  </w:font>
  <w:font w:name="var(--dsw-font-markdown-base)">
    <w:altName w:val="鸿蒙黑体"/>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bordersDoNotSurroundHeader/>
  <w:bordersDoNotSurroundFooter/>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FFCFF88D"/>
    <w:rsid w:val="9FDBE378"/>
    <w:rsid w:val="DFFF000C"/>
    <w:rsid w:val="E3BBA76D"/>
    <w:rsid w:val="EED6C4D6"/>
    <w:rsid w:val="F3EFE60B"/>
    <w:rsid w:val="F9D81487"/>
    <w:rsid w:val="FAD56AA7"/>
    <w:rsid w:val="FD9199C1"/>
    <w:rsid w:val="FDDEA5C8"/>
    <w:rsid w:val="FE3F4B34"/>
    <w:rsid w:val="FE5BBDC3"/>
    <w:rsid w:val="FFCFF88D"/>
    <w:rsid w:val="0012783C"/>
    <w:rsid w:val="00241709"/>
    <w:rsid w:val="002A1F4E"/>
    <w:rsid w:val="003837C7"/>
    <w:rsid w:val="00526AEC"/>
    <w:rsid w:val="005D3D9E"/>
    <w:rsid w:val="00660441"/>
    <w:rsid w:val="00776D52"/>
    <w:rsid w:val="00795585"/>
    <w:rsid w:val="007E5D9A"/>
    <w:rsid w:val="008835F7"/>
    <w:rsid w:val="00970CE5"/>
    <w:rsid w:val="00A368E0"/>
    <w:rsid w:val="00A40802"/>
    <w:rsid w:val="00B11626"/>
    <w:rsid w:val="00B919DD"/>
    <w:rsid w:val="00CF22BC"/>
    <w:rsid w:val="00D41255"/>
    <w:rsid w:val="00E4399E"/>
    <w:rsid w:val="00F6795F"/>
    <w:rsid w:val="00F7073C"/>
    <w:rsid w:val="00F97267"/>
    <w:rsid w:val="19FADED6"/>
    <w:rsid w:val="5BED5EC7"/>
    <w:rsid w:val="7C6E6B1F"/>
    <w:rsid w:val="7E67E411"/>
    <w:rsid w:val="7FFE19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A4B5FA"/>
  <w15:docId w15:val="{F03F13A7-470F-4705-916B-5C9317D7D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HTML Code" w:qFormat="1"/>
    <w:lsdException w:name="HTML Preformatted"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qFormat/>
    <w:pPr>
      <w:keepNext/>
      <w:keepLines/>
      <w:spacing w:before="400" w:after="160"/>
      <w:outlineLvl w:val="0"/>
    </w:pPr>
    <w:rPr>
      <w:b/>
      <w:color w:val="4A5568"/>
      <w:sz w:val="26"/>
    </w:rPr>
  </w:style>
  <w:style w:type="paragraph" w:styleId="2">
    <w:name w:val="heading 2"/>
    <w:basedOn w:val="a"/>
    <w:next w:val="a"/>
    <w:semiHidden/>
    <w:unhideWhenUsed/>
    <w:qFormat/>
    <w:pPr>
      <w:spacing w:beforeAutospacing="1" w:afterAutospacing="1"/>
      <w:jc w:val="left"/>
      <w:outlineLvl w:val="1"/>
    </w:pPr>
    <w:rPr>
      <w:rFonts w:ascii="宋体" w:eastAsia="宋体" w:hAnsi="宋体" w:cs="Times New Roman" w:hint="eastAsia"/>
      <w:b/>
      <w:bCs/>
      <w:kern w:val="0"/>
      <w:sz w:val="36"/>
      <w:szCs w:val="36"/>
    </w:rPr>
  </w:style>
  <w:style w:type="paragraph" w:styleId="3">
    <w:name w:val="heading 3"/>
    <w:basedOn w:val="a"/>
    <w:next w:val="a"/>
    <w:semiHidden/>
    <w:unhideWhenUsed/>
    <w:qFormat/>
    <w:pPr>
      <w:spacing w:beforeAutospacing="1" w:afterAutospacing="1"/>
      <w:jc w:val="left"/>
      <w:outlineLvl w:val="2"/>
    </w:pPr>
    <w:rPr>
      <w:rFonts w:ascii="宋体" w:eastAsia="宋体" w:hAnsi="宋体" w:cs="Times New Roman" w:hint="eastAsia"/>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qFormat/>
    <w:pPr>
      <w:tabs>
        <w:tab w:val="center" w:pos="4153"/>
        <w:tab w:val="right" w:pos="8306"/>
      </w:tabs>
      <w:snapToGrid w:val="0"/>
      <w:jc w:val="left"/>
    </w:pPr>
    <w:rPr>
      <w:sz w:val="18"/>
      <w:szCs w:val="18"/>
    </w:rPr>
  </w:style>
  <w:style w:type="paragraph" w:styleId="a5">
    <w:name w:val="header"/>
    <w:basedOn w:val="a"/>
    <w:link w:val="a6"/>
    <w:qFormat/>
    <w:pPr>
      <w:tabs>
        <w:tab w:val="center" w:pos="4153"/>
        <w:tab w:val="right" w:pos="8306"/>
      </w:tabs>
      <w:snapToGrid w:val="0"/>
      <w:jc w:val="center"/>
    </w:pPr>
    <w:rPr>
      <w:sz w:val="18"/>
      <w:szCs w:val="18"/>
    </w:rPr>
  </w:style>
  <w:style w:type="paragraph" w:styleId="HTML">
    <w:name w:val="HTML Preformatted"/>
    <w:basedOn w:val="a"/>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Times New Roman"/>
      <w:kern w:val="0"/>
      <w:sz w:val="20"/>
      <w:szCs w:val="20"/>
    </w:rPr>
  </w:style>
  <w:style w:type="paragraph" w:styleId="a7">
    <w:name w:val="Normal (Web)"/>
    <w:basedOn w:val="a"/>
    <w:qFormat/>
    <w:rPr>
      <w:sz w:val="24"/>
    </w:rPr>
  </w:style>
  <w:style w:type="table" w:styleId="a8">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Strong"/>
    <w:basedOn w:val="a0"/>
    <w:qFormat/>
    <w:rPr>
      <w:b/>
    </w:rPr>
  </w:style>
  <w:style w:type="character" w:styleId="aa">
    <w:name w:val="Emphasis"/>
    <w:basedOn w:val="a0"/>
    <w:qFormat/>
    <w:rPr>
      <w:i/>
    </w:rPr>
  </w:style>
  <w:style w:type="character" w:styleId="HTML0">
    <w:name w:val="HTML Code"/>
    <w:basedOn w:val="a0"/>
    <w:qFormat/>
    <w:rPr>
      <w:rFonts w:ascii="Courier New" w:hAnsi="Courier New"/>
      <w:sz w:val="20"/>
    </w:rPr>
  </w:style>
  <w:style w:type="paragraph" w:customStyle="1" w:styleId="10">
    <w:name w:val="书目1"/>
    <w:basedOn w:val="a"/>
    <w:next w:val="a"/>
    <w:uiPriority w:val="37"/>
    <w:unhideWhenUsed/>
    <w:qFormat/>
    <w:pPr>
      <w:tabs>
        <w:tab w:val="left" w:pos="504"/>
      </w:tabs>
      <w:spacing w:after="240"/>
      <w:ind w:left="504" w:hanging="504"/>
    </w:pPr>
  </w:style>
  <w:style w:type="character" w:customStyle="1" w:styleId="a6">
    <w:name w:val="页眉 字符"/>
    <w:basedOn w:val="a0"/>
    <w:link w:val="a5"/>
    <w:qFormat/>
    <w:rPr>
      <w:rFonts w:asciiTheme="minorHAnsi" w:eastAsiaTheme="minorEastAsia" w:hAnsiTheme="minorHAnsi" w:cstheme="minorBidi"/>
      <w:kern w:val="2"/>
      <w:sz w:val="18"/>
      <w:szCs w:val="18"/>
    </w:rPr>
  </w:style>
  <w:style w:type="character" w:customStyle="1" w:styleId="a4">
    <w:name w:val="页脚 字符"/>
    <w:basedOn w:val="a0"/>
    <w:link w:val="a3"/>
    <w:qFormat/>
    <w:rPr>
      <w:rFonts w:asciiTheme="minorHAnsi" w:eastAsiaTheme="minorEastAsia" w:hAnsiTheme="minorHAnsi" w:cstheme="minorBidi"/>
      <w:kern w:val="2"/>
      <w:sz w:val="18"/>
      <w:szCs w:val="18"/>
    </w:rPr>
  </w:style>
  <w:style w:type="table" w:styleId="4">
    <w:name w:val="Plain Table 4"/>
    <w:basedOn w:val="a1"/>
    <w:uiPriority w:val="44"/>
    <w:rsid w:val="00E4399E"/>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19</Pages>
  <Words>26759</Words>
  <Characters>152531</Characters>
  <Application>Microsoft Office Word</Application>
  <DocSecurity>0</DocSecurity>
  <Lines>1271</Lines>
  <Paragraphs>357</Paragraphs>
  <ScaleCrop>false</ScaleCrop>
  <Company/>
  <LinksUpToDate>false</LinksUpToDate>
  <CharactersWithSpaces>178933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郭妍</dc:creator>
  <cp:lastModifiedBy>yan guo</cp:lastModifiedBy>
  <cp:revision>7</cp:revision>
  <dcterms:created xsi:type="dcterms:W3CDTF">2026-04-03T22:21:00Z</dcterms:created>
  <dcterms:modified xsi:type="dcterms:W3CDTF">2026-05-29T01:37:00Z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2052-12.1.3.26376</vt:lpwstr>
  </property>
  <property fmtid="{D5CDD505-2E9C-101B-9397-08002B2CF9AE}" pid="3" name="ICV">
    <vt:lpwstr>B0A3F1068E4EC4EB88C1096AE3D92030_43</vt:lpwstr>
  </property>
  <property fmtid="{D5CDD505-2E9C-101B-9397-08002B2CF9AE}" pid="4" name="ZOTERO_PREF_1">
    <vt:lpwstr>&lt;data data-version="3" zotero-version="7.0.32"&gt;&lt;session id="PT63WDpC"/&gt;&lt;style id="http://www.zotero.org/styles/2d-materials" hasBibliography="1" bibliographyStyleHasBeenSet="1"/&gt;&lt;prefs&gt;&lt;pref name="fieldType" value="Field"/&gt;&lt;pref name="automaticJournalAbbr</vt:lpwstr>
  </property>
  <property fmtid="{D5CDD505-2E9C-101B-9397-08002B2CF9AE}" pid="5" name="ZOTERO_PREF_2">
    <vt:lpwstr>eviations" value="true"/&gt;&lt;/prefs&gt;&lt;/data&gt;</vt:lpwstr>
  </property>
</Properties>
</file>