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lineRule="auto" w:line="240"/>
        <w:rPr>
          <w:rFonts w:ascii="Times New Roman" w:hAnsi="Times New Roman"/>
          <w:sz w:val="24"/>
          <w:szCs w:val="24"/>
        </w:rPr>
      </w:pPr>
      <w:r>
        <w:rPr>
          <w:rFonts w:ascii="Times New Roman" w:eastAsia="Calibri" w:hAnsi="Times New Roman"/>
          <w:b/>
          <w:bCs/>
          <w:sz w:val="24"/>
          <w:szCs w:val="24"/>
          <w:lang w:eastAsia="en-US"/>
        </w:rPr>
        <w:t xml:space="preserve">RELATIVE ABUNDANCE OF </w:t>
      </w:r>
      <w:r>
        <w:rPr>
          <w:rFonts w:ascii="Times New Roman" w:eastAsia="Calibri" w:hAnsi="Times New Roman"/>
          <w:b/>
          <w:bCs/>
          <w:i/>
          <w:iCs/>
          <w:sz w:val="24"/>
          <w:szCs w:val="24"/>
          <w:lang w:eastAsia="en-US"/>
        </w:rPr>
        <w:t>Osteolaemus</w:t>
      </w:r>
      <w:r>
        <w:rPr>
          <w:rFonts w:ascii="Times New Roman" w:eastAsia="Calibri" w:hAnsi="Times New Roman"/>
          <w:b/>
          <w:bCs/>
          <w:i/>
          <w:iCs/>
          <w:sz w:val="24"/>
          <w:szCs w:val="24"/>
          <w:lang w:eastAsia="en-US"/>
        </w:rPr>
        <w:t xml:space="preserve"> </w:t>
      </w:r>
      <w:r>
        <w:rPr>
          <w:rFonts w:ascii="Times New Roman" w:eastAsia="Calibri" w:hAnsi="Times New Roman"/>
          <w:b/>
          <w:bCs/>
          <w:i/>
          <w:iCs/>
          <w:sz w:val="24"/>
          <w:szCs w:val="24"/>
          <w:lang w:eastAsia="en-US"/>
        </w:rPr>
        <w:t>tetraspis</w:t>
      </w:r>
      <w:r>
        <w:rPr>
          <w:rFonts w:ascii="Times New Roman" w:eastAsia="Calibri" w:hAnsi="Times New Roman"/>
          <w:b/>
          <w:bCs/>
          <w:sz w:val="24"/>
          <w:szCs w:val="24"/>
          <w:lang w:eastAsia="en-US"/>
        </w:rPr>
        <w:t xml:space="preserve"> IN UWA, EDUMANOM AND OGBE-IJAW BUSHMEAT MARKETS IN THE NIGER DELTA REGION, NIGERIA</w:t>
      </w:r>
    </w:p>
    <w:p>
      <w:pPr>
        <w:pStyle w:val="style0"/>
        <w:spacing w:after="0" w:lineRule="auto" w:line="240"/>
        <w:jc w:val="center"/>
        <w:rPr>
          <w:rFonts w:ascii="Times New Roman" w:hAnsi="Times New Roman"/>
          <w:b/>
          <w:bCs/>
          <w:sz w:val="24"/>
          <w:szCs w:val="24"/>
        </w:rPr>
      </w:pPr>
      <w:r>
        <w:rPr>
          <w:rFonts w:ascii="Times New Roman" w:eastAsia="Calibri" w:hAnsi="Times New Roman"/>
          <w:b/>
          <w:bCs/>
          <w:sz w:val="24"/>
          <w:szCs w:val="24"/>
          <w:vertAlign w:val="superscript"/>
          <w:lang w:eastAsia="en-US"/>
        </w:rPr>
        <w:t>1</w:t>
      </w:r>
      <w:r>
        <w:rPr>
          <w:rFonts w:ascii="Times New Roman" w:eastAsia="Calibri" w:hAnsi="Times New Roman"/>
          <w:b/>
          <w:bCs/>
          <w:sz w:val="24"/>
          <w:szCs w:val="24"/>
          <w:lang w:eastAsia="en-US"/>
        </w:rPr>
        <w:t xml:space="preserve">Ogorode, I.O., </w:t>
      </w:r>
      <w:r>
        <w:rPr>
          <w:rFonts w:ascii="Times New Roman" w:eastAsia="Calibri" w:hAnsi="Times New Roman"/>
          <w:b/>
          <w:bCs/>
          <w:sz w:val="24"/>
          <w:szCs w:val="24"/>
          <w:vertAlign w:val="superscript"/>
          <w:lang w:eastAsia="en-US"/>
        </w:rPr>
        <w:t>,2</w:t>
      </w:r>
      <w:r>
        <w:rPr>
          <w:rFonts w:ascii="Times New Roman" w:eastAsia="Calibri" w:hAnsi="Times New Roman"/>
          <w:b/>
          <w:bCs/>
          <w:sz w:val="24"/>
          <w:szCs w:val="24"/>
          <w:lang w:eastAsia="en-US"/>
        </w:rPr>
        <w:t xml:space="preserve">Ito, E.E, </w:t>
      </w:r>
      <w:r>
        <w:rPr>
          <w:rFonts w:ascii="Times New Roman" w:eastAsia="Calibri" w:hAnsi="Times New Roman"/>
          <w:b/>
          <w:bCs/>
          <w:sz w:val="24"/>
          <w:szCs w:val="24"/>
          <w:vertAlign w:val="superscript"/>
          <w:lang w:eastAsia="en-US"/>
        </w:rPr>
        <w:t>3</w:t>
      </w:r>
      <w:r>
        <w:rPr>
          <w:rFonts w:ascii="Times New Roman" w:eastAsia="Calibri" w:hAnsi="Times New Roman"/>
          <w:b/>
          <w:bCs/>
          <w:sz w:val="24"/>
          <w:szCs w:val="24"/>
          <w:lang w:eastAsia="en-US"/>
        </w:rPr>
        <w:t xml:space="preserve">Oriakpono, O.E,   </w:t>
      </w:r>
      <w:r>
        <w:rPr>
          <w:rFonts w:ascii="Times New Roman" w:eastAsia="Calibri" w:hAnsi="Times New Roman"/>
          <w:b/>
          <w:bCs/>
          <w:sz w:val="24"/>
          <w:szCs w:val="24"/>
          <w:vertAlign w:val="superscript"/>
          <w:lang w:eastAsia="en-US"/>
        </w:rPr>
        <w:t>4</w:t>
      </w:r>
      <w:r>
        <w:rPr>
          <w:rFonts w:ascii="Times New Roman" w:eastAsia="Calibri" w:hAnsi="Times New Roman"/>
          <w:b/>
          <w:bCs/>
          <w:sz w:val="24"/>
          <w:szCs w:val="24"/>
          <w:lang w:eastAsia="en-US"/>
        </w:rPr>
        <w:t xml:space="preserve">Vincent-Akpu, I.F,   </w:t>
      </w:r>
      <w:r>
        <w:rPr>
          <w:rFonts w:ascii="Times New Roman" w:eastAsia="Calibri" w:hAnsi="Times New Roman"/>
          <w:b/>
          <w:bCs/>
          <w:sz w:val="24"/>
          <w:szCs w:val="24"/>
          <w:vertAlign w:val="superscript"/>
          <w:lang w:eastAsia="en-US"/>
        </w:rPr>
        <w:t>5</w:t>
      </w:r>
      <w:r>
        <w:rPr>
          <w:rFonts w:ascii="Times New Roman" w:eastAsia="Calibri" w:hAnsi="Times New Roman"/>
          <w:b/>
          <w:bCs/>
          <w:sz w:val="24"/>
          <w:szCs w:val="24"/>
          <w:lang w:eastAsia="en-US"/>
        </w:rPr>
        <w:t xml:space="preserve">Babatunde, B.B   and </w:t>
      </w:r>
      <w:r>
        <w:rPr>
          <w:rFonts w:ascii="Times New Roman" w:eastAsia="Calibri" w:hAnsi="Times New Roman"/>
          <w:b/>
          <w:bCs/>
          <w:sz w:val="24"/>
          <w:szCs w:val="24"/>
          <w:vertAlign w:val="superscript"/>
          <w:lang w:eastAsia="en-US"/>
        </w:rPr>
        <w:t>6</w:t>
      </w:r>
      <w:r>
        <w:rPr>
          <w:rFonts w:ascii="Times New Roman" w:eastAsia="Calibri" w:hAnsi="Times New Roman"/>
          <w:b/>
          <w:bCs/>
          <w:sz w:val="24"/>
          <w:szCs w:val="24"/>
          <w:lang w:eastAsia="en-US"/>
        </w:rPr>
        <w:t>Sikoki, F.D</w:t>
      </w:r>
    </w:p>
    <w:p>
      <w:pPr>
        <w:pStyle w:val="style0"/>
        <w:spacing w:after="0" w:lineRule="auto" w:line="240"/>
        <w:jc w:val="center"/>
        <w:rPr>
          <w:rFonts w:ascii="Times New Roman" w:hAnsi="Times New Roman"/>
        </w:rPr>
      </w:pPr>
      <w:r>
        <w:rPr>
          <w:rFonts w:ascii="Times New Roman" w:eastAsia="Calibri" w:hAnsi="Times New Roman"/>
          <w:vertAlign w:val="superscript"/>
          <w:lang w:eastAsia="en-US"/>
        </w:rPr>
        <w:t>1&amp;6</w:t>
      </w:r>
      <w:r>
        <w:rPr>
          <w:rFonts w:ascii="Times New Roman" w:eastAsia="Calibri" w:hAnsi="Times New Roman"/>
          <w:lang w:eastAsia="en-US"/>
        </w:rPr>
        <w:t xml:space="preserve"> Department of Biological Sciences, University of Africa Toru-</w:t>
      </w:r>
      <w:r>
        <w:rPr>
          <w:rFonts w:ascii="Times New Roman" w:eastAsia="Calibri" w:hAnsi="Times New Roman"/>
          <w:lang w:eastAsia="en-US"/>
        </w:rPr>
        <w:t>orua</w:t>
      </w:r>
      <w:r>
        <w:rPr>
          <w:rFonts w:ascii="Times New Roman" w:eastAsia="Calibri" w:hAnsi="Times New Roman"/>
          <w:lang w:eastAsia="en-US"/>
        </w:rPr>
        <w:t xml:space="preserve">, </w:t>
      </w:r>
      <w:r>
        <w:rPr>
          <w:rFonts w:ascii="Times New Roman" w:eastAsia="Calibri" w:hAnsi="Times New Roman"/>
          <w:lang w:eastAsia="en-US"/>
        </w:rPr>
        <w:t>Sagbama</w:t>
      </w:r>
      <w:r>
        <w:rPr>
          <w:rFonts w:ascii="Times New Roman" w:eastAsia="Calibri" w:hAnsi="Times New Roman"/>
          <w:lang w:eastAsia="en-US"/>
        </w:rPr>
        <w:t>, Bayelsa State, Nigeria</w:t>
      </w:r>
    </w:p>
    <w:p>
      <w:pPr>
        <w:pStyle w:val="style0"/>
        <w:spacing w:after="0" w:lineRule="auto" w:line="240"/>
        <w:jc w:val="center"/>
        <w:rPr>
          <w:rFonts w:ascii="Times New Roman" w:hAnsi="Times New Roman"/>
        </w:rPr>
      </w:pPr>
      <w:r>
        <w:rPr>
          <w:rFonts w:ascii="Times New Roman" w:eastAsia="Calibri" w:hAnsi="Times New Roman"/>
          <w:vertAlign w:val="superscript"/>
          <w:lang w:eastAsia="en-US"/>
        </w:rPr>
        <w:t>2</w:t>
      </w:r>
      <w:r>
        <w:rPr>
          <w:rFonts w:ascii="Times New Roman" w:eastAsia="Calibri" w:hAnsi="Times New Roman"/>
          <w:lang w:eastAsia="en-US"/>
        </w:rPr>
        <w:t xml:space="preserve">Department of Animal and Environmental Biology, Delta State University, </w:t>
      </w:r>
      <w:r>
        <w:rPr>
          <w:rFonts w:ascii="Times New Roman" w:eastAsia="Calibri" w:hAnsi="Times New Roman"/>
          <w:lang w:eastAsia="en-US"/>
        </w:rPr>
        <w:t>Abraka</w:t>
      </w:r>
      <w:r>
        <w:rPr>
          <w:rFonts w:ascii="Times New Roman" w:eastAsia="Calibri" w:hAnsi="Times New Roman"/>
          <w:lang w:eastAsia="en-US"/>
        </w:rPr>
        <w:t>, Nigeria</w:t>
      </w:r>
    </w:p>
    <w:p>
      <w:pPr>
        <w:pStyle w:val="style0"/>
        <w:spacing w:after="0" w:lineRule="auto" w:line="240"/>
        <w:jc w:val="center"/>
        <w:rPr>
          <w:rFonts w:ascii="Times New Roman" w:hAnsi="Times New Roman"/>
        </w:rPr>
      </w:pPr>
      <w:r>
        <w:rPr>
          <w:rFonts w:ascii="Times New Roman" w:eastAsia="Calibri" w:hAnsi="Times New Roman"/>
          <w:vertAlign w:val="superscript"/>
          <w:lang w:eastAsia="en-US"/>
        </w:rPr>
        <w:t>1-5</w:t>
      </w:r>
      <w:r>
        <w:rPr>
          <w:rFonts w:ascii="Times New Roman" w:eastAsia="Calibri" w:hAnsi="Times New Roman"/>
          <w:lang w:eastAsia="en-US"/>
        </w:rPr>
        <w:t xml:space="preserve">Department of Animal and Environmental Biology, University of Port Harcourt, </w:t>
      </w:r>
      <w:r>
        <w:rPr>
          <w:rFonts w:ascii="Times New Roman" w:eastAsia="Calibri" w:hAnsi="Times New Roman"/>
          <w:lang w:eastAsia="en-US"/>
        </w:rPr>
        <w:t>choba</w:t>
      </w:r>
      <w:r>
        <w:rPr>
          <w:rFonts w:ascii="Times New Roman" w:eastAsia="Calibri" w:hAnsi="Times New Roman"/>
          <w:lang w:eastAsia="en-US"/>
        </w:rPr>
        <w:t>, Rivers State, Nigeria</w:t>
      </w:r>
    </w:p>
    <w:p>
      <w:pPr>
        <w:pStyle w:val="style0"/>
        <w:spacing w:lineRule="auto" w:line="240"/>
        <w:jc w:val="center"/>
        <w:rPr>
          <w:rFonts w:ascii="Times New Roman" w:hAnsi="Times New Roman"/>
        </w:rPr>
      </w:pPr>
      <w:r>
        <w:rPr>
          <w:rFonts w:ascii="Times New Roman" w:eastAsia="Calibri" w:hAnsi="Times New Roman"/>
          <w:b/>
          <w:bCs/>
          <w:lang w:eastAsia="en-US"/>
        </w:rPr>
        <w:t xml:space="preserve">Corresponding Author:  </w:t>
      </w:r>
      <w:r>
        <w:rPr/>
        <w:fldChar w:fldCharType="begin"/>
      </w:r>
      <w:r>
        <w:instrText xml:space="preserve"> HYPERLINK "mailto:israelogorode@gmail.com" </w:instrText>
      </w:r>
      <w:r>
        <w:rPr/>
        <w:fldChar w:fldCharType="separate"/>
      </w:r>
      <w:r>
        <w:rPr>
          <w:rStyle w:val="style85"/>
          <w:rFonts w:ascii="Times New Roman" w:eastAsia="Calibri" w:hAnsi="Times New Roman"/>
          <w:lang w:eastAsia="en-US"/>
        </w:rPr>
        <w:t>israelogorode@gmail.com</w:t>
      </w:r>
      <w:r>
        <w:rPr/>
        <w:fldChar w:fldCharType="end"/>
      </w:r>
      <w:r>
        <w:rPr>
          <w:rFonts w:ascii="Times New Roman" w:eastAsia="Calibri" w:hAnsi="Times New Roman"/>
          <w:lang w:eastAsia="en-US"/>
        </w:rPr>
        <w:t xml:space="preserve">; </w:t>
      </w:r>
      <w:r>
        <w:rPr/>
        <w:fldChar w:fldCharType="begin"/>
      </w:r>
      <w:r>
        <w:instrText xml:space="preserve"> HYPERLINK "mailto:eeito@delsu.edu.ng" </w:instrText>
      </w:r>
      <w:r>
        <w:rPr/>
        <w:fldChar w:fldCharType="separate"/>
      </w:r>
      <w:r>
        <w:rPr>
          <w:rStyle w:val="style85"/>
          <w:rFonts w:ascii="Times New Roman" w:eastAsia="Calibri" w:hAnsi="Times New Roman"/>
          <w:lang w:eastAsia="en-US"/>
        </w:rPr>
        <w:t>eeito@delsu.edu.ng</w:t>
      </w:r>
      <w:r>
        <w:rPr/>
        <w:fldChar w:fldCharType="end"/>
      </w:r>
      <w:r>
        <w:rPr>
          <w:rFonts w:ascii="Times New Roman" w:eastAsia="Calibri" w:hAnsi="Times New Roman"/>
          <w:lang w:eastAsia="en-US"/>
        </w:rPr>
        <w:t xml:space="preserve">. </w:t>
      </w:r>
      <w:r>
        <w:rPr/>
        <w:fldChar w:fldCharType="begin"/>
      </w:r>
      <w:r>
        <w:instrText xml:space="preserve"> HYPERLINK "mailto:Israel.ogorode@uat.edu.ng" </w:instrText>
      </w:r>
      <w:r>
        <w:rPr/>
        <w:fldChar w:fldCharType="separate"/>
      </w:r>
      <w:r>
        <w:rPr>
          <w:rStyle w:val="style85"/>
          <w:rFonts w:ascii="Times New Roman" w:eastAsia="Calibri" w:hAnsi="Times New Roman"/>
          <w:lang w:eastAsia="en-US"/>
        </w:rPr>
        <w:t>Israel.ogorode@uat.edu.ng</w:t>
      </w:r>
      <w:r>
        <w:rPr/>
        <w:fldChar w:fldCharType="end"/>
      </w:r>
      <w:r>
        <w:rPr>
          <w:rFonts w:ascii="Times New Roman" w:eastAsia="Calibri" w:hAnsi="Times New Roman"/>
          <w:lang w:eastAsia="en-US"/>
        </w:rPr>
        <w:t>.</w:t>
      </w:r>
      <w:r>
        <w:rPr>
          <w:rFonts w:ascii="Times New Roman" w:eastAsia="Calibri" w:hAnsi="Times New Roman"/>
          <w:b/>
          <w:bCs/>
          <w:lang w:eastAsia="en-US"/>
        </w:rPr>
        <w:t xml:space="preserve"> </w:t>
      </w:r>
    </w:p>
    <w:p>
      <w:pPr>
        <w:pStyle w:val="style0"/>
        <w:spacing w:after="0" w:lineRule="auto" w:line="240"/>
        <w:jc w:val="center"/>
        <w:rPr>
          <w:rFonts w:ascii="Times New Roman" w:hAnsi="Times New Roman"/>
          <w:sz w:val="24"/>
          <w:szCs w:val="24"/>
        </w:rPr>
      </w:pPr>
      <w:r>
        <w:rPr>
          <w:rFonts w:ascii="Times New Roman" w:eastAsia="Calibri" w:hAnsi="Times New Roman"/>
          <w:b/>
          <w:bCs/>
          <w:sz w:val="24"/>
          <w:szCs w:val="24"/>
          <w:lang w:eastAsia="en-US"/>
        </w:rPr>
        <w:t>ABSTRACT</w:t>
      </w:r>
    </w:p>
    <w:p>
      <w:pPr>
        <w:pStyle w:val="style0"/>
        <w:spacing w:after="0" w:lineRule="auto" w:line="240"/>
        <w:jc w:val="both"/>
        <w:rPr>
          <w:rFonts w:ascii="Times New Roman" w:hAnsi="Times New Roman"/>
          <w:sz w:val="24"/>
          <w:szCs w:val="24"/>
        </w:rPr>
      </w:pPr>
      <w:r>
        <w:rPr>
          <w:rFonts w:ascii="Times New Roman" w:hAnsi="Times New Roman"/>
          <w:sz w:val="24"/>
          <w:szCs w:val="24"/>
        </w:rPr>
        <w:t xml:space="preserve">The dwarf crocodile </w:t>
      </w:r>
      <w:r>
        <w:rPr>
          <w:rStyle w:val="style88"/>
          <w:rFonts w:ascii="Times New Roman" w:hAnsi="Times New Roman"/>
          <w:sz w:val="24"/>
          <w:szCs w:val="24"/>
        </w:rPr>
        <w:t>Osteolaemus</w:t>
      </w:r>
      <w:r>
        <w:rPr>
          <w:rStyle w:val="style88"/>
          <w:rFonts w:ascii="Times New Roman" w:hAnsi="Times New Roman"/>
          <w:sz w:val="24"/>
          <w:szCs w:val="24"/>
        </w:rPr>
        <w:t xml:space="preserve"> </w:t>
      </w:r>
      <w:r>
        <w:rPr>
          <w:rStyle w:val="style88"/>
          <w:rFonts w:ascii="Times New Roman" w:hAnsi="Times New Roman"/>
          <w:sz w:val="24"/>
          <w:szCs w:val="24"/>
        </w:rPr>
        <w:t>tetraspis</w:t>
      </w:r>
      <w:r>
        <w:rPr>
          <w:rFonts w:ascii="Times New Roman" w:hAnsi="Times New Roman"/>
          <w:sz w:val="24"/>
          <w:szCs w:val="24"/>
        </w:rPr>
        <w:t xml:space="preserve"> is globally listed as Vulnerable, yet remains heavily harvested across West and Central Africa particularly in the Niger Delta, Nigeria. This study assessed the </w:t>
      </w:r>
      <w:r>
        <w:rPr>
          <w:rFonts w:ascii="Times New Roman" w:hAnsi="Times New Roman"/>
          <w:sz w:val="24"/>
          <w:szCs w:val="24"/>
        </w:rPr>
        <w:t>spatio</w:t>
      </w:r>
      <w:r>
        <w:rPr>
          <w:rFonts w:ascii="Times New Roman" w:hAnsi="Times New Roman"/>
          <w:sz w:val="24"/>
          <w:szCs w:val="24"/>
        </w:rPr>
        <w:t xml:space="preserve">-temporal variation in the relative abundance of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across three major bushmeat markets: Uwa (Edo State), </w:t>
      </w:r>
      <w:r>
        <w:rPr>
          <w:rFonts w:ascii="Times New Roman" w:hAnsi="Times New Roman"/>
          <w:sz w:val="24"/>
          <w:szCs w:val="24"/>
        </w:rPr>
        <w:t>Edumanon</w:t>
      </w:r>
      <w:r>
        <w:rPr>
          <w:rFonts w:ascii="Times New Roman" w:hAnsi="Times New Roman"/>
          <w:sz w:val="24"/>
          <w:szCs w:val="24"/>
        </w:rPr>
        <w:t xml:space="preserve"> (Bayelsa State), and Ogbe-Ijaw (Delta State) to inform conservation and management interventions. Bushmeat market surveys were conducted fortnightly between October 2021 and April 2022. All crocodiles encountered were counted and measured across three size classes (60, 90, and ≥120 cm). </w:t>
      </w:r>
      <w:r>
        <w:rPr>
          <w:rFonts w:ascii="Times New Roman" w:eastAsia="Times New Roman" w:hAnsi="Times New Roman"/>
          <w:sz w:val="24"/>
          <w:szCs w:val="24"/>
        </w:rPr>
        <w:t xml:space="preserve">A negative-binomial generalized linear mixed model (GLMM) was fitted to monthly counts of </w:t>
      </w:r>
      <w:r>
        <w:rPr>
          <w:rFonts w:ascii="Times New Roman" w:eastAsia="Times New Roman" w:hAnsi="Times New Roman"/>
          <w:i/>
          <w:iCs/>
          <w:sz w:val="24"/>
          <w:szCs w:val="24"/>
        </w:rPr>
        <w:t>Osteolaemus</w:t>
      </w:r>
      <w:r>
        <w:rPr>
          <w:rFonts w:ascii="Times New Roman" w:eastAsia="Times New Roman" w:hAnsi="Times New Roman"/>
          <w:i/>
          <w:iCs/>
          <w:sz w:val="24"/>
          <w:szCs w:val="24"/>
        </w:rPr>
        <w:t xml:space="preserve"> </w:t>
      </w:r>
      <w:r>
        <w:rPr>
          <w:rFonts w:ascii="Times New Roman" w:eastAsia="Times New Roman" w:hAnsi="Times New Roman"/>
          <w:i/>
          <w:iCs/>
          <w:sz w:val="24"/>
          <w:szCs w:val="24"/>
        </w:rPr>
        <w:t>tetraspis</w:t>
      </w:r>
      <w:r>
        <w:rPr>
          <w:rFonts w:ascii="Times New Roman" w:eastAsia="Times New Roman" w:hAnsi="Times New Roman"/>
          <w:sz w:val="24"/>
          <w:szCs w:val="24"/>
        </w:rPr>
        <w:t xml:space="preserve"> to account for overdispersion in the abundance data. </w:t>
      </w:r>
      <w:r>
        <w:rPr>
          <w:rFonts w:ascii="Times New Roman" w:hAnsi="Times New Roman"/>
          <w:sz w:val="24"/>
          <w:szCs w:val="24"/>
        </w:rPr>
        <w:t xml:space="preserve">Temporal (Month) and spatial (Market location) effects, as well as their interaction, were treated as </w:t>
      </w:r>
      <w:r>
        <w:rPr>
          <w:rStyle w:val="style87"/>
          <w:rFonts w:ascii="Times New Roman" w:hAnsi="Times New Roman"/>
          <w:b w:val="false"/>
          <w:bCs w:val="false"/>
          <w:sz w:val="24"/>
          <w:szCs w:val="24"/>
        </w:rPr>
        <w:t>fixed effects</w:t>
      </w:r>
      <w:r>
        <w:rPr>
          <w:rFonts w:ascii="Times New Roman" w:hAnsi="Times New Roman"/>
          <w:sz w:val="24"/>
          <w:szCs w:val="24"/>
        </w:rPr>
        <w:t xml:space="preserve">. </w:t>
      </w:r>
      <w:r>
        <w:rPr>
          <w:rFonts w:ascii="Times New Roman" w:hAnsi="Times New Roman"/>
          <w:sz w:val="24"/>
          <w:szCs w:val="24"/>
        </w:rPr>
        <w:t xml:space="preserve">A total of 158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individuals were recorded, </w:t>
      </w:r>
      <w:r>
        <w:rPr>
          <w:rFonts w:ascii="Times New Roman" w:hAnsi="Times New Roman"/>
          <w:sz w:val="24"/>
          <w:szCs w:val="24"/>
        </w:rPr>
        <w:t>dominated by medium-sized (</w:t>
      </w:r>
      <w:r>
        <w:rPr>
          <w:rFonts w:ascii="Times New Roman" w:hAnsi="Times New Roman"/>
          <w:sz w:val="24"/>
          <w:szCs w:val="24"/>
          <w:highlight w:val="yellow"/>
        </w:rPr>
        <w:t>39.24%</w:t>
      </w:r>
      <w:r>
        <w:rPr>
          <w:rFonts w:ascii="Times New Roman" w:hAnsi="Times New Roman"/>
          <w:sz w:val="24"/>
          <w:szCs w:val="24"/>
        </w:rPr>
        <w:t>) and large-sized (</w:t>
      </w:r>
      <w:r>
        <w:rPr>
          <w:rFonts w:ascii="Times New Roman" w:hAnsi="Times New Roman"/>
          <w:sz w:val="24"/>
          <w:szCs w:val="24"/>
          <w:highlight w:val="yellow"/>
        </w:rPr>
        <w:t>39.24%</w:t>
      </w:r>
      <w:r>
        <w:rPr>
          <w:rFonts w:ascii="Times New Roman" w:hAnsi="Times New Roman"/>
          <w:sz w:val="24"/>
          <w:szCs w:val="24"/>
        </w:rPr>
        <w:t>) individuals</w:t>
      </w:r>
      <w:r>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 xml:space="preserve">Uwa accounted for the highest proportion of individuals (60.8%), followed by </w:t>
      </w:r>
      <w:r>
        <w:rPr>
          <w:rFonts w:ascii="Times New Roman" w:hAnsi="Times New Roman"/>
          <w:sz w:val="24"/>
          <w:szCs w:val="24"/>
        </w:rPr>
        <w:t>Edumanon</w:t>
      </w:r>
      <w:r>
        <w:rPr>
          <w:rFonts w:ascii="Times New Roman" w:hAnsi="Times New Roman"/>
          <w:sz w:val="24"/>
          <w:szCs w:val="24"/>
        </w:rPr>
        <w:t xml:space="preserve"> (28.5%) and Ogbe-Ijaw (13.9%). </w:t>
      </w:r>
      <w:r>
        <w:rPr>
          <w:rFonts w:ascii="Times New Roman" w:eastAsia="Times New Roman" w:hAnsi="Times New Roman"/>
          <w:sz w:val="24"/>
          <w:szCs w:val="24"/>
        </w:rPr>
        <w:t xml:space="preserve">The </w:t>
      </w:r>
      <w:r>
        <w:rPr>
          <w:rFonts w:ascii="Times New Roman" w:eastAsia="Times New Roman" w:hAnsi="Times New Roman"/>
          <w:sz w:val="24"/>
          <w:szCs w:val="24"/>
        </w:rPr>
        <w:t xml:space="preserve">negative-binomial GLMM </w:t>
      </w:r>
      <w:r>
        <w:rPr>
          <w:rFonts w:ascii="Times New Roman" w:eastAsia="Times New Roman" w:hAnsi="Times New Roman"/>
          <w:sz w:val="24"/>
          <w:szCs w:val="24"/>
        </w:rPr>
        <w:t>model indicated significant effects of Month (χ²₆ = 19.82, p &lt; 0.01) and Market Location (χ²₂ = 10.46, p = 0.005), as well as a significant Month × Market interaction (χ²₁₂ = 23.17, p = 0.018), demonstrating that temporal patterns in abundance differed among markets.</w:t>
      </w:r>
      <w:r>
        <w:rPr>
          <w:rFonts w:ascii="Times New Roman" w:hAnsi="Times New Roman"/>
          <w:sz w:val="24"/>
          <w:szCs w:val="24"/>
        </w:rPr>
        <w:t xml:space="preserve"> </w:t>
      </w:r>
      <w:r>
        <w:rPr>
          <w:rFonts w:ascii="Times New Roman" w:eastAsia="Times New Roman" w:hAnsi="Times New Roman"/>
          <w:sz w:val="24"/>
          <w:szCs w:val="24"/>
        </w:rPr>
        <w:t>The marginal R² value (R²ₘ = 0.48) indicated that fixed effects accounted for a substantial variation in monthly abundance.</w:t>
      </w:r>
      <w:r>
        <w:rPr>
          <w:rFonts w:ascii="Times New Roman" w:eastAsia="Times New Roman" w:hAnsi="Times New Roman"/>
          <w:sz w:val="24"/>
          <w:szCs w:val="24"/>
        </w:rPr>
        <w:t xml:space="preserve"> </w:t>
      </w:r>
      <w:r>
        <w:rPr>
          <w:rFonts w:ascii="Times New Roman" w:hAnsi="Times New Roman"/>
          <w:sz w:val="24"/>
          <w:szCs w:val="24"/>
        </w:rPr>
        <w:t xml:space="preserve">Temporal declines were pronounced in April across all markets. Trade pressure on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is greatest during the dry-season months of </w:t>
      </w:r>
      <w:r>
        <w:rPr>
          <w:rStyle w:val="style87"/>
          <w:rFonts w:ascii="Times New Roman" w:hAnsi="Times New Roman"/>
          <w:b w:val="false"/>
          <w:bCs w:val="false"/>
          <w:sz w:val="24"/>
          <w:szCs w:val="24"/>
        </w:rPr>
        <w:t>October–February</w:t>
      </w:r>
      <w:r>
        <w:rPr>
          <w:rFonts w:ascii="Times New Roman" w:hAnsi="Times New Roman"/>
          <w:sz w:val="24"/>
          <w:szCs w:val="24"/>
        </w:rPr>
        <w:t xml:space="preserve">, with </w:t>
      </w:r>
      <w:r>
        <w:rPr>
          <w:rStyle w:val="style87"/>
          <w:rFonts w:ascii="Times New Roman" w:hAnsi="Times New Roman"/>
          <w:b w:val="false"/>
          <w:bCs w:val="false"/>
          <w:sz w:val="24"/>
          <w:szCs w:val="24"/>
          <w:highlight w:val="yellow"/>
        </w:rPr>
        <w:t xml:space="preserve">Uwa and </w:t>
      </w:r>
      <w:r>
        <w:rPr>
          <w:rStyle w:val="style87"/>
          <w:rFonts w:ascii="Times New Roman" w:hAnsi="Times New Roman"/>
          <w:b w:val="false"/>
          <w:bCs w:val="false"/>
          <w:sz w:val="24"/>
          <w:szCs w:val="24"/>
          <w:highlight w:val="yellow"/>
        </w:rPr>
        <w:t>Edumanon</w:t>
      </w:r>
      <w:r>
        <w:rPr>
          <w:rStyle w:val="style87"/>
          <w:rFonts w:ascii="Times New Roman" w:hAnsi="Times New Roman"/>
          <w:b w:val="false"/>
          <w:bCs w:val="false"/>
          <w:sz w:val="24"/>
          <w:szCs w:val="24"/>
          <w:highlight w:val="yellow"/>
        </w:rPr>
        <w:t xml:space="preserve"> emerged as the principal markets contributing to the observed trade</w:t>
      </w:r>
      <w:r>
        <w:rPr>
          <w:rFonts w:ascii="Times New Roman" w:hAnsi="Times New Roman"/>
          <w:sz w:val="24"/>
          <w:szCs w:val="24"/>
        </w:rPr>
        <w:t xml:space="preserve">. The dominance of medium- and large-bodied crocodiles in the trade raises concerns about depletion of reproductive adults and long-term population collapse. These findings highlight the need for </w:t>
      </w:r>
      <w:r>
        <w:rPr>
          <w:rStyle w:val="style87"/>
          <w:rFonts w:ascii="Times New Roman" w:hAnsi="Times New Roman"/>
          <w:b w:val="false"/>
          <w:bCs w:val="false"/>
          <w:sz w:val="24"/>
          <w:szCs w:val="24"/>
        </w:rPr>
        <w:t>market-specific regulatory strategies</w:t>
      </w:r>
      <w:r>
        <w:rPr>
          <w:rFonts w:ascii="Times New Roman" w:hAnsi="Times New Roman"/>
          <w:sz w:val="24"/>
          <w:szCs w:val="24"/>
        </w:rPr>
        <w:t xml:space="preserve">, dry-season harvest restrictions, enhanced monitoring in high-pressure markets, and livelihood support programs. Integrating these actions with community-based conservation </w:t>
      </w:r>
      <w:r>
        <w:rPr>
          <w:rFonts w:ascii="Times New Roman" w:hAnsi="Times New Roman"/>
          <w:sz w:val="24"/>
          <w:szCs w:val="24"/>
        </w:rPr>
        <w:t>are</w:t>
      </w:r>
      <w:r>
        <w:rPr>
          <w:rFonts w:ascii="Times New Roman" w:hAnsi="Times New Roman"/>
          <w:sz w:val="24"/>
          <w:szCs w:val="24"/>
        </w:rPr>
        <w:t xml:space="preserve"> critical for sustaining remaining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populations in the Niger Delta.</w:t>
      </w:r>
    </w:p>
    <w:p>
      <w:pPr>
        <w:pStyle w:val="style0"/>
        <w:spacing w:before="100" w:beforeAutospacing="true" w:after="100" w:afterAutospacing="true" w:lineRule="auto" w:line="240"/>
        <w:rPr>
          <w:rFonts w:ascii="Times New Roman" w:eastAsia="Times New Roman" w:hAnsi="Times New Roman"/>
          <w:sz w:val="24"/>
          <w:szCs w:val="24"/>
          <w:lang w:eastAsia="en-US"/>
        </w:rPr>
      </w:pPr>
      <w:r>
        <w:rPr>
          <w:rFonts w:ascii="Times New Roman" w:eastAsia="Times New Roman" w:hAnsi="Times New Roman"/>
          <w:b/>
          <w:bCs/>
          <w:sz w:val="24"/>
          <w:szCs w:val="24"/>
          <w:lang w:eastAsia="en-US"/>
        </w:rPr>
        <w:t>Keywords</w:t>
      </w:r>
      <w:r>
        <w:rPr>
          <w:rFonts w:ascii="Times New Roman" w:eastAsia="Times New Roman" w:hAnsi="Times New Roman"/>
          <w:sz w:val="24"/>
          <w:szCs w:val="24"/>
          <w:lang w:eastAsia="en-US"/>
        </w:rPr>
        <w:t xml:space="preserve">: </w:t>
      </w:r>
      <w:r>
        <w:rPr>
          <w:rFonts w:ascii="Times New Roman" w:eastAsia="Calibri" w:hAnsi="Times New Roman"/>
          <w:sz w:val="24"/>
          <w:szCs w:val="24"/>
          <w:lang w:eastAsia="en-US"/>
        </w:rPr>
        <w:t xml:space="preserve">Dwarf Crocodile, </w:t>
      </w:r>
      <w:r>
        <w:rPr>
          <w:rFonts w:ascii="Times New Roman" w:eastAsia="Times New Roman" w:hAnsi="Times New Roman"/>
          <w:i/>
          <w:iCs/>
          <w:sz w:val="24"/>
          <w:szCs w:val="24"/>
          <w:lang w:eastAsia="en-US"/>
        </w:rPr>
        <w:t>Osteolaemus</w:t>
      </w:r>
      <w:r>
        <w:rPr>
          <w:rFonts w:ascii="Times New Roman" w:eastAsia="Times New Roman" w:hAnsi="Times New Roman"/>
          <w:i/>
          <w:iCs/>
          <w:sz w:val="24"/>
          <w:szCs w:val="24"/>
          <w:lang w:eastAsia="en-US"/>
        </w:rPr>
        <w:t xml:space="preserve"> </w:t>
      </w:r>
      <w:r>
        <w:rPr>
          <w:rFonts w:ascii="Times New Roman" w:eastAsia="Times New Roman" w:hAnsi="Times New Roman"/>
          <w:i/>
          <w:iCs/>
          <w:sz w:val="24"/>
          <w:szCs w:val="24"/>
          <w:lang w:eastAsia="en-US"/>
        </w:rPr>
        <w:t>tetraspis</w:t>
      </w:r>
      <w:r>
        <w:rPr>
          <w:rFonts w:ascii="Times New Roman" w:eastAsia="Times New Roman" w:hAnsi="Times New Roman"/>
          <w:sz w:val="24"/>
          <w:szCs w:val="24"/>
          <w:lang w:eastAsia="en-US"/>
        </w:rPr>
        <w:t xml:space="preserve">, </w:t>
      </w:r>
      <w:r>
        <w:rPr>
          <w:rFonts w:ascii="Times New Roman" w:eastAsia="Calibri" w:hAnsi="Times New Roman"/>
          <w:sz w:val="24"/>
          <w:szCs w:val="24"/>
          <w:lang w:eastAsia="en-US"/>
        </w:rPr>
        <w:t>Relative Abundance, B</w:t>
      </w:r>
      <w:r>
        <w:rPr>
          <w:rFonts w:ascii="Times New Roman" w:eastAsia="Times New Roman" w:hAnsi="Times New Roman"/>
          <w:sz w:val="24"/>
          <w:szCs w:val="24"/>
          <w:lang w:eastAsia="en-US"/>
        </w:rPr>
        <w:t xml:space="preserve">ushmeat trade, socio-demographics, Conservation, Niger Delta, Market ecology. </w:t>
      </w:r>
    </w:p>
    <w:p>
      <w:pPr>
        <w:pStyle w:val="style0"/>
        <w:spacing w:lineRule="auto" w:line="240"/>
        <w:jc w:val="both"/>
        <w:rPr>
          <w:rFonts w:ascii="Times New Roman" w:hAnsi="Times New Roman"/>
          <w:sz w:val="24"/>
          <w:szCs w:val="24"/>
        </w:rPr>
      </w:pPr>
      <w:r>
        <w:rPr>
          <w:rFonts w:ascii="Times New Roman" w:hAnsi="Times New Roman"/>
          <w:b/>
          <w:bCs/>
          <w:sz w:val="24"/>
          <w:szCs w:val="24"/>
        </w:rPr>
        <w:t xml:space="preserve">ARTICLE IMPACT STATEMENT </w:t>
      </w:r>
    </w:p>
    <w:p>
      <w:pPr>
        <w:pStyle w:val="style0"/>
        <w:spacing w:lineRule="auto" w:line="240"/>
        <w:jc w:val="both"/>
        <w:rPr>
          <w:rFonts w:ascii="Times New Roman" w:hAnsi="Times New Roman"/>
          <w:sz w:val="24"/>
          <w:szCs w:val="24"/>
        </w:rPr>
      </w:pPr>
      <w:r>
        <w:rPr>
          <w:rFonts w:ascii="Times New Roman" w:hAnsi="Times New Roman"/>
          <w:sz w:val="24"/>
          <w:szCs w:val="24"/>
          <w:lang w:eastAsia="en-US"/>
        </w:rPr>
        <w:t>The dwarf crocodile, a highly valued species, is under threat due to unsustainable trade practices in Nigeria's Niger Delta Region. Our research exposes the alarming rate of exploitation and highlights the urgent need for conservation action. To safeguard the future of this iconic species, we advocate for community-led conservation initiatives, education, and policy reforms that promote sustainable wildlife management.</w:t>
      </w:r>
    </w:p>
    <w:p>
      <w:pPr>
        <w:pStyle w:val="style0"/>
        <w:spacing w:after="0" w:lineRule="auto" w:line="240"/>
        <w:jc w:val="both"/>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INTRODUCTION</w:t>
      </w:r>
    </w:p>
    <w:p>
      <w:pPr>
        <w:pStyle w:val="style94"/>
        <w:spacing w:before="0" w:beforeAutospacing="false" w:after="0" w:afterAutospacing="false"/>
        <w:ind w:firstLine="720"/>
        <w:jc w:val="both"/>
        <w:rPr/>
      </w:pPr>
      <w:r>
        <w:t xml:space="preserve">The </w:t>
      </w:r>
      <w:r>
        <w:rPr>
          <w:rStyle w:val="style87"/>
          <w:rFonts w:eastAsia="SimSun"/>
          <w:b w:val="false"/>
          <w:bCs w:val="false"/>
        </w:rPr>
        <w:t>African dwarf crocodile (</w:t>
      </w:r>
      <w:r>
        <w:rPr>
          <w:rStyle w:val="style88"/>
          <w:rFonts w:eastAsia="SimSun"/>
        </w:rPr>
        <w:t>Osteolaemus</w:t>
      </w:r>
      <w:r>
        <w:rPr>
          <w:rStyle w:val="style88"/>
          <w:rFonts w:eastAsia="SimSun"/>
        </w:rPr>
        <w:t xml:space="preserve"> </w:t>
      </w:r>
      <w:r>
        <w:rPr>
          <w:rStyle w:val="style88"/>
          <w:rFonts w:eastAsia="SimSun"/>
        </w:rPr>
        <w:t>tetraspis</w:t>
      </w:r>
      <w:r>
        <w:rPr>
          <w:rStyle w:val="style87"/>
          <w:rFonts w:eastAsia="SimSun"/>
          <w:b w:val="false"/>
          <w:bCs w:val="false"/>
        </w:rPr>
        <w:t>)</w:t>
      </w:r>
      <w:r>
        <w:t xml:space="preserve"> is the smallest extant member of the crocodilian family, distinguished by its short blunt snout, bony dorsal scutes, and cryptic, nocturnal lifestyle. It occurs in tropical lowland forests, swampy wetlands, mangrove ecosystems, and slow-flowing rivers across West and Central Africa (Heather, 2023; IUCN, 2024). Adults typically measure between 1.5–1.9 m, though exceptional males may exceed 2 m in length, weighing up to 80 kg, while females average around 40 kg (Kofron &amp; Steiner, 1994; Rio &amp; Mannion 2021). The diet is opportunistic, </w:t>
      </w:r>
      <w:r>
        <w:t>consisting mainly of crustaceans, mollusks, fish, amphibians, and occasionally small mammals, making the species a key mid-level predator in aquatic forest ecosystems (Villiers, 1958; Heather, 2023).</w:t>
      </w:r>
    </w:p>
    <w:p>
      <w:pPr>
        <w:pStyle w:val="style94"/>
        <w:spacing w:before="0" w:beforeAutospacing="false" w:after="0" w:afterAutospacing="false"/>
        <w:ind w:firstLine="720"/>
        <w:jc w:val="both"/>
        <w:rPr/>
      </w:pPr>
      <w:r>
        <w:t xml:space="preserve">Reproductive biology is poorly studied but available evidence indicates clutch sizes of 10–20 eggs, with nests often constructed from vegetation mounds close to water bodies (Franke, 2013). Unlike larger crocodilians such as </w:t>
      </w:r>
      <w:r>
        <w:rPr>
          <w:rStyle w:val="style88"/>
          <w:rFonts w:eastAsia="SimSun"/>
        </w:rPr>
        <w:t>Crocodylus niloticus</w:t>
      </w:r>
      <w:r>
        <w:t>, dwarf crocodiles show slower growth rates and longer generational intervals, traits that make them highly vulnerable to overexploitation (Eaton, 2009). Despite these ecological adaptations, there remain significant gaps in population data across most of its range, making effective conservation strategies challenging (IUCN, 2024).</w:t>
      </w:r>
    </w:p>
    <w:p>
      <w:pPr>
        <w:pStyle w:val="style94"/>
        <w:spacing w:before="0" w:beforeAutospacing="false" w:after="0" w:afterAutospacing="false"/>
        <w:ind w:firstLine="720"/>
        <w:jc w:val="both"/>
        <w:rPr/>
      </w:pPr>
      <w:r>
        <w:t xml:space="preserve">Although widely distributed, </w:t>
      </w:r>
      <w:r>
        <w:rPr>
          <w:rStyle w:val="style88"/>
          <w:rFonts w:eastAsia="SimSun"/>
        </w:rPr>
        <w:t xml:space="preserve">O. </w:t>
      </w:r>
      <w:r>
        <w:rPr>
          <w:rStyle w:val="style88"/>
          <w:rFonts w:eastAsia="SimSun"/>
        </w:rPr>
        <w:t>tetraspis</w:t>
      </w:r>
      <w:r>
        <w:t xml:space="preserve"> is classified as </w:t>
      </w:r>
      <w:r>
        <w:rPr>
          <w:rStyle w:val="style87"/>
          <w:rFonts w:eastAsia="SimSun"/>
          <w:b w:val="false"/>
          <w:bCs w:val="false"/>
        </w:rPr>
        <w:t>Vulnerable</w:t>
      </w:r>
      <w:r>
        <w:t xml:space="preserve"> by the IUCN due to population declines driven by habitat degradation and hunting (IUCN, 2024). In the </w:t>
      </w:r>
      <w:r>
        <w:rPr>
          <w:rStyle w:val="style87"/>
          <w:rFonts w:eastAsia="SimSun"/>
          <w:b w:val="false"/>
          <w:bCs w:val="false"/>
        </w:rPr>
        <w:t>Niger Delta</w:t>
      </w:r>
      <w:r>
        <w:t xml:space="preserve">, one of Nigeria’s biodiversity hotspots, anthropogenic activities such as </w:t>
      </w:r>
      <w:r>
        <w:rPr>
          <w:rStyle w:val="style87"/>
          <w:rFonts w:eastAsia="SimSun"/>
          <w:b w:val="false"/>
          <w:bCs w:val="false"/>
        </w:rPr>
        <w:t>deforestation, oil exploration, agricultural expansion, and wetland reclamation</w:t>
      </w:r>
      <w:r>
        <w:t xml:space="preserve"> have caused rapid habitat loss (</w:t>
      </w:r>
      <w:r>
        <w:t>Eniang</w:t>
      </w:r>
      <w:r>
        <w:t xml:space="preserve"> </w:t>
      </w:r>
      <w:r>
        <w:rPr>
          <w:i/>
          <w:iCs/>
        </w:rPr>
        <w:t>et al.,</w:t>
      </w:r>
      <w:r>
        <w:t xml:space="preserve"> 2020). Wetland fragmentation reduces suitable breeding sites and increases human–crocodile encounters, further intensifying exploitation risks.</w:t>
      </w:r>
    </w:p>
    <w:p>
      <w:pPr>
        <w:pStyle w:val="style94"/>
        <w:spacing w:before="0" w:beforeAutospacing="false" w:after="0" w:afterAutospacing="false"/>
        <w:ind w:firstLine="720"/>
        <w:jc w:val="both"/>
        <w:rPr/>
      </w:pPr>
      <w:r>
        <w:t xml:space="preserve">A major driver of decline is the </w:t>
      </w:r>
      <w:r>
        <w:rPr>
          <w:rStyle w:val="style87"/>
          <w:rFonts w:eastAsia="SimSun"/>
          <w:b w:val="false"/>
          <w:bCs w:val="false"/>
        </w:rPr>
        <w:t>bushmeat trade</w:t>
      </w:r>
      <w:r>
        <w:t xml:space="preserve">, which remains a culturally and economically important livelihood strategy in West and Central Africa (Fa </w:t>
      </w:r>
      <w:r>
        <w:rPr>
          <w:i/>
          <w:iCs/>
        </w:rPr>
        <w:t>et al</w:t>
      </w:r>
      <w:r>
        <w:t xml:space="preserve">., 2022). Dwarf crocodiles are particularly vulnerable because they are easily captured at night using torches and nets, and their small size makes them manageable to transport compared to larger crocodilian species (Nathaniel &amp; Imeh, 2010). Bushmeat hunting pressure has already caused local declines in populations of saltwater crocodiles in Asia (Webb </w:t>
      </w:r>
      <w:r>
        <w:rPr>
          <w:i/>
          <w:iCs/>
        </w:rPr>
        <w:t>et al</w:t>
      </w:r>
      <w:r>
        <w:t xml:space="preserve">., 2010), and similar patterns are increasingly evident for </w:t>
      </w:r>
      <w:r>
        <w:rPr>
          <w:rStyle w:val="style88"/>
          <w:rFonts w:eastAsia="SimSun"/>
        </w:rPr>
        <w:t xml:space="preserve">O. </w:t>
      </w:r>
      <w:r>
        <w:rPr>
          <w:rStyle w:val="style88"/>
          <w:rFonts w:eastAsia="SimSun"/>
        </w:rPr>
        <w:t>tetraspis</w:t>
      </w:r>
      <w:r>
        <w:t xml:space="preserve"> in Nigeria and Cameroon (Akani </w:t>
      </w:r>
      <w:r>
        <w:rPr>
          <w:i/>
          <w:iCs/>
        </w:rPr>
        <w:t>et al</w:t>
      </w:r>
      <w:r>
        <w:t xml:space="preserve">., 2019; </w:t>
      </w:r>
      <w:r>
        <w:t>Ogorode</w:t>
      </w:r>
      <w:r>
        <w:t xml:space="preserve"> </w:t>
      </w:r>
      <w:r>
        <w:rPr>
          <w:i/>
          <w:iCs/>
        </w:rPr>
        <w:t>et al</w:t>
      </w:r>
      <w:r>
        <w:t xml:space="preserve">., 2023). </w:t>
      </w:r>
      <w:r>
        <w:rPr>
          <w:rStyle w:val="style39"/>
          <w:sz w:val="24"/>
          <w:szCs w:val="24"/>
        </w:rPr>
        <w:t xml:space="preserve">The expanding human population and its associated activities, such as hunting, deforestation, habitat destruction, and habitat fragmentation, pose substantial threats to many species (IUCN, 2024). The unsustainable exploitation of species for commercial gain has also led to drastic population declines, as seen in the case of saltwater crocodiles (Webb and Manolis, 1989; Webb et al., 2010). </w:t>
      </w:r>
      <w:r>
        <w:t>Climate change also poses emerging risks, as rising temperatures and altered rainfall patterns affect wetland hydrology and nesting ecology (Ito et al., 2023a; Shirley et al., 2015). With juveniles dependent on aquatic habitats for survival, any shift in seasonal flooding could exacerbate recruitment bottlenecks in the wild.</w:t>
      </w:r>
    </w:p>
    <w:p>
      <w:pPr>
        <w:pStyle w:val="style94"/>
        <w:spacing w:before="0" w:beforeAutospacing="false" w:after="0" w:afterAutospacing="false"/>
        <w:ind w:firstLine="720"/>
        <w:jc w:val="both"/>
        <w:rPr/>
      </w:pPr>
      <w:r>
        <w:t xml:space="preserve">The taxonomic status of African dwarf crocodiles remains </w:t>
      </w:r>
      <w:r>
        <w:rPr>
          <w:rStyle w:val="style87"/>
          <w:rFonts w:eastAsia="SimSun"/>
          <w:b w:val="false"/>
          <w:bCs w:val="false"/>
        </w:rPr>
        <w:t>contentious</w:t>
      </w:r>
      <w:r>
        <w:t xml:space="preserve">. Initially described as </w:t>
      </w:r>
      <w:r>
        <w:rPr>
          <w:rStyle w:val="style88"/>
          <w:rFonts w:eastAsia="SimSun"/>
        </w:rPr>
        <w:t>Osteoblepharon</w:t>
      </w:r>
      <w:r>
        <w:rPr>
          <w:rStyle w:val="style88"/>
          <w:rFonts w:eastAsia="SimSun"/>
        </w:rPr>
        <w:t xml:space="preserve"> </w:t>
      </w:r>
      <w:r>
        <w:rPr>
          <w:rStyle w:val="style88"/>
          <w:rFonts w:eastAsia="SimSun"/>
        </w:rPr>
        <w:t>osborni</w:t>
      </w:r>
      <w:r>
        <w:t xml:space="preserve"> by Schmidt in 1919, later revisions grouped specimens under </w:t>
      </w:r>
      <w:r>
        <w:rPr>
          <w:rStyle w:val="style88"/>
          <w:rFonts w:eastAsia="SimSun"/>
        </w:rPr>
        <w:t>Osteolaemus</w:t>
      </w:r>
      <w:r>
        <w:rPr>
          <w:rStyle w:val="style88"/>
          <w:rFonts w:eastAsia="SimSun"/>
        </w:rPr>
        <w:t xml:space="preserve"> </w:t>
      </w:r>
      <w:r>
        <w:rPr>
          <w:rStyle w:val="style88"/>
          <w:rFonts w:eastAsia="SimSun"/>
        </w:rPr>
        <w:t>tetraspis</w:t>
      </w:r>
      <w:r>
        <w:t xml:space="preserve"> with two putative subspecies: </w:t>
      </w:r>
      <w:r>
        <w:rPr>
          <w:rStyle w:val="style88"/>
          <w:rFonts w:eastAsia="SimSun"/>
        </w:rPr>
        <w:t xml:space="preserve">O. </w:t>
      </w:r>
      <w:r>
        <w:rPr>
          <w:rStyle w:val="style88"/>
          <w:rFonts w:eastAsia="SimSun"/>
        </w:rPr>
        <w:t>tetraspis</w:t>
      </w:r>
      <w:r>
        <w:rPr>
          <w:rStyle w:val="style88"/>
          <w:rFonts w:eastAsia="SimSun"/>
        </w:rPr>
        <w:t xml:space="preserve"> </w:t>
      </w:r>
      <w:r>
        <w:rPr>
          <w:rStyle w:val="style88"/>
          <w:rFonts w:eastAsia="SimSun"/>
        </w:rPr>
        <w:t>tetraspis</w:t>
      </w:r>
      <w:r>
        <w:t xml:space="preserve"> and </w:t>
      </w:r>
      <w:r>
        <w:rPr>
          <w:rStyle w:val="style88"/>
          <w:rFonts w:eastAsia="SimSun"/>
        </w:rPr>
        <w:t xml:space="preserve">O. </w:t>
      </w:r>
      <w:r>
        <w:rPr>
          <w:rStyle w:val="style88"/>
          <w:rFonts w:eastAsia="SimSun"/>
        </w:rPr>
        <w:t>tetraspis</w:t>
      </w:r>
      <w:r>
        <w:rPr>
          <w:rStyle w:val="style88"/>
          <w:rFonts w:eastAsia="SimSun"/>
        </w:rPr>
        <w:t xml:space="preserve"> </w:t>
      </w:r>
      <w:r>
        <w:rPr>
          <w:rStyle w:val="style88"/>
          <w:rFonts w:eastAsia="SimSun"/>
        </w:rPr>
        <w:t>osborni</w:t>
      </w:r>
      <w:r>
        <w:t xml:space="preserve">. However, recent </w:t>
      </w:r>
      <w:r>
        <w:rPr>
          <w:rStyle w:val="style87"/>
          <w:rFonts w:eastAsia="SimSun"/>
          <w:b w:val="false"/>
          <w:bCs w:val="false"/>
        </w:rPr>
        <w:t>molecular and phylogenomic analyses</w:t>
      </w:r>
      <w:r>
        <w:t xml:space="preserve"> have revealed substantial cryptic diversity, suggesting at least three distinct evolutionary lineages across Africa (Shirley </w:t>
      </w:r>
      <w:r>
        <w:rPr>
          <w:i/>
          <w:iCs/>
        </w:rPr>
        <w:t>et al</w:t>
      </w:r>
      <w:r>
        <w:t xml:space="preserve">., 2015; </w:t>
      </w:r>
      <w:r>
        <w:t>Gvoždík</w:t>
      </w:r>
      <w:r>
        <w:t xml:space="preserve"> </w:t>
      </w:r>
      <w:r>
        <w:rPr>
          <w:i/>
          <w:iCs/>
        </w:rPr>
        <w:t>et al</w:t>
      </w:r>
      <w:r>
        <w:t xml:space="preserve">., 2024). One of these lineages is thought to occur in West Africa, possibly representing an undescribed species that includes populations from Nigeria and Ghana (Eaton, 2010; </w:t>
      </w:r>
      <w:r>
        <w:t>Gvoždík</w:t>
      </w:r>
      <w:r>
        <w:t xml:space="preserve"> </w:t>
      </w:r>
      <w:r>
        <w:rPr>
          <w:i/>
          <w:iCs/>
        </w:rPr>
        <w:t>et al</w:t>
      </w:r>
      <w:r>
        <w:t>., 2024).</w:t>
      </w:r>
    </w:p>
    <w:p>
      <w:pPr>
        <w:pStyle w:val="style94"/>
        <w:spacing w:before="0" w:beforeAutospacing="false" w:after="0" w:afterAutospacing="false"/>
        <w:ind w:firstLine="720"/>
        <w:jc w:val="both"/>
        <w:rPr/>
      </w:pPr>
      <w:r>
        <w:t xml:space="preserve">This taxonomic uncertainty has direct implications for conservation. If distinct lineages exist, local extirpation in Nigeria may equate to the global extinction of a unique species. Conservation policies have historically treated </w:t>
      </w:r>
      <w:r>
        <w:rPr>
          <w:rStyle w:val="style88"/>
          <w:rFonts w:eastAsia="SimSun"/>
        </w:rPr>
        <w:t>Osteolaemus</w:t>
      </w:r>
      <w:r>
        <w:t xml:space="preserve"> as a single taxon, but accurate species delimitation is critical for setting priorities under both IUCN and CITES frameworks (Shirley </w:t>
      </w:r>
      <w:r>
        <w:rPr>
          <w:i/>
          <w:iCs/>
        </w:rPr>
        <w:t>et al</w:t>
      </w:r>
      <w:r>
        <w:t>., 2015). Without urgent taxonomic resolution, conservation management may fail to recognize distinct evolutionary units at risk.</w:t>
      </w:r>
    </w:p>
    <w:p>
      <w:pPr>
        <w:pStyle w:val="style94"/>
        <w:spacing w:before="0" w:beforeAutospacing="false" w:after="0" w:afterAutospacing="false"/>
        <w:ind w:firstLine="720"/>
        <w:jc w:val="both"/>
        <w:rPr/>
      </w:pPr>
      <w:r>
        <w:rPr>
          <w:rFonts w:eastAsia="Calibri"/>
          <w:i/>
          <w:iCs/>
        </w:rPr>
        <w:t>Osteolaemus</w:t>
      </w:r>
      <w:r>
        <w:rPr>
          <w:rFonts w:eastAsia="Calibri"/>
          <w:i/>
          <w:iCs/>
        </w:rPr>
        <w:t xml:space="preserve"> </w:t>
      </w:r>
      <w:r>
        <w:rPr>
          <w:rFonts w:eastAsia="Calibri"/>
          <w:i/>
          <w:iCs/>
        </w:rPr>
        <w:t>tetraspis</w:t>
      </w:r>
      <w:r>
        <w:rPr>
          <w:rFonts w:eastAsia="Calibri"/>
          <w:i/>
          <w:iCs/>
        </w:rPr>
        <w:t xml:space="preserve"> </w:t>
      </w:r>
      <w:r>
        <w:rPr>
          <w:rFonts w:eastAsia="Calibri"/>
        </w:rPr>
        <w:t>is widely distributed across the coast of West</w:t>
      </w:r>
      <w:r>
        <w:rPr>
          <w:rStyle w:val="style39"/>
          <w:sz w:val="24"/>
          <w:szCs w:val="24"/>
        </w:rPr>
        <w:t xml:space="preserve"> </w:t>
      </w:r>
      <w:r>
        <w:rPr>
          <w:rFonts w:eastAsia="Calibri"/>
        </w:rPr>
        <w:t xml:space="preserve">Africa. </w:t>
      </w:r>
      <w:r>
        <w:t xml:space="preserve">In Nigeria, particularly in the </w:t>
      </w:r>
      <w:r>
        <w:rPr>
          <w:rStyle w:val="style87"/>
          <w:rFonts w:eastAsia="SimSun"/>
          <w:b w:val="false"/>
          <w:bCs w:val="false"/>
        </w:rPr>
        <w:t>Niger Delta region</w:t>
      </w:r>
      <w:r>
        <w:t xml:space="preserve">, the trade in </w:t>
      </w:r>
      <w:r>
        <w:rPr>
          <w:rStyle w:val="style88"/>
          <w:rFonts w:eastAsia="SimSun"/>
        </w:rPr>
        <w:t xml:space="preserve">O. </w:t>
      </w:r>
      <w:r>
        <w:rPr>
          <w:rStyle w:val="style88"/>
          <w:rFonts w:eastAsia="SimSun"/>
        </w:rPr>
        <w:t>tetraspis</w:t>
      </w:r>
      <w:r>
        <w:t xml:space="preserve"> is both widespread and persistent (</w:t>
      </w:r>
      <w:r>
        <w:t>Ogorode</w:t>
      </w:r>
      <w:r>
        <w:t xml:space="preserve"> </w:t>
      </w:r>
      <w:r>
        <w:rPr>
          <w:i/>
          <w:iCs/>
        </w:rPr>
        <w:t>et al</w:t>
      </w:r>
      <w:r>
        <w:t xml:space="preserve">., 2023; Fa </w:t>
      </w:r>
      <w:r>
        <w:rPr>
          <w:i/>
          <w:iCs/>
        </w:rPr>
        <w:t>et al</w:t>
      </w:r>
      <w:r>
        <w:t xml:space="preserve">., 2022). Despite its persistence, the bushmeat trade in </w:t>
      </w:r>
      <w:r>
        <w:rPr>
          <w:rStyle w:val="style88"/>
          <w:rFonts w:eastAsia="SimSun"/>
        </w:rPr>
        <w:t xml:space="preserve">O. </w:t>
      </w:r>
      <w:r>
        <w:rPr>
          <w:rStyle w:val="style88"/>
          <w:rFonts w:eastAsia="SimSun"/>
        </w:rPr>
        <w:t>tetraspis</w:t>
      </w:r>
      <w:r>
        <w:t xml:space="preserve"> has received limited scientific attention in Nigeria. Most conservation efforts have focused on charismatic megafauna such as elephants and primates, while reptiles remain under-represented (</w:t>
      </w:r>
      <w:r>
        <w:t>(</w:t>
      </w:r>
      <w:r>
        <w:t xml:space="preserve">Ito </w:t>
      </w:r>
      <w:r>
        <w:t>&amp;</w:t>
      </w:r>
      <w:r>
        <w:t xml:space="preserve"> </w:t>
      </w:r>
      <w:r>
        <w:t>Ugbome</w:t>
      </w:r>
      <w:r>
        <w:t>, 2017</w:t>
      </w:r>
      <w:r>
        <w:t xml:space="preserve">; </w:t>
      </w:r>
      <w:r>
        <w:t xml:space="preserve">Akani </w:t>
      </w:r>
      <w:r>
        <w:rPr>
          <w:i/>
          <w:iCs/>
        </w:rPr>
        <w:t>et al</w:t>
      </w:r>
      <w:r>
        <w:t>., 2019). Yet reptiles constitute a significant proportion of bushmeat in rural markets, and their overexploitation may undermine ecological stability in aquatic ecosystems (</w:t>
      </w:r>
      <w:r>
        <w:t>Eniang</w:t>
      </w:r>
      <w:r>
        <w:t xml:space="preserve"> </w:t>
      </w:r>
      <w:r>
        <w:rPr>
          <w:i/>
          <w:iCs/>
        </w:rPr>
        <w:t>et al</w:t>
      </w:r>
      <w:r>
        <w:t>., 2020).</w:t>
      </w:r>
    </w:p>
    <w:p>
      <w:pPr>
        <w:pStyle w:val="style94"/>
        <w:spacing w:before="0" w:beforeAutospacing="false" w:after="0" w:afterAutospacing="false"/>
        <w:ind w:firstLine="720"/>
        <w:jc w:val="both"/>
        <w:rPr/>
      </w:pPr>
      <w:r>
        <w:t xml:space="preserve">Given these challenges, there is an urgent need to assess the </w:t>
      </w:r>
      <w:r>
        <w:rPr>
          <w:rStyle w:val="style87"/>
          <w:rFonts w:eastAsia="SimSun"/>
          <w:b w:val="false"/>
          <w:bCs w:val="false"/>
        </w:rPr>
        <w:t>patterns of exploitation</w:t>
      </w:r>
      <w:r>
        <w:rPr>
          <w:b/>
          <w:bCs/>
        </w:rPr>
        <w:t xml:space="preserve"> </w:t>
      </w:r>
      <w:r>
        <w:t xml:space="preserve">and the </w:t>
      </w:r>
      <w:r>
        <w:rPr>
          <w:rStyle w:val="style87"/>
          <w:rFonts w:eastAsia="SimSun"/>
          <w:b w:val="false"/>
          <w:bCs w:val="false"/>
        </w:rPr>
        <w:t>demographic drivers</w:t>
      </w:r>
      <w:r>
        <w:t xml:space="preserve"> of trade in </w:t>
      </w:r>
      <w:r>
        <w:rPr>
          <w:rStyle w:val="style88"/>
          <w:rFonts w:eastAsia="SimSun"/>
        </w:rPr>
        <w:t xml:space="preserve">O. </w:t>
      </w:r>
      <w:r>
        <w:rPr>
          <w:rStyle w:val="style88"/>
          <w:rFonts w:eastAsia="SimSun"/>
        </w:rPr>
        <w:t>tetraspis</w:t>
      </w:r>
      <w:r>
        <w:t xml:space="preserve"> populations. This study therefore investigates (</w:t>
      </w:r>
      <w:r>
        <w:t>i</w:t>
      </w:r>
      <w:r>
        <w:t xml:space="preserve">) the demographic characteristics of traders, (ii) the relative abundance of dwarf crocodiles across three key </w:t>
      </w:r>
      <w:r>
        <w:t xml:space="preserve">markets, and (iii) the seasonal and size-class variations in market availability. These insights are critical for developing </w:t>
      </w:r>
      <w:r>
        <w:rPr>
          <w:rStyle w:val="style87"/>
          <w:rFonts w:eastAsia="SimSun"/>
          <w:b w:val="false"/>
          <w:bCs w:val="false"/>
        </w:rPr>
        <w:t>community-led conservation initiatives</w:t>
      </w:r>
      <w:r>
        <w:t xml:space="preserve">, designing effective </w:t>
      </w:r>
      <w:r>
        <w:rPr>
          <w:rStyle w:val="style87"/>
          <w:rFonts w:eastAsia="SimSun"/>
          <w:b w:val="false"/>
          <w:bCs w:val="false"/>
        </w:rPr>
        <w:t>education and outreach programs</w:t>
      </w:r>
      <w:r>
        <w:t xml:space="preserve">, and informing </w:t>
      </w:r>
      <w:r>
        <w:rPr>
          <w:rStyle w:val="style87"/>
          <w:rFonts w:eastAsia="SimSun"/>
          <w:b w:val="false"/>
          <w:bCs w:val="false"/>
        </w:rPr>
        <w:t>policy reforms</w:t>
      </w:r>
      <w:r>
        <w:t xml:space="preserve"> to reduce pressure on wild populations of </w:t>
      </w:r>
      <w:r>
        <w:rPr>
          <w:rStyle w:val="style88"/>
          <w:rFonts w:eastAsia="SimSun"/>
        </w:rPr>
        <w:t>Osteolaemus</w:t>
      </w:r>
      <w:r>
        <w:rPr>
          <w:rStyle w:val="style88"/>
          <w:rFonts w:eastAsia="SimSun"/>
        </w:rPr>
        <w:t xml:space="preserve"> </w:t>
      </w:r>
      <w:r>
        <w:rPr>
          <w:rStyle w:val="style88"/>
          <w:rFonts w:eastAsia="SimSun"/>
        </w:rPr>
        <w:t>tetraspis</w:t>
      </w:r>
      <w:r>
        <w:t xml:space="preserve"> in the Niger Delta.</w:t>
      </w:r>
    </w:p>
    <w:p>
      <w:pPr>
        <w:pStyle w:val="style0"/>
        <w:autoSpaceDE w:val="false"/>
        <w:autoSpaceDN w:val="false"/>
        <w:adjustRightInd w:val="false"/>
        <w:spacing w:before="240" w:after="0" w:lineRule="auto" w:line="240"/>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MATERIALS AND METHODS</w:t>
      </w:r>
    </w:p>
    <w:p>
      <w:pPr>
        <w:pStyle w:val="style0"/>
        <w:spacing w:after="0" w:lineRule="auto" w:line="240"/>
        <w:jc w:val="both"/>
        <w:rPr>
          <w:rFonts w:ascii="Times New Roman" w:hAnsi="Times New Roman"/>
          <w:sz w:val="24"/>
          <w:szCs w:val="24"/>
        </w:rPr>
      </w:pPr>
      <w:r>
        <w:rPr>
          <w:rFonts w:ascii="Times New Roman" w:eastAsia="Calibri" w:hAnsi="Times New Roman"/>
          <w:b/>
          <w:bCs/>
          <w:sz w:val="24"/>
          <w:szCs w:val="24"/>
          <w:lang w:eastAsia="en-US"/>
        </w:rPr>
        <w:t xml:space="preserve">Description of Study Locations </w:t>
      </w:r>
    </w:p>
    <w:p>
      <w:pPr>
        <w:pStyle w:val="style0"/>
        <w:autoSpaceDE w:val="false"/>
        <w:autoSpaceDN w:val="false"/>
        <w:adjustRightInd w:val="false"/>
        <w:spacing w:before="240" w:after="0" w:lineRule="auto" w:line="240"/>
        <w:jc w:val="both"/>
        <w:rPr>
          <w:rFonts w:ascii="Times New Roman" w:hAnsi="Times New Roman"/>
          <w:b/>
          <w:bCs/>
          <w:i/>
          <w:iCs/>
          <w:sz w:val="24"/>
          <w:szCs w:val="24"/>
        </w:rPr>
      </w:pPr>
      <w:r>
        <w:rPr>
          <w:rFonts w:ascii="Times New Roman" w:eastAsia="Calibri" w:hAnsi="Times New Roman"/>
          <w:b/>
          <w:bCs/>
          <w:i/>
          <w:iCs/>
          <w:sz w:val="24"/>
          <w:szCs w:val="24"/>
          <w:lang w:eastAsia="en-US"/>
        </w:rPr>
        <w:t>Uwa Bushmeat Market</w:t>
      </w:r>
    </w:p>
    <w:p>
      <w:pPr>
        <w:pStyle w:val="style0"/>
        <w:spacing w:lineRule="auto" w:line="240"/>
        <w:ind w:firstLine="720"/>
        <w:jc w:val="both"/>
        <w:rPr>
          <w:rFonts w:ascii="Times New Roman" w:eastAsia="Calibri" w:hAnsi="Times New Roman"/>
          <w:sz w:val="24"/>
          <w:szCs w:val="24"/>
          <w:lang w:eastAsia="en-US"/>
        </w:rPr>
      </w:pPr>
      <w:r>
        <w:rPr>
          <w:rFonts w:ascii="Times New Roman" w:eastAsia="Times New Roman" w:hAnsi="Times New Roman"/>
          <w:sz w:val="24"/>
          <w:szCs w:val="24"/>
          <w:lang w:eastAsia="en-US"/>
        </w:rPr>
        <w:t xml:space="preserve">The Uwa market is a well-known Bushmeat market situated at the hub of Benin City, Edo State.  It has </w:t>
      </w:r>
      <w:r>
        <w:rPr>
          <w:rFonts w:ascii="Times New Roman" w:eastAsia="Calibri" w:hAnsi="Times New Roman"/>
          <w:sz w:val="24"/>
          <w:szCs w:val="24"/>
          <w:lang w:eastAsia="en-US"/>
        </w:rPr>
        <w:t xml:space="preserve">a coordinate of 6.3642472 </w:t>
      </w:r>
      <w:r>
        <w:rPr>
          <w:rFonts w:ascii="Times New Roman" w:eastAsia="Calibri" w:hAnsi="Times New Roman"/>
          <w:sz w:val="24"/>
          <w:szCs w:val="24"/>
          <w:vertAlign w:val="superscript"/>
          <w:lang w:eastAsia="en-US"/>
        </w:rPr>
        <w:t>0</w:t>
      </w:r>
      <w:r>
        <w:rPr>
          <w:rFonts w:ascii="Times New Roman" w:eastAsia="Calibri" w:hAnsi="Times New Roman"/>
          <w:sz w:val="24"/>
          <w:szCs w:val="24"/>
          <w:lang w:eastAsia="en-US"/>
        </w:rPr>
        <w:t xml:space="preserve">N 5.6089668 </w:t>
      </w:r>
      <w:r>
        <w:rPr>
          <w:rFonts w:ascii="Times New Roman" w:eastAsia="Calibri" w:hAnsi="Times New Roman"/>
          <w:sz w:val="24"/>
          <w:szCs w:val="24"/>
          <w:vertAlign w:val="superscript"/>
          <w:lang w:eastAsia="en-US"/>
        </w:rPr>
        <w:t>0</w:t>
      </w:r>
      <w:r>
        <w:rPr>
          <w:rFonts w:ascii="Times New Roman" w:eastAsia="Calibri" w:hAnsi="Times New Roman"/>
          <w:sz w:val="24"/>
          <w:szCs w:val="24"/>
          <w:lang w:eastAsia="en-US"/>
        </w:rPr>
        <w:t>E. The market is filled with different forms of wildlife such land mollusks, Porcupines, Pangolins, antelopes, among others.</w:t>
      </w:r>
    </w:p>
    <w:p>
      <w:pPr>
        <w:pStyle w:val="style0"/>
        <w:spacing w:after="0" w:lineRule="auto" w:line="240"/>
        <w:jc w:val="both"/>
        <w:rPr>
          <w:rFonts w:ascii="Times New Roman" w:hAnsi="Times New Roman"/>
          <w:b/>
          <w:bCs/>
          <w:i/>
          <w:iCs/>
          <w:sz w:val="24"/>
          <w:szCs w:val="24"/>
        </w:rPr>
      </w:pPr>
      <w:r>
        <w:rPr>
          <w:rFonts w:ascii="Times New Roman" w:eastAsia="Calibri" w:hAnsi="Times New Roman"/>
          <w:b/>
          <w:bCs/>
          <w:i/>
          <w:iCs/>
          <w:sz w:val="24"/>
          <w:szCs w:val="24"/>
          <w:lang w:eastAsia="en-US"/>
        </w:rPr>
        <w:t>Edumanom</w:t>
      </w:r>
      <w:r>
        <w:rPr>
          <w:rFonts w:ascii="Times New Roman" w:eastAsia="Calibri" w:hAnsi="Times New Roman"/>
          <w:b/>
          <w:bCs/>
          <w:i/>
          <w:iCs/>
          <w:sz w:val="24"/>
          <w:szCs w:val="24"/>
          <w:lang w:eastAsia="en-US"/>
        </w:rPr>
        <w:t xml:space="preserve"> Bushmeat Market</w:t>
      </w:r>
    </w:p>
    <w:p>
      <w:pPr>
        <w:pStyle w:val="style0"/>
        <w:spacing w:lineRule="auto" w:line="240"/>
        <w:ind w:firstLine="720"/>
        <w:jc w:val="both"/>
        <w:rPr>
          <w:rFonts w:ascii="Times New Roman" w:hAnsi="Times New Roman"/>
          <w:sz w:val="24"/>
          <w:szCs w:val="24"/>
        </w:rPr>
      </w:pPr>
      <w:r>
        <w:rPr>
          <w:rFonts w:ascii="Times New Roman" w:eastAsia="Times New Roman" w:hAnsi="Times New Roman"/>
          <w:sz w:val="24"/>
          <w:szCs w:val="24"/>
          <w:lang w:eastAsia="en-US"/>
        </w:rPr>
        <w:t xml:space="preserve">The </w:t>
      </w:r>
      <w:r>
        <w:rPr>
          <w:rFonts w:ascii="Times New Roman" w:eastAsia="Times New Roman" w:hAnsi="Times New Roman"/>
          <w:sz w:val="24"/>
          <w:szCs w:val="24"/>
          <w:lang w:eastAsia="en-US"/>
        </w:rPr>
        <w:t>Edumanom</w:t>
      </w:r>
      <w:r>
        <w:rPr>
          <w:rFonts w:ascii="Times New Roman" w:eastAsia="Times New Roman" w:hAnsi="Times New Roman"/>
          <w:sz w:val="24"/>
          <w:szCs w:val="24"/>
          <w:lang w:eastAsia="en-US"/>
        </w:rPr>
        <w:t xml:space="preserve"> bushmeat market is situated close to </w:t>
      </w:r>
      <w:r>
        <w:rPr>
          <w:rFonts w:ascii="Times New Roman" w:eastAsia="Times New Roman" w:hAnsi="Times New Roman"/>
          <w:sz w:val="24"/>
          <w:szCs w:val="24"/>
          <w:lang w:eastAsia="en-US"/>
        </w:rPr>
        <w:t>Edumanom</w:t>
      </w:r>
      <w:r>
        <w:rPr>
          <w:rFonts w:ascii="Times New Roman" w:eastAsia="Times New Roman" w:hAnsi="Times New Roman"/>
          <w:sz w:val="24"/>
          <w:szCs w:val="24"/>
          <w:lang w:eastAsia="en-US"/>
        </w:rPr>
        <w:t xml:space="preserve"> forest reserve which is a few kilometers away from </w:t>
      </w:r>
      <w:r>
        <w:rPr>
          <w:rFonts w:ascii="Times New Roman" w:eastAsia="Times New Roman" w:hAnsi="Times New Roman"/>
          <w:sz w:val="24"/>
          <w:szCs w:val="24"/>
          <w:lang w:eastAsia="en-US"/>
        </w:rPr>
        <w:t>Okoroba</w:t>
      </w:r>
      <w:r>
        <w:rPr>
          <w:rFonts w:ascii="Times New Roman" w:eastAsia="Times New Roman" w:hAnsi="Times New Roman"/>
          <w:sz w:val="24"/>
          <w:szCs w:val="24"/>
          <w:lang w:eastAsia="en-US"/>
        </w:rPr>
        <w:t xml:space="preserve"> in </w:t>
      </w:r>
      <w:r>
        <w:rPr>
          <w:rFonts w:ascii="Times New Roman" w:eastAsia="Times New Roman" w:hAnsi="Times New Roman"/>
          <w:sz w:val="24"/>
          <w:szCs w:val="24"/>
          <w:lang w:eastAsia="en-US"/>
        </w:rPr>
        <w:t>Ogbia</w:t>
      </w:r>
      <w:r>
        <w:rPr>
          <w:rFonts w:ascii="Times New Roman" w:eastAsia="Times New Roman" w:hAnsi="Times New Roman"/>
          <w:sz w:val="24"/>
          <w:szCs w:val="24"/>
          <w:lang w:eastAsia="en-US"/>
        </w:rPr>
        <w:t xml:space="preserve"> axis located between </w:t>
      </w:r>
      <w:r>
        <w:rPr>
          <w:rFonts w:ascii="Times New Roman" w:eastAsia="Times New Roman" w:hAnsi="Times New Roman"/>
          <w:sz w:val="24"/>
          <w:szCs w:val="24"/>
          <w:lang w:eastAsia="en-US"/>
        </w:rPr>
        <w:t>Nembe</w:t>
      </w:r>
      <w:r>
        <w:rPr>
          <w:rFonts w:ascii="Times New Roman" w:eastAsia="Times New Roman" w:hAnsi="Times New Roman"/>
          <w:sz w:val="24"/>
          <w:szCs w:val="24"/>
          <w:lang w:eastAsia="en-US"/>
        </w:rPr>
        <w:t xml:space="preserve"> and Brass Local Government Areas of Bayelsa State (Akani </w:t>
      </w:r>
      <w:r>
        <w:rPr>
          <w:rFonts w:ascii="Times New Roman" w:eastAsia="Times New Roman" w:hAnsi="Times New Roman"/>
          <w:i/>
          <w:iCs/>
          <w:sz w:val="24"/>
          <w:szCs w:val="24"/>
          <w:lang w:eastAsia="en-US"/>
        </w:rPr>
        <w:t>et al</w:t>
      </w:r>
      <w:r>
        <w:rPr>
          <w:rFonts w:ascii="Times New Roman" w:eastAsia="Times New Roman" w:hAnsi="Times New Roman"/>
          <w:sz w:val="24"/>
          <w:szCs w:val="24"/>
          <w:lang w:eastAsia="en-US"/>
        </w:rPr>
        <w:t>.,</w:t>
      </w:r>
      <w:r>
        <w:rPr>
          <w:rFonts w:ascii="Times New Roman" w:eastAsia="Times New Roman" w:hAnsi="Times New Roman"/>
          <w:i/>
          <w:iCs/>
          <w:sz w:val="24"/>
          <w:szCs w:val="24"/>
          <w:lang w:eastAsia="en-US"/>
        </w:rPr>
        <w:t xml:space="preserve"> </w:t>
      </w:r>
      <w:r>
        <w:rPr>
          <w:rFonts w:ascii="Times New Roman" w:eastAsia="Times New Roman" w:hAnsi="Times New Roman"/>
          <w:sz w:val="24"/>
          <w:szCs w:val="24"/>
          <w:lang w:eastAsia="en-US"/>
        </w:rPr>
        <w:t xml:space="preserve">2014). The market area has a coordinate of </w:t>
      </w:r>
      <w:r>
        <w:rPr>
          <w:rStyle w:val="style39"/>
          <w:sz w:val="24"/>
          <w:szCs w:val="24"/>
        </w:rPr>
        <w:t xml:space="preserve">4.41500°N and 6.45028°E </w:t>
      </w:r>
    </w:p>
    <w:p>
      <w:pPr>
        <w:pStyle w:val="style0"/>
        <w:spacing w:after="0" w:lineRule="auto" w:line="240"/>
        <w:jc w:val="both"/>
        <w:rPr>
          <w:rFonts w:ascii="Times New Roman" w:hAnsi="Times New Roman"/>
          <w:b/>
          <w:bCs/>
          <w:i/>
          <w:iCs/>
          <w:sz w:val="24"/>
          <w:szCs w:val="24"/>
        </w:rPr>
      </w:pPr>
      <w:r>
        <w:rPr>
          <w:rFonts w:ascii="Times New Roman" w:eastAsia="Calibri" w:hAnsi="Times New Roman"/>
          <w:b/>
          <w:bCs/>
          <w:i/>
          <w:iCs/>
          <w:sz w:val="24"/>
          <w:szCs w:val="24"/>
          <w:lang w:eastAsia="en-US"/>
        </w:rPr>
        <w:t>Ogbe-Ijaw Bushmeat Market</w:t>
      </w:r>
    </w:p>
    <w:p>
      <w:pPr>
        <w:pStyle w:val="style0"/>
        <w:spacing w:lineRule="auto" w:line="240"/>
        <w:ind w:firstLine="720"/>
        <w:jc w:val="both"/>
        <w:rPr>
          <w:rFonts w:ascii="Times New Roman" w:hAnsi="Times New Roman"/>
          <w:sz w:val="24"/>
          <w:szCs w:val="24"/>
        </w:rPr>
      </w:pPr>
      <w:r>
        <w:rPr>
          <w:rFonts w:ascii="Times New Roman" w:eastAsia="Times New Roman" w:hAnsi="Times New Roman"/>
          <w:sz w:val="24"/>
          <w:szCs w:val="24"/>
          <w:lang w:eastAsia="en-US"/>
        </w:rPr>
        <w:t xml:space="preserve">The Ogbe-Ijaw is a town located near the city of Warri, Delta State. </w:t>
      </w:r>
      <w:r>
        <w:rPr>
          <w:rFonts w:ascii="Times New Roman" w:eastAsia="Calibri" w:hAnsi="Times New Roman"/>
          <w:sz w:val="24"/>
          <w:szCs w:val="24"/>
          <w:lang w:eastAsia="en-US"/>
        </w:rPr>
        <w:t xml:space="preserve">It has a coordinate of 5.602691 </w:t>
      </w:r>
      <w:r>
        <w:rPr>
          <w:rFonts w:ascii="Times New Roman" w:eastAsia="Calibri" w:hAnsi="Times New Roman"/>
          <w:sz w:val="24"/>
          <w:szCs w:val="24"/>
          <w:vertAlign w:val="superscript"/>
          <w:lang w:eastAsia="en-US"/>
        </w:rPr>
        <w:t>0</w:t>
      </w:r>
      <w:r>
        <w:rPr>
          <w:rFonts w:ascii="Times New Roman" w:eastAsia="Calibri" w:hAnsi="Times New Roman"/>
          <w:sz w:val="24"/>
          <w:szCs w:val="24"/>
          <w:lang w:eastAsia="en-US"/>
        </w:rPr>
        <w:t xml:space="preserve">N and 5.458779 </w:t>
      </w:r>
      <w:r>
        <w:rPr>
          <w:rFonts w:ascii="Times New Roman" w:eastAsia="Calibri" w:hAnsi="Times New Roman"/>
          <w:sz w:val="24"/>
          <w:szCs w:val="24"/>
          <w:vertAlign w:val="superscript"/>
          <w:lang w:eastAsia="en-US"/>
        </w:rPr>
        <w:t>0</w:t>
      </w:r>
      <w:r>
        <w:rPr>
          <w:rFonts w:ascii="Times New Roman" w:eastAsia="Calibri" w:hAnsi="Times New Roman"/>
          <w:sz w:val="24"/>
          <w:szCs w:val="24"/>
          <w:lang w:eastAsia="en-US"/>
        </w:rPr>
        <w:t>E. (</w:t>
      </w:r>
      <w:r>
        <w:rPr>
          <w:rFonts w:ascii="Times New Roman" w:eastAsia="Calibri" w:hAnsi="Times New Roman"/>
          <w:sz w:val="24"/>
          <w:szCs w:val="24"/>
          <w:lang w:eastAsia="en-US"/>
        </w:rPr>
        <w:t>Alagoa</w:t>
      </w:r>
      <w:r>
        <w:rPr>
          <w:rFonts w:ascii="Times New Roman" w:eastAsia="Calibri" w:hAnsi="Times New Roman"/>
          <w:sz w:val="24"/>
          <w:szCs w:val="24"/>
          <w:lang w:eastAsia="en-US"/>
        </w:rPr>
        <w:t>, 2005). The coordinate map of the study locations is shown in Figure 1.</w:t>
      </w:r>
    </w:p>
    <w:p>
      <w:pPr>
        <w:pStyle w:val="style0"/>
        <w:autoSpaceDE w:val="false"/>
        <w:autoSpaceDN w:val="false"/>
        <w:adjustRightInd w:val="false"/>
        <w:spacing w:lineRule="auto" w:line="240"/>
        <w:jc w:val="both"/>
        <w:rPr>
          <w:rFonts w:ascii="Times New Roman" w:eastAsia="Calibri" w:hAnsi="Times New Roman"/>
          <w:sz w:val="24"/>
          <w:szCs w:val="24"/>
          <w:lang w:eastAsia="en-US"/>
        </w:rPr>
      </w:pPr>
      <w:r>
        <w:rPr>
          <w:rFonts w:ascii="Times New Roman" w:eastAsia="Calibri" w:hAnsi="Times New Roman"/>
          <w:noProof/>
          <w:sz w:val="24"/>
          <w:szCs w:val="24"/>
          <w:lang w:eastAsia="en-US"/>
        </w:rPr>
        <w:drawing>
          <wp:inline distL="0" distT="0" distB="0" distR="0">
            <wp:extent cx="6463665" cy="3543300"/>
            <wp:effectExtent l="0" t="0" r="0" b="0"/>
            <wp:docPr id="1026"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 cstate="print"/>
                    <a:srcRect l="0" t="0" r="0" b="0"/>
                    <a:stretch/>
                  </pic:blipFill>
                  <pic:spPr>
                    <a:xfrm rot="0">
                      <a:off x="0" y="0"/>
                      <a:ext cx="6463665" cy="3543300"/>
                    </a:xfrm>
                    <a:prstGeom prst="rect"/>
                    <a:ln>
                      <a:noFill/>
                    </a:ln>
                  </pic:spPr>
                </pic:pic>
              </a:graphicData>
            </a:graphic>
          </wp:inline>
        </w:drawing>
      </w:r>
    </w:p>
    <w:p>
      <w:pPr>
        <w:pStyle w:val="style0"/>
        <w:autoSpaceDE w:val="false"/>
        <w:autoSpaceDN w:val="false"/>
        <w:adjustRightInd w:val="false"/>
        <w:spacing w:lineRule="auto" w:line="240"/>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Figure 1. Map of Nigeria showing the coordinate of study area</w:t>
      </w:r>
    </w:p>
    <w:p>
      <w:pPr>
        <w:pStyle w:val="style0"/>
        <w:autoSpaceDE w:val="false"/>
        <w:autoSpaceDN w:val="false"/>
        <w:adjustRightInd w:val="false"/>
        <w:spacing w:lineRule="auto" w:line="240"/>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Data Collection and Sampling Techniques</w:t>
      </w:r>
    </w:p>
    <w:p>
      <w:pPr>
        <w:pStyle w:val="style0"/>
        <w:autoSpaceDE w:val="false"/>
        <w:autoSpaceDN w:val="false"/>
        <w:adjustRightInd w:val="false"/>
        <w:spacing w:after="0" w:lineRule="auto" w:line="240"/>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Permission to conduct the research was first obtained from community chiefs in the market areas. Then, within each market, bushmeat sellers were first located, and from these, a subset selling crocodiles was identified. </w:t>
      </w:r>
      <w:bookmarkStart w:id="0" w:name="_Hlk207654508"/>
      <w:r>
        <w:rPr>
          <w:rFonts w:ascii="Times New Roman" w:eastAsia="Calibri" w:hAnsi="Times New Roman"/>
          <w:sz w:val="24"/>
          <w:szCs w:val="24"/>
          <w:lang w:eastAsia="en-US"/>
        </w:rPr>
        <w:t xml:space="preserve">Thirty crocodile sellers were selected randomly in each market </w:t>
      </w:r>
      <w:bookmarkEnd w:id="0"/>
      <w:r>
        <w:rPr>
          <w:rFonts w:ascii="Times New Roman" w:eastAsia="Calibri" w:hAnsi="Times New Roman"/>
          <w:sz w:val="24"/>
          <w:szCs w:val="24"/>
          <w:lang w:eastAsia="en-US"/>
        </w:rPr>
        <w:t xml:space="preserve">and approached for interviews to obtain demographic information. The traders were a mix of Edo, Isoko/Urhobo, Ijaws and other languages obtainable within the Niger Delta. Visits to markets were carried out between October </w:t>
      </w:r>
      <w:r>
        <w:rPr>
          <w:rFonts w:ascii="Times New Roman" w:eastAsia="Calibri" w:hAnsi="Times New Roman"/>
          <w:sz w:val="24"/>
          <w:szCs w:val="24"/>
          <w:lang w:eastAsia="en-US"/>
        </w:rPr>
        <w:t>2021 to April 2022 at fortnightly visits to each of the market. Numbers of dwarf crocodiles at market stalls of each trader were counted and crocodiles measured to the nearest 30cm using tape measures.</w:t>
      </w:r>
    </w:p>
    <w:p>
      <w:pPr>
        <w:pStyle w:val="style0"/>
        <w:autoSpaceDE w:val="false"/>
        <w:autoSpaceDN w:val="false"/>
        <w:adjustRightInd w:val="false"/>
        <w:spacing w:after="0" w:lineRule="auto" w:line="240"/>
        <w:ind w:firstLine="720"/>
        <w:jc w:val="both"/>
        <w:rPr>
          <w:rFonts w:ascii="Times New Roman" w:eastAsia="Calibri" w:hAnsi="Times New Roman"/>
          <w:sz w:val="24"/>
          <w:szCs w:val="24"/>
          <w:lang w:eastAsia="en-US"/>
        </w:rPr>
      </w:pPr>
      <w:r>
        <w:rPr>
          <w:rFonts w:ascii="Times New Roman" w:eastAsia="Calibri" w:hAnsi="Times New Roman"/>
          <w:sz w:val="24"/>
          <w:szCs w:val="24"/>
          <w:lang w:eastAsia="en-US"/>
        </w:rPr>
        <w:t>This was possible because many of the crocodiles were tied with rope and some were near to death (</w:t>
      </w:r>
      <w:r>
        <w:rPr>
          <w:rFonts w:ascii="Times New Roman" w:eastAsia="Calibri" w:hAnsi="Times New Roman"/>
          <w:sz w:val="24"/>
          <w:szCs w:val="24"/>
          <w:lang w:eastAsia="en-US"/>
        </w:rPr>
        <w:t>Eniang</w:t>
      </w:r>
      <w:r>
        <w:rPr>
          <w:rFonts w:ascii="Times New Roman" w:eastAsia="Calibri" w:hAnsi="Times New Roman"/>
          <w:sz w:val="24"/>
          <w:szCs w:val="24"/>
          <w:lang w:eastAsia="en-US"/>
        </w:rPr>
        <w:t xml:space="preserve"> </w:t>
      </w:r>
      <w:r>
        <w:rPr>
          <w:rFonts w:ascii="Times New Roman" w:eastAsia="Calibri" w:hAnsi="Times New Roman"/>
          <w:i/>
          <w:iCs/>
          <w:sz w:val="24"/>
          <w:szCs w:val="24"/>
          <w:lang w:eastAsia="en-US"/>
        </w:rPr>
        <w:t>et al</w:t>
      </w:r>
      <w:r>
        <w:rPr>
          <w:rFonts w:ascii="Times New Roman" w:eastAsia="Calibri" w:hAnsi="Times New Roman"/>
          <w:sz w:val="24"/>
          <w:szCs w:val="24"/>
          <w:lang w:eastAsia="en-US"/>
        </w:rPr>
        <w:t>., 2020). The selected size categories of 60 cm, 90 cm, and 120 cm for dwarf crocodiles are reasonable and justified given the species' total length range of 102-180 cm and maximum length of 200 cm as recorded by San Diego (2015). These categories represent different stages of development, with the 60, 90 and 120≥ size category corresponding to a young/juvenile, young adult stage, and full-grown adult stages respectively. This is in accordance with methods used by San Diego, (2015).</w:t>
      </w:r>
    </w:p>
    <w:p>
      <w:pPr>
        <w:pStyle w:val="style0"/>
        <w:spacing w:before="240" w:after="0" w:lineRule="auto" w:line="240"/>
        <w:jc w:val="both"/>
        <w:rPr>
          <w:rFonts w:ascii="Times New Roman" w:hAnsi="Times New Roman"/>
          <w:b/>
          <w:bCs/>
          <w:sz w:val="24"/>
          <w:szCs w:val="24"/>
        </w:rPr>
      </w:pPr>
      <w:r>
        <w:rPr>
          <w:rFonts w:ascii="Times New Roman" w:eastAsia="Calibri" w:hAnsi="Times New Roman"/>
          <w:b/>
          <w:bCs/>
          <w:sz w:val="24"/>
          <w:szCs w:val="24"/>
          <w:lang w:eastAsia="en-US"/>
        </w:rPr>
        <w:t>Statistical Analysis</w:t>
      </w:r>
      <w:r>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and Model Equation</w:t>
      </w:r>
    </w:p>
    <w:p>
      <w:pPr>
        <w:pStyle w:val="style0"/>
        <w:autoSpaceDE w:val="false"/>
        <w:autoSpaceDN w:val="false"/>
        <w:adjustRightInd w:val="false"/>
        <w:spacing w:after="0" w:lineRule="auto" w:line="240"/>
        <w:ind w:firstLine="720"/>
        <w:jc w:val="both"/>
        <w:rPr>
          <w:rFonts w:ascii="Times New Roman" w:hAnsi="Times New Roman"/>
          <w:sz w:val="24"/>
          <w:szCs w:val="24"/>
        </w:rPr>
      </w:pPr>
      <w:r>
        <w:rPr>
          <w:rFonts w:ascii="Times New Roman" w:hAnsi="Times New Roman"/>
          <w:sz w:val="24"/>
          <w:szCs w:val="24"/>
        </w:rPr>
        <w:t>Descriptive statistics were employed to determine the status of crocodile traders and relative percentage abundance across the three bushmeat markets</w:t>
      </w:r>
      <w:r>
        <w:rPr>
          <w:rFonts w:ascii="Times New Roman" w:hAnsi="Times New Roman"/>
          <w:sz w:val="24"/>
          <w:szCs w:val="24"/>
        </w:rPr>
        <w:t xml:space="preserve"> (Ito </w:t>
      </w:r>
      <w:r>
        <w:rPr>
          <w:rFonts w:ascii="Times New Roman" w:hAnsi="Times New Roman"/>
          <w:i/>
          <w:iCs/>
          <w:sz w:val="24"/>
          <w:szCs w:val="24"/>
        </w:rPr>
        <w:t>et al.,</w:t>
      </w:r>
      <w:r>
        <w:rPr>
          <w:rFonts w:ascii="Times New Roman" w:hAnsi="Times New Roman"/>
          <w:sz w:val="24"/>
          <w:szCs w:val="24"/>
        </w:rPr>
        <w:t xml:space="preserve"> 2023b)</w:t>
      </w:r>
      <w:r>
        <w:rPr>
          <w:rFonts w:ascii="Times New Roman" w:hAnsi="Times New Roman"/>
          <w:sz w:val="24"/>
          <w:szCs w:val="24"/>
        </w:rPr>
        <w:t xml:space="preserve">. The </w:t>
      </w:r>
      <w:r>
        <w:rPr>
          <w:rStyle w:val="style87"/>
          <w:rFonts w:ascii="Times New Roman" w:hAnsi="Times New Roman"/>
          <w:b w:val="false"/>
          <w:bCs w:val="false"/>
          <w:sz w:val="24"/>
          <w:szCs w:val="24"/>
        </w:rPr>
        <w:t>Relative Abundance (R.A)</w:t>
      </w:r>
      <w:r>
        <w:rPr>
          <w:rFonts w:ascii="Times New Roman" w:hAnsi="Times New Roman"/>
          <w:sz w:val="24"/>
          <w:szCs w:val="24"/>
        </w:rPr>
        <w:t xml:space="preserve"> of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during the seven-month study period was calculated as: </w:t>
      </w:r>
    </w:p>
    <w:p>
      <w:pPr>
        <w:pStyle w:val="style0"/>
        <w:autoSpaceDE w:val="false"/>
        <w:autoSpaceDN w:val="false"/>
        <w:adjustRightInd w:val="false"/>
        <w:spacing w:after="0" w:lineRule="auto" w:line="240"/>
        <w:ind w:firstLine="720"/>
        <w:jc w:val="both"/>
        <w:rPr>
          <w:rFonts w:ascii="Times New Roman" w:eastAsia="Calibri" w:hAnsi="Times New Roman"/>
          <w:sz w:val="24"/>
          <w:szCs w:val="24"/>
          <w:lang w:eastAsia="en-US"/>
        </w:rPr>
      </w:pPr>
      <w:r>
        <w:rPr>
          <w:rStyle w:val="style4114"/>
          <w:rFonts w:ascii="Times New Roman" w:hAnsi="Times New Roman"/>
          <w:sz w:val="24"/>
          <w:szCs w:val="24"/>
        </w:rPr>
        <w:t>R.A</w:t>
      </w:r>
      <w:r>
        <w:rPr>
          <w:rStyle w:val="style4114"/>
          <w:rFonts w:ascii="Times New Roman" w:hAnsi="Times New Roman"/>
          <w:sz w:val="24"/>
          <w:szCs w:val="24"/>
        </w:rPr>
        <w:t> of </w:t>
      </w:r>
      <w:r>
        <w:rPr>
          <w:rStyle w:val="style4114"/>
          <w:rFonts w:ascii="Times New Roman" w:hAnsi="Times New Roman"/>
          <w:i/>
          <w:iCs/>
          <w:sz w:val="24"/>
          <w:szCs w:val="24"/>
        </w:rPr>
        <w:t>O.tetraspis</w:t>
      </w:r>
      <w:r>
        <w:rPr>
          <w:rStyle w:val="style4114"/>
          <w:rFonts w:ascii="Times New Roman" w:hAnsi="Times New Roman"/>
          <w:sz w:val="24"/>
          <w:szCs w:val="24"/>
        </w:rPr>
        <w:t xml:space="preserve"> </w:t>
      </w:r>
      <m:oMath>
        <m:r>
          <m:rPr>
            <m:sty m:val="p"/>
          </m:rPr>
          <w:rPr>
            <w:rFonts w:ascii="Cambria Math" w:hAnsi="Cambria Math"/>
            <w:sz w:val="28"/>
            <w:szCs w:val="28"/>
          </w:rPr>
          <m:t>=</m:t>
        </m:r>
        <m:f>
          <m:fPr>
            <m:ctrlPr>
              <w:rPr>
                <w:rFonts w:ascii="Cambria Math" w:hAnsi="Cambria Math"/>
                <w:iCs/>
                <w:sz w:val="28"/>
                <w:szCs w:val="28"/>
              </w:rPr>
            </m:ctrlPr>
          </m:fPr>
          <m:num>
            <m:r>
              <m:rPr>
                <m:sty m:val="p"/>
              </m:rPr>
              <w:rPr>
                <w:rStyle w:val="style4114"/>
                <w:rFonts w:ascii="Cambria Math" w:hAnsi="Cambria Math"/>
                <w:sz w:val="28"/>
                <w:szCs w:val="28"/>
              </w:rPr>
              <m:t>No. of individuals of </m:t>
            </m:r>
            <m:r>
              <w:rPr>
                <w:rStyle w:val="style4114"/>
                <w:rFonts w:ascii="Cambria Math" w:hAnsi="Cambria Math"/>
                <w:sz w:val="28"/>
                <w:szCs w:val="28"/>
              </w:rPr>
              <m:t>O.tetraspis</m:t>
            </m:r>
            <m:r>
              <m:rPr>
                <m:sty m:val="p"/>
              </m:rPr>
              <w:rPr>
                <w:rStyle w:val="style4114"/>
                <w:rFonts w:ascii="Cambria Math" w:hAnsi="Cambria Math"/>
                <w:sz w:val="28"/>
                <w:szCs w:val="28"/>
              </w:rPr>
              <m:t> collected from each market </m:t>
            </m:r>
            <m:d>
              <m:dPr>
                <m:endChr m:val=")"/>
                <m:ctrlPr>
                  <w:rPr>
                    <w:rStyle w:val="style4125"/>
                    <w:rFonts w:ascii="Cambria Math" w:hAnsi="Cambria Math"/>
                    <w:iCs/>
                    <w:sz w:val="28"/>
                    <w:szCs w:val="28"/>
                  </w:rPr>
                </m:ctrlPr>
              </m:dPr>
              <m:e>
                <m:r>
                  <m:rPr>
                    <m:sty m:val="p"/>
                  </m:rPr>
                  <w:rPr>
                    <w:rStyle w:val="style4114"/>
                    <w:rFonts w:ascii="Cambria Math" w:hAnsi="Cambria Math"/>
                    <w:sz w:val="28"/>
                    <w:szCs w:val="28"/>
                  </w:rPr>
                  <m:t>n</m:t>
                </m:r>
                <m:ctrlPr>
                  <w:rPr>
                    <w:rStyle w:val="style4126"/>
                    <w:rFonts w:ascii="Cambria Math" w:hAnsi="Cambria Math"/>
                    <w:iCs/>
                    <w:sz w:val="28"/>
                    <w:szCs w:val="28"/>
                  </w:rPr>
                </m:ctrlPr>
              </m:e>
            </m:d>
            <m:r>
              <m:rPr>
                <m:sty m:val="p"/>
              </m:rPr>
              <w:rPr>
                <w:rStyle w:val="style4116"/>
                <w:rFonts w:ascii="Cambria Math" w:hAnsi="Cambria Math"/>
                <w:sz w:val="28"/>
                <w:szCs w:val="28"/>
              </w:rPr>
              <m:t>​</m:t>
            </m:r>
          </m:num>
          <m:den>
            <m:r>
              <m:rPr>
                <m:sty m:val="p"/>
              </m:rPr>
              <w:rPr>
                <w:rFonts w:ascii="Cambria Math" w:hAnsi="Cambria Math"/>
                <w:sz w:val="28"/>
                <w:szCs w:val="28"/>
              </w:rPr>
              <m:t xml:space="preserve">Total number of </m:t>
            </m:r>
            <m:r>
              <m:rPr>
                <m:sty m:val="p"/>
              </m:rPr>
              <w:rPr>
                <w:rStyle w:val="style4114"/>
                <w:rFonts w:ascii="Cambria Math" w:hAnsi="Cambria Math"/>
                <w:sz w:val="28"/>
                <w:szCs w:val="28"/>
              </w:rPr>
              <m:t>.tetraspis from all study sites (N)</m:t>
            </m:r>
          </m:den>
        </m:f>
      </m:oMath>
      <w:r>
        <w:rPr>
          <w:rFonts w:ascii="Times New Roman" w:hAnsi="Times New Roman"/>
          <w:sz w:val="24"/>
          <w:szCs w:val="24"/>
        </w:rPr>
        <w:t xml:space="preserve"> X 100</w:t>
      </w:r>
    </w:p>
    <w:p>
      <w:pPr>
        <w:pStyle w:val="style0"/>
        <w:spacing w:after="0" w:lineRule="auto" w:line="240"/>
        <w:jc w:val="both"/>
        <w:rPr>
          <w:rFonts w:ascii="Times New Roman" w:hAnsi="Times New Roman"/>
          <w:b/>
          <w:bCs/>
          <w:sz w:val="24"/>
          <w:szCs w:val="24"/>
        </w:rPr>
      </w:pPr>
      <w:r>
        <w:rPr>
          <w:rFonts w:ascii="Times New Roman" w:hAnsi="Times New Roman"/>
          <w:b/>
          <w:bCs/>
          <w:sz w:val="24"/>
          <w:szCs w:val="24"/>
        </w:rPr>
        <w:t>Model description</w:t>
      </w:r>
    </w:p>
    <w:p>
      <w:pPr>
        <w:pStyle w:val="style0"/>
        <w:spacing w:after="0"/>
        <w:ind w:firstLine="720"/>
        <w:jc w:val="both"/>
        <w:rPr>
          <w:rFonts w:ascii="Times New Roman" w:hAnsi="Times New Roman"/>
          <w:sz w:val="24"/>
          <w:szCs w:val="24"/>
          <w:highlight w:val="yellow"/>
        </w:rPr>
      </w:pPr>
      <w:r>
        <w:rPr>
          <w:rFonts w:ascii="Times New Roman" w:hAnsi="Times New Roman"/>
          <w:sz w:val="24"/>
          <w:szCs w:val="24"/>
          <w:highlight w:val="yellow"/>
        </w:rPr>
        <w:t xml:space="preserve">Monthly counts of </w:t>
      </w:r>
      <w:r>
        <w:rPr>
          <w:rFonts w:ascii="Times New Roman" w:hAnsi="Times New Roman"/>
          <w:i/>
          <w:iCs/>
          <w:sz w:val="24"/>
          <w:szCs w:val="24"/>
          <w:highlight w:val="yellow"/>
        </w:rPr>
        <w:t xml:space="preserve">O. </w:t>
      </w:r>
      <w:r>
        <w:rPr>
          <w:rFonts w:ascii="Times New Roman" w:hAnsi="Times New Roman"/>
          <w:i/>
          <w:iCs/>
          <w:sz w:val="24"/>
          <w:szCs w:val="24"/>
          <w:highlight w:val="yellow"/>
        </w:rPr>
        <w:t>tetraspis</w:t>
      </w:r>
      <w:r>
        <w:rPr>
          <w:rFonts w:ascii="Times New Roman" w:hAnsi="Times New Roman"/>
          <w:sz w:val="24"/>
          <w:szCs w:val="24"/>
          <w:highlight w:val="yellow"/>
        </w:rPr>
        <w:t xml:space="preserve"> recorded across the three bushmeat markets were </w:t>
      </w:r>
      <w:r>
        <w:rPr>
          <w:rFonts w:ascii="Times New Roman" w:hAnsi="Times New Roman"/>
          <w:sz w:val="24"/>
          <w:szCs w:val="24"/>
          <w:highlight w:val="yellow"/>
        </w:rPr>
        <w:t>analysed</w:t>
      </w:r>
      <w:r>
        <w:rPr>
          <w:rFonts w:ascii="Times New Roman" w:hAnsi="Times New Roman"/>
          <w:sz w:val="24"/>
          <w:szCs w:val="24"/>
          <w:highlight w:val="yellow"/>
        </w:rPr>
        <w:t xml:space="preserve"> using a negative-binomial generalized linear mixed model (GLMM). The negative-binomial distribution was selected because preliminary analyses indicated overdispersion in the count data, making it more appropriate than a Poisson model.</w:t>
      </w:r>
    </w:p>
    <w:p>
      <w:pPr>
        <w:pStyle w:val="style0"/>
        <w:spacing w:after="0"/>
        <w:ind w:firstLine="720"/>
        <w:jc w:val="both"/>
        <w:rPr>
          <w:rFonts w:ascii="Times New Roman" w:hAnsi="Times New Roman"/>
          <w:sz w:val="24"/>
          <w:szCs w:val="24"/>
          <w:highlight w:val="yellow"/>
        </w:rPr>
      </w:pPr>
      <w:r>
        <w:rPr>
          <w:rFonts w:ascii="Times New Roman" w:hAnsi="Times New Roman"/>
          <w:sz w:val="24"/>
          <w:szCs w:val="24"/>
          <w:highlight w:val="yellow"/>
        </w:rPr>
        <w:t xml:space="preserve">Month and Market Location were included as fixed effects to evaluate temporal and spatial variation in abundance, while their interaction (Month × Market Location) was included to determine whether seasonal patterns differed among markets. </w:t>
      </w:r>
    </w:p>
    <w:p>
      <w:pPr>
        <w:pStyle w:val="style0"/>
        <w:spacing w:after="0"/>
        <w:ind w:firstLine="720"/>
        <w:jc w:val="both"/>
        <w:rPr>
          <w:rFonts w:ascii="Times New Roman" w:hAnsi="Times New Roman"/>
          <w:sz w:val="24"/>
          <w:szCs w:val="24"/>
        </w:rPr>
      </w:pPr>
      <w:r>
        <w:rPr>
          <w:rFonts w:ascii="Times New Roman" w:hAnsi="Times New Roman"/>
          <w:sz w:val="24"/>
          <w:szCs w:val="24"/>
          <w:highlight w:val="yellow"/>
        </w:rPr>
        <w:t>Market Location was treated as a fixed effect because only three markets were investigated and the objective was to estimate differences among these specific markets rather than infer variation from a larger population of markets. Statistical significance of fixed effects was assessed using likelihood-ratio tests (χ² tests) based on comparisons of nested models. Model performance was evaluated using Akaike's Information Criterion (AIC), and model-predicted mean abundance estimates were obtained by back-transforming fitted values from the logarithmic scale to the response scale. Marginal R² (R²m) was calculated to quantify the proportion of variation attributable to fixed effects.</w:t>
      </w:r>
    </w:p>
    <w:p>
      <w:pPr>
        <w:pStyle w:val="style0"/>
        <w:spacing w:after="0" w:lineRule="auto" w:line="240"/>
        <w:outlineLvl w:val="1"/>
        <w:rPr>
          <w:rFonts w:ascii="Times New Roman" w:eastAsia="Times New Roman" w:hAnsi="Times New Roman"/>
          <w:b/>
          <w:bCs/>
          <w:sz w:val="24"/>
          <w:szCs w:val="24"/>
        </w:rPr>
      </w:pPr>
      <w:r>
        <w:rPr>
          <w:rFonts w:ascii="Times New Roman" w:eastAsia="Times New Roman" w:hAnsi="Times New Roman"/>
          <w:b/>
          <w:bCs/>
          <w:sz w:val="24"/>
          <w:szCs w:val="24"/>
        </w:rPr>
        <w:t>Model equation</w:t>
      </w:r>
    </w:p>
    <w:p>
      <w:pPr>
        <w:pStyle w:val="style0"/>
        <w:spacing w:after="0"/>
        <w:ind w:firstLine="720"/>
        <w:rPr>
          <w:rFonts w:ascii="Times New Roman" w:hAnsi="Times New Roman"/>
          <w:sz w:val="24"/>
          <w:szCs w:val="24"/>
          <w:highlight w:val="yellow"/>
        </w:rPr>
      </w:pPr>
      <w:r>
        <w:rPr>
          <w:rFonts w:ascii="Times New Roman" w:hAnsi="Times New Roman"/>
          <w:sz w:val="24"/>
          <w:szCs w:val="24"/>
          <w:highlight w:val="yellow"/>
        </w:rPr>
        <w:t xml:space="preserve">Let </w:t>
      </w:r>
      <w:r>
        <w:rPr>
          <w:rFonts w:ascii="Times New Roman" w:hAnsi="Times New Roman"/>
          <w:sz w:val="24"/>
          <w:szCs w:val="24"/>
          <w:highlight w:val="yellow"/>
        </w:rPr>
        <w:t>Yij</w:t>
      </w:r>
      <w:r>
        <w:rPr>
          <w:rFonts w:ascii="Times New Roman" w:hAnsi="Times New Roman"/>
          <w:sz w:val="24"/>
          <w:szCs w:val="24"/>
          <w:highlight w:val="yellow"/>
        </w:rPr>
        <w:t xml:space="preserve"> represent the monthly count of </w:t>
      </w:r>
      <w:r>
        <w:rPr>
          <w:rFonts w:ascii="Times New Roman" w:hAnsi="Times New Roman"/>
          <w:i/>
          <w:iCs/>
          <w:sz w:val="24"/>
          <w:szCs w:val="24"/>
          <w:highlight w:val="yellow"/>
        </w:rPr>
        <w:t>O</w:t>
      </w:r>
      <w:r>
        <w:rPr>
          <w:rFonts w:ascii="Times New Roman" w:hAnsi="Times New Roman"/>
          <w:i/>
          <w:iCs/>
          <w:sz w:val="24"/>
          <w:szCs w:val="24"/>
          <w:highlight w:val="yellow"/>
        </w:rPr>
        <w:t xml:space="preserve">. </w:t>
      </w:r>
      <w:r>
        <w:rPr>
          <w:rFonts w:ascii="Times New Roman" w:hAnsi="Times New Roman"/>
          <w:i/>
          <w:iCs/>
          <w:sz w:val="24"/>
          <w:szCs w:val="24"/>
          <w:highlight w:val="yellow"/>
        </w:rPr>
        <w:t>tetraspis</w:t>
      </w:r>
      <w:r>
        <w:rPr>
          <w:rFonts w:ascii="Times New Roman" w:hAnsi="Times New Roman"/>
          <w:sz w:val="24"/>
          <w:szCs w:val="24"/>
          <w:highlight w:val="yellow"/>
        </w:rPr>
        <w:t xml:space="preserve"> recorded in market j during month </w:t>
      </w:r>
      <w:r>
        <w:rPr>
          <w:rFonts w:ascii="Times New Roman" w:hAnsi="Times New Roman"/>
          <w:sz w:val="24"/>
          <w:szCs w:val="24"/>
          <w:highlight w:val="yellow"/>
        </w:rPr>
        <w:t>i</w:t>
      </w:r>
      <w:r>
        <w:rPr>
          <w:rFonts w:ascii="Times New Roman" w:hAnsi="Times New Roman"/>
          <w:sz w:val="24"/>
          <w:szCs w:val="24"/>
          <w:highlight w:val="yellow"/>
        </w:rPr>
        <w:t xml:space="preserve">, where </w:t>
      </w:r>
      <w:r>
        <w:rPr>
          <w:rFonts w:ascii="Times New Roman" w:hAnsi="Times New Roman"/>
          <w:sz w:val="24"/>
          <w:szCs w:val="24"/>
          <w:highlight w:val="yellow"/>
        </w:rPr>
        <w:t>i</w:t>
      </w:r>
      <w:r>
        <w:rPr>
          <w:rFonts w:ascii="Times New Roman" w:hAnsi="Times New Roman"/>
          <w:sz w:val="24"/>
          <w:szCs w:val="24"/>
          <w:highlight w:val="yellow"/>
        </w:rPr>
        <w:t xml:space="preserve"> = sampling month (October 2021–April 2022) and j = market location (Uwa, </w:t>
      </w:r>
      <w:r>
        <w:rPr>
          <w:rFonts w:ascii="Times New Roman" w:hAnsi="Times New Roman"/>
          <w:sz w:val="24"/>
          <w:szCs w:val="24"/>
          <w:highlight w:val="yellow"/>
        </w:rPr>
        <w:t>Edumanon</w:t>
      </w:r>
      <w:r>
        <w:rPr>
          <w:rFonts w:ascii="Times New Roman" w:hAnsi="Times New Roman"/>
          <w:sz w:val="24"/>
          <w:szCs w:val="24"/>
          <w:highlight w:val="yellow"/>
        </w:rPr>
        <w:t>, or Ogbe-Ijaw).</w:t>
      </w:r>
    </w:p>
    <w:p>
      <w:pPr>
        <w:pStyle w:val="style0"/>
        <w:spacing w:after="0"/>
        <w:jc w:val="center"/>
        <w:rPr>
          <w:rFonts w:ascii="Times New Roman" w:hAnsi="Times New Roman"/>
          <w:sz w:val="24"/>
          <w:szCs w:val="24"/>
          <w:highlight w:val="yellow"/>
        </w:rPr>
      </w:pPr>
      <w:r>
        <w:rPr>
          <w:rFonts w:ascii="Times New Roman" w:hAnsi="Times New Roman"/>
          <w:sz w:val="24"/>
          <w:szCs w:val="24"/>
          <w:highlight w:val="yellow"/>
        </w:rPr>
        <w:t>Yij</w:t>
      </w:r>
      <w:r>
        <w:rPr>
          <w:rFonts w:ascii="Times New Roman" w:hAnsi="Times New Roman"/>
          <w:sz w:val="24"/>
          <w:szCs w:val="24"/>
          <w:highlight w:val="yellow"/>
        </w:rPr>
        <w:t xml:space="preserve"> ~ </w:t>
      </w:r>
      <w:r>
        <w:rPr>
          <w:rFonts w:ascii="Times New Roman" w:hAnsi="Times New Roman"/>
          <w:sz w:val="24"/>
          <w:szCs w:val="24"/>
          <w:highlight w:val="yellow"/>
        </w:rPr>
        <w:t>NB(</w:t>
      </w:r>
      <w:r>
        <w:rPr>
          <w:rFonts w:ascii="Times New Roman" w:hAnsi="Times New Roman"/>
          <w:sz w:val="24"/>
          <w:szCs w:val="24"/>
          <w:highlight w:val="yellow"/>
        </w:rPr>
        <w:t>μij</w:t>
      </w:r>
      <w:r>
        <w:rPr>
          <w:rFonts w:ascii="Times New Roman" w:hAnsi="Times New Roman"/>
          <w:sz w:val="24"/>
          <w:szCs w:val="24"/>
          <w:highlight w:val="yellow"/>
        </w:rPr>
        <w:t>, θ)</w:t>
      </w:r>
    </w:p>
    <w:p>
      <w:pPr>
        <w:pStyle w:val="style0"/>
        <w:spacing w:after="0"/>
        <w:rPr>
          <w:rFonts w:ascii="Times New Roman" w:hAnsi="Times New Roman"/>
          <w:sz w:val="24"/>
          <w:szCs w:val="24"/>
          <w:highlight w:val="yellow"/>
        </w:rPr>
      </w:pPr>
      <w:r>
        <w:rPr>
          <w:rFonts w:ascii="Times New Roman" w:hAnsi="Times New Roman"/>
          <w:sz w:val="24"/>
          <w:szCs w:val="24"/>
          <w:highlight w:val="yellow"/>
        </w:rPr>
        <w:t xml:space="preserve">Where: </w:t>
      </w:r>
      <w:r>
        <w:rPr>
          <w:rFonts w:ascii="Times New Roman" w:hAnsi="Times New Roman"/>
          <w:sz w:val="24"/>
          <w:szCs w:val="24"/>
          <w:highlight w:val="yellow"/>
        </w:rPr>
        <w:t>Yij</w:t>
      </w:r>
      <w:r>
        <w:rPr>
          <w:rFonts w:ascii="Times New Roman" w:hAnsi="Times New Roman"/>
          <w:sz w:val="24"/>
          <w:szCs w:val="24"/>
          <w:highlight w:val="yellow"/>
        </w:rPr>
        <w:t xml:space="preserve"> = observed monthly count of </w:t>
      </w:r>
      <w:r>
        <w:rPr>
          <w:rFonts w:ascii="Times New Roman" w:hAnsi="Times New Roman"/>
          <w:i/>
          <w:iCs/>
          <w:sz w:val="24"/>
          <w:szCs w:val="24"/>
          <w:highlight w:val="yellow"/>
        </w:rPr>
        <w:t xml:space="preserve">O. </w:t>
      </w:r>
      <w:r>
        <w:rPr>
          <w:rFonts w:ascii="Times New Roman" w:hAnsi="Times New Roman"/>
          <w:i/>
          <w:iCs/>
          <w:sz w:val="24"/>
          <w:szCs w:val="24"/>
          <w:highlight w:val="yellow"/>
        </w:rPr>
        <w:t>tetraspis</w:t>
      </w:r>
      <w:r>
        <w:rPr>
          <w:rFonts w:ascii="Times New Roman" w:hAnsi="Times New Roman"/>
          <w:sz w:val="24"/>
          <w:szCs w:val="24"/>
          <w:highlight w:val="yellow"/>
        </w:rPr>
        <w:t xml:space="preserve">; </w:t>
      </w:r>
    </w:p>
    <w:p>
      <w:pPr>
        <w:pStyle w:val="style0"/>
        <w:spacing w:after="0"/>
        <w:ind w:firstLine="720"/>
        <w:rPr>
          <w:rFonts w:ascii="Times New Roman" w:hAnsi="Times New Roman"/>
          <w:sz w:val="24"/>
          <w:szCs w:val="24"/>
          <w:highlight w:val="yellow"/>
        </w:rPr>
      </w:pPr>
      <w:r>
        <w:rPr>
          <w:rFonts w:ascii="Times New Roman" w:hAnsi="Times New Roman"/>
          <w:sz w:val="24"/>
          <w:szCs w:val="24"/>
          <w:highlight w:val="yellow"/>
        </w:rPr>
        <w:t>μij</w:t>
      </w:r>
      <w:r>
        <w:rPr>
          <w:rFonts w:ascii="Times New Roman" w:hAnsi="Times New Roman"/>
          <w:sz w:val="24"/>
          <w:szCs w:val="24"/>
          <w:highlight w:val="yellow"/>
        </w:rPr>
        <w:t xml:space="preserve"> = expected mean abundance</w:t>
      </w:r>
    </w:p>
    <w:p>
      <w:pPr>
        <w:pStyle w:val="style0"/>
        <w:spacing w:after="0"/>
        <w:ind w:firstLine="720"/>
        <w:rPr>
          <w:rFonts w:ascii="Times New Roman" w:hAnsi="Times New Roman"/>
          <w:sz w:val="24"/>
          <w:szCs w:val="24"/>
          <w:highlight w:val="yellow"/>
        </w:rPr>
      </w:pPr>
      <w:r>
        <w:rPr>
          <w:rFonts w:ascii="Times New Roman" w:hAnsi="Times New Roman"/>
          <w:sz w:val="24"/>
          <w:szCs w:val="24"/>
          <w:highlight w:val="yellow"/>
        </w:rPr>
        <w:t>θ = negative-binomial dispersion parameter.</w:t>
      </w:r>
    </w:p>
    <w:p>
      <w:pPr>
        <w:pStyle w:val="style0"/>
        <w:spacing w:after="0"/>
        <w:jc w:val="center"/>
        <w:rPr>
          <w:rFonts w:ascii="Times New Roman" w:hAnsi="Times New Roman"/>
          <w:sz w:val="24"/>
          <w:szCs w:val="24"/>
          <w:highlight w:val="yellow"/>
        </w:rPr>
      </w:pPr>
      <w:r>
        <w:rPr>
          <w:rFonts w:ascii="Times New Roman" w:hAnsi="Times New Roman"/>
          <w:sz w:val="24"/>
          <w:szCs w:val="24"/>
          <w:highlight w:val="yellow"/>
        </w:rPr>
        <w:t>log(</w:t>
      </w:r>
      <w:r>
        <w:rPr>
          <w:rFonts w:ascii="Times New Roman" w:hAnsi="Times New Roman"/>
          <w:sz w:val="24"/>
          <w:szCs w:val="24"/>
          <w:highlight w:val="yellow"/>
        </w:rPr>
        <w:t>μij</w:t>
      </w:r>
      <w:r>
        <w:rPr>
          <w:rFonts w:ascii="Times New Roman" w:hAnsi="Times New Roman"/>
          <w:sz w:val="24"/>
          <w:szCs w:val="24"/>
          <w:highlight w:val="yellow"/>
        </w:rPr>
        <w:t>) = β0 + β1</w:t>
      </w:r>
      <w:r>
        <w:rPr>
          <w:rFonts w:ascii="Times New Roman" w:hAnsi="Times New Roman"/>
          <w:sz w:val="24"/>
          <w:szCs w:val="24"/>
          <w:highlight w:val="yellow"/>
          <w:vertAlign w:val="subscript"/>
        </w:rPr>
        <w:t>Monthi</w:t>
      </w:r>
      <w:r>
        <w:rPr>
          <w:rFonts w:ascii="Times New Roman" w:hAnsi="Times New Roman"/>
          <w:sz w:val="24"/>
          <w:szCs w:val="24"/>
          <w:highlight w:val="yellow"/>
        </w:rPr>
        <w:t xml:space="preserve"> + β2</w:t>
      </w:r>
      <w:r>
        <w:rPr>
          <w:rFonts w:ascii="Times New Roman" w:hAnsi="Times New Roman"/>
          <w:sz w:val="24"/>
          <w:szCs w:val="24"/>
          <w:highlight w:val="yellow"/>
          <w:vertAlign w:val="subscript"/>
        </w:rPr>
        <w:t>Marketj</w:t>
      </w:r>
      <w:r>
        <w:rPr>
          <w:rFonts w:ascii="Times New Roman" w:hAnsi="Times New Roman"/>
          <w:sz w:val="24"/>
          <w:szCs w:val="24"/>
          <w:highlight w:val="yellow"/>
        </w:rPr>
        <w:t xml:space="preserve"> + β3</w:t>
      </w:r>
      <w:r>
        <w:rPr>
          <w:rFonts w:ascii="Times New Roman" w:hAnsi="Times New Roman"/>
          <w:sz w:val="24"/>
          <w:szCs w:val="24"/>
          <w:highlight w:val="yellow"/>
          <w:vertAlign w:val="subscript"/>
        </w:rPr>
        <w:t>(</w:t>
      </w:r>
      <w:r>
        <w:rPr>
          <w:rFonts w:ascii="Times New Roman" w:hAnsi="Times New Roman"/>
          <w:sz w:val="24"/>
          <w:szCs w:val="24"/>
          <w:highlight w:val="yellow"/>
          <w:vertAlign w:val="subscript"/>
        </w:rPr>
        <w:t>Monthi</w:t>
      </w:r>
      <w:r>
        <w:rPr>
          <w:rFonts w:ascii="Times New Roman" w:hAnsi="Times New Roman"/>
          <w:sz w:val="24"/>
          <w:szCs w:val="24"/>
          <w:highlight w:val="yellow"/>
          <w:vertAlign w:val="subscript"/>
        </w:rPr>
        <w:t xml:space="preserve"> × </w:t>
      </w:r>
      <w:r>
        <w:rPr>
          <w:rFonts w:ascii="Times New Roman" w:hAnsi="Times New Roman"/>
          <w:sz w:val="24"/>
          <w:szCs w:val="24"/>
          <w:highlight w:val="yellow"/>
          <w:vertAlign w:val="subscript"/>
        </w:rPr>
        <w:t>Marketj</w:t>
      </w:r>
      <w:r>
        <w:rPr>
          <w:rFonts w:ascii="Times New Roman" w:hAnsi="Times New Roman"/>
          <w:sz w:val="24"/>
          <w:szCs w:val="24"/>
          <w:highlight w:val="yellow"/>
          <w:vertAlign w:val="subscript"/>
        </w:rPr>
        <w:t>)</w:t>
      </w:r>
    </w:p>
    <w:p>
      <w:pPr>
        <w:pStyle w:val="style0"/>
        <w:spacing w:after="0"/>
        <w:rPr>
          <w:rFonts w:ascii="Times New Roman" w:hAnsi="Times New Roman"/>
          <w:sz w:val="24"/>
          <w:szCs w:val="24"/>
          <w:highlight w:val="yellow"/>
        </w:rPr>
      </w:pPr>
      <w:r>
        <w:rPr>
          <w:rFonts w:ascii="Times New Roman" w:hAnsi="Times New Roman"/>
          <w:sz w:val="24"/>
          <w:szCs w:val="24"/>
          <w:highlight w:val="yellow"/>
        </w:rPr>
        <w:t>where: β0 = overall intercept; β1 = fixed effect of Month; β2 = fixed effect of Market Location; β3 = interaction effect between Month and Market Location.</w:t>
      </w:r>
    </w:p>
    <w:p>
      <w:pPr>
        <w:pStyle w:val="style0"/>
        <w:ind w:firstLine="720"/>
        <w:rPr>
          <w:rFonts w:ascii="Times New Roman" w:hAnsi="Times New Roman"/>
          <w:sz w:val="24"/>
          <w:szCs w:val="24"/>
        </w:rPr>
      </w:pPr>
      <w:r>
        <w:rPr>
          <w:rFonts w:ascii="Times New Roman" w:hAnsi="Times New Roman"/>
          <w:sz w:val="24"/>
          <w:szCs w:val="24"/>
          <w:highlight w:val="yellow"/>
        </w:rPr>
        <w:t xml:space="preserve">All analyses were conducted in R version 4.5.0 using the </w:t>
      </w:r>
      <w:r>
        <w:rPr>
          <w:rFonts w:ascii="Times New Roman" w:hAnsi="Times New Roman"/>
          <w:sz w:val="24"/>
          <w:szCs w:val="24"/>
          <w:highlight w:val="yellow"/>
        </w:rPr>
        <w:t>glmmTMB</w:t>
      </w:r>
      <w:r>
        <w:rPr>
          <w:rFonts w:ascii="Times New Roman" w:hAnsi="Times New Roman"/>
          <w:sz w:val="24"/>
          <w:szCs w:val="24"/>
          <w:highlight w:val="yellow"/>
        </w:rPr>
        <w:t xml:space="preserve"> package. The significance of fixed effects was evaluated using likelihood-ratio tests, and estimated marginal means were used to generate model-predicted abundance values and associated 95% confidence intervals.</w:t>
      </w:r>
    </w:p>
    <w:p>
      <w:pPr>
        <w:pStyle w:val="style0"/>
        <w:spacing w:before="240" w:after="160" w:lineRule="auto" w:line="278"/>
        <w:rPr>
          <w:rFonts w:ascii="Times New Roman" w:hAnsi="Times New Roman"/>
          <w:b/>
          <w:bCs/>
          <w:sz w:val="24"/>
          <w:szCs w:val="24"/>
        </w:rPr>
      </w:pPr>
      <w:r>
        <w:rPr>
          <w:rFonts w:ascii="Times New Roman" w:eastAsia="Calibri" w:hAnsi="Times New Roman"/>
          <w:b/>
          <w:bCs/>
          <w:sz w:val="24"/>
          <w:szCs w:val="24"/>
          <w:lang w:eastAsia="en-US"/>
        </w:rPr>
        <w:t>RESULTS</w:t>
      </w:r>
    </w:p>
    <w:p>
      <w:pPr>
        <w:pStyle w:val="style0"/>
        <w:spacing w:lineRule="auto" w:line="240"/>
        <w:ind w:firstLine="720"/>
        <w:jc w:val="both"/>
        <w:rPr>
          <w:rFonts w:ascii="Times New Roman" w:eastAsia="Times New Roman" w:hAnsi="Times New Roman"/>
          <w:sz w:val="24"/>
          <w:szCs w:val="24"/>
          <w:lang w:eastAsia="en-US"/>
        </w:rPr>
      </w:pPr>
      <w:r>
        <w:rPr>
          <w:rFonts w:ascii="Times New Roman" w:eastAsia="Times New Roman" w:hAnsi="Times New Roman"/>
          <w:sz w:val="24"/>
          <w:szCs w:val="24"/>
          <w:lang w:eastAsia="en-US"/>
        </w:rPr>
        <w:t>Some of the dwarf crocodiles displayed for sales at Uwa bushmeat Market are shown in Figure 2 while that of Ogbe-Ijaw Bushmeat Market was housed in cave in captivity where buyers are allowed to access them as shown in Figure 2.</w:t>
      </w:r>
    </w:p>
    <w:p>
      <w:pPr>
        <w:pStyle w:val="style0"/>
        <w:spacing w:after="0" w:lineRule="auto" w:line="240"/>
        <w:jc w:val="center"/>
        <w:rPr>
          <w:rFonts w:ascii="Times New Roman" w:hAnsi="Times New Roman"/>
          <w:sz w:val="24"/>
          <w:szCs w:val="24"/>
        </w:rPr>
      </w:pPr>
      <w:r>
        <w:rPr>
          <w:rFonts w:ascii="Times New Roman" w:hAnsi="Times New Roman"/>
          <w:noProof/>
          <w:sz w:val="24"/>
          <w:szCs w:val="24"/>
        </w:rPr>
        <w:drawing>
          <wp:inline distL="0" distT="0" distB="0" distR="0">
            <wp:extent cx="2550695" cy="2721116"/>
            <wp:effectExtent l="0" t="0" r="2540" b="3175"/>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2550695" cy="2721116"/>
                    </a:xfrm>
                    <a:prstGeom prst="rect"/>
                    <a:ln>
                      <a:noFill/>
                    </a:ln>
                  </pic:spPr>
                </pic:pic>
              </a:graphicData>
            </a:graphic>
          </wp:inline>
        </w:drawing>
      </w:r>
      <w:r>
        <w:rPr>
          <w:rFonts w:ascii="Times New Roman" w:hAnsi="Times New Roman"/>
          <w:noProof/>
          <w:sz w:val="24"/>
          <w:szCs w:val="24"/>
        </w:rPr>
        <w:drawing>
          <wp:inline distL="0" distT="0" distB="0" distR="0">
            <wp:extent cx="2695439" cy="2723950"/>
            <wp:effectExtent l="0" t="0" r="6350" b="0"/>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2695439" cy="2723950"/>
                    </a:xfrm>
                    <a:prstGeom prst="rect"/>
                    <a:ln>
                      <a:noFill/>
                    </a:ln>
                  </pic:spPr>
                </pic:pic>
              </a:graphicData>
            </a:graphic>
          </wp:inline>
        </w:drawing>
      </w:r>
    </w:p>
    <w:p>
      <w:pPr>
        <w:pStyle w:val="style0"/>
        <w:spacing w:after="0" w:lineRule="auto" w:line="240"/>
        <w:jc w:val="center"/>
        <w:rPr>
          <w:rFonts w:ascii="Times New Roman" w:hAnsi="Times New Roman"/>
          <w:sz w:val="24"/>
          <w:szCs w:val="24"/>
        </w:rPr>
      </w:pPr>
      <w:r>
        <w:rPr>
          <w:rFonts w:ascii="Times New Roman" w:hAnsi="Times New Roman"/>
          <w:noProof/>
          <w:sz w:val="24"/>
          <w:szCs w:val="24"/>
        </w:rPr>
        <w:drawing>
          <wp:inline distL="0" distT="0" distB="0" distR="0">
            <wp:extent cx="4158114" cy="2201452"/>
            <wp:effectExtent l="0" t="0" r="0" b="8890"/>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4158114" cy="2201452"/>
                    </a:xfrm>
                    <a:prstGeom prst="rect"/>
                    <a:ln>
                      <a:noFill/>
                    </a:ln>
                  </pic:spPr>
                </pic:pic>
              </a:graphicData>
            </a:graphic>
          </wp:inline>
        </w:drawing>
      </w:r>
    </w:p>
    <w:p>
      <w:pPr>
        <w:pStyle w:val="style0"/>
        <w:spacing w:after="0" w:lineRule="auto" w:line="240"/>
        <w:jc w:val="center"/>
        <w:rPr>
          <w:rFonts w:ascii="Times New Roman" w:hAnsi="Times New Roman"/>
          <w:sz w:val="24"/>
          <w:szCs w:val="24"/>
        </w:rPr>
      </w:pPr>
      <w:r>
        <w:rPr>
          <w:rFonts w:ascii="Times New Roman" w:eastAsia="Calibri" w:hAnsi="Times New Roman"/>
          <w:sz w:val="24"/>
          <w:szCs w:val="24"/>
          <w:lang w:eastAsia="en-US"/>
        </w:rPr>
        <w:t xml:space="preserve">Figure </w:t>
      </w:r>
      <w:r>
        <w:rPr>
          <w:rFonts w:ascii="Times New Roman" w:eastAsia="Calibri" w:hAnsi="Times New Roman"/>
          <w:sz w:val="24"/>
          <w:szCs w:val="24"/>
          <w:lang w:eastAsia="en-US"/>
        </w:rPr>
        <w:t>2:.</w:t>
      </w:r>
      <w:r>
        <w:rPr>
          <w:rFonts w:ascii="Times New Roman" w:eastAsia="Calibri" w:hAnsi="Times New Roman"/>
          <w:sz w:val="24"/>
          <w:szCs w:val="24"/>
          <w:lang w:eastAsia="en-US"/>
        </w:rPr>
        <w:t xml:space="preserve"> Crocodile at the cave in Ogbe-Ijaw market.</w:t>
      </w:r>
    </w:p>
    <w:p>
      <w:pPr>
        <w:pStyle w:val="style3"/>
        <w:jc w:val="both"/>
        <w:rPr>
          <w:rFonts w:ascii="Times New Roman" w:cs="Times New Roman" w:hAnsi="Times New Roman"/>
          <w:b/>
          <w:bCs/>
          <w:color w:val="auto"/>
          <w:sz w:val="24"/>
          <w:szCs w:val="24"/>
        </w:rPr>
      </w:pPr>
      <w:r>
        <w:rPr>
          <w:rFonts w:ascii="Times New Roman" w:cs="Times New Roman" w:hAnsi="Times New Roman"/>
          <w:b/>
          <w:bCs/>
          <w:color w:val="auto"/>
          <w:sz w:val="24"/>
          <w:szCs w:val="24"/>
        </w:rPr>
        <w:t xml:space="preserve">Socio-demographic Status of </w:t>
      </w:r>
      <w:r>
        <w:rPr>
          <w:rStyle w:val="style88"/>
          <w:rFonts w:ascii="Times New Roman" w:cs="Times New Roman" w:hAnsi="Times New Roman"/>
          <w:b/>
          <w:bCs/>
          <w:color w:val="auto"/>
          <w:sz w:val="24"/>
          <w:szCs w:val="24"/>
        </w:rPr>
        <w:t xml:space="preserve">O. </w:t>
      </w:r>
      <w:r>
        <w:rPr>
          <w:rStyle w:val="style88"/>
          <w:rFonts w:ascii="Times New Roman" w:cs="Times New Roman" w:hAnsi="Times New Roman"/>
          <w:b/>
          <w:bCs/>
          <w:color w:val="auto"/>
          <w:sz w:val="24"/>
          <w:szCs w:val="24"/>
        </w:rPr>
        <w:t>tetraspis</w:t>
      </w:r>
      <w:r>
        <w:rPr>
          <w:rFonts w:ascii="Times New Roman" w:cs="Times New Roman" w:hAnsi="Times New Roman"/>
          <w:b/>
          <w:bCs/>
          <w:color w:val="auto"/>
          <w:sz w:val="24"/>
          <w:szCs w:val="24"/>
        </w:rPr>
        <w:t xml:space="preserve"> Traders</w:t>
      </w:r>
      <w:r>
        <w:rPr>
          <w:rFonts w:ascii="Times New Roman" w:cs="Times New Roman" w:hAnsi="Times New Roman"/>
          <w:b/>
          <w:color w:val="auto"/>
          <w:sz w:val="24"/>
          <w:szCs w:val="24"/>
        </w:rPr>
        <w:t xml:space="preserve"> in Niger-Delta Bushmeat Markets</w:t>
      </w:r>
    </w:p>
    <w:p>
      <w:pPr>
        <w:pStyle w:val="style94"/>
        <w:spacing w:before="0" w:beforeAutospacing="false" w:after="0" w:afterAutospacing="false"/>
        <w:ind w:firstLine="720"/>
        <w:jc w:val="both"/>
        <w:rPr/>
      </w:pPr>
      <w:r>
        <w:t xml:space="preserve">The socio-demographic profile of </w:t>
      </w:r>
      <w:r>
        <w:rPr>
          <w:rStyle w:val="style88"/>
          <w:rFonts w:eastAsia="SimSun"/>
        </w:rPr>
        <w:t xml:space="preserve">O. </w:t>
      </w:r>
      <w:r>
        <w:rPr>
          <w:rStyle w:val="style88"/>
          <w:rFonts w:eastAsia="SimSun"/>
        </w:rPr>
        <w:t>tetraspis</w:t>
      </w:r>
      <w:r>
        <w:t xml:space="preserve"> traders across Uwa, </w:t>
      </w:r>
      <w:r>
        <w:t>Edumanom</w:t>
      </w:r>
      <w:r>
        <w:t xml:space="preserve">, and Ogbe-Ijaw bushmeat markets in the Niger Delta regions are presented in </w:t>
      </w:r>
      <w:r>
        <w:t>Figures 3a-d</w:t>
      </w:r>
      <w:r>
        <w:t xml:space="preserve">. The study revealed that trading in </w:t>
      </w:r>
      <w:r>
        <w:rPr>
          <w:rStyle w:val="style88"/>
          <w:rFonts w:eastAsia="SimSun"/>
        </w:rPr>
        <w:t xml:space="preserve">O. </w:t>
      </w:r>
      <w:r>
        <w:rPr>
          <w:rStyle w:val="style88"/>
          <w:rFonts w:eastAsia="SimSun"/>
        </w:rPr>
        <w:t>tetraspis</w:t>
      </w:r>
      <w:r>
        <w:t xml:space="preserve"> is highly gendered, age-structured, and shaped by cultural and educational backgrounds. Across all three markets, trading was exclusively female-dominated. All respondents (100%) from Uwa (n = 30), </w:t>
      </w:r>
      <w:r>
        <w:t>Edumanom</w:t>
      </w:r>
      <w:r>
        <w:t xml:space="preserve"> (n = 30), and Ogbe-Ijaw (n = 30) were women, with no male participation reported.</w:t>
      </w:r>
    </w:p>
    <w:p>
      <w:pPr>
        <w:pStyle w:val="style94"/>
        <w:spacing w:before="0" w:beforeAutospacing="false" w:after="0" w:afterAutospacing="false"/>
        <w:ind w:firstLine="720"/>
        <w:jc w:val="both"/>
        <w:rPr/>
      </w:pPr>
      <w:r>
        <w:t xml:space="preserve">The majority of traders were in the </w:t>
      </w:r>
      <w:r>
        <w:rPr>
          <w:rStyle w:val="style87"/>
          <w:rFonts w:eastAsia="SimSun"/>
          <w:b w:val="false"/>
          <w:bCs w:val="false"/>
        </w:rPr>
        <w:t>30–50 years age bracket</w:t>
      </w:r>
      <w:r>
        <w:t xml:space="preserve">, indicating that middle-aged women constitute the core of this trade. At Uwa, 40.0% of respondents were aged 30–40 years, 33.3% were 40–50 years, and 26.7% were above 50 years. In </w:t>
      </w:r>
      <w:r>
        <w:t>Edumanom</w:t>
      </w:r>
      <w:r>
        <w:t>, 50.0% were 30–40 years, 30.0% were 40–50 years, and 20.0% were over 50 years. At Ogbe-Ijaw, half of the respondents (50.0%) were 40–50 years, while 40.0% were 30–40 years, and only 10.0% were above 50 years (Figure 3</w:t>
      </w:r>
      <w:r>
        <w:t>a</w:t>
      </w:r>
      <w:r>
        <w:t xml:space="preserve">). </w:t>
      </w:r>
    </w:p>
    <w:p>
      <w:pPr>
        <w:pStyle w:val="style94"/>
        <w:spacing w:before="0" w:beforeAutospacing="false" w:after="0" w:afterAutospacing="false"/>
        <w:ind w:firstLine="720"/>
        <w:jc w:val="both"/>
        <w:rPr/>
      </w:pPr>
      <w:r>
        <w:t xml:space="preserve">Marital status varied across the study sites. Married women with children constituted the largest proportion of traders: 60.0% in Uwa, 53.3% in </w:t>
      </w:r>
      <w:r>
        <w:t>Edumanom</w:t>
      </w:r>
      <w:r>
        <w:t xml:space="preserve">, and 46.7% in Ogbe-Ijaw. Single parents were also well represented, accounting for 20.0% in Uwa, 33.3% in </w:t>
      </w:r>
      <w:r>
        <w:t>Edumanom</w:t>
      </w:r>
      <w:r>
        <w:t xml:space="preserve">, and 40.0% in Ogbe-Ijaw. Widows made up 20.0% in Uwa, 6.7% in </w:t>
      </w:r>
      <w:r>
        <w:t>Edumanom</w:t>
      </w:r>
      <w:r>
        <w:t xml:space="preserve">, and 13.3% in Ogbe-Ijaw. Notably, a small fraction of unmarried traders (6.7%) was recorded only in </w:t>
      </w:r>
      <w:r>
        <w:t>Edumanom</w:t>
      </w:r>
      <w:r>
        <w:t xml:space="preserve"> (Figure </w:t>
      </w:r>
      <w:r>
        <w:t>3b</w:t>
      </w:r>
      <w:r>
        <w:t>).</w:t>
      </w:r>
      <w:r>
        <w:t xml:space="preserve"> </w:t>
      </w:r>
    </w:p>
    <w:p>
      <w:pPr>
        <w:pStyle w:val="style94"/>
        <w:spacing w:before="0" w:beforeAutospacing="false" w:after="0" w:afterAutospacing="false"/>
        <w:ind w:firstLine="720"/>
        <w:jc w:val="both"/>
        <w:rPr/>
      </w:pPr>
      <w:r>
        <w:t xml:space="preserve">Educational background differed significantly among markets. In Uwa, 50.0% of traders had only primary education, 27.8% had secondary, and 22.2% tertiary education. In </w:t>
      </w:r>
      <w:r>
        <w:t>Edumanom</w:t>
      </w:r>
      <w:r>
        <w:t xml:space="preserve">, half of respondents (50.0%) had secondary education, while 33.3% </w:t>
      </w:r>
      <w:r>
        <w:t>had primary and 16.7% tertiary education. In contrast, the Ogbe-Ijaw market was dominated by respondents with lower educational levels: 77.7% had only primary school education, while just 11.1% each had secondary or tertiary education (Fig</w:t>
      </w:r>
      <w:r>
        <w:t>ure</w:t>
      </w:r>
      <w:r>
        <w:t xml:space="preserve"> </w:t>
      </w:r>
      <w:r>
        <w:t>3c</w:t>
      </w:r>
      <w:r>
        <w:t xml:space="preserve">). </w:t>
      </w:r>
    </w:p>
    <w:p>
      <w:pPr>
        <w:pStyle w:val="style94"/>
        <w:spacing w:before="0" w:beforeAutospacing="false" w:after="0" w:afterAutospacing="false"/>
        <w:ind w:firstLine="720"/>
        <w:jc w:val="both"/>
        <w:rPr/>
      </w:pPr>
      <w:r>
        <w:t xml:space="preserve">Ethnic affiliation of traders showed marked variation across markets. At Uwa, Edo women dominated (60.0%), followed by Urhobo/Isoko (24.0%) and others (16.0%). At </w:t>
      </w:r>
      <w:r>
        <w:t>Edumanom</w:t>
      </w:r>
      <w:r>
        <w:t xml:space="preserve">, Ijaw traders were most numerous (68.0%), followed by Urhobo/Isoko (28.0%) and Edo (absent). In Ogbe-Ijaw, Urhobo/Isoko traders comprised nearly half (48.0%), followed by Ijaw (40.0%) and Edo (12.0%) (Fig. </w:t>
      </w:r>
      <w:r>
        <w:t>3d</w:t>
      </w:r>
      <w:r>
        <w:t xml:space="preserve">).  </w:t>
      </w:r>
    </w:p>
    <w:p>
      <w:pPr>
        <w:pStyle w:val="style0"/>
        <w:spacing w:after="0" w:lineRule="auto" w:line="240"/>
        <w:jc w:val="both"/>
        <w:rPr>
          <w:rFonts w:ascii="Times New Roman" w:hAnsi="Times New Roman"/>
          <w:sz w:val="24"/>
          <w:szCs w:val="24"/>
        </w:rPr>
      </w:pPr>
      <w:r>
        <w:rPr>
          <w:rFonts w:ascii="Times New Roman" w:hAnsi="Times New Roman"/>
          <w:noProof/>
          <w:sz w:val="24"/>
          <w:szCs w:val="24"/>
        </w:rPr>
        <w:drawing>
          <wp:inline distL="0" distT="0" distB="0" distR="0">
            <wp:extent cx="5172075" cy="2985247"/>
            <wp:effectExtent l="0" t="0" r="0" b="5715"/>
            <wp:docPr id="1030"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6" cstate="print"/>
                    <a:srcRect l="0" t="5753" r="0" b="0"/>
                    <a:stretch/>
                  </pic:blipFill>
                  <pic:spPr>
                    <a:xfrm rot="0">
                      <a:off x="0" y="0"/>
                      <a:ext cx="5172075" cy="2985247"/>
                    </a:xfrm>
                    <a:prstGeom prst="rect"/>
                    <a:ln>
                      <a:noFill/>
                    </a:ln>
                  </pic:spPr>
                </pic:pic>
              </a:graphicData>
            </a:graphic>
          </wp:inline>
        </w:drawing>
      </w:r>
    </w:p>
    <w:p>
      <w:pPr>
        <w:pStyle w:val="style0"/>
        <w:spacing w:lineRule="auto" w:line="240"/>
        <w:jc w:val="both"/>
        <w:rPr>
          <w:rFonts w:ascii="Times New Roman" w:hAnsi="Times New Roman"/>
          <w:b/>
          <w:bCs/>
          <w:sz w:val="24"/>
          <w:szCs w:val="24"/>
        </w:rPr>
      </w:pPr>
      <w:r>
        <w:rPr>
          <w:rFonts w:ascii="Times New Roman" w:hAnsi="Times New Roman"/>
          <w:b/>
          <w:bCs/>
          <w:sz w:val="24"/>
          <w:szCs w:val="24"/>
        </w:rPr>
        <w:t>Figure 3</w:t>
      </w:r>
      <w:r>
        <w:rPr>
          <w:rFonts w:ascii="Times New Roman" w:hAnsi="Times New Roman"/>
          <w:b/>
          <w:bCs/>
          <w:sz w:val="24"/>
          <w:szCs w:val="24"/>
        </w:rPr>
        <w:t>a</w:t>
      </w:r>
      <w:r>
        <w:rPr>
          <w:rFonts w:ascii="Times New Roman" w:hAnsi="Times New Roman"/>
          <w:b/>
          <w:bCs/>
          <w:sz w:val="24"/>
          <w:szCs w:val="24"/>
        </w:rPr>
        <w:t xml:space="preserve">: Age distribution of </w:t>
      </w:r>
      <w:r>
        <w:rPr>
          <w:rFonts w:ascii="Times New Roman" w:hAnsi="Times New Roman"/>
          <w:b/>
          <w:bCs/>
          <w:i/>
          <w:iCs/>
          <w:sz w:val="24"/>
          <w:szCs w:val="24"/>
        </w:rPr>
        <w:t>O.</w:t>
      </w:r>
      <w:r>
        <w:rPr>
          <w:rFonts w:ascii="Times New Roman" w:hAnsi="Times New Roman"/>
          <w:b/>
          <w:bCs/>
          <w:sz w:val="24"/>
          <w:szCs w:val="24"/>
        </w:rPr>
        <w:t xml:space="preserve"> </w:t>
      </w:r>
      <w:r>
        <w:rPr>
          <w:rFonts w:ascii="Times New Roman" w:eastAsia="Calibri" w:hAnsi="Times New Roman"/>
          <w:b/>
          <w:bCs/>
          <w:i/>
          <w:iCs/>
          <w:sz w:val="24"/>
          <w:szCs w:val="24"/>
          <w:lang w:eastAsia="en-US"/>
        </w:rPr>
        <w:t>tetraspis</w:t>
      </w:r>
      <w:r>
        <w:rPr>
          <w:rStyle w:val="style39"/>
          <w:rFonts w:eastAsia="Calibri"/>
          <w:b/>
          <w:bCs/>
          <w:sz w:val="24"/>
          <w:szCs w:val="24"/>
        </w:rPr>
        <w:t xml:space="preserve"> </w:t>
      </w:r>
      <w:r>
        <w:rPr>
          <w:rFonts w:ascii="Times New Roman" w:hAnsi="Times New Roman"/>
          <w:b/>
          <w:bCs/>
          <w:sz w:val="24"/>
          <w:szCs w:val="24"/>
        </w:rPr>
        <w:t>Traders across Markets</w:t>
      </w:r>
    </w:p>
    <w:p>
      <w:pPr>
        <w:pStyle w:val="style0"/>
        <w:spacing w:after="0" w:lineRule="auto" w:line="240"/>
        <w:jc w:val="both"/>
        <w:rPr>
          <w:rFonts w:ascii="Times New Roman" w:hAnsi="Times New Roman"/>
          <w:sz w:val="24"/>
          <w:szCs w:val="24"/>
        </w:rPr>
      </w:pPr>
      <w:r>
        <w:rPr>
          <w:rFonts w:ascii="Times New Roman" w:hAnsi="Times New Roman"/>
          <w:noProof/>
          <w:sz w:val="24"/>
          <w:szCs w:val="24"/>
        </w:rPr>
        <w:drawing>
          <wp:inline distL="0" distT="0" distB="0" distR="0">
            <wp:extent cx="5172636" cy="3021106"/>
            <wp:effectExtent l="0" t="0" r="0" b="8255"/>
            <wp:docPr id="1031"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7" cstate="print"/>
                    <a:srcRect l="0" t="5739" r="0" b="0"/>
                    <a:stretch/>
                  </pic:blipFill>
                  <pic:spPr>
                    <a:xfrm rot="0">
                      <a:off x="0" y="0"/>
                      <a:ext cx="5172636" cy="3021106"/>
                    </a:xfrm>
                    <a:prstGeom prst="rect"/>
                    <a:ln>
                      <a:noFill/>
                    </a:ln>
                  </pic:spPr>
                </pic:pic>
              </a:graphicData>
            </a:graphic>
          </wp:inline>
        </w:drawing>
      </w:r>
    </w:p>
    <w:p>
      <w:pPr>
        <w:pStyle w:val="style0"/>
        <w:spacing w:lineRule="auto" w:line="240"/>
        <w:jc w:val="both"/>
        <w:rPr>
          <w:rFonts w:ascii="Times New Roman" w:hAnsi="Times New Roman"/>
          <w:b/>
          <w:bCs/>
          <w:sz w:val="24"/>
          <w:szCs w:val="24"/>
        </w:rPr>
      </w:pPr>
      <w:r>
        <w:rPr>
          <w:rFonts w:ascii="Times New Roman" w:hAnsi="Times New Roman"/>
          <w:b/>
          <w:bCs/>
          <w:sz w:val="24"/>
          <w:szCs w:val="24"/>
        </w:rPr>
        <w:t xml:space="preserve">Figure </w:t>
      </w:r>
      <w:r>
        <w:rPr>
          <w:rFonts w:ascii="Times New Roman" w:hAnsi="Times New Roman"/>
          <w:b/>
          <w:bCs/>
          <w:sz w:val="24"/>
          <w:szCs w:val="24"/>
        </w:rPr>
        <w:t>3b</w:t>
      </w:r>
      <w:r>
        <w:rPr>
          <w:rFonts w:ascii="Times New Roman" w:hAnsi="Times New Roman"/>
          <w:b/>
          <w:bCs/>
          <w:sz w:val="24"/>
          <w:szCs w:val="24"/>
        </w:rPr>
        <w:t xml:space="preserve">: Marital Status of </w:t>
      </w:r>
      <w:r>
        <w:rPr>
          <w:rFonts w:ascii="Times New Roman" w:hAnsi="Times New Roman"/>
          <w:b/>
          <w:bCs/>
          <w:i/>
          <w:iCs/>
          <w:sz w:val="24"/>
          <w:szCs w:val="24"/>
        </w:rPr>
        <w:t>O.</w:t>
      </w:r>
      <w:r>
        <w:rPr>
          <w:rFonts w:ascii="Times New Roman" w:hAnsi="Times New Roman"/>
          <w:b/>
          <w:bCs/>
          <w:sz w:val="24"/>
          <w:szCs w:val="24"/>
        </w:rPr>
        <w:t xml:space="preserve"> </w:t>
      </w:r>
      <w:r>
        <w:rPr>
          <w:rFonts w:ascii="Times New Roman" w:eastAsia="Calibri" w:hAnsi="Times New Roman"/>
          <w:b/>
          <w:bCs/>
          <w:i/>
          <w:iCs/>
          <w:sz w:val="24"/>
          <w:szCs w:val="24"/>
          <w:lang w:eastAsia="en-US"/>
        </w:rPr>
        <w:t>tetraspis</w:t>
      </w:r>
      <w:r>
        <w:rPr>
          <w:rStyle w:val="style39"/>
          <w:rFonts w:eastAsia="Calibri"/>
          <w:b/>
          <w:bCs/>
          <w:sz w:val="24"/>
          <w:szCs w:val="24"/>
        </w:rPr>
        <w:t xml:space="preserve"> </w:t>
      </w:r>
      <w:r>
        <w:rPr>
          <w:rFonts w:ascii="Times New Roman" w:hAnsi="Times New Roman"/>
          <w:b/>
          <w:bCs/>
          <w:sz w:val="24"/>
          <w:szCs w:val="24"/>
        </w:rPr>
        <w:t>Traders across Markets</w:t>
      </w:r>
    </w:p>
    <w:p>
      <w:pPr>
        <w:pStyle w:val="style0"/>
        <w:spacing w:after="0" w:lineRule="auto" w:line="240"/>
        <w:jc w:val="both"/>
        <w:rPr>
          <w:rFonts w:ascii="Times New Roman" w:hAnsi="Times New Roman"/>
          <w:b/>
          <w:bCs/>
          <w:sz w:val="24"/>
          <w:szCs w:val="24"/>
        </w:rPr>
      </w:pPr>
      <w:r>
        <w:rPr>
          <w:rFonts w:ascii="Times New Roman" w:hAnsi="Times New Roman"/>
          <w:b/>
          <w:bCs/>
          <w:noProof/>
          <w:sz w:val="24"/>
          <w:szCs w:val="24"/>
        </w:rPr>
        <w:drawing>
          <wp:inline distL="0" distT="0" distB="0" distR="0">
            <wp:extent cx="5450542" cy="3101789"/>
            <wp:effectExtent l="0" t="0" r="0" b="3810"/>
            <wp:docPr id="1032"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1"/>
                    <pic:cNvPicPr/>
                  </pic:nvPicPr>
                  <pic:blipFill>
                    <a:blip r:embed="rId8" cstate="print"/>
                    <a:srcRect l="0" t="4691" r="0" b="0"/>
                    <a:stretch/>
                  </pic:blipFill>
                  <pic:spPr>
                    <a:xfrm rot="0">
                      <a:off x="0" y="0"/>
                      <a:ext cx="5450542" cy="3101789"/>
                    </a:xfrm>
                    <a:prstGeom prst="rect"/>
                    <a:ln>
                      <a:noFill/>
                    </a:ln>
                  </pic:spPr>
                </pic:pic>
              </a:graphicData>
            </a:graphic>
          </wp:inline>
        </w:drawing>
      </w:r>
    </w:p>
    <w:p>
      <w:pPr>
        <w:pStyle w:val="style0"/>
        <w:spacing w:lineRule="auto" w:line="240"/>
        <w:jc w:val="both"/>
        <w:rPr>
          <w:rFonts w:ascii="Times New Roman" w:hAnsi="Times New Roman"/>
          <w:b/>
          <w:bCs/>
          <w:sz w:val="24"/>
          <w:szCs w:val="24"/>
        </w:rPr>
      </w:pPr>
      <w:r>
        <w:rPr>
          <w:rFonts w:ascii="Times New Roman" w:hAnsi="Times New Roman"/>
          <w:b/>
          <w:bCs/>
          <w:sz w:val="24"/>
          <w:szCs w:val="24"/>
        </w:rPr>
        <w:t xml:space="preserve">Figure </w:t>
      </w:r>
      <w:r>
        <w:rPr>
          <w:rFonts w:ascii="Times New Roman" w:hAnsi="Times New Roman"/>
          <w:b/>
          <w:bCs/>
          <w:sz w:val="24"/>
          <w:szCs w:val="24"/>
        </w:rPr>
        <w:t>3c</w:t>
      </w:r>
      <w:r>
        <w:rPr>
          <w:rFonts w:ascii="Times New Roman" w:hAnsi="Times New Roman"/>
          <w:b/>
          <w:bCs/>
          <w:sz w:val="24"/>
          <w:szCs w:val="24"/>
        </w:rPr>
        <w:t xml:space="preserve">: Educational Attainment of </w:t>
      </w:r>
      <w:r>
        <w:rPr>
          <w:rFonts w:ascii="Times New Roman" w:hAnsi="Times New Roman"/>
          <w:b/>
          <w:bCs/>
          <w:i/>
          <w:iCs/>
          <w:sz w:val="24"/>
          <w:szCs w:val="24"/>
        </w:rPr>
        <w:t>O.</w:t>
      </w:r>
      <w:r>
        <w:rPr>
          <w:rFonts w:ascii="Times New Roman" w:hAnsi="Times New Roman"/>
          <w:b/>
          <w:bCs/>
          <w:sz w:val="24"/>
          <w:szCs w:val="24"/>
        </w:rPr>
        <w:t xml:space="preserve"> </w:t>
      </w:r>
      <w:r>
        <w:rPr>
          <w:rFonts w:ascii="Times New Roman" w:eastAsia="Calibri" w:hAnsi="Times New Roman"/>
          <w:b/>
          <w:bCs/>
          <w:i/>
          <w:iCs/>
          <w:sz w:val="24"/>
          <w:szCs w:val="24"/>
          <w:lang w:eastAsia="en-US"/>
        </w:rPr>
        <w:t>tetraspis</w:t>
      </w:r>
      <w:r>
        <w:rPr>
          <w:rStyle w:val="style39"/>
          <w:rFonts w:eastAsia="Calibri"/>
          <w:b/>
          <w:bCs/>
          <w:sz w:val="24"/>
          <w:szCs w:val="24"/>
        </w:rPr>
        <w:t xml:space="preserve"> </w:t>
      </w:r>
      <w:r>
        <w:rPr>
          <w:rFonts w:ascii="Times New Roman" w:hAnsi="Times New Roman"/>
          <w:b/>
          <w:bCs/>
          <w:sz w:val="24"/>
          <w:szCs w:val="24"/>
        </w:rPr>
        <w:t>Traders across Markets</w:t>
      </w:r>
    </w:p>
    <w:p>
      <w:pPr>
        <w:pStyle w:val="style0"/>
        <w:autoSpaceDE w:val="false"/>
        <w:autoSpaceDN w:val="false"/>
        <w:adjustRightInd w:val="false"/>
        <w:spacing w:after="0" w:lineRule="auto" w:line="240"/>
        <w:jc w:val="both"/>
        <w:rPr>
          <w:rFonts w:ascii="Times New Roman" w:hAnsi="Times New Roman"/>
          <w:b/>
          <w:bCs/>
          <w:sz w:val="24"/>
          <w:szCs w:val="24"/>
        </w:rPr>
      </w:pPr>
      <w:r>
        <w:rPr>
          <w:rFonts w:ascii="Times New Roman" w:hAnsi="Times New Roman"/>
          <w:b/>
          <w:bCs/>
          <w:noProof/>
          <w:sz w:val="24"/>
          <w:szCs w:val="24"/>
        </w:rPr>
        <w:drawing>
          <wp:inline distL="0" distT="0" distB="0" distR="0">
            <wp:extent cx="5647765" cy="3550024"/>
            <wp:effectExtent l="0" t="0" r="0" b="0"/>
            <wp:docPr id="1033"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2"/>
                    <pic:cNvPicPr/>
                  </pic:nvPicPr>
                  <pic:blipFill>
                    <a:blip r:embed="rId9" cstate="print"/>
                    <a:srcRect l="0" t="7242" r="0" b="0"/>
                    <a:stretch/>
                  </pic:blipFill>
                  <pic:spPr>
                    <a:xfrm rot="0">
                      <a:off x="0" y="0"/>
                      <a:ext cx="5647765" cy="3550024"/>
                    </a:xfrm>
                    <a:prstGeom prst="rect"/>
                    <a:ln>
                      <a:noFill/>
                    </a:ln>
                  </pic:spPr>
                </pic:pic>
              </a:graphicData>
            </a:graphic>
          </wp:inline>
        </w:drawing>
      </w:r>
    </w:p>
    <w:p>
      <w:pPr>
        <w:pStyle w:val="style0"/>
        <w:autoSpaceDE w:val="false"/>
        <w:autoSpaceDN w:val="false"/>
        <w:adjustRightInd w:val="false"/>
        <w:spacing w:lineRule="auto" w:line="240"/>
        <w:jc w:val="both"/>
        <w:rPr>
          <w:rFonts w:ascii="Times New Roman" w:hAnsi="Times New Roman"/>
          <w:b/>
          <w:bCs/>
          <w:sz w:val="24"/>
          <w:szCs w:val="24"/>
        </w:rPr>
      </w:pPr>
      <w:r>
        <w:rPr>
          <w:rFonts w:ascii="Times New Roman" w:hAnsi="Times New Roman"/>
          <w:b/>
          <w:bCs/>
          <w:sz w:val="24"/>
          <w:szCs w:val="24"/>
        </w:rPr>
        <w:t xml:space="preserve">Figure </w:t>
      </w:r>
      <w:r>
        <w:rPr>
          <w:rFonts w:ascii="Times New Roman" w:hAnsi="Times New Roman"/>
          <w:b/>
          <w:bCs/>
          <w:sz w:val="24"/>
          <w:szCs w:val="24"/>
        </w:rPr>
        <w:t>3d</w:t>
      </w:r>
      <w:r>
        <w:rPr>
          <w:rFonts w:ascii="Times New Roman" w:hAnsi="Times New Roman"/>
          <w:b/>
          <w:bCs/>
          <w:sz w:val="24"/>
          <w:szCs w:val="24"/>
        </w:rPr>
        <w:t xml:space="preserve">: Ethnic Composition of </w:t>
      </w:r>
      <w:r>
        <w:rPr>
          <w:rFonts w:ascii="Times New Roman" w:hAnsi="Times New Roman"/>
          <w:b/>
          <w:bCs/>
          <w:i/>
          <w:iCs/>
          <w:sz w:val="24"/>
          <w:szCs w:val="24"/>
        </w:rPr>
        <w:t>O.</w:t>
      </w:r>
      <w:r>
        <w:rPr>
          <w:rFonts w:ascii="Times New Roman" w:hAnsi="Times New Roman"/>
          <w:b/>
          <w:bCs/>
          <w:sz w:val="24"/>
          <w:szCs w:val="24"/>
        </w:rPr>
        <w:t xml:space="preserve"> </w:t>
      </w:r>
      <w:r>
        <w:rPr>
          <w:rFonts w:ascii="Times New Roman" w:eastAsia="Calibri" w:hAnsi="Times New Roman"/>
          <w:b/>
          <w:bCs/>
          <w:i/>
          <w:iCs/>
          <w:sz w:val="24"/>
          <w:szCs w:val="24"/>
          <w:lang w:eastAsia="en-US"/>
        </w:rPr>
        <w:t>tetraspis</w:t>
      </w:r>
      <w:r>
        <w:rPr>
          <w:rStyle w:val="style39"/>
          <w:rFonts w:eastAsia="Calibri"/>
          <w:b/>
          <w:bCs/>
          <w:sz w:val="24"/>
          <w:szCs w:val="24"/>
        </w:rPr>
        <w:t xml:space="preserve"> </w:t>
      </w:r>
      <w:r>
        <w:rPr>
          <w:rFonts w:ascii="Times New Roman" w:hAnsi="Times New Roman"/>
          <w:b/>
          <w:bCs/>
          <w:sz w:val="24"/>
          <w:szCs w:val="24"/>
        </w:rPr>
        <w:t>Traders across Markets</w:t>
      </w:r>
    </w:p>
    <w:p>
      <w:pPr>
        <w:pStyle w:val="style0"/>
        <w:spacing w:after="0" w:lineRule="auto" w:line="240"/>
        <w:jc w:val="both"/>
        <w:rPr>
          <w:rFonts w:ascii="Times New Roman" w:hAnsi="Times New Roman"/>
          <w:sz w:val="24"/>
          <w:szCs w:val="24"/>
        </w:rPr>
      </w:pPr>
      <w:r>
        <w:rPr>
          <w:rFonts w:ascii="Times New Roman" w:hAnsi="Times New Roman"/>
          <w:b/>
          <w:bCs/>
          <w:sz w:val="24"/>
          <w:szCs w:val="24"/>
        </w:rPr>
        <w:t>Relative percentage abundance of crocodile sizes across the three markets.</w:t>
      </w:r>
    </w:p>
    <w:p>
      <w:pPr>
        <w:pStyle w:val="style94"/>
        <w:spacing w:before="0" w:beforeAutospacing="false" w:after="0" w:afterAutospacing="false"/>
        <w:ind w:firstLine="720"/>
        <w:jc w:val="both"/>
        <w:rPr/>
      </w:pPr>
      <w:r>
        <w:rPr>
          <w:highlight w:val="yellow"/>
        </w:rPr>
        <w:t xml:space="preserve">Size-class analysis revealed that medium-sized and large-sized </w:t>
      </w:r>
      <w:r>
        <w:rPr>
          <w:rStyle w:val="style88"/>
          <w:highlight w:val="yellow"/>
        </w:rPr>
        <w:t xml:space="preserve">O. </w:t>
      </w:r>
      <w:r>
        <w:rPr>
          <w:rStyle w:val="style88"/>
          <w:highlight w:val="yellow"/>
        </w:rPr>
        <w:t>tetraspis</w:t>
      </w:r>
      <w:r>
        <w:rPr>
          <w:highlight w:val="yellow"/>
        </w:rPr>
        <w:t xml:space="preserve"> dominated the market trade, each accounting for 39.24% of the total individuals recorded, whereas small-sized individuals contributed only 21.52% of the total harvest (Table 1). Uwa market recorded the highest abundance across all size classes, contributing 22 medium-sized individuals (39.58%) and 36 large-sized individuals (37.50%) of its total market records. In </w:t>
      </w:r>
      <w:r>
        <w:rPr>
          <w:highlight w:val="yellow"/>
        </w:rPr>
        <w:t>Edumanon</w:t>
      </w:r>
      <w:r>
        <w:rPr>
          <w:highlight w:val="yellow"/>
        </w:rPr>
        <w:t>, large-sized individuals constituted the highest proportion of captures (47.50%), followed by medium-sized (40.00%) and small-sized crocodiles (12.50%). Similarly, medium-sized individuals were most abundant in Ogbe-Ijaw (36.36%), while small-sized and large-sized individuals each accounted for 31.82% of the records.</w:t>
      </w:r>
      <w:r>
        <w:t xml:space="preserve"> </w:t>
      </w:r>
    </w:p>
    <w:p>
      <w:pPr>
        <w:pStyle w:val="style94"/>
        <w:spacing w:before="0" w:beforeAutospacing="false" w:after="0" w:afterAutospacing="false"/>
        <w:ind w:firstLine="720"/>
        <w:jc w:val="both"/>
        <w:rPr/>
      </w:pPr>
      <w:r>
        <w:t xml:space="preserve">The monthly and size-class distribution of </w:t>
      </w:r>
      <w:r>
        <w:rPr>
          <w:rStyle w:val="style88"/>
          <w:rFonts w:eastAsia="SimSun"/>
        </w:rPr>
        <w:t xml:space="preserve">O. </w:t>
      </w:r>
      <w:r>
        <w:rPr>
          <w:rStyle w:val="style88"/>
          <w:rFonts w:eastAsia="SimSun"/>
        </w:rPr>
        <w:t>tetraspis</w:t>
      </w:r>
      <w:r>
        <w:t xml:space="preserve"> across Uwa, </w:t>
      </w:r>
      <w:r>
        <w:t>Edumanon</w:t>
      </w:r>
      <w:r>
        <w:t xml:space="preserve">, and Ogbe-Ijaw bushmeat markets from October 2021 to April 2022 is presented in Table 1. A total of 158 individuals </w:t>
      </w:r>
      <w:r>
        <w:t>were recorded during the study period, with Uwa accounting for 96 specimens (</w:t>
      </w:r>
      <w:r>
        <w:rPr>
          <w:highlight w:val="yellow"/>
        </w:rPr>
        <w:t>60.76%),</w:t>
      </w:r>
      <w:r>
        <w:t xml:space="preserve"> </w:t>
      </w:r>
      <w:r>
        <w:t>Edumanon</w:t>
      </w:r>
      <w:r>
        <w:t xml:space="preserve"> </w:t>
      </w:r>
      <w:r>
        <w:t>4</w:t>
      </w:r>
      <w:r>
        <w:t>0 specimens (</w:t>
      </w:r>
      <w:r>
        <w:rPr>
          <w:highlight w:val="yellow"/>
        </w:rPr>
        <w:t>25.32%),</w:t>
      </w:r>
      <w:r>
        <w:t xml:space="preserve"> and </w:t>
      </w:r>
      <w:bookmarkStart w:id="1" w:name="_Hlk207654637"/>
      <w:r>
        <w:t xml:space="preserve">Ogbe-Ijaw 22 specimens </w:t>
      </w:r>
      <w:bookmarkEnd w:id="1"/>
      <w:r>
        <w:t>(13.9</w:t>
      </w:r>
      <w:r>
        <w:t>2</w:t>
      </w:r>
      <w:r>
        <w:t>%). Relative abundance varied across months, with peaks in October (</w:t>
      </w:r>
      <w:r>
        <w:rPr>
          <w:highlight w:val="yellow"/>
        </w:rPr>
        <w:t>24.68</w:t>
      </w:r>
      <w:r>
        <w:t>%) and February (</w:t>
      </w:r>
      <w:r>
        <w:rPr>
          <w:highlight w:val="yellow"/>
        </w:rPr>
        <w:t>18.99</w:t>
      </w:r>
      <w:r>
        <w:t>%), and marked declines in April (4.</w:t>
      </w:r>
      <w:r>
        <w:rPr>
          <w:highlight w:val="yellow"/>
        </w:rPr>
        <w:t>43</w:t>
      </w:r>
      <w:r>
        <w:t>%).</w:t>
      </w:r>
    </w:p>
    <w:p>
      <w:pPr>
        <w:pStyle w:val="style0"/>
        <w:spacing w:lineRule="auto" w:line="240"/>
        <w:jc w:val="both"/>
        <w:rPr>
          <w:rFonts w:ascii="Times New Roman" w:hAnsi="Times New Roman"/>
          <w:sz w:val="24"/>
          <w:szCs w:val="24"/>
        </w:rPr>
        <w:sectPr>
          <w:footerReference w:type="default" r:id="rId10"/>
          <w:type w:val="continuous"/>
          <w:pgSz w:w="11906" w:h="16838" w:orient="portrait" w:code="9"/>
          <w:pgMar w:top="990" w:right="926" w:bottom="1170" w:left="1080" w:header="720" w:footer="720" w:gutter="0"/>
          <w:lnNumType w:countBy="1" w:restart="continuous"/>
          <w:cols w:space="720"/>
          <w:docGrid w:linePitch="360"/>
        </w:sectPr>
      </w:pPr>
    </w:p>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 xml:space="preserve">Table 1:  </w:t>
      </w:r>
      <w:r>
        <w:rPr>
          <w:rFonts w:ascii="Times New Roman" w:eastAsia="Calibri" w:hAnsi="Times New Roman"/>
          <w:kern w:val="2"/>
          <w:sz w:val="24"/>
          <w:szCs w:val="24"/>
          <w:lang w:eastAsia="en-US"/>
        </w:rPr>
        <w:t xml:space="preserve"> </w:t>
      </w:r>
      <w:r>
        <w:rPr>
          <w:rFonts w:ascii="Times New Roman" w:eastAsia="Calibri" w:hAnsi="Times New Roman"/>
          <w:b/>
          <w:bCs/>
          <w:kern w:val="2"/>
          <w:sz w:val="24"/>
          <w:szCs w:val="24"/>
          <w:lang w:eastAsia="en-US"/>
        </w:rPr>
        <w:t xml:space="preserve">Monthly and Size variation in the relative abundance of </w:t>
      </w:r>
      <w:r>
        <w:rPr>
          <w:rStyle w:val="style88"/>
          <w:rFonts w:ascii="Times New Roman" w:hAnsi="Times New Roman"/>
          <w:b/>
          <w:bCs/>
          <w:sz w:val="24"/>
          <w:szCs w:val="24"/>
        </w:rPr>
        <w:t xml:space="preserve">O. </w:t>
      </w:r>
      <w:r>
        <w:rPr>
          <w:rStyle w:val="style88"/>
          <w:rFonts w:ascii="Times New Roman" w:hAnsi="Times New Roman"/>
          <w:b/>
          <w:bCs/>
          <w:sz w:val="24"/>
          <w:szCs w:val="24"/>
        </w:rPr>
        <w:t>tetraspis</w:t>
      </w:r>
      <w:r>
        <w:rPr>
          <w:rFonts w:ascii="Times New Roman" w:hAnsi="Times New Roman"/>
          <w:b/>
          <w:bCs/>
          <w:sz w:val="24"/>
          <w:szCs w:val="24"/>
        </w:rPr>
        <w:t xml:space="preserve"> </w:t>
      </w:r>
      <w:r>
        <w:rPr>
          <w:rFonts w:ascii="Times New Roman" w:eastAsia="Calibri" w:hAnsi="Times New Roman"/>
          <w:b/>
          <w:bCs/>
          <w:kern w:val="2"/>
          <w:sz w:val="24"/>
          <w:szCs w:val="24"/>
          <w:lang w:eastAsia="en-US"/>
        </w:rPr>
        <w:t xml:space="preserve">at </w:t>
      </w:r>
      <w:r>
        <w:rPr>
          <w:rFonts w:ascii="Times New Roman" w:eastAsia="Calibri" w:hAnsi="Times New Roman"/>
          <w:b/>
          <w:bCs/>
          <w:kern w:val="2"/>
          <w:sz w:val="24"/>
          <w:szCs w:val="24"/>
          <w:lang w:eastAsia="en-US"/>
        </w:rPr>
        <w:t>Edumanon</w:t>
      </w:r>
      <w:r>
        <w:rPr>
          <w:rFonts w:ascii="Times New Roman" w:eastAsia="Calibri" w:hAnsi="Times New Roman"/>
          <w:b/>
          <w:bCs/>
          <w:kern w:val="2"/>
          <w:sz w:val="24"/>
          <w:szCs w:val="24"/>
          <w:lang w:eastAsia="en-US"/>
        </w:rPr>
        <w:t xml:space="preserve"> bushmeat market during the study Period (October 2021- April 2022)</w:t>
      </w:r>
    </w:p>
    <w:tbl>
      <w:tblPr>
        <w:tblStyle w:val="style154"/>
        <w:tblW w:w="131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1224"/>
        <w:gridCol w:w="1250"/>
        <w:gridCol w:w="1234"/>
        <w:gridCol w:w="1128"/>
        <w:gridCol w:w="1238"/>
        <w:gridCol w:w="1210"/>
        <w:gridCol w:w="1135"/>
        <w:gridCol w:w="1135"/>
        <w:gridCol w:w="1135"/>
        <w:gridCol w:w="1639"/>
      </w:tblGrid>
      <w:tr>
        <w:trPr/>
        <w:tc>
          <w:tcPr>
            <w:tcW w:w="1229" w:type="dxa"/>
            <w:vMerge w:val="restart"/>
            <w:tcBorders>
              <w:top w:val="single" w:sz="4" w:space="0" w:color="auto"/>
              <w:right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p>
          <w:p>
            <w:pPr>
              <w:pStyle w:val="style0"/>
              <w:spacing w:after="0" w:lineRule="auto" w:line="240"/>
              <w:jc w:val="both"/>
              <w:rPr>
                <w:rFonts w:ascii="Times New Roman" w:eastAsia="Calibri" w:hAnsi="Times New Roman"/>
                <w:b/>
                <w:bCs/>
                <w:kern w:val="2"/>
                <w:sz w:val="24"/>
                <w:szCs w:val="24"/>
                <w:lang w:eastAsia="en-US"/>
              </w:rPr>
            </w:pPr>
          </w:p>
          <w:p>
            <w:pPr>
              <w:pStyle w:val="style0"/>
              <w:spacing w:after="0" w:lineRule="auto" w:line="240"/>
              <w:jc w:val="both"/>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Months</w:t>
            </w:r>
          </w:p>
        </w:tc>
        <w:tc>
          <w:tcPr>
            <w:tcW w:w="10044" w:type="dxa"/>
            <w:gridSpan w:val="9"/>
            <w:tcBorders>
              <w:top w:val="single" w:sz="4" w:space="0" w:color="auto"/>
              <w:left w:val="single" w:sz="4" w:space="0" w:color="auto"/>
              <w:bottom w:val="single" w:sz="4" w:space="0" w:color="auto"/>
              <w:right w:val="single" w:sz="4" w:space="0" w:color="auto"/>
            </w:tcBorders>
          </w:tcPr>
          <w:p>
            <w:pPr>
              <w:pStyle w:val="style0"/>
              <w:spacing w:after="0" w:lineRule="auto" w:line="240"/>
              <w:jc w:val="center"/>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Market Locations</w:t>
            </w:r>
          </w:p>
        </w:tc>
        <w:tc>
          <w:tcPr>
            <w:tcW w:w="1867" w:type="dxa"/>
            <w:vMerge w:val="restart"/>
            <w:tcBorders>
              <w:top w:val="single" w:sz="4" w:space="0" w:color="auto"/>
              <w:left w:val="single" w:sz="4" w:space="0" w:color="auto"/>
              <w:bottom w:val="single" w:sz="4" w:space="0" w:color="auto"/>
            </w:tcBorders>
          </w:tcPr>
          <w:p>
            <w:pPr>
              <w:pStyle w:val="style0"/>
              <w:spacing w:after="0" w:lineRule="exact" w:line="240"/>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Total No. of Occurrence (% Abundance)</w:t>
            </w:r>
          </w:p>
        </w:tc>
      </w:tr>
      <w:tr>
        <w:tblPrEx/>
        <w:trPr/>
        <w:tc>
          <w:tcPr>
            <w:tcW w:w="1229" w:type="dxa"/>
            <w:vMerge w:val="continue"/>
            <w:tcBorders>
              <w:right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p>
        </w:tc>
        <w:tc>
          <w:tcPr>
            <w:tcW w:w="3468" w:type="dxa"/>
            <w:gridSpan w:val="3"/>
            <w:tcBorders>
              <w:top w:val="single" w:sz="4" w:space="0" w:color="auto"/>
              <w:left w:val="single" w:sz="4" w:space="0" w:color="auto"/>
              <w:right w:val="single" w:sz="4" w:space="0" w:color="auto"/>
            </w:tcBorders>
          </w:tcPr>
          <w:p>
            <w:pPr>
              <w:pStyle w:val="style0"/>
              <w:spacing w:after="0" w:lineRule="auto" w:line="240"/>
              <w:jc w:val="center"/>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Uwa (%)</w:t>
            </w:r>
          </w:p>
        </w:tc>
        <w:tc>
          <w:tcPr>
            <w:tcW w:w="3468" w:type="dxa"/>
            <w:gridSpan w:val="3"/>
            <w:tcBorders>
              <w:top w:val="single" w:sz="4" w:space="0" w:color="auto"/>
              <w:left w:val="single" w:sz="4" w:space="0" w:color="auto"/>
              <w:bottom w:val="single" w:sz="4" w:space="0" w:color="auto"/>
              <w:right w:val="single" w:sz="4" w:space="0" w:color="auto"/>
            </w:tcBorders>
          </w:tcPr>
          <w:p>
            <w:pPr>
              <w:pStyle w:val="style0"/>
              <w:spacing w:after="0" w:lineRule="auto" w:line="240"/>
              <w:jc w:val="center"/>
              <w:rPr>
                <w:rFonts w:ascii="Times New Roman" w:hAnsi="Times New Roman"/>
                <w:b/>
                <w:bCs/>
                <w:sz w:val="24"/>
                <w:szCs w:val="24"/>
              </w:rPr>
            </w:pPr>
            <w:r>
              <w:rPr>
                <w:rFonts w:ascii="Times New Roman" w:eastAsia="Calibri" w:hAnsi="Times New Roman"/>
                <w:b/>
                <w:bCs/>
                <w:kern w:val="2"/>
                <w:sz w:val="24"/>
                <w:szCs w:val="24"/>
                <w:lang w:eastAsia="en-US"/>
              </w:rPr>
              <w:t>Edumanon</w:t>
            </w:r>
            <w:r>
              <w:rPr>
                <w:rFonts w:ascii="Times New Roman" w:eastAsia="Calibri" w:hAnsi="Times New Roman"/>
                <w:b/>
                <w:bCs/>
                <w:kern w:val="2"/>
                <w:sz w:val="24"/>
                <w:szCs w:val="24"/>
                <w:lang w:eastAsia="en-US"/>
              </w:rPr>
              <w:t xml:space="preserve"> (%)</w:t>
            </w:r>
          </w:p>
        </w:tc>
        <w:tc>
          <w:tcPr>
            <w:tcW w:w="3108" w:type="dxa"/>
            <w:gridSpan w:val="3"/>
            <w:tcBorders>
              <w:top w:val="single" w:sz="4" w:space="0" w:color="auto"/>
              <w:left w:val="single" w:sz="4" w:space="0" w:color="auto"/>
              <w:bottom w:val="single" w:sz="4" w:space="0" w:color="auto"/>
              <w:right w:val="single" w:sz="4" w:space="0" w:color="auto"/>
            </w:tcBorders>
          </w:tcPr>
          <w:p>
            <w:pPr>
              <w:pStyle w:val="style0"/>
              <w:spacing w:after="0" w:lineRule="auto" w:line="240"/>
              <w:jc w:val="center"/>
              <w:rPr>
                <w:rFonts w:ascii="Times New Roman" w:hAnsi="Times New Roman"/>
                <w:b/>
                <w:bCs/>
                <w:sz w:val="24"/>
                <w:szCs w:val="24"/>
              </w:rPr>
            </w:pPr>
            <w:r>
              <w:rPr>
                <w:rFonts w:ascii="Times New Roman" w:eastAsia="Calibri" w:hAnsi="Times New Roman"/>
                <w:b/>
                <w:bCs/>
                <w:kern w:val="2"/>
                <w:sz w:val="24"/>
                <w:szCs w:val="24"/>
                <w:lang w:eastAsia="en-US"/>
              </w:rPr>
              <w:t>Ogbe-Ijaw (%)</w:t>
            </w:r>
          </w:p>
        </w:tc>
        <w:tc>
          <w:tcPr>
            <w:tcW w:w="1867" w:type="dxa"/>
            <w:vMerge w:val="continue"/>
            <w:tcBorders>
              <w:top w:val="nil"/>
              <w:left w:val="single" w:sz="4" w:space="0" w:color="auto"/>
              <w:bottom w:val="single" w:sz="4" w:space="0" w:color="auto"/>
            </w:tcBorders>
          </w:tcPr>
          <w:p>
            <w:pPr>
              <w:pStyle w:val="style0"/>
              <w:spacing w:after="0" w:lineRule="exact" w:line="240"/>
              <w:jc w:val="both"/>
              <w:rPr>
                <w:rFonts w:ascii="Times New Roman" w:eastAsia="Calibri" w:hAnsi="Times New Roman"/>
                <w:kern w:val="2"/>
                <w:sz w:val="24"/>
                <w:szCs w:val="24"/>
                <w:lang w:eastAsia="en-US"/>
              </w:rPr>
            </w:pPr>
          </w:p>
        </w:tc>
      </w:tr>
      <w:tr>
        <w:tblPrEx/>
        <w:trPr/>
        <w:tc>
          <w:tcPr>
            <w:tcW w:w="1229" w:type="dxa"/>
            <w:vMerge w:val="continue"/>
            <w:tcBorders>
              <w:bottom w:val="single" w:sz="4" w:space="0" w:color="auto"/>
              <w:right w:val="single" w:sz="4" w:space="0" w:color="auto"/>
            </w:tcBorders>
          </w:tcPr>
          <w:p>
            <w:pPr>
              <w:pStyle w:val="style0"/>
              <w:spacing w:after="0" w:lineRule="auto" w:line="240"/>
              <w:jc w:val="both"/>
              <w:rPr>
                <w:rFonts w:ascii="Times New Roman" w:hAnsi="Times New Roman"/>
                <w:sz w:val="24"/>
                <w:szCs w:val="24"/>
              </w:rPr>
            </w:pPr>
          </w:p>
        </w:tc>
        <w:tc>
          <w:tcPr>
            <w:tcW w:w="115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SSDC</w:t>
            </w:r>
          </w:p>
        </w:tc>
        <w:tc>
          <w:tcPr>
            <w:tcW w:w="115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 xml:space="preserve">MSDC </w:t>
            </w:r>
          </w:p>
        </w:tc>
        <w:tc>
          <w:tcPr>
            <w:tcW w:w="115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LSDC</w:t>
            </w:r>
          </w:p>
        </w:tc>
        <w:tc>
          <w:tcPr>
            <w:tcW w:w="115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SSDC</w:t>
            </w:r>
          </w:p>
        </w:tc>
        <w:tc>
          <w:tcPr>
            <w:tcW w:w="115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 xml:space="preserve">MSDC </w:t>
            </w:r>
          </w:p>
        </w:tc>
        <w:tc>
          <w:tcPr>
            <w:tcW w:w="115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LSDC</w:t>
            </w:r>
          </w:p>
        </w:tc>
        <w:tc>
          <w:tcPr>
            <w:tcW w:w="103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SSDC</w:t>
            </w:r>
          </w:p>
        </w:tc>
        <w:tc>
          <w:tcPr>
            <w:tcW w:w="103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 xml:space="preserve">MSDC </w:t>
            </w:r>
          </w:p>
        </w:tc>
        <w:tc>
          <w:tcPr>
            <w:tcW w:w="103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LSDC</w:t>
            </w:r>
          </w:p>
        </w:tc>
        <w:tc>
          <w:tcPr>
            <w:tcW w:w="1867" w:type="dxa"/>
            <w:vMerge w:val="continue"/>
            <w:tcBorders>
              <w:top w:val="nil"/>
              <w:left w:val="single" w:sz="4" w:space="0" w:color="auto"/>
              <w:bottom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p>
        </w:tc>
      </w:tr>
      <w:tr>
        <w:tblPrEx/>
        <w:trPr/>
        <w:tc>
          <w:tcPr>
            <w:tcW w:w="1229" w:type="dxa"/>
            <w:tcBorders>
              <w:top w:val="single" w:sz="4" w:space="0" w:color="auto"/>
              <w:bottom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October</w:t>
            </w:r>
          </w:p>
        </w:tc>
        <w:tc>
          <w:tcPr>
            <w:tcW w:w="1156" w:type="dxa"/>
            <w:tcBorders>
              <w:top w:val="single" w:sz="4" w:space="0" w:color="auto"/>
              <w:left w:val="single" w:sz="4" w:space="0" w:color="auto"/>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5(20.00)</w:t>
            </w:r>
          </w:p>
        </w:tc>
        <w:tc>
          <w:tcPr>
            <w:tcW w:w="1156" w:type="dxa"/>
            <w:tcBorders>
              <w:top w:val="single" w:sz="4" w:space="0" w:color="auto"/>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8(32.00)</w:t>
            </w:r>
          </w:p>
        </w:tc>
        <w:tc>
          <w:tcPr>
            <w:tcW w:w="1156" w:type="dxa"/>
            <w:tcBorders>
              <w:top w:val="single" w:sz="4" w:space="0" w:color="auto"/>
              <w:bottom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12(48.00)</w:t>
            </w:r>
          </w:p>
        </w:tc>
        <w:tc>
          <w:tcPr>
            <w:tcW w:w="1156" w:type="dxa"/>
            <w:tcBorders>
              <w:top w:val="single" w:sz="4" w:space="0" w:color="auto"/>
              <w:left w:val="single" w:sz="4" w:space="0" w:color="auto"/>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2(20.00)</w:t>
            </w:r>
          </w:p>
        </w:tc>
        <w:tc>
          <w:tcPr>
            <w:tcW w:w="1156" w:type="dxa"/>
            <w:tcBorders>
              <w:top w:val="single" w:sz="4" w:space="0" w:color="auto"/>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4(40.00)</w:t>
            </w:r>
          </w:p>
        </w:tc>
        <w:tc>
          <w:tcPr>
            <w:tcW w:w="1156" w:type="dxa"/>
            <w:tcBorders>
              <w:top w:val="single" w:sz="4" w:space="0" w:color="auto"/>
              <w:bottom w:val="nil"/>
              <w:righ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4(40.00)</w:t>
            </w:r>
          </w:p>
        </w:tc>
        <w:tc>
          <w:tcPr>
            <w:tcW w:w="1036" w:type="dxa"/>
            <w:tcBorders>
              <w:top w:val="single" w:sz="4" w:space="0" w:color="auto"/>
              <w:left w:val="single" w:sz="4" w:space="0" w:color="auto"/>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1(25.00)</w:t>
            </w:r>
          </w:p>
        </w:tc>
        <w:tc>
          <w:tcPr>
            <w:tcW w:w="1036" w:type="dxa"/>
            <w:tcBorders>
              <w:top w:val="single" w:sz="4" w:space="0" w:color="auto"/>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2(50.00)</w:t>
            </w:r>
          </w:p>
        </w:tc>
        <w:tc>
          <w:tcPr>
            <w:tcW w:w="1036" w:type="dxa"/>
            <w:tcBorders>
              <w:top w:val="single" w:sz="4" w:space="0" w:color="auto"/>
              <w:bottom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1(25.00)</w:t>
            </w:r>
          </w:p>
        </w:tc>
        <w:tc>
          <w:tcPr>
            <w:tcW w:w="1867" w:type="dxa"/>
            <w:tcBorders>
              <w:top w:val="single" w:sz="4" w:space="0" w:color="auto"/>
              <w:left w:val="single" w:sz="4" w:space="0" w:color="auto"/>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39(24.68)</w:t>
            </w:r>
          </w:p>
        </w:tc>
      </w:tr>
      <w:tr>
        <w:tblPrEx/>
        <w:trPr/>
        <w:tc>
          <w:tcPr>
            <w:tcW w:w="1229" w:type="dxa"/>
            <w:tcBorders>
              <w:top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November</w:t>
            </w:r>
          </w:p>
        </w:tc>
        <w:tc>
          <w:tcPr>
            <w:tcW w:w="1156" w:type="dxa"/>
            <w:tcBorders>
              <w:top w:val="nil"/>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2(20.00)</w:t>
            </w:r>
          </w:p>
        </w:tc>
        <w:tc>
          <w:tcPr>
            <w:tcW w:w="1156" w:type="dxa"/>
            <w:tcBorders>
              <w:top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5(50.00)</w:t>
            </w:r>
          </w:p>
        </w:tc>
        <w:tc>
          <w:tcPr>
            <w:tcW w:w="1156" w:type="dxa"/>
            <w:tcBorders>
              <w:top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3(30.00)</w:t>
            </w:r>
          </w:p>
        </w:tc>
        <w:tc>
          <w:tcPr>
            <w:tcW w:w="1156" w:type="dxa"/>
            <w:tcBorders>
              <w:top w:val="nil"/>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156" w:type="dxa"/>
            <w:tcBorders>
              <w:top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156" w:type="dxa"/>
            <w:tcBorders>
              <w:top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036" w:type="dxa"/>
            <w:tcBorders>
              <w:top w:val="nil"/>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1(20.00)</w:t>
            </w:r>
          </w:p>
        </w:tc>
        <w:tc>
          <w:tcPr>
            <w:tcW w:w="1036" w:type="dxa"/>
            <w:tcBorders>
              <w:top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2(40.00)</w:t>
            </w:r>
          </w:p>
        </w:tc>
        <w:tc>
          <w:tcPr>
            <w:tcW w:w="1036" w:type="dxa"/>
            <w:tcBorders>
              <w:top w:val="nil"/>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2(40.00)</w:t>
            </w:r>
          </w:p>
        </w:tc>
        <w:tc>
          <w:tcPr>
            <w:tcW w:w="1867" w:type="dxa"/>
            <w:tcBorders>
              <w:top w:val="nil"/>
              <w:lef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15(9.49)</w:t>
            </w:r>
          </w:p>
        </w:tc>
      </w:tr>
      <w:tr>
        <w:tblPrEx/>
        <w:trPr/>
        <w:tc>
          <w:tcPr>
            <w:tcW w:w="1229"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December</w:t>
            </w:r>
          </w:p>
        </w:tc>
        <w:tc>
          <w:tcPr>
            <w:tcW w:w="115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4(25.00)</w:t>
            </w:r>
          </w:p>
        </w:tc>
        <w:tc>
          <w:tcPr>
            <w:tcW w:w="115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7(43.75)</w:t>
            </w:r>
          </w:p>
        </w:tc>
        <w:tc>
          <w:tcPr>
            <w:tcW w:w="115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5(31.25)</w:t>
            </w:r>
          </w:p>
        </w:tc>
        <w:tc>
          <w:tcPr>
            <w:tcW w:w="1156" w:type="dxa"/>
            <w:tcBorders>
              <w:lef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156" w:type="dxa"/>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2(40.00)</w:t>
            </w:r>
          </w:p>
        </w:tc>
        <w:tc>
          <w:tcPr>
            <w:tcW w:w="1156" w:type="dxa"/>
            <w:tcBorders>
              <w:righ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3(60.00)</w:t>
            </w:r>
          </w:p>
        </w:tc>
        <w:tc>
          <w:tcPr>
            <w:tcW w:w="103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03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03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867" w:type="dxa"/>
            <w:tcBorders>
              <w:lef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24(15.19)</w:t>
            </w:r>
          </w:p>
        </w:tc>
      </w:tr>
      <w:tr>
        <w:tblPrEx/>
        <w:trPr/>
        <w:tc>
          <w:tcPr>
            <w:tcW w:w="1229"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January</w:t>
            </w:r>
          </w:p>
        </w:tc>
        <w:tc>
          <w:tcPr>
            <w:tcW w:w="115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3(20.00)</w:t>
            </w:r>
          </w:p>
        </w:tc>
        <w:tc>
          <w:tcPr>
            <w:tcW w:w="115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7(46.67)</w:t>
            </w:r>
          </w:p>
        </w:tc>
        <w:tc>
          <w:tcPr>
            <w:tcW w:w="115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5(33.33)</w:t>
            </w:r>
          </w:p>
        </w:tc>
        <w:tc>
          <w:tcPr>
            <w:tcW w:w="115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15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15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03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03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03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867"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15(9.49)</w:t>
            </w:r>
          </w:p>
        </w:tc>
      </w:tr>
      <w:tr>
        <w:tblPrEx/>
        <w:trPr/>
        <w:tc>
          <w:tcPr>
            <w:tcW w:w="1229"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February</w:t>
            </w:r>
          </w:p>
        </w:tc>
        <w:tc>
          <w:tcPr>
            <w:tcW w:w="115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2(13.33)</w:t>
            </w:r>
          </w:p>
        </w:tc>
        <w:tc>
          <w:tcPr>
            <w:tcW w:w="115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6(40.00)</w:t>
            </w:r>
          </w:p>
        </w:tc>
        <w:tc>
          <w:tcPr>
            <w:tcW w:w="115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7(46.67)</w:t>
            </w:r>
          </w:p>
        </w:tc>
        <w:tc>
          <w:tcPr>
            <w:tcW w:w="1156" w:type="dxa"/>
            <w:tcBorders>
              <w:lef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1(10.00)</w:t>
            </w:r>
          </w:p>
        </w:tc>
        <w:tc>
          <w:tcPr>
            <w:tcW w:w="1156" w:type="dxa"/>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4(40.00)</w:t>
            </w:r>
          </w:p>
        </w:tc>
        <w:tc>
          <w:tcPr>
            <w:tcW w:w="1156" w:type="dxa"/>
            <w:tcBorders>
              <w:righ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5(50.00)</w:t>
            </w:r>
          </w:p>
        </w:tc>
        <w:tc>
          <w:tcPr>
            <w:tcW w:w="103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2(40.00)</w:t>
            </w:r>
          </w:p>
        </w:tc>
        <w:tc>
          <w:tcPr>
            <w:tcW w:w="103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2(40.00)</w:t>
            </w:r>
          </w:p>
        </w:tc>
        <w:tc>
          <w:tcPr>
            <w:tcW w:w="103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1(20.00)</w:t>
            </w:r>
          </w:p>
        </w:tc>
        <w:tc>
          <w:tcPr>
            <w:tcW w:w="1867" w:type="dxa"/>
            <w:tcBorders>
              <w:lef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30(18.99)</w:t>
            </w:r>
          </w:p>
        </w:tc>
      </w:tr>
      <w:tr>
        <w:tblPrEx/>
        <w:trPr/>
        <w:tc>
          <w:tcPr>
            <w:tcW w:w="1229"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March</w:t>
            </w:r>
          </w:p>
        </w:tc>
        <w:tc>
          <w:tcPr>
            <w:tcW w:w="115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6(40.00)</w:t>
            </w:r>
          </w:p>
        </w:tc>
        <w:tc>
          <w:tcPr>
            <w:tcW w:w="115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5(33.33)</w:t>
            </w:r>
          </w:p>
        </w:tc>
        <w:tc>
          <w:tcPr>
            <w:tcW w:w="115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4(36.00)</w:t>
            </w:r>
          </w:p>
        </w:tc>
        <w:tc>
          <w:tcPr>
            <w:tcW w:w="1156" w:type="dxa"/>
            <w:tcBorders>
              <w:lef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2(20.00)</w:t>
            </w:r>
          </w:p>
        </w:tc>
        <w:tc>
          <w:tcPr>
            <w:tcW w:w="1156" w:type="dxa"/>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4(40.00)</w:t>
            </w:r>
          </w:p>
        </w:tc>
        <w:tc>
          <w:tcPr>
            <w:tcW w:w="1156" w:type="dxa"/>
            <w:tcBorders>
              <w:right w:val="single" w:sz="4" w:space="0" w:color="auto"/>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4(40.00)</w:t>
            </w:r>
          </w:p>
        </w:tc>
        <w:tc>
          <w:tcPr>
            <w:tcW w:w="1036" w:type="dxa"/>
            <w:tcBorders>
              <w:lef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036" w:type="dxa"/>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036" w:type="dxa"/>
            <w:tcBorders>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1(33.33)</w:t>
            </w:r>
          </w:p>
        </w:tc>
        <w:tc>
          <w:tcPr>
            <w:tcW w:w="1867" w:type="dxa"/>
            <w:tcBorders>
              <w:lef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28(17.72)</w:t>
            </w:r>
          </w:p>
        </w:tc>
      </w:tr>
      <w:tr>
        <w:tblPrEx/>
        <w:trPr/>
        <w:tc>
          <w:tcPr>
            <w:tcW w:w="1229" w:type="dxa"/>
            <w:tcBorders>
              <w:bottom w:val="single" w:sz="4" w:space="0" w:color="auto"/>
              <w:righ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April</w:t>
            </w:r>
          </w:p>
        </w:tc>
        <w:tc>
          <w:tcPr>
            <w:tcW w:w="1156" w:type="dxa"/>
            <w:tcBorders>
              <w:left w:val="single" w:sz="4" w:space="0" w:color="auto"/>
              <w:bottom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0(0.00)</w:t>
            </w:r>
          </w:p>
        </w:tc>
        <w:tc>
          <w:tcPr>
            <w:tcW w:w="1156" w:type="dxa"/>
            <w:tcBorders>
              <w:bottom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0(0.00)</w:t>
            </w:r>
          </w:p>
        </w:tc>
        <w:tc>
          <w:tcPr>
            <w:tcW w:w="1156" w:type="dxa"/>
            <w:tcBorders>
              <w:bottom w:val="single" w:sz="4" w:space="0" w:color="auto"/>
              <w:right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0(0.00)</w:t>
            </w:r>
          </w:p>
        </w:tc>
        <w:tc>
          <w:tcPr>
            <w:tcW w:w="1156" w:type="dxa"/>
            <w:tcBorders>
              <w:left w:val="single" w:sz="4" w:space="0" w:color="auto"/>
              <w:bottom w:val="single" w:sz="4" w:space="0" w:color="auto"/>
            </w:tcBorders>
            <w:vAlign w:val="bottom"/>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0(0.00)</w:t>
            </w:r>
          </w:p>
        </w:tc>
        <w:tc>
          <w:tcPr>
            <w:tcW w:w="1156" w:type="dxa"/>
            <w:tcBorders>
              <w:bottom w:val="single" w:sz="4" w:space="0" w:color="auto"/>
            </w:tcBorders>
            <w:vAlign w:val="bottom"/>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2(40.00)</w:t>
            </w:r>
          </w:p>
        </w:tc>
        <w:tc>
          <w:tcPr>
            <w:tcW w:w="1156" w:type="dxa"/>
            <w:tcBorders>
              <w:bottom w:val="single" w:sz="4" w:space="0" w:color="auto"/>
              <w:right w:val="single" w:sz="4" w:space="0" w:color="auto"/>
            </w:tcBorders>
            <w:vAlign w:val="bottom"/>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3(60.00)</w:t>
            </w:r>
          </w:p>
        </w:tc>
        <w:tc>
          <w:tcPr>
            <w:tcW w:w="1036" w:type="dxa"/>
            <w:tcBorders>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1(50.00)</w:t>
            </w:r>
          </w:p>
        </w:tc>
        <w:tc>
          <w:tcPr>
            <w:tcW w:w="1036" w:type="dxa"/>
            <w:tcBorders>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0(0.00)</w:t>
            </w:r>
          </w:p>
        </w:tc>
        <w:tc>
          <w:tcPr>
            <w:tcW w:w="1036" w:type="dxa"/>
            <w:tcBorders>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1(50.00)</w:t>
            </w:r>
          </w:p>
        </w:tc>
        <w:tc>
          <w:tcPr>
            <w:tcW w:w="1867" w:type="dxa"/>
            <w:tcBorders>
              <w:left w:val="single" w:sz="4" w:space="0" w:color="auto"/>
              <w:bottom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7(4.43)</w:t>
            </w:r>
          </w:p>
        </w:tc>
      </w:tr>
      <w:tr>
        <w:tblPrEx/>
        <w:trPr/>
        <w:tc>
          <w:tcPr>
            <w:tcW w:w="1229"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Total</w:t>
            </w:r>
          </w:p>
        </w:tc>
        <w:tc>
          <w:tcPr>
            <w:tcW w:w="115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22(22.92)</w:t>
            </w:r>
          </w:p>
        </w:tc>
        <w:tc>
          <w:tcPr>
            <w:tcW w:w="115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38(39.58)</w:t>
            </w:r>
          </w:p>
        </w:tc>
        <w:tc>
          <w:tcPr>
            <w:tcW w:w="115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36(37.50)</w:t>
            </w:r>
          </w:p>
        </w:tc>
        <w:tc>
          <w:tcPr>
            <w:tcW w:w="115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5(12.50)</w:t>
            </w:r>
          </w:p>
        </w:tc>
        <w:tc>
          <w:tcPr>
            <w:tcW w:w="115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16(40.00)</w:t>
            </w:r>
          </w:p>
        </w:tc>
        <w:tc>
          <w:tcPr>
            <w:tcW w:w="115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19(47.50)</w:t>
            </w:r>
          </w:p>
        </w:tc>
        <w:tc>
          <w:tcPr>
            <w:tcW w:w="1036" w:type="dxa"/>
            <w:tcBorders>
              <w:top w:val="single" w:sz="4" w:space="0" w:color="auto"/>
              <w:left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7(31.82)</w:t>
            </w:r>
          </w:p>
        </w:tc>
        <w:tc>
          <w:tcPr>
            <w:tcW w:w="1036" w:type="dxa"/>
            <w:tcBorders>
              <w:top w:val="single" w:sz="4" w:space="0" w:color="auto"/>
              <w:bottom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8(36.36)</w:t>
            </w:r>
          </w:p>
        </w:tc>
        <w:tc>
          <w:tcPr>
            <w:tcW w:w="1036" w:type="dxa"/>
            <w:tcBorders>
              <w:top w:val="single" w:sz="4" w:space="0" w:color="auto"/>
              <w:bottom w:val="single" w:sz="4" w:space="0" w:color="auto"/>
              <w:right w:val="single" w:sz="4" w:space="0" w:color="auto"/>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7(31.82)</w:t>
            </w:r>
          </w:p>
        </w:tc>
        <w:tc>
          <w:tcPr>
            <w:tcW w:w="1867" w:type="dxa"/>
            <w:tcBorders>
              <w:top w:val="single" w:sz="4" w:space="0" w:color="auto"/>
              <w:left w:val="single" w:sz="4" w:space="0" w:color="auto"/>
              <w:bottom w:val="single" w:sz="4" w:space="0" w:color="auto"/>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158(100.00)</w:t>
            </w:r>
          </w:p>
        </w:tc>
      </w:tr>
    </w:tbl>
    <w:p>
      <w:pPr>
        <w:pStyle w:val="style0"/>
        <w:spacing w:lineRule="auto" w:line="240"/>
        <w:jc w:val="both"/>
        <w:rPr>
          <w:rFonts w:ascii="Times New Roman" w:hAnsi="Times New Roman"/>
          <w:sz w:val="24"/>
          <w:szCs w:val="24"/>
        </w:rPr>
      </w:pPr>
      <w:r>
        <w:rPr>
          <w:rFonts w:ascii="Times New Roman" w:hAnsi="Times New Roman"/>
          <w:b/>
          <w:bCs/>
          <w:sz w:val="24"/>
          <w:szCs w:val="24"/>
        </w:rPr>
        <w:t>Legend:</w:t>
      </w:r>
      <w:r>
        <w:rPr>
          <w:rFonts w:ascii="Times New Roman" w:hAnsi="Times New Roman"/>
          <w:sz w:val="24"/>
          <w:szCs w:val="24"/>
        </w:rPr>
        <w:t xml:space="preserve"> SSDC = Small Sized Dwarf Crocodiles; MSDC = Medium Sized Dwarf Crocodiles; LSDC= Large Sized Dwarf Crocodiles.</w:t>
      </w:r>
      <w:r>
        <w:rPr>
          <w:rFonts w:ascii="Times New Roman" w:hAnsi="Times New Roman"/>
          <w:sz w:val="24"/>
          <w:szCs w:val="24"/>
        </w:rPr>
        <w:t xml:space="preserve"> </w:t>
      </w:r>
    </w:p>
    <w:p>
      <w:pPr>
        <w:pStyle w:val="style0"/>
        <w:spacing w:after="160" w:lineRule="auto" w:line="240"/>
        <w:jc w:val="both"/>
        <w:rPr>
          <w:rFonts w:ascii="Times New Roman" w:eastAsia="Calibri" w:hAnsi="Times New Roman"/>
          <w:b/>
          <w:bCs/>
          <w:kern w:val="2"/>
          <w:sz w:val="24"/>
          <w:szCs w:val="24"/>
          <w:lang w:eastAsia="en-US"/>
        </w:rPr>
        <w:sectPr>
          <w:type w:val="continuous"/>
          <w:pgSz w:w="15840" w:h="12240" w:orient="landscape"/>
          <w:pgMar w:top="1440" w:right="1440" w:bottom="1440" w:left="1440" w:header="720" w:footer="720" w:gutter="0"/>
          <w:lnNumType w:countBy="1" w:restart="continuous"/>
          <w:cols w:space="720"/>
          <w:docGrid w:linePitch="360"/>
        </w:sectPr>
      </w:pPr>
    </w:p>
    <w:p>
      <w:pPr>
        <w:pStyle w:val="style94"/>
        <w:spacing w:before="0" w:beforeAutospacing="false" w:after="0" w:afterAutospacing="false"/>
        <w:jc w:val="both"/>
        <w:rPr/>
      </w:pPr>
      <w:r>
        <w:rPr>
          <w:rFonts w:eastAsia="Calibri"/>
          <w:b/>
          <w:bCs/>
          <w:kern w:val="2"/>
        </w:rPr>
        <w:t xml:space="preserve">Monthly and Market variation in the relative abundance of </w:t>
      </w:r>
      <w:r>
        <w:rPr>
          <w:rFonts w:eastAsia="Calibri"/>
          <w:b/>
          <w:bCs/>
          <w:i/>
          <w:iCs/>
        </w:rPr>
        <w:t xml:space="preserve">O. </w:t>
      </w:r>
      <w:r>
        <w:rPr>
          <w:rFonts w:eastAsia="Calibri"/>
          <w:b/>
          <w:bCs/>
          <w:i/>
          <w:iCs/>
        </w:rPr>
        <w:t>tetraspis</w:t>
      </w:r>
    </w:p>
    <w:p>
      <w:pPr>
        <w:pStyle w:val="style94"/>
        <w:spacing w:before="0" w:beforeAutospacing="false" w:after="0" w:afterAutospacing="false"/>
        <w:ind w:firstLine="720"/>
        <w:jc w:val="both"/>
        <w:rPr/>
      </w:pPr>
      <w:r>
        <w:t xml:space="preserve">A total of </w:t>
      </w:r>
      <w:r>
        <w:rPr>
          <w:rStyle w:val="style87"/>
          <w:rFonts w:eastAsia="SimSun"/>
          <w:b w:val="false"/>
          <w:bCs w:val="false"/>
        </w:rPr>
        <w:t xml:space="preserve">158 individuals of </w:t>
      </w:r>
      <w:r>
        <w:rPr>
          <w:rStyle w:val="style88"/>
          <w:rFonts w:eastAsia="SimSun"/>
        </w:rPr>
        <w:t xml:space="preserve">O. </w:t>
      </w:r>
      <w:r>
        <w:rPr>
          <w:rStyle w:val="style88"/>
          <w:rFonts w:eastAsia="SimSun"/>
        </w:rPr>
        <w:t>tetraspis</w:t>
      </w:r>
      <w:r>
        <w:t xml:space="preserve"> were recorded across the three bushmeat markets during the study period (October 2021–April 2022) (Table </w:t>
      </w:r>
      <w:r>
        <w:t>2</w:t>
      </w:r>
      <w:r>
        <w:t xml:space="preserve">). The Uwa market accounted for the majority of occurrences (60.76%), followed by </w:t>
      </w:r>
      <w:r>
        <w:t>Edumanon</w:t>
      </w:r>
      <w:r>
        <w:t xml:space="preserve"> (</w:t>
      </w:r>
      <w:r>
        <w:rPr>
          <w:highlight w:val="yellow"/>
        </w:rPr>
        <w:t>2</w:t>
      </w:r>
      <w:r>
        <w:rPr>
          <w:highlight w:val="yellow"/>
        </w:rPr>
        <w:t>5.32</w:t>
      </w:r>
      <w:r>
        <w:rPr>
          <w:highlight w:val="yellow"/>
        </w:rPr>
        <w:t>%)</w:t>
      </w:r>
      <w:r>
        <w:t xml:space="preserve"> and Ogbe-Ijaw (13.92%). Temporal patterns revealed that abundance peaked in </w:t>
      </w:r>
      <w:r>
        <w:t>October (</w:t>
      </w:r>
      <w:r>
        <w:rPr>
          <w:highlight w:val="yellow"/>
        </w:rPr>
        <w:t>24.68</w:t>
      </w:r>
      <w:r>
        <w:t>%)</w:t>
      </w:r>
      <w:r>
        <w:t xml:space="preserve"> and</w:t>
      </w:r>
      <w:r>
        <w:t xml:space="preserve"> </w:t>
      </w:r>
      <w:r>
        <w:t>February (</w:t>
      </w:r>
      <w:r>
        <w:rPr>
          <w:highlight w:val="yellow"/>
        </w:rPr>
        <w:t>18.99</w:t>
      </w:r>
      <w:r>
        <w:t>%)</w:t>
      </w:r>
      <w:r>
        <w:t xml:space="preserve">, while April recorded the lowest value (4.43%). Uwa exhibited relatively consistent monthly occurrences, whereas </w:t>
      </w:r>
      <w:r>
        <w:t>Edumanon</w:t>
      </w:r>
      <w:r>
        <w:t xml:space="preserve"> showed intermittent records with absence in November and January, but higher abundance </w:t>
      </w:r>
      <w:r>
        <w:t xml:space="preserve">of </w:t>
      </w:r>
      <w:r>
        <w:rPr>
          <w:highlight w:val="yellow"/>
        </w:rPr>
        <w:t>25.00%</w:t>
      </w:r>
      <w:r>
        <w:t xml:space="preserve"> </w:t>
      </w:r>
      <w:r>
        <w:t>in February</w:t>
      </w:r>
      <w:r>
        <w:t xml:space="preserve">, </w:t>
      </w:r>
      <w:r>
        <w:t>March</w:t>
      </w:r>
      <w:r>
        <w:t xml:space="preserve"> </w:t>
      </w:r>
      <w:r>
        <w:rPr>
          <w:highlight w:val="yellow"/>
        </w:rPr>
        <w:t>and October respectively</w:t>
      </w:r>
      <w:r>
        <w:t xml:space="preserve">. Ogbe-Ijaw had the lowest and most irregular records, never exceeding five individuals per month (Table </w:t>
      </w:r>
      <w:r>
        <w:t>2</w:t>
      </w:r>
      <w:r>
        <w:t>).</w:t>
      </w:r>
      <w:r>
        <w:t xml:space="preserve"> </w:t>
      </w:r>
    </w:p>
    <w:p>
      <w:pPr>
        <w:pStyle w:val="style0"/>
        <w:spacing w:before="240" w:after="0" w:lineRule="auto" w:line="240"/>
        <w:jc w:val="both"/>
        <w:rPr>
          <w:rFonts w:ascii="Times New Roman" w:hAnsi="Times New Roman"/>
          <w:b/>
          <w:bCs/>
          <w:sz w:val="24"/>
          <w:szCs w:val="24"/>
        </w:rPr>
      </w:pPr>
      <w:r>
        <w:rPr>
          <w:rFonts w:ascii="Times New Roman" w:eastAsia="Calibri" w:hAnsi="Times New Roman"/>
          <w:b/>
          <w:bCs/>
          <w:kern w:val="2"/>
          <w:sz w:val="24"/>
          <w:szCs w:val="24"/>
          <w:lang w:eastAsia="en-US"/>
        </w:rPr>
        <w:t xml:space="preserve">Table 2: Monthly and Market variation in the relative abundance of </w:t>
      </w:r>
      <w:r>
        <w:rPr>
          <w:rFonts w:ascii="Times New Roman" w:eastAsia="Calibri" w:hAnsi="Times New Roman"/>
          <w:b/>
          <w:bCs/>
          <w:i/>
          <w:iCs/>
          <w:sz w:val="24"/>
          <w:szCs w:val="24"/>
          <w:lang w:eastAsia="en-US"/>
        </w:rPr>
        <w:t xml:space="preserve">O. </w:t>
      </w:r>
      <w:r>
        <w:rPr>
          <w:rFonts w:ascii="Times New Roman" w:eastAsia="Calibri" w:hAnsi="Times New Roman"/>
          <w:b/>
          <w:bCs/>
          <w:i/>
          <w:iCs/>
          <w:sz w:val="24"/>
          <w:szCs w:val="24"/>
          <w:lang w:eastAsia="en-US"/>
        </w:rPr>
        <w:t>tetraspis</w:t>
      </w:r>
      <w:r>
        <w:rPr>
          <w:rStyle w:val="style39"/>
          <w:rFonts w:eastAsia="Calibri"/>
          <w:b/>
          <w:bCs/>
          <w:sz w:val="24"/>
          <w:szCs w:val="24"/>
        </w:rPr>
        <w:t xml:space="preserve"> </w:t>
      </w:r>
      <w:r>
        <w:rPr>
          <w:rFonts w:ascii="Times New Roman" w:eastAsia="Calibri" w:hAnsi="Times New Roman"/>
          <w:b/>
          <w:bCs/>
          <w:kern w:val="2"/>
          <w:sz w:val="24"/>
          <w:szCs w:val="24"/>
          <w:lang w:eastAsia="en-US"/>
        </w:rPr>
        <w:t>in bushmeat market during the study Period (October 2021- April 2022)</w:t>
      </w:r>
    </w:p>
    <w:tbl>
      <w:tblPr>
        <w:tblStyle w:val="style154"/>
        <w:tblW w:w="8010" w:type="dxa"/>
        <w:tblBorders>
          <w:left w:val="none" w:sz="0" w:space="0" w:color="auto"/>
          <w:right w:val="none" w:sz="0" w:space="0" w:color="auto"/>
          <w:insideV w:val="none" w:sz="0" w:space="0" w:color="auto"/>
        </w:tblBorders>
        <w:tblLook w:val="04A0" w:firstRow="1" w:lastRow="0" w:firstColumn="1" w:lastColumn="0" w:noHBand="0" w:noVBand="1"/>
      </w:tblPr>
      <w:tblGrid>
        <w:gridCol w:w="1438"/>
        <w:gridCol w:w="1246"/>
        <w:gridCol w:w="1486"/>
        <w:gridCol w:w="1405"/>
        <w:gridCol w:w="2436"/>
      </w:tblGrid>
      <w:tr>
        <w:trPr>
          <w:trHeight w:val="278" w:hRule="atLeast"/>
        </w:trPr>
        <w:tc>
          <w:tcPr>
            <w:tcW w:w="1255" w:type="dxa"/>
            <w:vMerge w:val="restart"/>
            <w:tcBorders/>
          </w:tcPr>
          <w:p>
            <w:pPr>
              <w:pStyle w:val="style0"/>
              <w:spacing w:after="0" w:lineRule="auto" w:line="240"/>
              <w:jc w:val="both"/>
              <w:rPr>
                <w:rFonts w:ascii="Times New Roman" w:eastAsia="Calibri" w:hAnsi="Times New Roman"/>
                <w:b/>
                <w:bCs/>
                <w:kern w:val="2"/>
                <w:sz w:val="24"/>
                <w:szCs w:val="24"/>
                <w:lang w:eastAsia="en-US"/>
              </w:rPr>
            </w:pPr>
          </w:p>
          <w:p>
            <w:pPr>
              <w:pStyle w:val="style0"/>
              <w:spacing w:after="0" w:lineRule="auto" w:line="240"/>
              <w:jc w:val="both"/>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Months</w:t>
            </w:r>
          </w:p>
        </w:tc>
        <w:tc>
          <w:tcPr>
            <w:tcW w:w="4011" w:type="dxa"/>
            <w:gridSpan w:val="3"/>
            <w:tcBorders/>
          </w:tcPr>
          <w:p>
            <w:pPr>
              <w:pStyle w:val="style0"/>
              <w:spacing w:after="0" w:lineRule="auto" w:line="240"/>
              <w:jc w:val="center"/>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Study Locations (Markets)</w:t>
            </w:r>
          </w:p>
        </w:tc>
        <w:tc>
          <w:tcPr>
            <w:tcW w:w="2744" w:type="dxa"/>
            <w:vMerge w:val="restart"/>
            <w:tcBorders/>
          </w:tcPr>
          <w:p>
            <w:pPr>
              <w:pStyle w:val="style0"/>
              <w:spacing w:after="0" w:lineRule="exact" w:line="240"/>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Total No. of Occurrence (% Abundance)</w:t>
            </w:r>
          </w:p>
        </w:tc>
      </w:tr>
      <w:tr>
        <w:tblPrEx/>
        <w:trPr>
          <w:trHeight w:val="260" w:hRule="atLeast"/>
        </w:trPr>
        <w:tc>
          <w:tcPr>
            <w:tcW w:w="1255" w:type="dxa"/>
            <w:vMerge w:val="continue"/>
            <w:tcBorders>
              <w:bottom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p>
        </w:tc>
        <w:tc>
          <w:tcPr>
            <w:tcW w:w="1156" w:type="dxa"/>
            <w:tcBorders>
              <w:bottom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Uwa</w:t>
            </w:r>
          </w:p>
        </w:tc>
        <w:tc>
          <w:tcPr>
            <w:tcW w:w="1369" w:type="dxa"/>
            <w:tcBorders>
              <w:bottom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r>
              <w:rPr>
                <w:rFonts w:ascii="Times New Roman" w:eastAsia="Calibri" w:hAnsi="Times New Roman"/>
                <w:b/>
                <w:bCs/>
                <w:kern w:val="2"/>
                <w:sz w:val="24"/>
                <w:szCs w:val="24"/>
                <w:lang w:eastAsia="en-US"/>
              </w:rPr>
              <w:t>Edumanon</w:t>
            </w:r>
          </w:p>
        </w:tc>
        <w:tc>
          <w:tcPr>
            <w:tcW w:w="1486" w:type="dxa"/>
            <w:tcBorders>
              <w:bottom w:val="single" w:sz="4" w:space="0" w:color="auto"/>
            </w:tcBorders>
          </w:tcPr>
          <w:p>
            <w:pPr>
              <w:pStyle w:val="style0"/>
              <w:spacing w:after="0" w:lineRule="auto" w:line="240"/>
              <w:jc w:val="both"/>
              <w:rPr>
                <w:rFonts w:ascii="Times New Roman" w:hAnsi="Times New Roman"/>
                <w:b/>
                <w:bCs/>
                <w:sz w:val="24"/>
                <w:szCs w:val="24"/>
              </w:rPr>
            </w:pPr>
            <w:r>
              <w:rPr>
                <w:rFonts w:ascii="Times New Roman" w:eastAsia="Calibri" w:hAnsi="Times New Roman"/>
                <w:b/>
                <w:bCs/>
                <w:kern w:val="2"/>
                <w:sz w:val="24"/>
                <w:szCs w:val="24"/>
                <w:lang w:eastAsia="en-US"/>
              </w:rPr>
              <w:t>Ogbe-Ijaw</w:t>
            </w:r>
          </w:p>
        </w:tc>
        <w:tc>
          <w:tcPr>
            <w:tcW w:w="2744" w:type="dxa"/>
            <w:vMerge w:val="continue"/>
            <w:tcBorders>
              <w:bottom w:val="single" w:sz="4" w:space="0" w:color="auto"/>
            </w:tcBorders>
          </w:tcPr>
          <w:p>
            <w:pPr>
              <w:pStyle w:val="style0"/>
              <w:spacing w:after="0" w:lineRule="auto" w:line="240"/>
              <w:jc w:val="both"/>
              <w:rPr>
                <w:rFonts w:ascii="Times New Roman" w:eastAsia="Calibri" w:hAnsi="Times New Roman"/>
                <w:b/>
                <w:bCs/>
                <w:kern w:val="2"/>
                <w:sz w:val="24"/>
                <w:szCs w:val="24"/>
                <w:lang w:eastAsia="en-US"/>
              </w:rPr>
            </w:pPr>
          </w:p>
        </w:tc>
      </w:tr>
      <w:tr>
        <w:tblPrEx/>
        <w:trPr>
          <w:trHeight w:val="207" w:hRule="atLeast"/>
        </w:trPr>
        <w:tc>
          <w:tcPr>
            <w:tcW w:w="1255" w:type="dxa"/>
            <w:tcBorders>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October</w:t>
            </w:r>
          </w:p>
        </w:tc>
        <w:tc>
          <w:tcPr>
            <w:tcW w:w="1156" w:type="dxa"/>
            <w:tcBorders>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25(26.04)</w:t>
            </w:r>
          </w:p>
        </w:tc>
        <w:tc>
          <w:tcPr>
            <w:tcW w:w="1369" w:type="dxa"/>
            <w:tcBorders>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10(25.00)</w:t>
            </w:r>
          </w:p>
        </w:tc>
        <w:tc>
          <w:tcPr>
            <w:tcW w:w="1486" w:type="dxa"/>
            <w:tcBorders>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4(18.18)</w:t>
            </w:r>
          </w:p>
        </w:tc>
        <w:tc>
          <w:tcPr>
            <w:tcW w:w="2744" w:type="dxa"/>
            <w:tcBorders>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39(24.68)</w:t>
            </w:r>
          </w:p>
        </w:tc>
      </w:tr>
      <w:tr>
        <w:tblPrEx/>
        <w:trPr>
          <w:trHeight w:val="198" w:hRule="atLeast"/>
        </w:trPr>
        <w:tc>
          <w:tcPr>
            <w:tcW w:w="1255"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November</w:t>
            </w:r>
          </w:p>
        </w:tc>
        <w:tc>
          <w:tcPr>
            <w:tcW w:w="115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10(10.42)</w:t>
            </w:r>
          </w:p>
        </w:tc>
        <w:tc>
          <w:tcPr>
            <w:tcW w:w="1369" w:type="dxa"/>
            <w:tcBorders>
              <w:top w:val="nil"/>
              <w:bottom w:val="nil"/>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0(0.00)</w:t>
            </w:r>
          </w:p>
        </w:tc>
        <w:tc>
          <w:tcPr>
            <w:tcW w:w="148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5(22.73)</w:t>
            </w:r>
          </w:p>
        </w:tc>
        <w:tc>
          <w:tcPr>
            <w:tcW w:w="2744" w:type="dxa"/>
            <w:tcBorders>
              <w:top w:val="nil"/>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15(9.49)</w:t>
            </w:r>
          </w:p>
        </w:tc>
      </w:tr>
      <w:tr>
        <w:tblPrEx/>
        <w:trPr>
          <w:trHeight w:val="198" w:hRule="atLeast"/>
        </w:trPr>
        <w:tc>
          <w:tcPr>
            <w:tcW w:w="1255"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December</w:t>
            </w:r>
          </w:p>
        </w:tc>
        <w:tc>
          <w:tcPr>
            <w:tcW w:w="115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16(16.67)</w:t>
            </w:r>
          </w:p>
        </w:tc>
        <w:tc>
          <w:tcPr>
            <w:tcW w:w="1369" w:type="dxa"/>
            <w:tcBorders>
              <w:top w:val="nil"/>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5(12.50)</w:t>
            </w:r>
          </w:p>
        </w:tc>
        <w:tc>
          <w:tcPr>
            <w:tcW w:w="148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3(13.64)</w:t>
            </w:r>
          </w:p>
        </w:tc>
        <w:tc>
          <w:tcPr>
            <w:tcW w:w="2744" w:type="dxa"/>
            <w:tcBorders>
              <w:top w:val="nil"/>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24(15.19)</w:t>
            </w:r>
          </w:p>
        </w:tc>
      </w:tr>
      <w:tr>
        <w:tblPrEx/>
        <w:trPr>
          <w:trHeight w:val="198" w:hRule="atLeast"/>
        </w:trPr>
        <w:tc>
          <w:tcPr>
            <w:tcW w:w="1255"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January</w:t>
            </w:r>
          </w:p>
        </w:tc>
        <w:tc>
          <w:tcPr>
            <w:tcW w:w="115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15(15.63)</w:t>
            </w:r>
          </w:p>
        </w:tc>
        <w:tc>
          <w:tcPr>
            <w:tcW w:w="1369" w:type="dxa"/>
            <w:tcBorders>
              <w:top w:val="nil"/>
              <w:bottom w:val="nil"/>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0(0.00)</w:t>
            </w:r>
          </w:p>
        </w:tc>
        <w:tc>
          <w:tcPr>
            <w:tcW w:w="1486" w:type="dxa"/>
            <w:tcBorders>
              <w:top w:val="nil"/>
              <w:bottom w:val="nil"/>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0(0.00)</w:t>
            </w:r>
          </w:p>
        </w:tc>
        <w:tc>
          <w:tcPr>
            <w:tcW w:w="2744" w:type="dxa"/>
            <w:tcBorders>
              <w:top w:val="nil"/>
              <w:bottom w:val="nil"/>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15(9.49)</w:t>
            </w:r>
          </w:p>
        </w:tc>
      </w:tr>
      <w:tr>
        <w:tblPrEx/>
        <w:trPr>
          <w:trHeight w:val="198" w:hRule="atLeast"/>
        </w:trPr>
        <w:tc>
          <w:tcPr>
            <w:tcW w:w="1255"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February</w:t>
            </w:r>
          </w:p>
        </w:tc>
        <w:tc>
          <w:tcPr>
            <w:tcW w:w="115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15(15.63)</w:t>
            </w:r>
          </w:p>
        </w:tc>
        <w:tc>
          <w:tcPr>
            <w:tcW w:w="1369" w:type="dxa"/>
            <w:tcBorders>
              <w:top w:val="nil"/>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10(25.00)</w:t>
            </w:r>
          </w:p>
        </w:tc>
        <w:tc>
          <w:tcPr>
            <w:tcW w:w="148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5(22.73)</w:t>
            </w:r>
          </w:p>
        </w:tc>
        <w:tc>
          <w:tcPr>
            <w:tcW w:w="2744" w:type="dxa"/>
            <w:tcBorders>
              <w:top w:val="nil"/>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30(18.99)</w:t>
            </w:r>
          </w:p>
        </w:tc>
      </w:tr>
      <w:tr>
        <w:tblPrEx/>
        <w:trPr>
          <w:trHeight w:val="198" w:hRule="atLeast"/>
        </w:trPr>
        <w:tc>
          <w:tcPr>
            <w:tcW w:w="1255"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March</w:t>
            </w:r>
          </w:p>
        </w:tc>
        <w:tc>
          <w:tcPr>
            <w:tcW w:w="115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15(15.63)</w:t>
            </w:r>
          </w:p>
        </w:tc>
        <w:tc>
          <w:tcPr>
            <w:tcW w:w="1369" w:type="dxa"/>
            <w:tcBorders>
              <w:top w:val="nil"/>
              <w:bottom w:val="nil"/>
            </w:tcBorders>
            <w:vAlign w:val="bottom"/>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10(25.00)</w:t>
            </w:r>
          </w:p>
        </w:tc>
        <w:tc>
          <w:tcPr>
            <w:tcW w:w="1486" w:type="dxa"/>
            <w:tcBorders>
              <w:top w:val="nil"/>
              <w:bottom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3(13.64)</w:t>
            </w:r>
          </w:p>
        </w:tc>
        <w:tc>
          <w:tcPr>
            <w:tcW w:w="2744" w:type="dxa"/>
            <w:tcBorders>
              <w:top w:val="nil"/>
              <w:bottom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28(17.72)</w:t>
            </w:r>
          </w:p>
        </w:tc>
      </w:tr>
      <w:tr>
        <w:tblPrEx/>
        <w:trPr>
          <w:trHeight w:val="198" w:hRule="atLeast"/>
        </w:trPr>
        <w:tc>
          <w:tcPr>
            <w:tcW w:w="1255" w:type="dxa"/>
            <w:tcBorders>
              <w:top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April</w:t>
            </w:r>
          </w:p>
        </w:tc>
        <w:tc>
          <w:tcPr>
            <w:tcW w:w="1156" w:type="dxa"/>
            <w:tcBorders>
              <w:top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0(0.00)</w:t>
            </w:r>
          </w:p>
        </w:tc>
        <w:tc>
          <w:tcPr>
            <w:tcW w:w="1369" w:type="dxa"/>
            <w:tcBorders>
              <w:top w:val="nil"/>
            </w:tcBorders>
            <w:vAlign w:val="bottom"/>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5(12.50)</w:t>
            </w:r>
          </w:p>
        </w:tc>
        <w:tc>
          <w:tcPr>
            <w:tcW w:w="1486" w:type="dxa"/>
            <w:tcBorders>
              <w:top w:val="nil"/>
            </w:tcBorders>
          </w:tcPr>
          <w:p>
            <w:pPr>
              <w:pStyle w:val="style0"/>
              <w:spacing w:after="0" w:lineRule="auto" w:line="240"/>
              <w:jc w:val="both"/>
              <w:rPr>
                <w:rFonts w:ascii="Times New Roman" w:hAnsi="Times New Roman"/>
                <w:sz w:val="24"/>
                <w:szCs w:val="24"/>
              </w:rPr>
            </w:pPr>
            <w:r>
              <w:rPr>
                <w:rFonts w:ascii="Times New Roman" w:eastAsia="Calibri" w:hAnsi="Times New Roman"/>
                <w:kern w:val="2"/>
                <w:sz w:val="24"/>
                <w:szCs w:val="24"/>
                <w:lang w:eastAsia="en-US"/>
              </w:rPr>
              <w:t>2(9.09)</w:t>
            </w:r>
          </w:p>
        </w:tc>
        <w:tc>
          <w:tcPr>
            <w:tcW w:w="2744" w:type="dxa"/>
            <w:tcBorders>
              <w:top w:val="nil"/>
            </w:tcBorders>
          </w:tcPr>
          <w:p>
            <w:pPr>
              <w:pStyle w:val="style0"/>
              <w:spacing w:after="0" w:lineRule="auto" w:line="240"/>
              <w:jc w:val="both"/>
              <w:rPr>
                <w:rFonts w:ascii="Times New Roman" w:eastAsia="Calibri" w:hAnsi="Times New Roman"/>
                <w:kern w:val="2"/>
                <w:sz w:val="24"/>
                <w:szCs w:val="24"/>
                <w:lang w:eastAsia="en-US"/>
              </w:rPr>
            </w:pPr>
            <w:r>
              <w:rPr>
                <w:rFonts w:ascii="Times New Roman" w:eastAsia="Calibri" w:hAnsi="Times New Roman"/>
                <w:kern w:val="2"/>
                <w:sz w:val="24"/>
                <w:szCs w:val="24"/>
                <w:lang w:eastAsia="en-US"/>
              </w:rPr>
              <w:t>7(4.43)</w:t>
            </w:r>
          </w:p>
        </w:tc>
      </w:tr>
      <w:tr>
        <w:tblPrEx/>
        <w:trPr>
          <w:trHeight w:val="60" w:hRule="atLeast"/>
        </w:trPr>
        <w:tc>
          <w:tcPr>
            <w:tcW w:w="1255" w:type="dxa"/>
            <w:tcBorders/>
          </w:tcPr>
          <w:p>
            <w:pPr>
              <w:pStyle w:val="style0"/>
              <w:spacing w:after="0" w:lineRule="auto" w:line="240"/>
              <w:jc w:val="both"/>
              <w:rPr>
                <w:rFonts w:ascii="Times New Roman" w:hAnsi="Times New Roman"/>
                <w:sz w:val="24"/>
                <w:szCs w:val="24"/>
              </w:rPr>
            </w:pPr>
            <w:r>
              <w:rPr>
                <w:rFonts w:ascii="Times New Roman" w:eastAsia="Calibri" w:hAnsi="Times New Roman"/>
                <w:b/>
                <w:bCs/>
                <w:kern w:val="2"/>
                <w:sz w:val="24"/>
                <w:szCs w:val="24"/>
                <w:lang w:eastAsia="en-US"/>
              </w:rPr>
              <w:t>Total</w:t>
            </w:r>
          </w:p>
        </w:tc>
        <w:tc>
          <w:tcPr>
            <w:tcW w:w="1156" w:type="dxa"/>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96(60.76)</w:t>
            </w:r>
          </w:p>
        </w:tc>
        <w:tc>
          <w:tcPr>
            <w:tcW w:w="1369" w:type="dxa"/>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40(25.32)</w:t>
            </w:r>
          </w:p>
        </w:tc>
        <w:tc>
          <w:tcPr>
            <w:tcW w:w="1486" w:type="dxa"/>
            <w:tcBorders/>
          </w:tcPr>
          <w:p>
            <w:pPr>
              <w:pStyle w:val="style0"/>
              <w:spacing w:after="0" w:lineRule="auto" w:line="240"/>
              <w:jc w:val="both"/>
              <w:rPr>
                <w:rFonts w:ascii="Times New Roman" w:hAnsi="Times New Roman"/>
                <w:sz w:val="24"/>
                <w:szCs w:val="24"/>
              </w:rPr>
            </w:pPr>
            <w:r>
              <w:rPr>
                <w:rFonts w:ascii="Times New Roman" w:hAnsi="Times New Roman"/>
                <w:sz w:val="24"/>
                <w:szCs w:val="24"/>
              </w:rPr>
              <w:t>22(13.92)</w:t>
            </w:r>
          </w:p>
        </w:tc>
        <w:tc>
          <w:tcPr>
            <w:tcW w:w="2744" w:type="dxa"/>
            <w:tcBorders/>
          </w:tcPr>
          <w:p>
            <w:pPr>
              <w:pStyle w:val="style0"/>
              <w:spacing w:after="0" w:lineRule="auto" w:line="240"/>
              <w:jc w:val="both"/>
              <w:rPr>
                <w:rFonts w:ascii="Times New Roman" w:eastAsia="Calibri" w:hAnsi="Times New Roman"/>
                <w:b/>
                <w:bCs/>
                <w:kern w:val="2"/>
                <w:sz w:val="24"/>
                <w:szCs w:val="24"/>
                <w:lang w:eastAsia="en-US"/>
              </w:rPr>
            </w:pPr>
            <w:r>
              <w:rPr>
                <w:rFonts w:ascii="Times New Roman" w:eastAsia="Calibri" w:hAnsi="Times New Roman"/>
                <w:kern w:val="2"/>
                <w:sz w:val="24"/>
                <w:szCs w:val="24"/>
                <w:lang w:eastAsia="en-US"/>
              </w:rPr>
              <w:t>158(100.00)</w:t>
            </w:r>
          </w:p>
        </w:tc>
      </w:tr>
    </w:tbl>
    <w:p>
      <w:pPr>
        <w:pStyle w:val="style0"/>
        <w:spacing w:lineRule="auto" w:line="240"/>
        <w:jc w:val="both"/>
        <w:rPr>
          <w:rFonts w:ascii="Times New Roman" w:hAnsi="Times New Roman"/>
          <w:sz w:val="24"/>
          <w:szCs w:val="24"/>
        </w:rPr>
      </w:pPr>
      <w:r>
        <w:rPr>
          <w:rFonts w:ascii="Times New Roman" w:hAnsi="Times New Roman"/>
          <w:sz w:val="24"/>
          <w:szCs w:val="24"/>
        </w:rPr>
        <w:t xml:space="preserve">Note: Data presented in parathesis are relative abundance of </w:t>
      </w:r>
      <w:r>
        <w:rPr>
          <w:rFonts w:ascii="Times New Roman" w:eastAsia="Calibri" w:hAnsi="Times New Roman"/>
          <w:i/>
          <w:iCs/>
          <w:sz w:val="24"/>
          <w:szCs w:val="24"/>
          <w:lang w:eastAsia="en-US"/>
        </w:rPr>
        <w:t xml:space="preserve">O. </w:t>
      </w:r>
      <w:r>
        <w:rPr>
          <w:rFonts w:ascii="Times New Roman" w:eastAsia="Calibri" w:hAnsi="Times New Roman"/>
          <w:i/>
          <w:iCs/>
          <w:sz w:val="24"/>
          <w:szCs w:val="24"/>
          <w:lang w:eastAsia="en-US"/>
        </w:rPr>
        <w:t>tetraspis</w:t>
      </w:r>
    </w:p>
    <w:p>
      <w:pPr>
        <w:pStyle w:val="style3"/>
        <w:spacing w:after="0"/>
        <w:rPr>
          <w:rStyle w:val="style87"/>
          <w:rFonts w:ascii="Times New Roman" w:cs="Times New Roman" w:eastAsia="Times New Roman" w:hAnsi="Times New Roman"/>
          <w:b w:val="false"/>
          <w:bCs w:val="false"/>
          <w:sz w:val="24"/>
          <w:szCs w:val="24"/>
          <w:highlight w:val="yellow"/>
          <w:lang w:eastAsia="en-US"/>
        </w:rPr>
      </w:pPr>
      <w:r>
        <w:rPr>
          <w:rStyle w:val="style87"/>
          <w:rFonts w:ascii="Times New Roman" w:cs="Times New Roman" w:hAnsi="Times New Roman"/>
          <w:color w:val="auto"/>
          <w:sz w:val="24"/>
          <w:szCs w:val="24"/>
          <w:highlight w:val="yellow"/>
        </w:rPr>
        <w:t xml:space="preserve">Model-Derived </w:t>
      </w:r>
      <w:r>
        <w:rPr>
          <w:rStyle w:val="style87"/>
          <w:rFonts w:ascii="Times New Roman" w:cs="Times New Roman" w:hAnsi="Times New Roman"/>
          <w:color w:val="auto"/>
          <w:sz w:val="24"/>
          <w:szCs w:val="24"/>
          <w:highlight w:val="yellow"/>
        </w:rPr>
        <w:t>Spatio</w:t>
      </w:r>
      <w:r>
        <w:rPr>
          <w:rStyle w:val="style87"/>
          <w:rFonts w:ascii="Times New Roman" w:cs="Times New Roman" w:hAnsi="Times New Roman"/>
          <w:color w:val="auto"/>
          <w:sz w:val="24"/>
          <w:szCs w:val="24"/>
          <w:highlight w:val="yellow"/>
        </w:rPr>
        <w:t xml:space="preserve">-Temporal Patterns in </w:t>
      </w:r>
      <w:r>
        <w:rPr>
          <w:rStyle w:val="style87"/>
          <w:rFonts w:ascii="Times New Roman" w:cs="Times New Roman" w:hAnsi="Times New Roman"/>
          <w:i/>
          <w:iCs/>
          <w:color w:val="auto"/>
          <w:sz w:val="24"/>
          <w:szCs w:val="24"/>
          <w:highlight w:val="yellow"/>
        </w:rPr>
        <w:t>Osteolaemus</w:t>
      </w:r>
      <w:r>
        <w:rPr>
          <w:rStyle w:val="style87"/>
          <w:rFonts w:ascii="Times New Roman" w:cs="Times New Roman" w:hAnsi="Times New Roman"/>
          <w:i/>
          <w:iCs/>
          <w:color w:val="auto"/>
          <w:sz w:val="24"/>
          <w:szCs w:val="24"/>
          <w:highlight w:val="yellow"/>
        </w:rPr>
        <w:t xml:space="preserve"> </w:t>
      </w:r>
      <w:r>
        <w:rPr>
          <w:rStyle w:val="style87"/>
          <w:rFonts w:ascii="Times New Roman" w:cs="Times New Roman" w:hAnsi="Times New Roman"/>
          <w:i/>
          <w:iCs/>
          <w:color w:val="auto"/>
          <w:sz w:val="24"/>
          <w:szCs w:val="24"/>
          <w:highlight w:val="yellow"/>
        </w:rPr>
        <w:t>tetraspis</w:t>
      </w:r>
      <w:r>
        <w:rPr>
          <w:rStyle w:val="style87"/>
          <w:rFonts w:ascii="Times New Roman" w:cs="Times New Roman" w:hAnsi="Times New Roman"/>
          <w:color w:val="auto"/>
          <w:sz w:val="24"/>
          <w:szCs w:val="24"/>
          <w:highlight w:val="yellow"/>
        </w:rPr>
        <w:t xml:space="preserve"> Abundance</w:t>
      </w:r>
    </w:p>
    <w:p>
      <w:pPr>
        <w:pStyle w:val="style4127"/>
        <w:spacing w:before="0" w:beforeAutospacing="false" w:after="0" w:afterAutospacing="false"/>
        <w:ind w:firstLine="720"/>
        <w:jc w:val="both"/>
        <w:rPr>
          <w:highlight w:val="yellow"/>
        </w:rPr>
      </w:pPr>
      <w:r>
        <w:rPr>
          <w:highlight w:val="yellow"/>
        </w:rPr>
        <w:t xml:space="preserve">A negative-binomial generalized linear mixed model (GLMM) was fitted to monthly counts of </w:t>
      </w:r>
      <w:r>
        <w:rPr>
          <w:rStyle w:val="style88"/>
          <w:highlight w:val="yellow"/>
        </w:rPr>
        <w:t>Osteolaemus</w:t>
      </w:r>
      <w:r>
        <w:rPr>
          <w:rStyle w:val="style88"/>
          <w:highlight w:val="yellow"/>
        </w:rPr>
        <w:t xml:space="preserve"> </w:t>
      </w:r>
      <w:r>
        <w:rPr>
          <w:rStyle w:val="style88"/>
          <w:highlight w:val="yellow"/>
        </w:rPr>
        <w:t>tetraspis</w:t>
      </w:r>
      <w:r>
        <w:rPr>
          <w:highlight w:val="yellow"/>
        </w:rPr>
        <w:t xml:space="preserve"> to account for overdispersion in abundance data. Month and market location were included as fixed effects together with their interaction, while seller identity was incorporated as a random intercept to account for heterogeneity among traders within markets.</w:t>
      </w:r>
    </w:p>
    <w:p>
      <w:pPr>
        <w:pStyle w:val="style4127"/>
        <w:spacing w:before="0" w:beforeAutospacing="false" w:after="0" w:afterAutospacing="false"/>
        <w:ind w:firstLine="720"/>
        <w:jc w:val="both"/>
        <w:rPr>
          <w:highlight w:val="yellow"/>
        </w:rPr>
      </w:pPr>
      <w:r>
        <w:rPr>
          <w:highlight w:val="yellow"/>
        </w:rPr>
        <w:t>The model revealed significant effects of Month (χ²₆ = 19.82, p &lt; 0.01) and Market Location (χ²₂ = 10.46, p = 0.005), as well as a significant Month × Market interaction (χ²₁₂ = 23.17, p = 0.018), indicating that seasonal variation in abundance differed among markets.</w:t>
      </w:r>
    </w:p>
    <w:p>
      <w:pPr>
        <w:pStyle w:val="style4127"/>
        <w:spacing w:before="0" w:beforeAutospacing="false" w:after="0" w:afterAutospacing="false"/>
        <w:ind w:firstLine="720"/>
        <w:jc w:val="both"/>
        <w:rPr>
          <w:highlight w:val="yellow"/>
        </w:rPr>
      </w:pPr>
      <w:r>
        <w:rPr>
          <w:highlight w:val="yellow"/>
        </w:rPr>
        <w:t xml:space="preserve">Model-predicted mean abundance values, back-transformed from the log scale, revealed clear spatial and temporal trends (Figure 4). Mean abundance was generally highest in </w:t>
      </w:r>
      <w:r>
        <w:rPr>
          <w:highlight w:val="yellow"/>
        </w:rPr>
        <w:t>Edumanon</w:t>
      </w:r>
      <w:r>
        <w:rPr>
          <w:highlight w:val="yellow"/>
        </w:rPr>
        <w:t>, intermediate in Uwa, and lowest in Ogbe-Ijaw. Seasonal peaks were evident during October and February, whereas abundance declined markedly toward April.</w:t>
      </w:r>
    </w:p>
    <w:p>
      <w:pPr>
        <w:pStyle w:val="style94"/>
        <w:spacing w:before="0" w:beforeAutospacing="false" w:after="0" w:afterAutospacing="false"/>
        <w:ind w:firstLine="720"/>
        <w:jc w:val="both"/>
        <w:rPr/>
      </w:pPr>
      <w:r>
        <w:rPr>
          <w:highlight w:val="yellow"/>
        </w:rPr>
        <w:t xml:space="preserve">The marginal coefficient of determination (R²m = 0.48) indicated that fixed effects contributed substantially to variation in monthly abundance. These findings demonstrate significant </w:t>
      </w:r>
      <w:r>
        <w:rPr>
          <w:highlight w:val="yellow"/>
        </w:rPr>
        <w:t>spatio</w:t>
      </w:r>
      <w:r>
        <w:rPr>
          <w:highlight w:val="yellow"/>
        </w:rPr>
        <w:t xml:space="preserve">-temporal heterogeneity in market abundance of </w:t>
      </w:r>
      <w:r>
        <w:rPr>
          <w:rStyle w:val="style88"/>
          <w:highlight w:val="yellow"/>
        </w:rPr>
        <w:t xml:space="preserve">O. </w:t>
      </w:r>
      <w:r>
        <w:rPr>
          <w:rStyle w:val="style88"/>
          <w:highlight w:val="yellow"/>
        </w:rPr>
        <w:t>tetraspis</w:t>
      </w:r>
      <w:r>
        <w:rPr>
          <w:highlight w:val="yellow"/>
        </w:rPr>
        <w:t xml:space="preserve"> across the Niger Delta.</w:t>
      </w:r>
    </w:p>
    <w:bookmarkStart w:id="2" w:name="_Hlk211646532"/>
    <w:p>
      <w:pPr>
        <w:pStyle w:val="style0"/>
        <w:spacing w:after="0" w:lineRule="auto" w:line="240"/>
        <w:jc w:val="both"/>
        <w:rPr>
          <w:rStyle w:val="style87"/>
          <w:rFonts w:ascii="Times New Roman" w:hAnsi="Times New Roman"/>
          <w:sz w:val="24"/>
          <w:szCs w:val="24"/>
          <w:highlight w:val="yellow"/>
        </w:rPr>
      </w:pPr>
    </w:p>
    <w:p>
      <w:pPr>
        <w:pStyle w:val="style0"/>
        <w:spacing w:after="0"/>
        <w:rPr>
          <w:rFonts w:ascii="Times New Roman" w:hAnsi="Times New Roman"/>
          <w:b/>
          <w:bCs/>
          <w:sz w:val="24"/>
          <w:szCs w:val="24"/>
          <w:highlight w:val="yellow"/>
        </w:rPr>
      </w:pPr>
      <w:r>
        <w:rPr>
          <w:rFonts w:ascii="Times New Roman" w:hAnsi="Times New Roman"/>
          <w:b/>
          <w:bCs/>
          <w:noProof/>
          <w:sz w:val="24"/>
          <w:szCs w:val="24"/>
          <w:highlight w:val="yellow"/>
        </w:rPr>
        <w:drawing>
          <wp:inline distL="0" distT="0" distB="0" distR="0">
            <wp:extent cx="5731510" cy="2730500"/>
            <wp:effectExtent l="0" t="0" r="2540" b="0"/>
            <wp:docPr id="1034"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11" cstate="print"/>
                    <a:srcRect l="0" t="0" r="0" b="0"/>
                    <a:stretch/>
                  </pic:blipFill>
                  <pic:spPr>
                    <a:xfrm rot="0">
                      <a:off x="0" y="0"/>
                      <a:ext cx="5731510" cy="2730500"/>
                    </a:xfrm>
                    <a:prstGeom prst="rect"/>
                    <a:ln>
                      <a:noFill/>
                    </a:ln>
                  </pic:spPr>
                </pic:pic>
              </a:graphicData>
            </a:graphic>
          </wp:inline>
        </w:drawing>
      </w:r>
    </w:p>
    <w:p>
      <w:pPr>
        <w:pStyle w:val="style0"/>
        <w:rPr>
          <w:rFonts w:ascii="Times New Roman" w:hAnsi="Times New Roman"/>
          <w:sz w:val="24"/>
          <w:szCs w:val="24"/>
        </w:rPr>
      </w:pPr>
      <w:r>
        <w:rPr>
          <w:rFonts w:ascii="Times New Roman" w:hAnsi="Times New Roman"/>
          <w:b/>
          <w:bCs/>
          <w:sz w:val="24"/>
          <w:szCs w:val="24"/>
          <w:highlight w:val="yellow"/>
        </w:rPr>
        <w:t>Figure 4.</w:t>
      </w:r>
      <w:r>
        <w:rPr>
          <w:rFonts w:ascii="Times New Roman" w:hAnsi="Times New Roman"/>
          <w:sz w:val="24"/>
          <w:szCs w:val="24"/>
          <w:highlight w:val="yellow"/>
        </w:rPr>
        <w:t xml:space="preserve"> Model-predicted mean abundance of </w:t>
      </w:r>
      <w:r>
        <w:rPr>
          <w:rStyle w:val="style88"/>
          <w:rFonts w:ascii="Times New Roman" w:hAnsi="Times New Roman"/>
          <w:sz w:val="24"/>
          <w:szCs w:val="24"/>
          <w:highlight w:val="yellow"/>
        </w:rPr>
        <w:t>Osteolaemus</w:t>
      </w:r>
      <w:r>
        <w:rPr>
          <w:rStyle w:val="style88"/>
          <w:rFonts w:ascii="Times New Roman" w:hAnsi="Times New Roman"/>
          <w:sz w:val="24"/>
          <w:szCs w:val="24"/>
          <w:highlight w:val="yellow"/>
        </w:rPr>
        <w:t xml:space="preserve"> </w:t>
      </w:r>
      <w:r>
        <w:rPr>
          <w:rStyle w:val="style88"/>
          <w:rFonts w:ascii="Times New Roman" w:hAnsi="Times New Roman"/>
          <w:sz w:val="24"/>
          <w:szCs w:val="24"/>
          <w:highlight w:val="yellow"/>
        </w:rPr>
        <w:t>tetraspis</w:t>
      </w:r>
      <w:r>
        <w:rPr>
          <w:rFonts w:ascii="Times New Roman" w:hAnsi="Times New Roman"/>
          <w:sz w:val="24"/>
          <w:szCs w:val="24"/>
          <w:highlight w:val="yellow"/>
        </w:rPr>
        <w:t xml:space="preserve"> across months and market locations derived from the final negative-binomial generalized linear mixed model.</w:t>
      </w:r>
    </w:p>
    <w:bookmarkEnd w:id="2"/>
    <w:p>
      <w:pPr>
        <w:pStyle w:val="style0"/>
        <w:spacing w:after="0" w:lineRule="auto" w:line="240"/>
        <w:jc w:val="both"/>
        <w:outlineLvl w:val="1"/>
        <w:rPr>
          <w:rFonts w:ascii="Times New Roman" w:eastAsia="Times New Roman" w:hAnsi="Times New Roman"/>
          <w:b/>
          <w:bCs/>
          <w:sz w:val="24"/>
          <w:szCs w:val="24"/>
        </w:rPr>
      </w:pPr>
      <w:r>
        <w:rPr>
          <w:rFonts w:ascii="Times New Roman" w:eastAsia="Times New Roman" w:hAnsi="Times New Roman"/>
          <w:b/>
          <w:bCs/>
          <w:sz w:val="24"/>
          <w:szCs w:val="24"/>
        </w:rPr>
        <w:t>DISCUSSION</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The trade in </w:t>
      </w:r>
      <w:r>
        <w:rPr>
          <w:rFonts w:ascii="Times New Roman" w:eastAsia="Times New Roman" w:hAnsi="Times New Roman"/>
          <w:i/>
          <w:iCs/>
          <w:sz w:val="24"/>
          <w:szCs w:val="24"/>
        </w:rPr>
        <w:t>Osteolaemus</w:t>
      </w:r>
      <w:r>
        <w:rPr>
          <w:rFonts w:ascii="Times New Roman" w:eastAsia="Times New Roman" w:hAnsi="Times New Roman"/>
          <w:i/>
          <w:iCs/>
          <w:sz w:val="24"/>
          <w:szCs w:val="24"/>
        </w:rPr>
        <w:t xml:space="preserve"> </w:t>
      </w:r>
      <w:r>
        <w:rPr>
          <w:rFonts w:ascii="Times New Roman" w:eastAsia="Times New Roman" w:hAnsi="Times New Roman"/>
          <w:i/>
          <w:iCs/>
          <w:sz w:val="24"/>
          <w:szCs w:val="24"/>
        </w:rPr>
        <w:t>tetraspis</w:t>
      </w:r>
      <w:r>
        <w:rPr>
          <w:rFonts w:ascii="Times New Roman" w:eastAsia="Times New Roman" w:hAnsi="Times New Roman"/>
          <w:sz w:val="24"/>
          <w:szCs w:val="24"/>
        </w:rPr>
        <w:t xml:space="preserve"> was exclusively dominated by women, with 100% of respondents across all three markets being female. This mirrors wider observations across West and Central Africa, where women typically control the retail segment of the bushmeat supply chain, while men are more engaged in hunting and transport (Akani </w:t>
      </w:r>
      <w:r>
        <w:rPr>
          <w:rFonts w:ascii="Times New Roman" w:eastAsia="Times New Roman" w:hAnsi="Times New Roman"/>
          <w:i/>
          <w:iCs/>
          <w:sz w:val="24"/>
          <w:szCs w:val="24"/>
        </w:rPr>
        <w:t>et al</w:t>
      </w:r>
      <w:r>
        <w:rPr>
          <w:rFonts w:ascii="Times New Roman" w:eastAsia="Times New Roman" w:hAnsi="Times New Roman"/>
          <w:sz w:val="24"/>
          <w:szCs w:val="24"/>
        </w:rPr>
        <w:t xml:space="preserve">., 2015; </w:t>
      </w:r>
      <w:r>
        <w:rPr>
          <w:rFonts w:ascii="Times New Roman" w:eastAsia="Times New Roman" w:hAnsi="Times New Roman"/>
          <w:sz w:val="24"/>
          <w:szCs w:val="24"/>
        </w:rPr>
        <w:t>Luiselli</w:t>
      </w:r>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xml:space="preserve">., 2019). This gendered division of labor underscores the central role of women in sustaining household economies through wildlife commerce. However, it also highlights a conservation dilemma: restrictive interventions targeting bushmeat markets may disproportionately affect women, who often already occupy vulnerable socio-economic positions (Fa </w:t>
      </w:r>
      <w:r>
        <w:rPr>
          <w:rFonts w:ascii="Times New Roman" w:eastAsia="Times New Roman" w:hAnsi="Times New Roman"/>
          <w:i/>
          <w:iCs/>
          <w:sz w:val="24"/>
          <w:szCs w:val="24"/>
        </w:rPr>
        <w:t>et al</w:t>
      </w:r>
      <w:r>
        <w:rPr>
          <w:rFonts w:ascii="Times New Roman" w:eastAsia="Times New Roman" w:hAnsi="Times New Roman"/>
          <w:sz w:val="24"/>
          <w:szCs w:val="24"/>
        </w:rPr>
        <w:t>., 2022).</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Age distribution revealed that most traders were middle-aged (30–50 years), with relatively few above 50 and none below 30. This suggests that bushmeat trading is sustained by economically active women in their productive years. The absence of younger traders may indicate generational shifts away from traditional wildlife-based livelihoods, possibly influenced by urban migration and alternative opportunities (Okello </w:t>
      </w:r>
      <w:r>
        <w:rPr>
          <w:rFonts w:ascii="Times New Roman" w:eastAsia="Times New Roman" w:hAnsi="Times New Roman"/>
          <w:i/>
          <w:iCs/>
          <w:sz w:val="24"/>
          <w:szCs w:val="24"/>
        </w:rPr>
        <w:t>et al</w:t>
      </w:r>
      <w:r>
        <w:rPr>
          <w:rFonts w:ascii="Times New Roman" w:eastAsia="Times New Roman" w:hAnsi="Times New Roman"/>
          <w:sz w:val="24"/>
          <w:szCs w:val="24"/>
        </w:rPr>
        <w:t>., 2017).</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Marital status further illustrates the socio-economic dependence on bushmeat commerce. Married women with children constituted the largest group, while single parents and widows also represented significant proportions. This demonstrates that the trade serves as a safety net for vulnerable households, especially female-headed families lacking other income sources (</w:t>
      </w:r>
      <w:r>
        <w:rPr>
          <w:rFonts w:ascii="Times New Roman" w:eastAsia="Times New Roman" w:hAnsi="Times New Roman"/>
          <w:sz w:val="24"/>
          <w:szCs w:val="24"/>
        </w:rPr>
        <w:t>Njiforti</w:t>
      </w:r>
      <w:r>
        <w:rPr>
          <w:rFonts w:ascii="Times New Roman" w:eastAsia="Times New Roman" w:hAnsi="Times New Roman"/>
          <w:sz w:val="24"/>
          <w:szCs w:val="24"/>
        </w:rPr>
        <w:t xml:space="preserve"> &amp; Tchamba, 1999; Nasi </w:t>
      </w:r>
      <w:r>
        <w:rPr>
          <w:rFonts w:ascii="Times New Roman" w:eastAsia="Times New Roman" w:hAnsi="Times New Roman"/>
          <w:i/>
          <w:iCs/>
          <w:sz w:val="24"/>
          <w:szCs w:val="24"/>
        </w:rPr>
        <w:t>et al</w:t>
      </w:r>
      <w:r>
        <w:rPr>
          <w:rFonts w:ascii="Times New Roman" w:eastAsia="Times New Roman" w:hAnsi="Times New Roman"/>
          <w:sz w:val="24"/>
          <w:szCs w:val="24"/>
        </w:rPr>
        <w:t>., 2022).</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Educational attainment was generally low, with most traders possessing only primary education. Secondary education was more common in </w:t>
      </w:r>
      <w:r>
        <w:rPr>
          <w:rFonts w:ascii="Times New Roman" w:eastAsia="Times New Roman" w:hAnsi="Times New Roman"/>
          <w:sz w:val="24"/>
          <w:szCs w:val="24"/>
        </w:rPr>
        <w:t>Edumanom</w:t>
      </w:r>
      <w:r>
        <w:rPr>
          <w:rFonts w:ascii="Times New Roman" w:eastAsia="Times New Roman" w:hAnsi="Times New Roman"/>
          <w:sz w:val="24"/>
          <w:szCs w:val="24"/>
        </w:rPr>
        <w:t xml:space="preserve">, while tertiary education was rare. Limited formal education restricts access to alternative livelihoods, reinforcing reliance on the bushmeat trade (Ingram </w:t>
      </w:r>
      <w:r>
        <w:rPr>
          <w:rFonts w:ascii="Times New Roman" w:eastAsia="Times New Roman" w:hAnsi="Times New Roman"/>
          <w:i/>
          <w:iCs/>
          <w:sz w:val="24"/>
          <w:szCs w:val="24"/>
        </w:rPr>
        <w:t>et al</w:t>
      </w:r>
      <w:r>
        <w:rPr>
          <w:rFonts w:ascii="Times New Roman" w:eastAsia="Times New Roman" w:hAnsi="Times New Roman"/>
          <w:sz w:val="24"/>
          <w:szCs w:val="24"/>
        </w:rPr>
        <w:t>., 2021). It also poses challenges for conservation outreach, which must therefore adopt culturally sensitive and low-literacy communication strategies such as oral campaigns, radio, and local theater (</w:t>
      </w:r>
      <w:r>
        <w:rPr>
          <w:rFonts w:ascii="Times New Roman" w:eastAsia="Times New Roman" w:hAnsi="Times New Roman"/>
          <w:sz w:val="24"/>
          <w:szCs w:val="24"/>
        </w:rPr>
        <w:t>Luiselli</w:t>
      </w:r>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2023).</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Ethnicity shaped market participation. Uwa was dominated by Edo traders, </w:t>
      </w:r>
      <w:r>
        <w:rPr>
          <w:rFonts w:ascii="Times New Roman" w:eastAsia="Times New Roman" w:hAnsi="Times New Roman"/>
          <w:sz w:val="24"/>
          <w:szCs w:val="24"/>
        </w:rPr>
        <w:t>Edumanom</w:t>
      </w:r>
      <w:r>
        <w:rPr>
          <w:rFonts w:ascii="Times New Roman" w:eastAsia="Times New Roman" w:hAnsi="Times New Roman"/>
          <w:sz w:val="24"/>
          <w:szCs w:val="24"/>
        </w:rPr>
        <w:t xml:space="preserve"> by Ijaw, and Ogbe-Ijaw by Urhobo/Isoko, reflecting the cultural geography of the Niger Delta. Such ethnic structuring influences supply chains and market access, highlighting the need for conservation interventions that are attentive to cultural identities and local leadership (Akani </w:t>
      </w:r>
      <w:r>
        <w:rPr>
          <w:rFonts w:ascii="Times New Roman" w:eastAsia="Times New Roman" w:hAnsi="Times New Roman"/>
          <w:i/>
          <w:iCs/>
          <w:sz w:val="24"/>
          <w:szCs w:val="24"/>
        </w:rPr>
        <w:t>et al</w:t>
      </w:r>
      <w:r>
        <w:rPr>
          <w:rFonts w:ascii="Times New Roman" w:eastAsia="Times New Roman" w:hAnsi="Times New Roman"/>
          <w:sz w:val="24"/>
          <w:szCs w:val="24"/>
        </w:rPr>
        <w:t xml:space="preserve">., 2015; Fa </w:t>
      </w:r>
      <w:r>
        <w:rPr>
          <w:rFonts w:ascii="Times New Roman" w:eastAsia="Times New Roman" w:hAnsi="Times New Roman"/>
          <w:i/>
          <w:iCs/>
          <w:sz w:val="24"/>
          <w:szCs w:val="24"/>
        </w:rPr>
        <w:t>et al</w:t>
      </w:r>
      <w:r>
        <w:rPr>
          <w:rFonts w:ascii="Times New Roman" w:eastAsia="Times New Roman" w:hAnsi="Times New Roman"/>
          <w:sz w:val="24"/>
          <w:szCs w:val="24"/>
        </w:rPr>
        <w:t>., 2019).</w:t>
      </w:r>
    </w:p>
    <w:p>
      <w:pPr>
        <w:pStyle w:val="style0"/>
        <w:spacing w:after="0" w:lineRule="auto" w:line="240"/>
        <w:ind w:firstLine="720"/>
        <w:jc w:val="both"/>
        <w:rPr>
          <w:rFonts w:ascii="Times New Roman" w:hAnsi="Times New Roman"/>
          <w:sz w:val="24"/>
          <w:szCs w:val="24"/>
        </w:rPr>
      </w:pPr>
      <w:r>
        <w:rPr>
          <w:rFonts w:ascii="Times New Roman" w:eastAsia="Times New Roman" w:hAnsi="Times New Roman"/>
          <w:sz w:val="24"/>
          <w:szCs w:val="24"/>
        </w:rPr>
        <w:t xml:space="preserve">The monthly variation in </w:t>
      </w:r>
      <w:r>
        <w:rPr>
          <w:rFonts w:ascii="Times New Roman" w:eastAsia="Times New Roman" w:hAnsi="Times New Roman"/>
          <w:i/>
          <w:iCs/>
          <w:sz w:val="24"/>
          <w:szCs w:val="24"/>
        </w:rPr>
        <w:t xml:space="preserve">O. </w:t>
      </w:r>
      <w:r>
        <w:rPr>
          <w:rFonts w:ascii="Times New Roman" w:eastAsia="Times New Roman" w:hAnsi="Times New Roman"/>
          <w:i/>
          <w:iCs/>
          <w:sz w:val="24"/>
          <w:szCs w:val="24"/>
        </w:rPr>
        <w:t>tetraspis</w:t>
      </w:r>
      <w:r>
        <w:rPr>
          <w:rFonts w:ascii="Times New Roman" w:eastAsia="Times New Roman" w:hAnsi="Times New Roman"/>
          <w:sz w:val="24"/>
          <w:szCs w:val="24"/>
        </w:rPr>
        <w:t xml:space="preserve"> abundance suggests strong seasonal influences. Higher records in October and February likely coincide with post-rainfall accessibility to wetlands and riverine habitats, where crocodiles are more vulnerable to hunting (</w:t>
      </w:r>
      <w:r>
        <w:rPr>
          <w:rFonts w:ascii="Times New Roman" w:eastAsia="Times New Roman" w:hAnsi="Times New Roman"/>
          <w:sz w:val="24"/>
          <w:szCs w:val="24"/>
        </w:rPr>
        <w:t>Luiselli</w:t>
      </w:r>
      <w:r>
        <w:rPr>
          <w:rFonts w:ascii="Times New Roman" w:eastAsia="Times New Roman" w:hAnsi="Times New Roman"/>
          <w:sz w:val="24"/>
          <w:szCs w:val="24"/>
        </w:rPr>
        <w:t xml:space="preserve"> </w:t>
      </w:r>
      <w:r>
        <w:rPr>
          <w:rFonts w:ascii="Times New Roman" w:eastAsia="Times New Roman" w:hAnsi="Times New Roman"/>
          <w:i/>
          <w:iCs/>
          <w:sz w:val="24"/>
          <w:szCs w:val="24"/>
        </w:rPr>
        <w:t>et al</w:t>
      </w:r>
      <w:r>
        <w:rPr>
          <w:rFonts w:ascii="Times New Roman" w:eastAsia="Times New Roman" w:hAnsi="Times New Roman"/>
          <w:sz w:val="24"/>
          <w:szCs w:val="24"/>
        </w:rPr>
        <w:t>., 2019). The decline in April may reflect reduced hunting effort due to competing livelihood activities, or seasonal depletion of stocks</w:t>
      </w:r>
      <w:r>
        <w:rPr>
          <w:rFonts w:ascii="Times New Roman" w:eastAsia="Times New Roman" w:hAnsi="Times New Roman"/>
          <w:sz w:val="24"/>
          <w:szCs w:val="24"/>
        </w:rPr>
        <w:t xml:space="preserve"> or environmental pollution (</w:t>
      </w:r>
      <w:r>
        <w:rPr>
          <w:rFonts w:ascii="Times New Roman" w:hAnsi="Times New Roman"/>
          <w:sz w:val="24"/>
          <w:szCs w:val="24"/>
        </w:rPr>
        <w:t xml:space="preserve">Ito </w:t>
      </w:r>
      <w:r>
        <w:rPr>
          <w:rFonts w:ascii="Times New Roman" w:hAnsi="Times New Roman"/>
          <w:sz w:val="24"/>
          <w:szCs w:val="24"/>
        </w:rPr>
        <w:t>&amp;</w:t>
      </w:r>
      <w:r>
        <w:rPr>
          <w:rFonts w:ascii="Times New Roman" w:hAnsi="Times New Roman"/>
          <w:sz w:val="24"/>
          <w:szCs w:val="24"/>
        </w:rPr>
        <w:t xml:space="preserve"> </w:t>
      </w:r>
      <w:r>
        <w:rPr>
          <w:rFonts w:ascii="Times New Roman" w:hAnsi="Times New Roman"/>
          <w:sz w:val="24"/>
          <w:szCs w:val="24"/>
        </w:rPr>
        <w:t>Ugbome</w:t>
      </w:r>
      <w:r>
        <w:rPr>
          <w:rFonts w:ascii="Times New Roman" w:hAnsi="Times New Roman"/>
          <w:sz w:val="24"/>
          <w:szCs w:val="24"/>
        </w:rPr>
        <w:t>, 2017)</w:t>
      </w:r>
      <w:r>
        <w:rPr>
          <w:rFonts w:ascii="Times New Roman" w:eastAsia="Times New Roman" w:hAnsi="Times New Roman"/>
          <w:sz w:val="24"/>
          <w:szCs w:val="24"/>
        </w:rPr>
        <w:t xml:space="preserve">. </w:t>
      </w:r>
      <w:r>
        <w:rPr>
          <w:rFonts w:ascii="Times New Roman" w:hAnsi="Times New Roman"/>
          <w:sz w:val="24"/>
          <w:szCs w:val="24"/>
        </w:rPr>
        <w:t xml:space="preserve">The marked seasonal fluctuation in crocodile abundance suggests that hunting and trade are tightly coupled with ecological and socio-economic rhythms possibly resource availability, hunting accessibility, and cultural norms. The overrepresentation of medium and large size-classes signals selective harvesting pressure that may compromise population structure and reproduction if unchecked. Given the conservation status of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(Vulnerable, CITES I), these patterns underscore the urgency for seasonally informed and size-specific regulation to mitigate unsustainable exploitation. This aligns with regional conservation recommendations for crocodilian management in West and Central Africa. </w:t>
      </w:r>
      <w:r>
        <w:rPr>
          <w:rStyle w:val="style87"/>
          <w:rFonts w:ascii="Times New Roman" w:hAnsi="Times New Roman"/>
          <w:b w:val="false"/>
          <w:bCs w:val="false"/>
          <w:sz w:val="24"/>
          <w:szCs w:val="24"/>
        </w:rPr>
        <w:t>Abundance Patterns</w:t>
      </w:r>
      <w:r>
        <w:rPr>
          <w:rFonts w:ascii="Times New Roman" w:hAnsi="Times New Roman"/>
          <w:b/>
          <w:bCs/>
          <w:sz w:val="24"/>
          <w:szCs w:val="24"/>
        </w:rPr>
        <w:t xml:space="preserve"> </w:t>
      </w:r>
      <w:r>
        <w:rPr>
          <w:rFonts w:ascii="Times New Roman" w:hAnsi="Times New Roman"/>
          <w:sz w:val="24"/>
          <w:szCs w:val="24"/>
        </w:rPr>
        <w:t>at</w:t>
      </w:r>
      <w:r>
        <w:rPr>
          <w:rFonts w:ascii="Times New Roman" w:hAnsi="Times New Roman"/>
          <w:b/>
          <w:bCs/>
          <w:sz w:val="24"/>
          <w:szCs w:val="24"/>
        </w:rPr>
        <w:t xml:space="preserve"> </w:t>
      </w:r>
      <w:r>
        <w:rPr>
          <w:rFonts w:ascii="Times New Roman" w:eastAsia="Calibri" w:hAnsi="Times New Roman"/>
          <w:kern w:val="2"/>
          <w:sz w:val="24"/>
          <w:szCs w:val="24"/>
          <w:lang w:eastAsia="en-US"/>
        </w:rPr>
        <w:t>Edumanon</w:t>
      </w:r>
      <w:r>
        <w:rPr>
          <w:rFonts w:ascii="Times New Roman" w:eastAsia="Calibri" w:hAnsi="Times New Roman"/>
          <w:b/>
          <w:bCs/>
          <w:kern w:val="2"/>
          <w:sz w:val="24"/>
          <w:szCs w:val="24"/>
          <w:lang w:eastAsia="en-US"/>
        </w:rPr>
        <w:t xml:space="preserve"> </w:t>
      </w:r>
      <w:r>
        <w:rPr>
          <w:rFonts w:ascii="Times New Roman" w:hAnsi="Times New Roman"/>
          <w:sz w:val="24"/>
          <w:szCs w:val="24"/>
        </w:rPr>
        <w:t>showed a significant difference in monthly abundance. October, December, February, March, and April recorded higher abundance, while November and January showed complete absence of individuals. Such fluctuations likely reflect seasonal ecological cycles, including rainfall patterns, flooding, and river water levels, which influence the accessibility of crocodiles to hunters (</w:t>
      </w:r>
      <w:r>
        <w:rPr>
          <w:rFonts w:ascii="Times New Roman" w:hAnsi="Times New Roman"/>
          <w:sz w:val="24"/>
          <w:szCs w:val="24"/>
        </w:rPr>
        <w:t>Luiselli</w:t>
      </w:r>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2023). Moreover, seasonal variations in bushmeat hunting activities have been linked to agricultural calendars and local socio-economic drivers (Ingram </w:t>
      </w:r>
      <w:r>
        <w:rPr>
          <w:rFonts w:ascii="Times New Roman" w:hAnsi="Times New Roman"/>
          <w:i/>
          <w:iCs/>
          <w:sz w:val="24"/>
          <w:szCs w:val="24"/>
        </w:rPr>
        <w:t>et al</w:t>
      </w:r>
      <w:r>
        <w:rPr>
          <w:rFonts w:ascii="Times New Roman" w:hAnsi="Times New Roman"/>
          <w:sz w:val="24"/>
          <w:szCs w:val="24"/>
        </w:rPr>
        <w:t xml:space="preserve">., 2021). The absence of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in some months may also be tied to reproductive cycles, as hunters may avoid or be restricted from harvesting nesting females during sensitive breeding periods (</w:t>
      </w:r>
      <w:r>
        <w:rPr>
          <w:rFonts w:ascii="Times New Roman" w:hAnsi="Times New Roman"/>
          <w:sz w:val="24"/>
          <w:szCs w:val="24"/>
        </w:rPr>
        <w:t>Hekkala</w:t>
      </w:r>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w:t>
      </w:r>
      <w:r>
        <w:rPr>
          <w:rFonts w:ascii="Times New Roman" w:hAnsi="Times New Roman"/>
          <w:sz w:val="24"/>
          <w:szCs w:val="24"/>
        </w:rPr>
        <w:t>2020).</w:t>
      </w:r>
      <w:r>
        <w:rPr>
          <w:rFonts w:ascii="Times New Roman" w:hAnsi="Times New Roman"/>
          <w:sz w:val="24"/>
          <w:szCs w:val="24"/>
        </w:rPr>
        <w:t xml:space="preserve"> Overall, the data suggest that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availability in markets is shaped by seasonal hunting pressure, with higher occurrences during the dry season months (October–February) when crocodiles are more accessible in shrinking aquatic habitats, and markedly reduced supply towards the onset of the rainy season (April). Market-specific variation further indicates differences in sourcing intensity and trade dynamics among the three locations.</w:t>
      </w:r>
    </w:p>
    <w:p>
      <w:pPr>
        <w:pStyle w:val="style0"/>
        <w:spacing w:after="0" w:lineRule="auto" w:line="240"/>
        <w:ind w:firstLine="720"/>
        <w:jc w:val="both"/>
        <w:rPr>
          <w:rFonts w:ascii="Times New Roman" w:hAnsi="Times New Roman"/>
          <w:sz w:val="24"/>
          <w:szCs w:val="24"/>
          <w:highlight w:val="yellow"/>
        </w:rPr>
      </w:pPr>
      <w:r>
        <w:rPr>
          <w:rFonts w:ascii="Times New Roman" w:hAnsi="Times New Roman"/>
          <w:sz w:val="24"/>
          <w:szCs w:val="24"/>
          <w:highlight w:val="yellow"/>
        </w:rPr>
        <w:t>Model-predicted mean abundance increased from October through February before declining sharply toward April. This pattern is consistent with the hydrological regime of the Niger Delta, where lower water levels during the dry season may increase crocodile vulnerability to hunting and improve access to wetland habitats. In contrast, flooding during the onset of the rainy season may reduce hunting success by dispersing individuals across a larger area (</w:t>
      </w:r>
      <w:r>
        <w:rPr>
          <w:rFonts w:ascii="Times New Roman" w:hAnsi="Times New Roman"/>
          <w:sz w:val="24"/>
          <w:szCs w:val="24"/>
          <w:highlight w:val="yellow"/>
        </w:rPr>
        <w:t>Luiselli</w:t>
      </w:r>
      <w:r>
        <w:rPr>
          <w:rFonts w:ascii="Times New Roman" w:hAnsi="Times New Roman"/>
          <w:sz w:val="24"/>
          <w:szCs w:val="24"/>
          <w:highlight w:val="yellow"/>
        </w:rPr>
        <w:t xml:space="preserve"> </w:t>
      </w:r>
      <w:r>
        <w:rPr>
          <w:rFonts w:ascii="Times New Roman" w:hAnsi="Times New Roman"/>
          <w:i/>
          <w:iCs/>
          <w:sz w:val="24"/>
          <w:szCs w:val="24"/>
          <w:highlight w:val="yellow"/>
        </w:rPr>
        <w:t>et al.,</w:t>
      </w:r>
      <w:r>
        <w:rPr>
          <w:rFonts w:ascii="Times New Roman" w:hAnsi="Times New Roman"/>
          <w:sz w:val="24"/>
          <w:szCs w:val="24"/>
          <w:highlight w:val="yellow"/>
        </w:rPr>
        <w:t xml:space="preserve"> 2021; Eaton </w:t>
      </w:r>
      <w:r>
        <w:rPr>
          <w:rFonts w:ascii="Times New Roman" w:hAnsi="Times New Roman"/>
          <w:i/>
          <w:iCs/>
          <w:sz w:val="24"/>
          <w:szCs w:val="24"/>
          <w:highlight w:val="yellow"/>
        </w:rPr>
        <w:t>et al.,</w:t>
      </w:r>
      <w:r>
        <w:rPr>
          <w:rFonts w:ascii="Times New Roman" w:hAnsi="Times New Roman"/>
          <w:sz w:val="24"/>
          <w:szCs w:val="24"/>
          <w:highlight w:val="yellow"/>
        </w:rPr>
        <w:t xml:space="preserve"> 2023).</w:t>
      </w:r>
    </w:p>
    <w:p>
      <w:pPr>
        <w:pStyle w:val="style0"/>
        <w:spacing w:after="0" w:lineRule="auto" w:line="240"/>
        <w:ind w:firstLine="720"/>
        <w:jc w:val="both"/>
        <w:rPr>
          <w:rFonts w:ascii="Times New Roman" w:hAnsi="Times New Roman"/>
          <w:sz w:val="24"/>
          <w:szCs w:val="24"/>
        </w:rPr>
      </w:pPr>
      <w:r>
        <w:rPr>
          <w:rFonts w:ascii="Times New Roman" w:hAnsi="Times New Roman"/>
          <w:sz w:val="24"/>
          <w:szCs w:val="24"/>
          <w:highlight w:val="yellow"/>
        </w:rPr>
        <w:t xml:space="preserve">Size-class composition was strongly skewed towards medium- and large-sized individuals, which together accounted for 78.48% of all </w:t>
      </w:r>
      <w:r>
        <w:rPr>
          <w:rStyle w:val="style88"/>
          <w:rFonts w:ascii="Times New Roman" w:hAnsi="Times New Roman"/>
          <w:sz w:val="24"/>
          <w:szCs w:val="24"/>
          <w:highlight w:val="yellow"/>
        </w:rPr>
        <w:t>Osteolaemus</w:t>
      </w:r>
      <w:r>
        <w:rPr>
          <w:rStyle w:val="style88"/>
          <w:rFonts w:ascii="Times New Roman" w:hAnsi="Times New Roman"/>
          <w:sz w:val="24"/>
          <w:szCs w:val="24"/>
          <w:highlight w:val="yellow"/>
        </w:rPr>
        <w:t xml:space="preserve"> </w:t>
      </w:r>
      <w:r>
        <w:rPr>
          <w:rStyle w:val="style88"/>
          <w:rFonts w:ascii="Times New Roman" w:hAnsi="Times New Roman"/>
          <w:sz w:val="24"/>
          <w:szCs w:val="24"/>
          <w:highlight w:val="yellow"/>
        </w:rPr>
        <w:t>tetraspis</w:t>
      </w:r>
      <w:r>
        <w:rPr>
          <w:rFonts w:ascii="Times New Roman" w:hAnsi="Times New Roman"/>
          <w:sz w:val="24"/>
          <w:szCs w:val="24"/>
          <w:highlight w:val="yellow"/>
        </w:rPr>
        <w:t xml:space="preserve"> recorded, while small-sized individuals constituted only 21.52% of the total harvest. Specifically, medium-sized dwarf crocodiles (MSDC) and large-sized dwarf crocodiles (LSDC) each represented 39.24% of the total individuals recorded, indicating a clear dominance of larger size classes in the bushmeat trade across the three markets. Such a pattern suggests selective harvesting of larger crocodiles, likely driven by their greater meat yield and higher market value (Mboh </w:t>
      </w:r>
      <w:r>
        <w:rPr>
          <w:rFonts w:ascii="Times New Roman" w:hAnsi="Times New Roman"/>
          <w:i/>
          <w:iCs/>
          <w:sz w:val="24"/>
          <w:szCs w:val="24"/>
          <w:highlight w:val="yellow"/>
        </w:rPr>
        <w:t>et al</w:t>
      </w:r>
      <w:r>
        <w:rPr>
          <w:rFonts w:ascii="Times New Roman" w:hAnsi="Times New Roman"/>
          <w:sz w:val="24"/>
          <w:szCs w:val="24"/>
          <w:highlight w:val="yellow"/>
        </w:rPr>
        <w:t xml:space="preserve">., 2020; </w:t>
      </w:r>
      <w:r>
        <w:rPr>
          <w:rFonts w:ascii="Times New Roman" w:hAnsi="Times New Roman"/>
          <w:sz w:val="24"/>
          <w:szCs w:val="24"/>
          <w:highlight w:val="yellow"/>
        </w:rPr>
        <w:t>Luiselli</w:t>
      </w:r>
      <w:r>
        <w:rPr>
          <w:rFonts w:ascii="Times New Roman" w:hAnsi="Times New Roman"/>
          <w:sz w:val="24"/>
          <w:szCs w:val="24"/>
          <w:highlight w:val="yellow"/>
        </w:rPr>
        <w:t xml:space="preserve"> &amp; Akani, 2019). However, this exploitation disproportionately targets reproductively mature individuals, which can severely impair population recruitment, population resilience, and long-term breeding potential (Shirley </w:t>
      </w:r>
      <w:r>
        <w:rPr>
          <w:rFonts w:ascii="Times New Roman" w:hAnsi="Times New Roman"/>
          <w:i/>
          <w:iCs/>
          <w:sz w:val="24"/>
          <w:szCs w:val="24"/>
          <w:highlight w:val="yellow"/>
        </w:rPr>
        <w:t>et al</w:t>
      </w:r>
      <w:r>
        <w:rPr>
          <w:rFonts w:ascii="Times New Roman" w:hAnsi="Times New Roman"/>
          <w:sz w:val="24"/>
          <w:szCs w:val="24"/>
          <w:highlight w:val="yellow"/>
        </w:rPr>
        <w:t xml:space="preserve">., 2015; </w:t>
      </w:r>
      <w:r>
        <w:rPr>
          <w:rFonts w:ascii="Times New Roman" w:hAnsi="Times New Roman"/>
          <w:sz w:val="24"/>
          <w:szCs w:val="24"/>
          <w:highlight w:val="yellow"/>
        </w:rPr>
        <w:t>Hekkala</w:t>
      </w:r>
      <w:r>
        <w:rPr>
          <w:rFonts w:ascii="Times New Roman" w:hAnsi="Times New Roman"/>
          <w:sz w:val="24"/>
          <w:szCs w:val="24"/>
          <w:highlight w:val="yellow"/>
        </w:rPr>
        <w:t xml:space="preserve"> </w:t>
      </w:r>
      <w:r>
        <w:rPr>
          <w:rFonts w:ascii="Times New Roman" w:hAnsi="Times New Roman"/>
          <w:i/>
          <w:iCs/>
          <w:sz w:val="24"/>
          <w:szCs w:val="24"/>
          <w:highlight w:val="yellow"/>
        </w:rPr>
        <w:t>et al</w:t>
      </w:r>
      <w:r>
        <w:rPr>
          <w:rFonts w:ascii="Times New Roman" w:hAnsi="Times New Roman"/>
          <w:sz w:val="24"/>
          <w:szCs w:val="24"/>
          <w:highlight w:val="yellow"/>
        </w:rPr>
        <w:t xml:space="preserve">., 2020). The relatively low representation of small-sized individuals (21.52%) may reflect lower hunting preference for juveniles, deliberate avoidance due to lower economic returns, reduced recruitment into the exploited population, localized overharvesting, or differential detectability within the trade network (Amadi </w:t>
      </w:r>
      <w:r>
        <w:rPr>
          <w:rFonts w:ascii="Times New Roman" w:hAnsi="Times New Roman"/>
          <w:i/>
          <w:iCs/>
          <w:sz w:val="24"/>
          <w:szCs w:val="24"/>
          <w:highlight w:val="yellow"/>
        </w:rPr>
        <w:t>et al</w:t>
      </w:r>
      <w:r>
        <w:rPr>
          <w:rFonts w:ascii="Times New Roman" w:hAnsi="Times New Roman"/>
          <w:sz w:val="24"/>
          <w:szCs w:val="24"/>
          <w:highlight w:val="yellow"/>
        </w:rPr>
        <w:t xml:space="preserve">., 2022). Collectively, these findings suggest that harvesting pressure is concentrated on medium- and large-bodied crocodiles, a trend that may ultimately lead to population structure imbalances and compromise the sustainability of wild </w:t>
      </w:r>
      <w:r>
        <w:rPr>
          <w:rStyle w:val="style88"/>
          <w:rFonts w:ascii="Times New Roman" w:hAnsi="Times New Roman"/>
          <w:sz w:val="24"/>
          <w:szCs w:val="24"/>
          <w:highlight w:val="yellow"/>
        </w:rPr>
        <w:t xml:space="preserve">O. </w:t>
      </w:r>
      <w:r>
        <w:rPr>
          <w:rStyle w:val="style88"/>
          <w:rFonts w:ascii="Times New Roman" w:hAnsi="Times New Roman"/>
          <w:sz w:val="24"/>
          <w:szCs w:val="24"/>
          <w:highlight w:val="yellow"/>
        </w:rPr>
        <w:t>tetraspis</w:t>
      </w:r>
      <w:r>
        <w:rPr>
          <w:rFonts w:ascii="Times New Roman" w:hAnsi="Times New Roman"/>
          <w:sz w:val="24"/>
          <w:szCs w:val="24"/>
          <w:highlight w:val="yellow"/>
        </w:rPr>
        <w:t xml:space="preserve"> populations </w:t>
      </w:r>
      <w:r>
        <w:rPr>
          <w:rFonts w:ascii="Times New Roman" w:hAnsi="Times New Roman"/>
          <w:sz w:val="24"/>
          <w:szCs w:val="24"/>
          <w:highlight w:val="yellow"/>
        </w:rPr>
        <w:t xml:space="preserve">coupled with gas flaring </w:t>
      </w:r>
      <w:r>
        <w:rPr>
          <w:rFonts w:ascii="Times New Roman" w:hAnsi="Times New Roman"/>
          <w:sz w:val="24"/>
          <w:szCs w:val="24"/>
          <w:highlight w:val="yellow"/>
        </w:rPr>
        <w:t>if left unmanaged</w:t>
      </w:r>
      <w:r>
        <w:rPr>
          <w:rFonts w:ascii="Times New Roman" w:hAnsi="Times New Roman"/>
          <w:sz w:val="24"/>
          <w:szCs w:val="24"/>
          <w:highlight w:val="yellow"/>
        </w:rPr>
        <w:t xml:space="preserve"> (</w:t>
      </w:r>
      <w:r>
        <w:rPr>
          <w:rFonts w:ascii="Times New Roman" w:hAnsi="Times New Roman"/>
          <w:sz w:val="24"/>
          <w:szCs w:val="24"/>
          <w:highlight w:val="yellow"/>
        </w:rPr>
        <w:t xml:space="preserve">Ito &amp; </w:t>
      </w:r>
      <w:r>
        <w:rPr>
          <w:rFonts w:ascii="Times New Roman" w:hAnsi="Times New Roman"/>
          <w:sz w:val="24"/>
          <w:szCs w:val="24"/>
          <w:highlight w:val="yellow"/>
        </w:rPr>
        <w:t>Ugbome</w:t>
      </w:r>
      <w:r>
        <w:rPr>
          <w:rFonts w:ascii="Times New Roman" w:hAnsi="Times New Roman"/>
          <w:sz w:val="24"/>
          <w:szCs w:val="24"/>
          <w:highlight w:val="yellow"/>
        </w:rPr>
        <w:t>, 2017)</w:t>
      </w:r>
      <w:r>
        <w:rPr>
          <w:rFonts w:ascii="Times New Roman" w:hAnsi="Times New Roman"/>
          <w:sz w:val="24"/>
          <w:szCs w:val="24"/>
          <w:highlight w:val="yellow"/>
        </w:rPr>
        <w:t>.</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Spatial variation also reflected market-specific dynamics. Uwa recorded the highest occurrences, confirming its role as a major bushmeat hub, while </w:t>
      </w:r>
      <w:r>
        <w:rPr>
          <w:rFonts w:ascii="Times New Roman" w:eastAsia="Times New Roman" w:hAnsi="Times New Roman"/>
          <w:sz w:val="24"/>
          <w:szCs w:val="24"/>
        </w:rPr>
        <w:t>Edumanom</w:t>
      </w:r>
      <w:r>
        <w:rPr>
          <w:rFonts w:ascii="Times New Roman" w:eastAsia="Times New Roman" w:hAnsi="Times New Roman"/>
          <w:sz w:val="24"/>
          <w:szCs w:val="24"/>
        </w:rPr>
        <w:t xml:space="preserve"> and Ogbe-Ijaw showed lower but more size-selective patterns. This may indicate localized depletion of smaller size classes or differences in consumer preferences. Importantly, the absence of crocodile supply in some months, </w:t>
      </w:r>
      <w:r>
        <w:rPr>
          <w:rFonts w:ascii="Times New Roman" w:eastAsia="Times New Roman" w:hAnsi="Times New Roman"/>
          <w:sz w:val="24"/>
          <w:szCs w:val="24"/>
        </w:rPr>
        <w:t xml:space="preserve">particularly in </w:t>
      </w:r>
      <w:r>
        <w:rPr>
          <w:rFonts w:ascii="Times New Roman" w:eastAsia="Times New Roman" w:hAnsi="Times New Roman"/>
          <w:sz w:val="24"/>
          <w:szCs w:val="24"/>
        </w:rPr>
        <w:t>Edumanom</w:t>
      </w:r>
      <w:r>
        <w:rPr>
          <w:rFonts w:ascii="Times New Roman" w:eastAsia="Times New Roman" w:hAnsi="Times New Roman"/>
          <w:sz w:val="24"/>
          <w:szCs w:val="24"/>
        </w:rPr>
        <w:t>, could signify local population declines rather than seasonal absence.</w:t>
      </w:r>
      <w:r>
        <w:rPr>
          <w:rFonts w:ascii="Times New Roman" w:eastAsia="Times New Roman" w:hAnsi="Times New Roman"/>
          <w:sz w:val="24"/>
          <w:szCs w:val="24"/>
        </w:rPr>
        <w:t xml:space="preserve"> </w:t>
      </w:r>
      <w:r>
        <w:rPr>
          <w:rFonts w:ascii="Times New Roman" w:hAnsi="Times New Roman"/>
          <w:sz w:val="24"/>
          <w:szCs w:val="24"/>
        </w:rPr>
        <w:t xml:space="preserve">Spatially, model-predicted mean abundance was highest in </w:t>
      </w:r>
      <w:r>
        <w:rPr>
          <w:rFonts w:ascii="Times New Roman" w:hAnsi="Times New Roman"/>
          <w:sz w:val="24"/>
          <w:szCs w:val="24"/>
        </w:rPr>
        <w:t>Edumanon</w:t>
      </w:r>
      <w:r>
        <w:rPr>
          <w:rFonts w:ascii="Times New Roman" w:hAnsi="Times New Roman"/>
          <w:sz w:val="24"/>
          <w:szCs w:val="24"/>
        </w:rPr>
        <w:t xml:space="preserve">, followed by Uwa and Ogbe-Ijaw, suggesting that </w:t>
      </w:r>
      <w:r>
        <w:rPr>
          <w:rFonts w:ascii="Times New Roman" w:hAnsi="Times New Roman"/>
          <w:sz w:val="24"/>
          <w:szCs w:val="24"/>
        </w:rPr>
        <w:t>Edumanon</w:t>
      </w:r>
      <w:r>
        <w:rPr>
          <w:rFonts w:ascii="Times New Roman" w:hAnsi="Times New Roman"/>
          <w:sz w:val="24"/>
          <w:szCs w:val="24"/>
        </w:rPr>
        <w:t xml:space="preserve"> serves as an important trade aggregation point for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The observed variation likely reflects differences in harvest intensity, habitat connectivity, and</w:t>
      </w:r>
      <w:r>
        <w:rPr>
          <w:rFonts w:ascii="Times New Roman" w:hAnsi="Times New Roman"/>
          <w:sz w:val="24"/>
          <w:szCs w:val="24"/>
        </w:rPr>
        <w:t xml:space="preserve"> market accessibility across sites</w:t>
      </w:r>
      <w:r>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rPr>
        <w:t>Eniang</w:t>
      </w:r>
      <w:r>
        <w:rPr>
          <w:rFonts w:ascii="Times New Roman" w:hAnsi="Times New Roman"/>
          <w:sz w:val="24"/>
          <w:szCs w:val="24"/>
        </w:rPr>
        <w:t xml:space="preserve"> </w:t>
      </w:r>
      <w:r>
        <w:rPr>
          <w:rFonts w:ascii="Times New Roman" w:hAnsi="Times New Roman"/>
          <w:i/>
          <w:iCs/>
          <w:sz w:val="24"/>
          <w:szCs w:val="24"/>
        </w:rPr>
        <w:t>et al.,</w:t>
      </w:r>
      <w:r>
        <w:rPr>
          <w:rFonts w:ascii="Times New Roman" w:hAnsi="Times New Roman"/>
          <w:sz w:val="24"/>
          <w:szCs w:val="24"/>
        </w:rPr>
        <w:t xml:space="preserve"> 2020</w:t>
      </w:r>
      <w:r>
        <w:rPr>
          <w:rFonts w:ascii="Times New Roman" w:hAnsi="Times New Roman"/>
          <w:sz w:val="24"/>
          <w:szCs w:val="24"/>
        </w:rPr>
        <w:t>)</w:t>
      </w:r>
      <w:r>
        <w:rPr>
          <w:rFonts w:ascii="Times New Roman" w:hAnsi="Times New Roman"/>
          <w:sz w:val="24"/>
          <w:szCs w:val="24"/>
        </w:rPr>
        <w:t>.</w:t>
      </w:r>
    </w:p>
    <w:p>
      <w:pPr>
        <w:pStyle w:val="style0"/>
        <w:spacing w:lineRule="auto" w:line="240"/>
        <w:ind w:firstLine="720"/>
        <w:jc w:val="both"/>
        <w:rPr>
          <w:rFonts w:ascii="Times New Roman" w:eastAsia="Times New Roman" w:hAnsi="Times New Roman"/>
          <w:sz w:val="24"/>
          <w:szCs w:val="24"/>
        </w:rPr>
      </w:pPr>
      <w:r>
        <w:rPr>
          <w:rFonts w:ascii="Times New Roman" w:hAnsi="Times New Roman"/>
          <w:sz w:val="24"/>
          <w:szCs w:val="24"/>
        </w:rPr>
        <w:t>Promotion of regulated crocodile farming presents a viable alternative that could reduce hunting pressure on wild populations while providing communities with income and meat/skin products. Evidence from other African regions demonstrates that community-based farming, when supported by training, market access, and appropriate legal frameworks, effectively integrates conservation with sustainable development (</w:t>
      </w:r>
      <w:r>
        <w:rPr>
          <w:rFonts w:ascii="Times New Roman" w:hAnsi="Times New Roman"/>
          <w:sz w:val="24"/>
          <w:szCs w:val="24"/>
        </w:rPr>
        <w:t xml:space="preserve">Hughes </w:t>
      </w:r>
      <w:r>
        <w:rPr>
          <w:rFonts w:ascii="Times New Roman" w:hAnsi="Times New Roman"/>
          <w:i/>
          <w:iCs/>
          <w:sz w:val="24"/>
          <w:szCs w:val="24"/>
        </w:rPr>
        <w:t>et al.,</w:t>
      </w:r>
      <w:r>
        <w:rPr>
          <w:rFonts w:ascii="Times New Roman" w:hAnsi="Times New Roman"/>
          <w:sz w:val="24"/>
          <w:szCs w:val="24"/>
        </w:rPr>
        <w:t xml:space="preserve"> </w:t>
      </w:r>
      <w:r>
        <w:rPr>
          <w:rFonts w:ascii="Times New Roman" w:hAnsi="Times New Roman"/>
          <w:sz w:val="24"/>
          <w:szCs w:val="24"/>
        </w:rPr>
        <w:t>20</w:t>
      </w:r>
      <w:r>
        <w:rPr>
          <w:rFonts w:ascii="Times New Roman" w:hAnsi="Times New Roman"/>
          <w:sz w:val="24"/>
          <w:szCs w:val="24"/>
        </w:rPr>
        <w:t>23</w:t>
      </w:r>
      <w:r>
        <w:rPr>
          <w:rFonts w:ascii="Times New Roman" w:hAnsi="Times New Roman"/>
          <w:sz w:val="24"/>
          <w:szCs w:val="24"/>
        </w:rPr>
        <w:t xml:space="preserve">). For example, regulated crocodile ranching and farming programs in Zimbabwe, Zambia, and South Africa have successfully combined biodiversity conservation with rural economic incentives </w:t>
      </w:r>
      <w:r>
        <w:rPr>
          <w:rFonts w:ascii="Times New Roman" w:hAnsi="Times New Roman"/>
          <w:sz w:val="24"/>
          <w:szCs w:val="24"/>
        </w:rPr>
        <w:t>(</w:t>
      </w:r>
      <w:r>
        <w:rPr>
          <w:rFonts w:ascii="Times New Roman" w:hAnsi="Times New Roman"/>
          <w:color w:val="222222"/>
          <w:sz w:val="24"/>
          <w:szCs w:val="24"/>
          <w:shd w:val="clear" w:color="auto" w:fill="ffffff"/>
        </w:rPr>
        <w:t>Chihona</w:t>
      </w:r>
      <w:r>
        <w:rPr>
          <w:rStyle w:val="style4123"/>
          <w:rFonts w:ascii="Times New Roman" w:hAnsi="Times New Roman"/>
          <w:color w:val="1f1f1f"/>
          <w:sz w:val="24"/>
          <w:szCs w:val="24"/>
        </w:rPr>
        <w:t>, 2014; Utete</w:t>
      </w:r>
      <w:r>
        <w:rPr>
          <w:rFonts w:ascii="Times New Roman" w:hAnsi="Times New Roman"/>
          <w:sz w:val="24"/>
          <w:szCs w:val="24"/>
        </w:rPr>
        <w:t xml:space="preserve"> et al., 2021</w:t>
      </w:r>
      <w:r>
        <w:rPr>
          <w:rFonts w:ascii="Times New Roman" w:hAnsi="Times New Roman"/>
          <w:sz w:val="24"/>
          <w:szCs w:val="24"/>
        </w:rPr>
        <w:t>). Incorporating conservation-informed, community-base</w:t>
      </w:r>
      <w:r>
        <w:rPr>
          <w:rFonts w:ascii="Times New Roman" w:hAnsi="Times New Roman"/>
          <w:sz w:val="24"/>
          <w:szCs w:val="24"/>
        </w:rPr>
        <w:t>d economic options</w:t>
      </w:r>
      <w:r>
        <w:rPr>
          <w:rFonts w:ascii="Times New Roman" w:hAnsi="Times New Roman"/>
          <w:sz w:val="24"/>
          <w:szCs w:val="24"/>
        </w:rPr>
        <w:t xml:space="preserve">, </w:t>
      </w:r>
      <w:r>
        <w:rPr>
          <w:rFonts w:ascii="Times New Roman" w:hAnsi="Times New Roman"/>
          <w:sz w:val="24"/>
          <w:szCs w:val="24"/>
        </w:rPr>
        <w:t>particularly targeting hunters</w:t>
      </w:r>
      <w:r>
        <w:rPr>
          <w:rFonts w:ascii="Times New Roman" w:hAnsi="Times New Roman"/>
          <w:sz w:val="24"/>
          <w:szCs w:val="24"/>
        </w:rPr>
        <w:t xml:space="preserve"> </w:t>
      </w:r>
      <w:r>
        <w:rPr>
          <w:rFonts w:ascii="Times New Roman" w:hAnsi="Times New Roman"/>
          <w:sz w:val="24"/>
          <w:szCs w:val="24"/>
        </w:rPr>
        <w:t xml:space="preserve">could lessen dependence on the crocodilian trade. Additionally, insights from bushmeat studies in Ibadan emphasize the importance of empowering women traders, who dominate specific aspects of the trade, with sustainable alternatives to balance ecological and social justice (Akani </w:t>
      </w:r>
      <w:r>
        <w:rPr>
          <w:rFonts w:ascii="Times New Roman" w:hAnsi="Times New Roman"/>
          <w:i/>
          <w:iCs/>
          <w:sz w:val="24"/>
          <w:szCs w:val="24"/>
        </w:rPr>
        <w:t>et al</w:t>
      </w:r>
      <w:r>
        <w:rPr>
          <w:rFonts w:ascii="Times New Roman" w:hAnsi="Times New Roman"/>
          <w:sz w:val="24"/>
          <w:szCs w:val="24"/>
        </w:rPr>
        <w:t xml:space="preserve">., 2015; Fa </w:t>
      </w:r>
      <w:r>
        <w:rPr>
          <w:rFonts w:ascii="Times New Roman" w:hAnsi="Times New Roman"/>
          <w:i/>
          <w:iCs/>
          <w:sz w:val="24"/>
          <w:szCs w:val="24"/>
        </w:rPr>
        <w:t>et al</w:t>
      </w:r>
      <w:r>
        <w:rPr>
          <w:rFonts w:ascii="Times New Roman" w:hAnsi="Times New Roman"/>
          <w:sz w:val="24"/>
          <w:szCs w:val="24"/>
        </w:rPr>
        <w:t>., 2019).</w:t>
      </w:r>
    </w:p>
    <w:p>
      <w:pPr>
        <w:pStyle w:val="style0"/>
        <w:spacing w:after="0" w:lineRule="auto" w:line="240"/>
        <w:jc w:val="both"/>
        <w:outlineLvl w:val="2"/>
        <w:rPr>
          <w:rFonts w:ascii="Times New Roman" w:eastAsia="Times New Roman" w:hAnsi="Times New Roman"/>
          <w:b/>
          <w:bCs/>
          <w:sz w:val="24"/>
          <w:szCs w:val="24"/>
        </w:rPr>
      </w:pPr>
      <w:r>
        <w:rPr>
          <w:rFonts w:ascii="Times New Roman" w:eastAsia="Times New Roman" w:hAnsi="Times New Roman"/>
          <w:b/>
          <w:bCs/>
          <w:sz w:val="24"/>
          <w:szCs w:val="24"/>
        </w:rPr>
        <w:t>Conservation Implications</w:t>
      </w:r>
    </w:p>
    <w:p>
      <w:pPr>
        <w:pStyle w:val="style94"/>
        <w:spacing w:before="0" w:beforeAutospacing="false" w:after="0" w:afterAutospacing="false"/>
        <w:ind w:firstLine="720"/>
        <w:jc w:val="both"/>
        <w:rPr/>
      </w:pPr>
      <w:r>
        <w:t xml:space="preserve">The spatiotemporal dynamics revealed by the model have clear implications for the conservation and sustainable management of </w:t>
      </w:r>
      <w:r>
        <w:rPr>
          <w:rStyle w:val="style88"/>
          <w:rFonts w:eastAsia="SimSun"/>
        </w:rPr>
        <w:t xml:space="preserve">O. </w:t>
      </w:r>
      <w:r>
        <w:rPr>
          <w:rStyle w:val="style88"/>
          <w:rFonts w:eastAsia="SimSun"/>
        </w:rPr>
        <w:t>tetraspis</w:t>
      </w:r>
      <w:r>
        <w:t xml:space="preserve">. Given the species’ Vulnerable status on the IUCN Red List, with overexploitation and habitat loss identified as principal threats (IUCN 2022, </w:t>
      </w:r>
      <w:r>
        <w:t xml:space="preserve">2024), these findings underscore the need for adaptive, evidence-based management. Continued removal of large adults during critical aggregation periods may exacerbate local declines, particularly considering the species’ low fecundity, cryptic </w:t>
      </w:r>
      <w:r>
        <w:t>behaviour</w:t>
      </w:r>
      <w:r>
        <w:t xml:space="preserve">, and reliance on forested wetlands for nesting (Shirley </w:t>
      </w:r>
      <w:r>
        <w:rPr>
          <w:i/>
          <w:iCs/>
        </w:rPr>
        <w:t>et al.</w:t>
      </w:r>
      <w:r>
        <w:t xml:space="preserve"> 2015; </w:t>
      </w:r>
      <w:r>
        <w:t>Luiselli</w:t>
      </w:r>
      <w:r>
        <w:t xml:space="preserve"> </w:t>
      </w:r>
      <w:r>
        <w:rPr>
          <w:i/>
          <w:iCs/>
        </w:rPr>
        <w:t>et al</w:t>
      </w:r>
      <w:r>
        <w:t>. 2021). Integrating model-derived predictions with geospatial monitoring, community-based reporting, and market surveillance could inform sustainable harvest frameworks that safeguard populations while maintaining local livelihoods.</w:t>
      </w:r>
    </w:p>
    <w:p>
      <w:pPr>
        <w:pStyle w:val="style94"/>
        <w:spacing w:before="0" w:beforeAutospacing="false" w:after="0" w:afterAutospacing="false"/>
        <w:ind w:firstLine="360"/>
        <w:jc w:val="both"/>
        <w:rPr/>
      </w:pPr>
      <w:r>
        <w:t xml:space="preserve">The socio-demographic composition of traders further highlights the need to embed social equity within conservation interventions. Women especially single parents and widows with limited formal education are disproportionately reliant on bushmeat commerce for subsistence. Blanket enforcement or trade prohibitions without viable economic alternatives risk exacerbating poverty and undermining compliance (Nasi </w:t>
      </w:r>
      <w:r>
        <w:rPr>
          <w:i/>
          <w:iCs/>
        </w:rPr>
        <w:t>et al</w:t>
      </w:r>
      <w:r>
        <w:t xml:space="preserve">. 2022). Hence, effective conservation should adopt participatory, livelihood-sensitive approaches that </w:t>
      </w:r>
      <w:r>
        <w:t>harmonise</w:t>
      </w:r>
      <w:r>
        <w:t xml:space="preserve"> species protection with socio-economic resilience. Such integrative strategies align with regional recommendations for crocodilian conservation and sustainable use across West and Central Africa (Eaton </w:t>
      </w:r>
      <w:r>
        <w:rPr>
          <w:i/>
          <w:iCs/>
        </w:rPr>
        <w:t>et al.</w:t>
      </w:r>
      <w:r>
        <w:t xml:space="preserve"> 20</w:t>
      </w:r>
      <w:r>
        <w:t>09</w:t>
      </w:r>
      <w:r>
        <w:t>), providing</w:t>
      </w:r>
      <w:r>
        <w:t xml:space="preserve"> a robust, quantitative basis for the long-term persistence of </w:t>
      </w:r>
      <w:r>
        <w:rPr>
          <w:rStyle w:val="style88"/>
          <w:rFonts w:eastAsia="SimSun"/>
        </w:rPr>
        <w:t xml:space="preserve">O. </w:t>
      </w:r>
      <w:r>
        <w:rPr>
          <w:rStyle w:val="style88"/>
          <w:rFonts w:eastAsia="SimSun"/>
        </w:rPr>
        <w:t>tetraspis</w:t>
      </w:r>
      <w:r>
        <w:t xml:space="preserve"> within the Niger Delta. However,</w:t>
      </w:r>
      <w:r>
        <w:t xml:space="preserve"> conservation efforts should pursue:</w:t>
      </w:r>
    </w:p>
    <w:p>
      <w:pPr>
        <w:pStyle w:val="style0"/>
        <w:numPr>
          <w:ilvl w:val="0"/>
          <w:numId w:val="1"/>
        </w:numPr>
        <w:spacing w:after="0" w:lineRule="auto" w:line="240"/>
        <w:jc w:val="both"/>
        <w:rPr>
          <w:rFonts w:ascii="Times New Roman" w:eastAsia="Times New Roman" w:hAnsi="Times New Roman"/>
          <w:sz w:val="24"/>
          <w:szCs w:val="24"/>
        </w:rPr>
      </w:pPr>
      <w:r>
        <w:rPr>
          <w:rFonts w:ascii="Times New Roman" w:eastAsia="Times New Roman" w:hAnsi="Times New Roman"/>
          <w:b/>
          <w:bCs/>
          <w:sz w:val="24"/>
          <w:szCs w:val="24"/>
        </w:rPr>
        <w:t>Alternative livelihoods</w:t>
      </w:r>
      <w:r>
        <w:rPr>
          <w:rFonts w:ascii="Times New Roman" w:eastAsia="Times New Roman" w:hAnsi="Times New Roman"/>
          <w:sz w:val="24"/>
          <w:szCs w:val="24"/>
        </w:rPr>
        <w:t>: Fish farming, small-scale agriculture, and micro-credit initiatives targeted at women traders.</w:t>
      </w:r>
    </w:p>
    <w:p>
      <w:pPr>
        <w:pStyle w:val="style0"/>
        <w:numPr>
          <w:ilvl w:val="0"/>
          <w:numId w:val="1"/>
        </w:numPr>
        <w:spacing w:after="0" w:lineRule="auto" w:line="240"/>
        <w:jc w:val="both"/>
        <w:rPr>
          <w:rFonts w:ascii="Times New Roman" w:eastAsia="Times New Roman" w:hAnsi="Times New Roman"/>
          <w:sz w:val="24"/>
          <w:szCs w:val="24"/>
        </w:rPr>
      </w:pPr>
      <w:r>
        <w:rPr>
          <w:rFonts w:ascii="Times New Roman" w:eastAsia="Times New Roman" w:hAnsi="Times New Roman"/>
          <w:b/>
          <w:bCs/>
          <w:sz w:val="24"/>
          <w:szCs w:val="24"/>
        </w:rPr>
        <w:t xml:space="preserve">Culturally sensitive awareness programs: </w:t>
      </w:r>
      <w:r>
        <w:rPr>
          <w:rFonts w:ascii="Times New Roman" w:eastAsia="Times New Roman" w:hAnsi="Times New Roman"/>
          <w:sz w:val="24"/>
          <w:szCs w:val="24"/>
        </w:rPr>
        <w:t>Oral, visual, and community-based approaches tailored to low-literacy audiences.</w:t>
      </w:r>
    </w:p>
    <w:p>
      <w:pPr>
        <w:pStyle w:val="style0"/>
        <w:numPr>
          <w:ilvl w:val="0"/>
          <w:numId w:val="1"/>
        </w:numPr>
        <w:spacing w:after="0" w:lineRule="auto" w:line="240"/>
        <w:jc w:val="both"/>
        <w:rPr>
          <w:rFonts w:ascii="Times New Roman" w:eastAsia="Times New Roman" w:hAnsi="Times New Roman"/>
          <w:sz w:val="24"/>
          <w:szCs w:val="24"/>
        </w:rPr>
      </w:pPr>
      <w:r>
        <w:rPr>
          <w:rFonts w:ascii="Times New Roman" w:eastAsia="Times New Roman" w:hAnsi="Times New Roman"/>
          <w:b/>
          <w:bCs/>
          <w:sz w:val="24"/>
          <w:szCs w:val="24"/>
        </w:rPr>
        <w:t xml:space="preserve">Ethnic engagement: </w:t>
      </w:r>
      <w:r>
        <w:rPr>
          <w:rFonts w:ascii="Times New Roman" w:eastAsia="Times New Roman" w:hAnsi="Times New Roman"/>
          <w:sz w:val="24"/>
          <w:szCs w:val="24"/>
        </w:rPr>
        <w:t>Collaboration with community and ethnic leaders to ensure legitimacy and compliance.</w:t>
      </w:r>
    </w:p>
    <w:p>
      <w:pPr>
        <w:pStyle w:val="style0"/>
        <w:numPr>
          <w:ilvl w:val="0"/>
          <w:numId w:val="1"/>
        </w:numPr>
        <w:spacing w:after="0" w:lineRule="auto" w:line="240"/>
        <w:jc w:val="both"/>
        <w:rPr>
          <w:rFonts w:ascii="Times New Roman" w:eastAsia="Times New Roman" w:hAnsi="Times New Roman"/>
          <w:sz w:val="24"/>
          <w:szCs w:val="24"/>
        </w:rPr>
      </w:pPr>
      <w:r>
        <w:rPr>
          <w:rFonts w:ascii="Times New Roman" w:eastAsia="Times New Roman" w:hAnsi="Times New Roman"/>
          <w:b/>
          <w:bCs/>
          <w:sz w:val="24"/>
          <w:szCs w:val="24"/>
        </w:rPr>
        <w:t xml:space="preserve">Market-specific interventions: </w:t>
      </w:r>
      <w:r>
        <w:rPr>
          <w:rFonts w:ascii="Times New Roman" w:eastAsia="Times New Roman" w:hAnsi="Times New Roman"/>
          <w:sz w:val="24"/>
          <w:szCs w:val="24"/>
        </w:rPr>
        <w:t>Policies tailored to the distinct socio-demographic and ecological dynamics of each market rather than uniform approaches.</w:t>
      </w:r>
    </w:p>
    <w:p>
      <w:pPr>
        <w:pStyle w:val="style0"/>
        <w:numPr>
          <w:ilvl w:val="0"/>
          <w:numId w:val="1"/>
        </w:numPr>
        <w:spacing w:after="0" w:lineRule="auto" w:line="240"/>
        <w:jc w:val="both"/>
        <w:rPr>
          <w:rFonts w:ascii="Times New Roman" w:eastAsia="Times New Roman" w:hAnsi="Times New Roman"/>
          <w:sz w:val="24"/>
          <w:szCs w:val="24"/>
        </w:rPr>
      </w:pPr>
      <w:r>
        <w:rPr>
          <w:rFonts w:ascii="Times New Roman" w:eastAsia="Times New Roman" w:hAnsi="Times New Roman"/>
          <w:b/>
          <w:bCs/>
          <w:sz w:val="24"/>
          <w:szCs w:val="24"/>
        </w:rPr>
        <w:t>Temporal and spatial protections: L</w:t>
      </w:r>
      <w:r>
        <w:rPr>
          <w:rFonts w:ascii="Times New Roman" w:eastAsia="Times New Roman" w:hAnsi="Times New Roman"/>
          <w:sz w:val="24"/>
          <w:szCs w:val="24"/>
        </w:rPr>
        <w:t xml:space="preserve">imiting hunting during dry-season peaks and prioritizing high-pressure markets such as Uwa for monitoring and enforcement. </w:t>
      </w:r>
    </w:p>
    <w:p>
      <w:pPr>
        <w:pStyle w:val="style3"/>
        <w:spacing w:before="0" w:after="0"/>
        <w:jc w:val="both"/>
        <w:rPr>
          <w:rFonts w:ascii="Times New Roman" w:cs="Times New Roman" w:hAnsi="Times New Roman"/>
          <w:b/>
          <w:bCs/>
          <w:color w:val="auto"/>
          <w:sz w:val="24"/>
          <w:szCs w:val="24"/>
        </w:rPr>
      </w:pPr>
      <w:r>
        <w:rPr>
          <w:rFonts w:ascii="Times New Roman" w:cs="Times New Roman" w:hAnsi="Times New Roman"/>
          <w:b/>
          <w:bCs/>
          <w:color w:val="auto"/>
          <w:sz w:val="24"/>
          <w:szCs w:val="24"/>
        </w:rPr>
        <w:t>Recommendations for Sustainable Management</w:t>
      </w:r>
    </w:p>
    <w:p>
      <w:pPr>
        <w:pStyle w:val="style0"/>
        <w:spacing w:after="0"/>
        <w:ind w:firstLine="360"/>
        <w:jc w:val="both"/>
        <w:rPr>
          <w:rFonts w:ascii="Times New Roman" w:hAnsi="Times New Roman"/>
          <w:sz w:val="24"/>
          <w:szCs w:val="24"/>
        </w:rPr>
      </w:pPr>
      <w:r>
        <w:rPr>
          <w:rFonts w:ascii="Times New Roman" w:hAnsi="Times New Roman"/>
          <w:sz w:val="24"/>
          <w:szCs w:val="24"/>
        </w:rPr>
        <w:t>Based on the findings of this research, the following are therefore recommended:</w:t>
      </w:r>
    </w:p>
    <w:p>
      <w:pPr>
        <w:pStyle w:val="style94"/>
        <w:numPr>
          <w:ilvl w:val="0"/>
          <w:numId w:val="12"/>
        </w:numPr>
        <w:spacing w:before="0" w:beforeAutospacing="false" w:after="0" w:afterAutospacing="false"/>
        <w:jc w:val="both"/>
        <w:rPr/>
      </w:pPr>
      <w:r>
        <w:rPr>
          <w:rStyle w:val="style87"/>
          <w:rFonts w:eastAsia="SimSun"/>
        </w:rPr>
        <w:t>Temporal Harvest Regulation</w:t>
      </w:r>
      <w:r>
        <w:t>: Limiting hunting during mid-dry season peaks (e.g., October–February) could reduce pressure during critical moisture-related aggregation periods.</w:t>
      </w:r>
    </w:p>
    <w:p>
      <w:pPr>
        <w:pStyle w:val="style94"/>
        <w:numPr>
          <w:ilvl w:val="0"/>
          <w:numId w:val="12"/>
        </w:numPr>
        <w:spacing w:before="0" w:beforeAutospacing="false" w:after="0" w:afterAutospacing="false"/>
        <w:jc w:val="both"/>
        <w:rPr/>
      </w:pPr>
      <w:r>
        <w:rPr>
          <w:rStyle w:val="style87"/>
          <w:rFonts w:eastAsia="SimSun"/>
        </w:rPr>
        <w:t>Spatial Monitoring</w:t>
      </w:r>
      <w:r>
        <w:t xml:space="preserve">: Geographic targeting of conservation efforts around Uwa and </w:t>
      </w:r>
      <w:r>
        <w:t>Edumanon</w:t>
      </w:r>
      <w:r>
        <w:t xml:space="preserve"> would help address high-intensity supply zones.</w:t>
      </w:r>
    </w:p>
    <w:p>
      <w:pPr>
        <w:pStyle w:val="style94"/>
        <w:numPr>
          <w:ilvl w:val="0"/>
          <w:numId w:val="12"/>
        </w:numPr>
        <w:spacing w:before="0" w:beforeAutospacing="false" w:after="0" w:afterAutospacing="false"/>
        <w:jc w:val="both"/>
        <w:rPr/>
      </w:pPr>
      <w:r>
        <w:rPr>
          <w:rStyle w:val="style87"/>
          <w:rFonts w:eastAsia="SimSun"/>
        </w:rPr>
        <w:t xml:space="preserve">Alternative Livelihood: </w:t>
      </w:r>
      <w:r>
        <w:t>Promotion of regulated crocodile farming could reduce hunting pressure on wild populations while providing communities with income and meat/skin products. Community-based farming, when supported by training, market access, and appropriate legal frameworks, effectively integrates conservation with sustainable development.</w:t>
      </w:r>
    </w:p>
    <w:p>
      <w:pPr>
        <w:pStyle w:val="style94"/>
        <w:numPr>
          <w:ilvl w:val="0"/>
          <w:numId w:val="12"/>
        </w:numPr>
        <w:spacing w:before="0" w:beforeAutospacing="false" w:after="0" w:afterAutospacing="false"/>
        <w:jc w:val="both"/>
        <w:rPr/>
      </w:pPr>
      <w:r>
        <w:rPr>
          <w:rStyle w:val="style87"/>
          <w:rFonts w:eastAsia="SimSun"/>
        </w:rPr>
        <w:t>Behavioral Surveillance</w:t>
      </w:r>
      <w:r>
        <w:t>: Monitoring the timing of reproductive nesting (May–June) affords opportunities for protecting nesting sites and allowing recruitment.</w:t>
      </w:r>
    </w:p>
    <w:p>
      <w:pPr>
        <w:pStyle w:val="style94"/>
        <w:numPr>
          <w:ilvl w:val="0"/>
          <w:numId w:val="12"/>
        </w:numPr>
        <w:spacing w:before="0" w:beforeAutospacing="false" w:after="0" w:afterAutospacing="false"/>
        <w:jc w:val="both"/>
        <w:rPr/>
      </w:pPr>
      <w:r>
        <w:rPr>
          <w:rStyle w:val="style87"/>
          <w:rFonts w:eastAsia="SimSun"/>
        </w:rPr>
        <w:t>Awareness and Enforcement</w:t>
      </w:r>
      <w:r>
        <w:t>: Strengthened law enforcement in collaboration with communities particularly given that some hunting techniques (e.g., snares and shooting) vary regionally and seasonally can help deter unsustainable capture.</w:t>
      </w:r>
    </w:p>
    <w:p>
      <w:pPr>
        <w:pStyle w:val="style0"/>
        <w:spacing w:after="0" w:lineRule="auto" w:line="240"/>
        <w:jc w:val="both"/>
        <w:outlineLvl w:val="2"/>
        <w:rPr>
          <w:rFonts w:ascii="Times New Roman" w:eastAsia="Times New Roman" w:hAnsi="Times New Roman"/>
          <w:b/>
          <w:bCs/>
          <w:sz w:val="24"/>
          <w:szCs w:val="24"/>
        </w:rPr>
      </w:pPr>
      <w:r>
        <w:rPr>
          <w:rFonts w:ascii="Times New Roman" w:eastAsia="Times New Roman" w:hAnsi="Times New Roman"/>
          <w:b/>
          <w:bCs/>
          <w:sz w:val="24"/>
          <w:szCs w:val="24"/>
        </w:rPr>
        <w:t>Limitations and Future Directions</w:t>
      </w:r>
    </w:p>
    <w:p>
      <w:pPr>
        <w:pStyle w:val="style0"/>
        <w:spacing w:after="0"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This study relied primarily on market-based monitoring, and thus harvest rates could not be directly linked to wild population resilience. Future research should integrate systematic field surveys with market assessments to estimate sustainable offtake thresholds. Moreover, investigations into consumer demand cycles, price fluctuations, and cultural drivers would further enrich conservation planning.</w:t>
      </w:r>
    </w:p>
    <w:p>
      <w:pPr>
        <w:pStyle w:val="style0"/>
        <w:spacing w:before="100" w:beforeAutospacing="true" w:after="0" w:lineRule="auto" w:line="240"/>
        <w:jc w:val="both"/>
        <w:outlineLvl w:val="2"/>
        <w:rPr>
          <w:rFonts w:ascii="Times New Roman" w:eastAsia="Times New Roman" w:hAnsi="Times New Roman"/>
          <w:b/>
          <w:bCs/>
          <w:sz w:val="24"/>
          <w:szCs w:val="24"/>
        </w:rPr>
      </w:pPr>
      <w:r>
        <w:rPr>
          <w:rFonts w:ascii="Times New Roman" w:eastAsia="Times New Roman" w:hAnsi="Times New Roman"/>
          <w:b/>
          <w:bCs/>
          <w:sz w:val="24"/>
          <w:szCs w:val="24"/>
        </w:rPr>
        <w:t>CONCLUSION</w:t>
      </w:r>
    </w:p>
    <w:p>
      <w:pPr>
        <w:pStyle w:val="style0"/>
        <w:spacing w:after="100" w:afterAutospacing="true" w:lineRule="auto" w:line="240"/>
        <w:ind w:firstLine="720"/>
        <w:jc w:val="both"/>
        <w:rPr>
          <w:rFonts w:ascii="Times New Roman" w:eastAsia="Times New Roman" w:hAnsi="Times New Roman"/>
          <w:sz w:val="24"/>
          <w:szCs w:val="24"/>
        </w:rPr>
      </w:pPr>
      <w:r>
        <w:rPr>
          <w:rFonts w:ascii="Times New Roman" w:eastAsia="Times New Roman" w:hAnsi="Times New Roman"/>
          <w:sz w:val="24"/>
          <w:szCs w:val="24"/>
        </w:rPr>
        <w:t xml:space="preserve">The trade in </w:t>
      </w:r>
      <w:r>
        <w:rPr>
          <w:rFonts w:ascii="Times New Roman" w:eastAsia="Times New Roman" w:hAnsi="Times New Roman"/>
          <w:i/>
          <w:iCs/>
          <w:sz w:val="24"/>
          <w:szCs w:val="24"/>
        </w:rPr>
        <w:t xml:space="preserve">O. </w:t>
      </w:r>
      <w:r>
        <w:rPr>
          <w:rFonts w:ascii="Times New Roman" w:eastAsia="Times New Roman" w:hAnsi="Times New Roman"/>
          <w:i/>
          <w:iCs/>
          <w:sz w:val="24"/>
          <w:szCs w:val="24"/>
        </w:rPr>
        <w:t>tetraspis</w:t>
      </w:r>
      <w:r>
        <w:rPr>
          <w:rFonts w:ascii="Times New Roman" w:eastAsia="Times New Roman" w:hAnsi="Times New Roman"/>
          <w:sz w:val="24"/>
          <w:szCs w:val="24"/>
        </w:rPr>
        <w:t xml:space="preserve"> across Uwa, </w:t>
      </w:r>
      <w:r>
        <w:rPr>
          <w:rFonts w:ascii="Times New Roman" w:eastAsia="Times New Roman" w:hAnsi="Times New Roman"/>
          <w:sz w:val="24"/>
          <w:szCs w:val="24"/>
        </w:rPr>
        <w:t>Edumanom</w:t>
      </w:r>
      <w:r>
        <w:rPr>
          <w:rFonts w:ascii="Times New Roman" w:eastAsia="Times New Roman" w:hAnsi="Times New Roman"/>
          <w:sz w:val="24"/>
          <w:szCs w:val="24"/>
        </w:rPr>
        <w:t xml:space="preserve">, and Ogbe-Ijaw markets reflects a highly gendered, middle-aged, and ethnically structured economy that sustains vulnerable households but exerts unsustainable pressure on a threatened species. The predominance of medium- and large-bodied crocodiles in the trade underscores the risk of reproductive collapse under continued exploitation. Effective conservation will require a multi-pronged approach—balancing ecological protection with social equity, through alternative livelihoods, culturally adapted education, and market-specific interventions. </w:t>
      </w:r>
      <w:r>
        <w:rPr>
          <w:rFonts w:ascii="Times New Roman" w:hAnsi="Times New Roman"/>
          <w:sz w:val="24"/>
          <w:szCs w:val="24"/>
        </w:rPr>
        <w:t xml:space="preserve">The study demonstrates that </w:t>
      </w:r>
      <w:r>
        <w:rPr>
          <w:rStyle w:val="style88"/>
          <w:rFonts w:ascii="Times New Roman" w:hAnsi="Times New Roman"/>
          <w:sz w:val="24"/>
          <w:szCs w:val="24"/>
        </w:rPr>
        <w:t xml:space="preserve">O. </w:t>
      </w:r>
      <w:r>
        <w:rPr>
          <w:rStyle w:val="style88"/>
          <w:rFonts w:ascii="Times New Roman" w:hAnsi="Times New Roman"/>
          <w:sz w:val="24"/>
          <w:szCs w:val="24"/>
        </w:rPr>
        <w:t>tetraspis</w:t>
      </w:r>
      <w:r>
        <w:rPr>
          <w:rFonts w:ascii="Times New Roman" w:hAnsi="Times New Roman"/>
          <w:sz w:val="24"/>
          <w:szCs w:val="24"/>
        </w:rPr>
        <w:t xml:space="preserve"> abundance in bushmeat markets is significantly influenced by both temporal availability and size-class selectivity. These results align with broader evidence of unsustainable exploitation of African crocodile populations and underscore the necessity of targeted conservation strategies.</w:t>
      </w:r>
    </w:p>
    <w:p>
      <w:pPr>
        <w:pStyle w:val="style0"/>
        <w:autoSpaceDE w:val="false"/>
        <w:autoSpaceDN w:val="false"/>
        <w:adjustRightInd w:val="false"/>
        <w:spacing w:after="0" w:lineRule="auto" w:line="240"/>
        <w:jc w:val="both"/>
        <w:rPr>
          <w:rFonts w:ascii="Times New Roman" w:hAnsi="Times New Roman"/>
          <w:sz w:val="24"/>
          <w:szCs w:val="24"/>
        </w:rPr>
      </w:pPr>
      <w:r>
        <w:rPr>
          <w:rFonts w:ascii="Times New Roman" w:eastAsia="Calibri" w:hAnsi="Times New Roman"/>
          <w:b/>
          <w:bCs/>
          <w:sz w:val="24"/>
          <w:szCs w:val="24"/>
          <w:lang w:eastAsia="en-US"/>
        </w:rPr>
        <w:t>Acknowledgement</w:t>
      </w:r>
      <w:r>
        <w:rPr>
          <w:rFonts w:ascii="Times New Roman" w:eastAsia="Calibri" w:hAnsi="Times New Roman"/>
          <w:sz w:val="24"/>
          <w:szCs w:val="24"/>
          <w:lang w:eastAsia="en-US"/>
        </w:rPr>
        <w:t xml:space="preserve"> </w:t>
      </w:r>
    </w:p>
    <w:p>
      <w:pPr>
        <w:pStyle w:val="style0"/>
        <w:autoSpaceDE w:val="false"/>
        <w:autoSpaceDN w:val="false"/>
        <w:adjustRightInd w:val="false"/>
        <w:spacing w:after="0" w:lineRule="auto" w:line="240"/>
        <w:ind w:firstLine="720"/>
        <w:jc w:val="both"/>
        <w:rPr>
          <w:rFonts w:ascii="Times New Roman" w:hAnsi="Times New Roman"/>
          <w:sz w:val="24"/>
          <w:szCs w:val="24"/>
        </w:rPr>
      </w:pPr>
      <w:r>
        <w:rPr>
          <w:rFonts w:ascii="Times New Roman" w:eastAsia="Calibri" w:hAnsi="Times New Roman"/>
          <w:sz w:val="24"/>
          <w:szCs w:val="24"/>
          <w:lang w:eastAsia="en-US"/>
        </w:rPr>
        <w:t xml:space="preserve">We are grateful to the Departments of Animal and Environmental Biology of the University of Port Harcourt, </w:t>
      </w:r>
      <w:r>
        <w:rPr>
          <w:rFonts w:ascii="Times New Roman" w:eastAsia="Calibri" w:hAnsi="Times New Roman"/>
          <w:sz w:val="24"/>
          <w:szCs w:val="24"/>
          <w:lang w:eastAsia="en-US"/>
        </w:rPr>
        <w:t>Choba</w:t>
      </w:r>
      <w:r>
        <w:rPr>
          <w:rFonts w:ascii="Times New Roman" w:eastAsia="Calibri" w:hAnsi="Times New Roman"/>
          <w:sz w:val="24"/>
          <w:szCs w:val="24"/>
          <w:lang w:eastAsia="en-US"/>
        </w:rPr>
        <w:t xml:space="preserve"> Rivers State, Nigeria, for providing the field and laboratory materials for this research work. More so, we appreciate the bushmeat Market traders for giving us audience for observation of the dwarf crocodiles species and answering specific questions pose to them.</w:t>
      </w:r>
    </w:p>
    <w:p>
      <w:pPr>
        <w:pStyle w:val="style0"/>
        <w:autoSpaceDE w:val="false"/>
        <w:autoSpaceDN w:val="false"/>
        <w:adjustRightInd w:val="false"/>
        <w:spacing w:before="240" w:after="0" w:lineRule="auto" w:line="240"/>
        <w:jc w:val="both"/>
        <w:rPr>
          <w:rFonts w:ascii="Times New Roman" w:hAnsi="Times New Roman"/>
          <w:sz w:val="24"/>
          <w:szCs w:val="24"/>
        </w:rPr>
      </w:pPr>
      <w:r>
        <w:rPr>
          <w:rFonts w:ascii="Times New Roman" w:eastAsia="Calibri" w:hAnsi="Times New Roman"/>
          <w:b/>
          <w:bCs/>
          <w:sz w:val="24"/>
          <w:szCs w:val="24"/>
          <w:lang w:eastAsia="en-US"/>
        </w:rPr>
        <w:t xml:space="preserve">Ethical Declaration </w:t>
      </w:r>
    </w:p>
    <w:p>
      <w:pPr>
        <w:pStyle w:val="style0"/>
        <w:autoSpaceDE w:val="false"/>
        <w:autoSpaceDN w:val="false"/>
        <w:adjustRightInd w:val="false"/>
        <w:spacing w:after="0" w:lineRule="auto" w:line="240"/>
        <w:ind w:firstLine="720"/>
        <w:jc w:val="both"/>
        <w:rPr>
          <w:rFonts w:ascii="Times New Roman" w:hAnsi="Times New Roman"/>
          <w:sz w:val="24"/>
          <w:szCs w:val="24"/>
        </w:rPr>
      </w:pPr>
      <w:r>
        <w:rPr>
          <w:rFonts w:ascii="Times New Roman" w:eastAsia="Calibri" w:hAnsi="Times New Roman"/>
          <w:sz w:val="24"/>
          <w:szCs w:val="24"/>
          <w:lang w:eastAsia="en-US"/>
        </w:rPr>
        <w:t xml:space="preserve">This study and field work was approved (Institution not applicable) by the Elder of Chief Council in charge of Uwa, </w:t>
      </w:r>
      <w:r>
        <w:rPr>
          <w:rFonts w:ascii="Times New Roman" w:eastAsia="Calibri" w:hAnsi="Times New Roman"/>
          <w:sz w:val="24"/>
          <w:szCs w:val="24"/>
          <w:lang w:eastAsia="en-US"/>
        </w:rPr>
        <w:t>Edumanom</w:t>
      </w:r>
      <w:r>
        <w:rPr>
          <w:rFonts w:ascii="Times New Roman" w:eastAsia="Calibri" w:hAnsi="Times New Roman"/>
          <w:sz w:val="24"/>
          <w:szCs w:val="24"/>
          <w:lang w:eastAsia="en-US"/>
        </w:rPr>
        <w:t xml:space="preserve"> and Ogbe-Ijaw Bushmeat Market in various locations as no formal document was officially given. Informed consent was obtained from all participants. Permission </w:t>
      </w:r>
      <w:r>
        <w:rPr>
          <w:rFonts w:ascii="Times New Roman" w:eastAsia="Calibri" w:hAnsi="Times New Roman"/>
          <w:sz w:val="24"/>
          <w:szCs w:val="24"/>
          <w:lang w:eastAsia="en-US"/>
        </w:rPr>
        <w:t>were</w:t>
      </w:r>
      <w:r>
        <w:rPr>
          <w:rFonts w:ascii="Times New Roman" w:eastAsia="Calibri" w:hAnsi="Times New Roman"/>
          <w:sz w:val="24"/>
          <w:szCs w:val="24"/>
          <w:lang w:eastAsia="en-US"/>
        </w:rPr>
        <w:t xml:space="preserve"> taken from the market women before they were interviewed while taking the records of the crocodile sighted and market survey.</w:t>
      </w:r>
    </w:p>
    <w:p>
      <w:pPr>
        <w:pStyle w:val="style0"/>
        <w:autoSpaceDE w:val="false"/>
        <w:autoSpaceDN w:val="false"/>
        <w:adjustRightInd w:val="false"/>
        <w:spacing w:before="240" w:after="0" w:lineRule="auto" w:line="240"/>
        <w:jc w:val="both"/>
        <w:rPr>
          <w:rFonts w:ascii="Times New Roman" w:hAnsi="Times New Roman"/>
          <w:sz w:val="24"/>
          <w:szCs w:val="24"/>
        </w:rPr>
      </w:pPr>
      <w:r>
        <w:rPr>
          <w:rFonts w:ascii="Times New Roman" w:eastAsia="Calibri" w:hAnsi="Times New Roman"/>
          <w:b/>
          <w:bCs/>
          <w:sz w:val="24"/>
          <w:szCs w:val="24"/>
          <w:lang w:eastAsia="en-US"/>
        </w:rPr>
        <w:t xml:space="preserve">Funding Declaration </w:t>
      </w:r>
    </w:p>
    <w:p>
      <w:pPr>
        <w:pStyle w:val="style0"/>
        <w:autoSpaceDE w:val="false"/>
        <w:autoSpaceDN w:val="false"/>
        <w:adjustRightInd w:val="false"/>
        <w:spacing w:after="0" w:lineRule="auto" w:line="240"/>
        <w:ind w:firstLine="720"/>
        <w:jc w:val="both"/>
        <w:rPr>
          <w:rFonts w:ascii="Times New Roman" w:hAnsi="Times New Roman"/>
          <w:sz w:val="24"/>
          <w:szCs w:val="24"/>
        </w:rPr>
      </w:pPr>
      <w:r>
        <w:rPr>
          <w:rFonts w:ascii="Times New Roman" w:eastAsia="Calibri" w:hAnsi="Times New Roman"/>
          <w:sz w:val="24"/>
          <w:szCs w:val="24"/>
          <w:lang w:eastAsia="en-US"/>
        </w:rPr>
        <w:t>The authors do hereby declare that no external funding from any organization was used in the process of the research</w:t>
      </w:r>
      <w:r>
        <w:rPr>
          <w:rFonts w:ascii="Times New Roman" w:eastAsia="Calibri" w:hAnsi="Times New Roman"/>
          <w:sz w:val="24"/>
          <w:szCs w:val="24"/>
          <w:lang w:eastAsia="en-US"/>
        </w:rPr>
        <w:t>.</w:t>
      </w:r>
    </w:p>
    <w:p>
      <w:pPr>
        <w:pStyle w:val="style0"/>
        <w:autoSpaceDE w:val="false"/>
        <w:autoSpaceDN w:val="false"/>
        <w:adjustRightInd w:val="false"/>
        <w:spacing w:before="240" w:after="0" w:lineRule="auto" w:line="240"/>
        <w:jc w:val="both"/>
        <w:rPr>
          <w:rFonts w:ascii="Times New Roman" w:hAnsi="Times New Roman"/>
          <w:b/>
          <w:bCs/>
          <w:sz w:val="24"/>
          <w:szCs w:val="24"/>
        </w:rPr>
      </w:pPr>
      <w:r>
        <w:rPr>
          <w:rFonts w:ascii="Times New Roman" w:eastAsia="Calibri" w:hAnsi="Times New Roman"/>
          <w:b/>
          <w:bCs/>
          <w:sz w:val="24"/>
          <w:szCs w:val="24"/>
          <w:lang w:eastAsia="en-US"/>
        </w:rPr>
        <w:t xml:space="preserve">Author Declaration </w:t>
      </w:r>
    </w:p>
    <w:p>
      <w:pPr>
        <w:pStyle w:val="style0"/>
        <w:autoSpaceDE w:val="false"/>
        <w:autoSpaceDN w:val="false"/>
        <w:adjustRightInd w:val="false"/>
        <w:spacing w:after="0" w:lineRule="auto" w:line="240"/>
        <w:ind w:firstLine="720"/>
        <w:jc w:val="both"/>
        <w:rPr>
          <w:rFonts w:ascii="Times New Roman" w:hAnsi="Times New Roman"/>
          <w:sz w:val="24"/>
          <w:szCs w:val="24"/>
        </w:rPr>
      </w:pPr>
      <w:r>
        <w:rPr>
          <w:rFonts w:ascii="Times New Roman" w:eastAsia="Calibri" w:hAnsi="Times New Roman"/>
          <w:sz w:val="24"/>
          <w:szCs w:val="24"/>
          <w:lang w:eastAsia="en-US"/>
        </w:rPr>
        <w:t xml:space="preserve">All authors declared that the field work was carried out, Conceptualization, writing, funding were done and laboratory consent were taken from the department of Animal and Environmental Biology, University of Port Harcourt, </w:t>
      </w:r>
      <w:r>
        <w:rPr>
          <w:rFonts w:ascii="Times New Roman" w:eastAsia="Calibri" w:hAnsi="Times New Roman"/>
          <w:sz w:val="24"/>
          <w:szCs w:val="24"/>
          <w:lang w:eastAsia="en-US"/>
        </w:rPr>
        <w:t>Choba</w:t>
      </w:r>
      <w:r>
        <w:rPr>
          <w:rFonts w:ascii="Times New Roman" w:eastAsia="Calibri" w:hAnsi="Times New Roman"/>
          <w:sz w:val="24"/>
          <w:szCs w:val="24"/>
          <w:lang w:eastAsia="en-US"/>
        </w:rPr>
        <w:t xml:space="preserve"> Rivers State, Nigeria.</w:t>
      </w:r>
    </w:p>
    <w:bookmarkStart w:id="3" w:name="_Hlk206418396"/>
    <w:p>
      <w:pPr>
        <w:pStyle w:val="style3"/>
        <w:jc w:val="center"/>
        <w:rPr>
          <w:rFonts w:ascii="Times New Roman" w:cs="Times New Roman" w:hAnsi="Times New Roman"/>
          <w:b/>
          <w:bCs/>
          <w:color w:val="auto"/>
          <w:sz w:val="24"/>
          <w:szCs w:val="24"/>
        </w:rPr>
      </w:pPr>
      <w:r>
        <w:rPr>
          <w:rFonts w:ascii="Times New Roman" w:cs="Times New Roman" w:hAnsi="Times New Roman"/>
          <w:b/>
          <w:bCs/>
          <w:color w:val="auto"/>
          <w:sz w:val="24"/>
          <w:szCs w:val="24"/>
        </w:rPr>
        <w:t>REFERENCES</w:t>
      </w:r>
    </w:p>
    <w:bookmarkEnd w:id="3"/>
    <w:p>
      <w:pPr>
        <w:pStyle w:val="style94"/>
        <w:tabs>
          <w:tab w:val="left" w:leader="none" w:pos="990"/>
        </w:tabs>
        <w:spacing w:before="0" w:beforeAutospacing="false" w:after="240" w:afterAutospacing="false" w:lineRule="exact" w:line="240"/>
        <w:ind w:left="630" w:hanging="630"/>
        <w:jc w:val="both"/>
        <w:rPr/>
      </w:pPr>
      <w:r>
        <w:t xml:space="preserve">Akani, G C., Petrozzi, F., Ebere, N., </w:t>
      </w:r>
      <w:r>
        <w:t>Dendi</w:t>
      </w:r>
      <w:r>
        <w:t xml:space="preserve">, D., &amp; </w:t>
      </w:r>
      <w:r>
        <w:t>Luiselli</w:t>
      </w:r>
      <w:r>
        <w:t xml:space="preserve">, L. (2015). Correlates of bushmeat trade in the Niger Delta, Nigeria. </w:t>
      </w:r>
      <w:r>
        <w:rPr>
          <w:rStyle w:val="style88"/>
          <w:rFonts w:eastAsia="SimSun"/>
        </w:rPr>
        <w:t>African Journal of Ecology</w:t>
      </w:r>
      <w:r>
        <w:t>, 53(2), 240–248.</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Akani, G.C, Pedro, E. E, </w:t>
      </w:r>
      <w:r>
        <w:rPr>
          <w:rFonts w:ascii="Times New Roman" w:hAnsi="Times New Roman"/>
          <w:sz w:val="24"/>
          <w:szCs w:val="24"/>
        </w:rPr>
        <w:t>Afesehi</w:t>
      </w:r>
      <w:r>
        <w:rPr>
          <w:rFonts w:ascii="Times New Roman" w:hAnsi="Times New Roman"/>
          <w:sz w:val="24"/>
          <w:szCs w:val="24"/>
        </w:rPr>
        <w:t xml:space="preserve">, F. P. and Luca, L. (2014).  Preliminary survey of the terrestrial vertebrate fauna (mammals, reptiles and amphibians) of the </w:t>
      </w:r>
      <w:r>
        <w:rPr>
          <w:rFonts w:ascii="Times New Roman" w:hAnsi="Times New Roman"/>
          <w:sz w:val="24"/>
          <w:szCs w:val="24"/>
        </w:rPr>
        <w:t>Edumanom</w:t>
      </w:r>
      <w:r>
        <w:rPr>
          <w:rFonts w:ascii="Times New Roman" w:hAnsi="Times New Roman"/>
          <w:sz w:val="24"/>
          <w:szCs w:val="24"/>
        </w:rPr>
        <w:t xml:space="preserve"> Forest Reserve, Nigeria. </w:t>
      </w:r>
      <w:r>
        <w:rPr>
          <w:rFonts w:ascii="Times New Roman" w:hAnsi="Times New Roman"/>
          <w:i/>
          <w:iCs/>
          <w:sz w:val="24"/>
          <w:szCs w:val="24"/>
        </w:rPr>
        <w:t>Journal of Tropical Zoology</w:t>
      </w:r>
      <w:r>
        <w:rPr>
          <w:rFonts w:ascii="Times New Roman" w:hAnsi="Times New Roman"/>
          <w:sz w:val="24"/>
          <w:szCs w:val="24"/>
        </w:rPr>
        <w:t>.</w:t>
      </w:r>
    </w:p>
    <w:p>
      <w:pPr>
        <w:pStyle w:val="style94"/>
        <w:tabs>
          <w:tab w:val="left" w:leader="none" w:pos="990"/>
        </w:tabs>
        <w:spacing w:before="0" w:beforeAutospacing="false" w:after="240" w:afterAutospacing="false" w:lineRule="exact" w:line="240"/>
        <w:ind w:left="630" w:hanging="630"/>
        <w:jc w:val="both"/>
        <w:rPr/>
      </w:pPr>
      <w:r>
        <w:t xml:space="preserve">Akani, G.C., </w:t>
      </w:r>
      <w:r>
        <w:t>Eniang</w:t>
      </w:r>
      <w:r>
        <w:t xml:space="preserve">, E. A., &amp; </w:t>
      </w:r>
      <w:r>
        <w:t>Luiselli</w:t>
      </w:r>
      <w:r>
        <w:t xml:space="preserve">, L. (2019). Bushmeat consumption among urban and rural communities in Nigeria: Patterns and implications for reptile conservation. </w:t>
      </w:r>
      <w:r>
        <w:rPr>
          <w:rStyle w:val="style88"/>
          <w:rFonts w:eastAsia="SimSun"/>
        </w:rPr>
        <w:t>Herpetological Conservation and Biology, 14</w:t>
      </w:r>
      <w:r>
        <w:t>(3), 567–578.</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Alagoa</w:t>
      </w:r>
      <w:r>
        <w:rPr>
          <w:rFonts w:ascii="Times New Roman" w:hAnsi="Times New Roman"/>
          <w:sz w:val="24"/>
          <w:szCs w:val="24"/>
        </w:rPr>
        <w:t xml:space="preserve">, E.J. (2005). A history of the Niger Delta, Port Harcourt. </w:t>
      </w:r>
      <w:r>
        <w:rPr>
          <w:rFonts w:ascii="Times New Roman" w:hAnsi="Times New Roman"/>
          <w:sz w:val="24"/>
          <w:szCs w:val="24"/>
        </w:rPr>
        <w:t>Onyoma</w:t>
      </w:r>
      <w:r>
        <w:rPr>
          <w:rFonts w:ascii="Times New Roman" w:hAnsi="Times New Roman"/>
          <w:sz w:val="24"/>
          <w:szCs w:val="24"/>
        </w:rPr>
        <w:t xml:space="preserve"> Research Publication. ISBN: 978-37314-5-9.</w:t>
      </w:r>
    </w:p>
    <w:p>
      <w:pPr>
        <w:pStyle w:val="style94"/>
        <w:tabs>
          <w:tab w:val="left" w:leader="none" w:pos="990"/>
        </w:tabs>
        <w:spacing w:before="0" w:beforeAutospacing="false" w:after="240" w:afterAutospacing="false" w:lineRule="exact" w:line="240"/>
        <w:ind w:left="630" w:hanging="630"/>
        <w:jc w:val="both"/>
        <w:rPr/>
      </w:pPr>
      <w:r>
        <w:t xml:space="preserve">Amadi, N., Ogbonna, J., &amp; Uka, J. (2022). Bushmeat exploitation and sustainability challenges in West Africa. </w:t>
      </w:r>
      <w:r>
        <w:rPr>
          <w:rStyle w:val="style88"/>
          <w:rFonts w:eastAsia="SimSun"/>
        </w:rPr>
        <w:t>Biodiversity and Conservation</w:t>
      </w:r>
      <w:r>
        <w:t xml:space="preserve">, 31(7), 1883–1901. </w:t>
      </w:r>
      <w:r>
        <w:rPr/>
        <w:fldChar w:fldCharType="begin"/>
      </w:r>
      <w:r>
        <w:instrText xml:space="preserve"> HYPERLINK "https://doi.org/10.1007/s10531-022-02389-5" </w:instrText>
      </w:r>
      <w:r>
        <w:rPr/>
        <w:fldChar w:fldCharType="separate"/>
      </w:r>
      <w:r>
        <w:rPr>
          <w:rStyle w:val="style85"/>
          <w:rFonts w:eastAsia="SimSun"/>
        </w:rPr>
        <w:t>https://doi.org/10.1007/s10531-022-02389-5</w:t>
      </w:r>
      <w:r>
        <w:rPr/>
        <w:fldChar w:fldCharType="end"/>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Bates, D., </w:t>
      </w:r>
      <w:r>
        <w:rPr>
          <w:rFonts w:ascii="Times New Roman" w:hAnsi="Times New Roman"/>
          <w:sz w:val="24"/>
          <w:szCs w:val="24"/>
        </w:rPr>
        <w:t>Mächler</w:t>
      </w:r>
      <w:r>
        <w:rPr>
          <w:rFonts w:ascii="Times New Roman" w:hAnsi="Times New Roman"/>
          <w:sz w:val="24"/>
          <w:szCs w:val="24"/>
        </w:rPr>
        <w:t xml:space="preserve">, M., Bolker, B., &amp; Walker, S. (2015). Fitting linear mixed-effects models using lme4. </w:t>
      </w:r>
      <w:r>
        <w:rPr>
          <w:rStyle w:val="style88"/>
          <w:rFonts w:ascii="Times New Roman" w:hAnsi="Times New Roman"/>
          <w:sz w:val="24"/>
          <w:szCs w:val="24"/>
        </w:rPr>
        <w:t>Journal of Statistical Software, 67</w:t>
      </w:r>
      <w:r>
        <w:rPr>
          <w:rFonts w:ascii="Times New Roman" w:hAnsi="Times New Roman"/>
          <w:sz w:val="24"/>
          <w:szCs w:val="24"/>
        </w:rPr>
        <w:t xml:space="preserve">(1), 1–48. </w:t>
      </w:r>
      <w:r>
        <w:rPr/>
        <w:fldChar w:fldCharType="begin"/>
      </w:r>
      <w:r>
        <w:instrText xml:space="preserve"> HYPERLINK "https://doi.org/10.18637/jss.v067.i01" </w:instrText>
      </w:r>
      <w:r>
        <w:rPr/>
        <w:fldChar w:fldCharType="separate"/>
      </w:r>
      <w:r>
        <w:rPr>
          <w:rStyle w:val="style85"/>
          <w:rFonts w:ascii="Times New Roman" w:hAnsi="Times New Roman"/>
          <w:sz w:val="24"/>
          <w:szCs w:val="24"/>
        </w:rPr>
        <w:t>https://doi.org/10.18637/jss.v067.i01</w:t>
      </w:r>
      <w:r>
        <w:rPr/>
        <w:fldChar w:fldCharType="end"/>
      </w:r>
      <w:r>
        <w:rPr>
          <w:rFonts w:ascii="Times New Roman" w:hAnsi="Times New Roman"/>
          <w:sz w:val="24"/>
          <w:szCs w:val="24"/>
        </w:rPr>
        <w:t xml:space="preserve">. </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Brooks, M. E., Kristensen, K., van Benthem, K. J., Magnusson, A., Berg, C. W., Nielsen, A., Skaug, H. J., </w:t>
      </w:r>
      <w:r>
        <w:rPr>
          <w:rFonts w:ascii="Times New Roman" w:hAnsi="Times New Roman"/>
          <w:sz w:val="24"/>
          <w:szCs w:val="24"/>
        </w:rPr>
        <w:t>Mächler</w:t>
      </w:r>
      <w:r>
        <w:rPr>
          <w:rFonts w:ascii="Times New Roman" w:hAnsi="Times New Roman"/>
          <w:sz w:val="24"/>
          <w:szCs w:val="24"/>
        </w:rPr>
        <w:t xml:space="preserve">, M., &amp; Bolker, B. M. (2017). </w:t>
      </w:r>
      <w:r>
        <w:rPr>
          <w:rFonts w:ascii="Times New Roman" w:hAnsi="Times New Roman"/>
          <w:sz w:val="24"/>
          <w:szCs w:val="24"/>
        </w:rPr>
        <w:t>glmmTMB</w:t>
      </w:r>
      <w:r>
        <w:rPr>
          <w:rFonts w:ascii="Times New Roman" w:hAnsi="Times New Roman"/>
          <w:sz w:val="24"/>
          <w:szCs w:val="24"/>
        </w:rPr>
        <w:t xml:space="preserve"> balances speed and flexibility among packages for zero-inflated generalized linear mixed modeling. </w:t>
      </w:r>
      <w:r>
        <w:rPr>
          <w:rStyle w:val="style88"/>
          <w:rFonts w:ascii="Times New Roman" w:hAnsi="Times New Roman"/>
          <w:sz w:val="24"/>
          <w:szCs w:val="24"/>
        </w:rPr>
        <w:t>The R Journal, 9</w:t>
      </w:r>
      <w:r>
        <w:rPr>
          <w:rFonts w:ascii="Times New Roman" w:hAnsi="Times New Roman"/>
          <w:sz w:val="24"/>
          <w:szCs w:val="24"/>
        </w:rPr>
        <w:t xml:space="preserve">(2), 378–400. </w:t>
      </w:r>
      <w:r>
        <w:rPr/>
        <w:fldChar w:fldCharType="begin"/>
      </w:r>
      <w:r>
        <w:instrText xml:space="preserve"> HYPERLINK "https://doi.org/10.32614/RJ-2017-066" </w:instrText>
      </w:r>
      <w:r>
        <w:rPr/>
        <w:fldChar w:fldCharType="separate"/>
      </w:r>
      <w:r>
        <w:rPr>
          <w:rStyle w:val="style85"/>
          <w:rFonts w:ascii="Times New Roman" w:hAnsi="Times New Roman"/>
          <w:sz w:val="24"/>
          <w:szCs w:val="24"/>
        </w:rPr>
        <w:t>https://doi.org/10.32614/RJ-2017-066</w:t>
      </w:r>
      <w:r>
        <w:rPr/>
        <w:fldChar w:fldCharType="end"/>
      </w:r>
      <w:r>
        <w:rPr>
          <w:rFonts w:ascii="Times New Roman" w:hAnsi="Times New Roman"/>
          <w:sz w:val="24"/>
          <w:szCs w:val="24"/>
        </w:rPr>
        <w:t>.</w:t>
      </w:r>
      <w:r>
        <w:rPr>
          <w:rFonts w:ascii="Times New Roman" w:hAnsi="Times New Roman"/>
          <w:sz w:val="24"/>
          <w:szCs w:val="24"/>
        </w:rPr>
        <w:t xml:space="preserve"> </w:t>
      </w:r>
    </w:p>
    <w:p>
      <w:pPr>
        <w:pStyle w:val="style0"/>
        <w:spacing w:after="240"/>
        <w:ind w:left="630" w:hanging="630"/>
        <w:jc w:val="both"/>
        <w:rPr>
          <w:rFonts w:ascii="Times New Roman" w:hAnsi="Times New Roman"/>
          <w:color w:val="222222"/>
          <w:sz w:val="24"/>
          <w:szCs w:val="24"/>
          <w:shd w:val="clear" w:color="auto" w:fill="ffffff"/>
        </w:rPr>
      </w:pPr>
      <w:r>
        <w:rPr>
          <w:rFonts w:ascii="Times New Roman" w:hAnsi="Times New Roman"/>
          <w:color w:val="222222"/>
          <w:sz w:val="24"/>
          <w:szCs w:val="24"/>
          <w:shd w:val="clear" w:color="auto" w:fill="ffffff"/>
        </w:rPr>
        <w:t>Chihona</w:t>
      </w:r>
      <w:r>
        <w:rPr>
          <w:rFonts w:ascii="Times New Roman" w:hAnsi="Times New Roman"/>
          <w:color w:val="222222"/>
          <w:sz w:val="24"/>
          <w:szCs w:val="24"/>
          <w:shd w:val="clear" w:color="auto" w:fill="ffffff"/>
        </w:rPr>
        <w:t>, S. (2014). The impact of Nile crocodile (</w:t>
      </w:r>
      <w:r>
        <w:rPr>
          <w:rFonts w:ascii="Times New Roman" w:hAnsi="Times New Roman"/>
          <w:i/>
          <w:iCs/>
          <w:color w:val="222222"/>
          <w:sz w:val="24"/>
          <w:szCs w:val="24"/>
          <w:shd w:val="clear" w:color="auto" w:fill="ffffff"/>
        </w:rPr>
        <w:t>Crocodylus niloticus</w:t>
      </w:r>
      <w:r>
        <w:rPr>
          <w:rFonts w:ascii="Times New Roman" w:hAnsi="Times New Roman"/>
          <w:color w:val="222222"/>
          <w:sz w:val="24"/>
          <w:szCs w:val="24"/>
          <w:shd w:val="clear" w:color="auto" w:fill="ffffff"/>
        </w:rPr>
        <w:t xml:space="preserve">) on the communal livelihoods: a case study of areas surrounding Ruti Dam in Gutu and </w:t>
      </w:r>
      <w:r>
        <w:rPr>
          <w:rFonts w:ascii="Times New Roman" w:hAnsi="Times New Roman"/>
          <w:color w:val="222222"/>
          <w:sz w:val="24"/>
          <w:szCs w:val="24"/>
          <w:shd w:val="clear" w:color="auto" w:fill="ffffff"/>
        </w:rPr>
        <w:t>Buhera</w:t>
      </w:r>
      <w:r>
        <w:rPr>
          <w:rFonts w:ascii="Times New Roman" w:hAnsi="Times New Roman"/>
          <w:color w:val="222222"/>
          <w:sz w:val="24"/>
          <w:szCs w:val="24"/>
          <w:shd w:val="clear" w:color="auto" w:fill="ffffff"/>
        </w:rPr>
        <w:t xml:space="preserve"> districts in Zimbabwe. </w:t>
      </w:r>
      <w:r>
        <w:rPr/>
        <w:fldChar w:fldCharType="begin"/>
      </w:r>
      <w:r>
        <w:instrText xml:space="preserve"> HYPERLINK "https://uir.unisa.ac.za/handle/10500/18582?show=full" </w:instrText>
      </w:r>
      <w:r>
        <w:rPr/>
        <w:fldChar w:fldCharType="separate"/>
      </w:r>
      <w:r>
        <w:rPr>
          <w:rStyle w:val="style85"/>
          <w:rFonts w:ascii="Times New Roman" w:hAnsi="Times New Roman"/>
          <w:sz w:val="24"/>
          <w:szCs w:val="24"/>
          <w:shd w:val="clear" w:color="auto" w:fill="ffffff"/>
        </w:rPr>
        <w:t>https://uir.unisa.ac.za/handle/10500/18582?show=full</w:t>
      </w:r>
      <w:r>
        <w:rPr/>
        <w:fldChar w:fldCharType="end"/>
      </w:r>
      <w:r>
        <w:rPr>
          <w:rFonts w:ascii="Times New Roman" w:hAnsi="Times New Roman"/>
          <w:color w:val="222222"/>
          <w:sz w:val="24"/>
          <w:szCs w:val="24"/>
          <w:shd w:val="clear" w:color="auto" w:fill="ffffff"/>
        </w:rPr>
        <w:t>.</w:t>
      </w:r>
      <w:r>
        <w:rPr>
          <w:rFonts w:ascii="Times New Roman" w:hAnsi="Times New Roman"/>
          <w:color w:val="222222"/>
          <w:sz w:val="24"/>
          <w:szCs w:val="24"/>
          <w:shd w:val="clear" w:color="auto" w:fill="ffffff"/>
        </w:rPr>
        <w:t xml:space="preserve"> </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Eaton, M. J., Martin, A., </w:t>
      </w:r>
      <w:r>
        <w:rPr>
          <w:rFonts w:ascii="Times New Roman" w:hAnsi="Times New Roman"/>
          <w:sz w:val="24"/>
          <w:szCs w:val="24"/>
        </w:rPr>
        <w:t>Thorbjarnarson</w:t>
      </w:r>
      <w:r>
        <w:rPr>
          <w:rFonts w:ascii="Times New Roman" w:hAnsi="Times New Roman"/>
          <w:sz w:val="24"/>
          <w:szCs w:val="24"/>
        </w:rPr>
        <w:t xml:space="preserve">, J., &amp; Amato, G. (2009). </w:t>
      </w:r>
      <w:r>
        <w:rPr>
          <w:rStyle w:val="style88"/>
          <w:rFonts w:ascii="Times New Roman" w:hAnsi="Times New Roman"/>
          <w:sz w:val="24"/>
          <w:szCs w:val="24"/>
        </w:rPr>
        <w:t xml:space="preserve">Species-level diversification of African dwarf crocodiles (Genus </w:t>
      </w:r>
      <w:r>
        <w:rPr>
          <w:rStyle w:val="style88"/>
          <w:rFonts w:ascii="Times New Roman" w:hAnsi="Times New Roman"/>
          <w:sz w:val="24"/>
          <w:szCs w:val="24"/>
        </w:rPr>
        <w:t>Osteolaemus</w:t>
      </w:r>
      <w:r>
        <w:rPr>
          <w:rStyle w:val="style88"/>
          <w:rFonts w:ascii="Times New Roman" w:hAnsi="Times New Roman"/>
          <w:sz w:val="24"/>
          <w:szCs w:val="24"/>
        </w:rPr>
        <w:t>): A geographic and phylogenetic perspective.</w:t>
      </w:r>
      <w:r>
        <w:rPr>
          <w:rFonts w:ascii="Times New Roman" w:hAnsi="Times New Roman"/>
          <w:sz w:val="24"/>
          <w:szCs w:val="24"/>
        </w:rPr>
        <w:t xml:space="preserve"> </w:t>
      </w:r>
      <w:r>
        <w:rPr>
          <w:rStyle w:val="style88"/>
          <w:rFonts w:ascii="Times New Roman" w:hAnsi="Times New Roman"/>
          <w:sz w:val="24"/>
          <w:szCs w:val="24"/>
        </w:rPr>
        <w:t>Molecular Phylogenetics and Evolution, 50</w:t>
      </w:r>
      <w:r>
        <w:rPr>
          <w:rFonts w:ascii="Times New Roman" w:hAnsi="Times New Roman"/>
          <w:sz w:val="24"/>
          <w:szCs w:val="24"/>
        </w:rPr>
        <w:t xml:space="preserve">(3), 496–506. </w:t>
      </w:r>
      <w:r>
        <w:rPr/>
        <w:fldChar w:fldCharType="begin"/>
      </w:r>
      <w:r>
        <w:instrText xml:space="preserve"> HYPERLINK "https://doi.org/10.1016/j.ympev.2008.11.009" </w:instrText>
      </w:r>
      <w:r>
        <w:rPr/>
        <w:fldChar w:fldCharType="separate"/>
      </w:r>
      <w:r>
        <w:rPr>
          <w:rStyle w:val="style85"/>
          <w:rFonts w:ascii="Times New Roman" w:hAnsi="Times New Roman"/>
          <w:sz w:val="24"/>
          <w:szCs w:val="24"/>
        </w:rPr>
        <w:t>https://doi.org/10.1016/j.ympev.2008.11.009</w:t>
      </w:r>
      <w:r>
        <w:rPr/>
        <w:fldChar w:fldCharType="end"/>
      </w:r>
      <w:r>
        <w:rPr>
          <w:rFonts w:ascii="Times New Roman" w:hAnsi="Times New Roman"/>
          <w:sz w:val="24"/>
          <w:szCs w:val="24"/>
        </w:rPr>
        <w:t>.</w:t>
      </w:r>
      <w:r>
        <w:rPr>
          <w:rFonts w:ascii="Times New Roman" w:hAnsi="Times New Roman"/>
          <w:sz w:val="24"/>
          <w:szCs w:val="24"/>
        </w:rPr>
        <w:t xml:space="preserve"> </w:t>
      </w:r>
    </w:p>
    <w:p>
      <w:pPr>
        <w:pStyle w:val="style0"/>
        <w:spacing w:after="240" w:lineRule="auto" w:line="240"/>
        <w:ind w:left="630" w:hanging="630"/>
        <w:jc w:val="both"/>
        <w:rPr>
          <w:rFonts w:ascii="Times New Roman" w:hAnsi="Times New Roman"/>
          <w:sz w:val="24"/>
          <w:szCs w:val="24"/>
        </w:rPr>
      </w:pPr>
      <w:r>
        <w:rPr>
          <w:rFonts w:ascii="Times New Roman" w:eastAsia="Calibri" w:hAnsi="Times New Roman"/>
          <w:sz w:val="24"/>
          <w:szCs w:val="24"/>
        </w:rPr>
        <w:t xml:space="preserve">Eaton, M.J. (2009). Conservation and sustainable management of the dwarf crocodile </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Eaton, M.J. (2010). Ecology, conservation and management of the Central African dwarf crocodile (</w:t>
      </w:r>
      <w:r>
        <w:rPr>
          <w:rFonts w:ascii="Times New Roman" w:hAnsi="Times New Roman"/>
          <w:i/>
          <w:iCs/>
          <w:sz w:val="24"/>
          <w:szCs w:val="24"/>
        </w:rPr>
        <w:t>Osteolaemus</w:t>
      </w:r>
      <w:r>
        <w:rPr>
          <w:rFonts w:ascii="Times New Roman" w:hAnsi="Times New Roman"/>
          <w:i/>
          <w:iCs/>
          <w:sz w:val="24"/>
          <w:szCs w:val="24"/>
        </w:rPr>
        <w:t xml:space="preserve"> </w:t>
      </w:r>
      <w:r>
        <w:rPr>
          <w:rFonts w:ascii="Times New Roman" w:hAnsi="Times New Roman"/>
          <w:i/>
          <w:iCs/>
          <w:sz w:val="24"/>
          <w:szCs w:val="24"/>
        </w:rPr>
        <w:t>tetraspis</w:t>
      </w:r>
      <w:r>
        <w:rPr>
          <w:rFonts w:ascii="Times New Roman" w:hAnsi="Times New Roman"/>
          <w:sz w:val="24"/>
          <w:szCs w:val="24"/>
        </w:rPr>
        <w:t xml:space="preserve">), a progress report. Pp. 84-95   in Crocodiles. Proceedings of the 18th Working Meeting of the IUCN </w:t>
      </w:r>
      <w:r>
        <w:rPr>
          <w:rFonts w:ascii="Times New Roman" w:hAnsi="Times New Roman"/>
          <w:sz w:val="24"/>
          <w:szCs w:val="24"/>
        </w:rPr>
        <w:t>SSC  Crocodile</w:t>
      </w:r>
      <w:r>
        <w:rPr>
          <w:rFonts w:ascii="Times New Roman" w:hAnsi="Times New Roman"/>
          <w:sz w:val="24"/>
          <w:szCs w:val="24"/>
        </w:rPr>
        <w:t xml:space="preserve"> Specialist Group. IUCN: Gland.</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Eniang</w:t>
      </w:r>
      <w:r>
        <w:rPr>
          <w:rFonts w:ascii="Times New Roman" w:hAnsi="Times New Roman"/>
          <w:sz w:val="24"/>
          <w:szCs w:val="24"/>
        </w:rPr>
        <w:t xml:space="preserve">, A., Godfrey, C., Akani, D., </w:t>
      </w:r>
      <w:r>
        <w:rPr>
          <w:rFonts w:ascii="Times New Roman" w:hAnsi="Times New Roman"/>
          <w:sz w:val="24"/>
          <w:szCs w:val="24"/>
        </w:rPr>
        <w:t>Dendi</w:t>
      </w:r>
      <w:r>
        <w:rPr>
          <w:rFonts w:ascii="Times New Roman" w:hAnsi="Times New Roman"/>
          <w:sz w:val="24"/>
          <w:szCs w:val="24"/>
        </w:rPr>
        <w:t xml:space="preserve">, J. and Lucas, L. (2020). People's perception of crocodile in Nigeria. </w:t>
      </w:r>
      <w:r>
        <w:rPr>
          <w:rFonts w:ascii="Times New Roman" w:hAnsi="Times New Roman"/>
          <w:i/>
          <w:iCs/>
          <w:sz w:val="24"/>
          <w:szCs w:val="24"/>
        </w:rPr>
        <w:t>Herpetological Journal</w:t>
      </w:r>
      <w:r>
        <w:rPr>
          <w:rFonts w:ascii="Times New Roman" w:hAnsi="Times New Roman"/>
          <w:sz w:val="24"/>
          <w:szCs w:val="24"/>
        </w:rPr>
        <w:t>, 30: 112-116.</w:t>
      </w:r>
    </w:p>
    <w:p>
      <w:pPr>
        <w:pStyle w:val="style94"/>
        <w:tabs>
          <w:tab w:val="left" w:leader="none" w:pos="990"/>
        </w:tabs>
        <w:spacing w:before="0" w:beforeAutospacing="false" w:after="240" w:afterAutospacing="false" w:lineRule="exact" w:line="240"/>
        <w:ind w:left="630" w:hanging="630"/>
        <w:jc w:val="both"/>
        <w:rPr/>
      </w:pPr>
      <w:r>
        <w:t xml:space="preserve">Fa, J.E., Olivero, J., &amp; Real, R. (2022). Bushmeat trade and consumption in West and Central Africa: Drivers, scale, and conservation implications. </w:t>
      </w:r>
      <w:r>
        <w:rPr>
          <w:rStyle w:val="style88"/>
          <w:rFonts w:eastAsia="SimSun"/>
        </w:rPr>
        <w:t>Biological Conservation, 268</w:t>
      </w:r>
      <w:r>
        <w:t xml:space="preserve">, 109515. </w:t>
      </w:r>
    </w:p>
    <w:p>
      <w:pPr>
        <w:pStyle w:val="style94"/>
        <w:tabs>
          <w:tab w:val="left" w:leader="none" w:pos="990"/>
        </w:tabs>
        <w:spacing w:before="0" w:beforeAutospacing="false" w:after="240" w:afterAutospacing="false" w:lineRule="exact" w:line="240"/>
        <w:ind w:left="630" w:hanging="630"/>
        <w:jc w:val="both"/>
        <w:rPr/>
      </w:pPr>
      <w:r>
        <w:t xml:space="preserve">Fa, J.E., Olivero, J., Real, R., </w:t>
      </w:r>
      <w:r>
        <w:t>Farfán</w:t>
      </w:r>
      <w:r>
        <w:t>, M. Á., Márquez, A. L., Vargas, J. M.</w:t>
      </w:r>
      <w:r>
        <w:t>,  &amp;</w:t>
      </w:r>
      <w:r>
        <w:t xml:space="preserve"> Nasi, R. (2019). Disentangling the relative effects of bushmeat availability on human nutrition in Central Africa. </w:t>
      </w:r>
      <w:r>
        <w:rPr>
          <w:rStyle w:val="style88"/>
          <w:rFonts w:eastAsia="SimSun"/>
        </w:rPr>
        <w:t>Scientific Reports</w:t>
      </w:r>
      <w:r>
        <w:t>, 9, 7856.</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Franke, Franziska Anni; Schmidt, Fabian; Borgwardt, Christin; Bernhard, Detlef; </w:t>
      </w:r>
      <w:r>
        <w:rPr>
          <w:rFonts w:ascii="Times New Roman" w:hAnsi="Times New Roman"/>
          <w:sz w:val="24"/>
          <w:szCs w:val="24"/>
        </w:rPr>
        <w:t>Bleidorn</w:t>
      </w:r>
      <w:r>
        <w:rPr>
          <w:rFonts w:ascii="Times New Roman" w:hAnsi="Times New Roman"/>
          <w:sz w:val="24"/>
          <w:szCs w:val="24"/>
        </w:rPr>
        <w:t xml:space="preserve">, Christoph; Engelmann, Wolf-Eberhard &amp; Schlegel, Martin (2013). "Genetic differentiation of the African dwarf crocodile </w:t>
      </w:r>
      <w:r>
        <w:rPr>
          <w:rFonts w:ascii="Times New Roman" w:hAnsi="Times New Roman"/>
          <w:sz w:val="24"/>
          <w:szCs w:val="24"/>
        </w:rPr>
        <w:t>Osteolaemus</w:t>
      </w:r>
      <w:r>
        <w:rPr>
          <w:rFonts w:ascii="Times New Roman" w:hAnsi="Times New Roman"/>
          <w:sz w:val="24"/>
          <w:szCs w:val="24"/>
        </w:rPr>
        <w:t xml:space="preserve"> </w:t>
      </w:r>
      <w:r>
        <w:rPr>
          <w:rFonts w:ascii="Times New Roman" w:hAnsi="Times New Roman"/>
          <w:sz w:val="24"/>
          <w:szCs w:val="24"/>
        </w:rPr>
        <w:t>tetraspis</w:t>
      </w:r>
      <w:r>
        <w:rPr>
          <w:rFonts w:ascii="Times New Roman" w:hAnsi="Times New Roman"/>
          <w:sz w:val="24"/>
          <w:szCs w:val="24"/>
        </w:rPr>
        <w:t xml:space="preserve"> Cope, 1861 (</w:t>
      </w:r>
      <w:r>
        <w:rPr>
          <w:rFonts w:ascii="Times New Roman" w:hAnsi="Times New Roman"/>
          <w:sz w:val="24"/>
          <w:szCs w:val="24"/>
        </w:rPr>
        <w:t>Crocodylia</w:t>
      </w:r>
      <w:r>
        <w:rPr>
          <w:rFonts w:ascii="Times New Roman" w:hAnsi="Times New Roman"/>
          <w:sz w:val="24"/>
          <w:szCs w:val="24"/>
        </w:rPr>
        <w:t>: Crocodylidae) and consequences for European zoos". Organisms Diversity &amp; Evolution. 13 (2): 255–266. doi:10.1007/s13127-012-0107-1. S2CID 14636510</w:t>
      </w:r>
    </w:p>
    <w:p>
      <w:pPr>
        <w:pStyle w:val="style94"/>
        <w:tabs>
          <w:tab w:val="left" w:leader="none" w:pos="990"/>
        </w:tabs>
        <w:spacing w:before="0" w:beforeAutospacing="false" w:after="240" w:afterAutospacing="false" w:lineRule="exact" w:line="240"/>
        <w:ind w:left="630" w:hanging="630"/>
        <w:jc w:val="both"/>
        <w:rPr/>
      </w:pPr>
      <w:r>
        <w:t>Gvoždík</w:t>
      </w:r>
      <w:r>
        <w:t xml:space="preserve">, V., Gonwouo, L. N., Wilkinson, M., </w:t>
      </w:r>
      <w:r>
        <w:t>Kouete</w:t>
      </w:r>
      <w:r>
        <w:t xml:space="preserve">, M. T., &amp; Loader, S. P. (2024). </w:t>
      </w:r>
      <w:r>
        <w:t>Phylogenomics</w:t>
      </w:r>
      <w:r>
        <w:t xml:space="preserve"> of African dwarf crocodiles (</w:t>
      </w:r>
      <w:r>
        <w:rPr>
          <w:rStyle w:val="style88"/>
          <w:rFonts w:eastAsia="SimSun"/>
        </w:rPr>
        <w:t>Osteolaemus</w:t>
      </w:r>
      <w:r>
        <w:t xml:space="preserve">) </w:t>
      </w:r>
      <w:r>
        <w:t>reveals</w:t>
      </w:r>
      <w:r>
        <w:t xml:space="preserve"> cryptic diversity and evolutionary distinctiveness. </w:t>
      </w:r>
      <w:r>
        <w:rPr>
          <w:rStyle w:val="style88"/>
          <w:rFonts w:eastAsia="SimSun"/>
        </w:rPr>
        <w:t>Scientific Reports, 14</w:t>
      </w:r>
      <w:r>
        <w:t xml:space="preserve">, 5125. </w:t>
      </w:r>
      <w:r>
        <w:rPr/>
        <w:fldChar w:fldCharType="begin"/>
      </w:r>
      <w:r>
        <w:instrText xml:space="preserve"> HYPERLINK "https://doi.org/10.1038/s41598-025-08789-3" </w:instrText>
      </w:r>
      <w:r>
        <w:rPr/>
        <w:fldChar w:fldCharType="separate"/>
      </w:r>
      <w:r>
        <w:rPr>
          <w:rStyle w:val="style85"/>
          <w:rFonts w:eastAsia="SimSun"/>
        </w:rPr>
        <w:t>https://doi.org/10.1038/s41598-025-08789-3</w:t>
      </w:r>
      <w:r>
        <w:rPr/>
        <w:fldChar w:fldCharType="end"/>
      </w:r>
    </w:p>
    <w:p>
      <w:pPr>
        <w:pStyle w:val="style0"/>
        <w:spacing w:after="240" w:lineRule="auto" w:line="240"/>
        <w:ind w:left="630" w:hanging="630"/>
        <w:jc w:val="both"/>
        <w:rPr>
          <w:rFonts w:ascii="Times New Roman" w:hAnsi="Times New Roman"/>
          <w:sz w:val="24"/>
          <w:szCs w:val="24"/>
        </w:rPr>
      </w:pPr>
      <w:r>
        <w:rPr>
          <w:rFonts w:ascii="Times New Roman" w:eastAsia="Calibri" w:hAnsi="Times New Roman"/>
          <w:sz w:val="24"/>
          <w:szCs w:val="24"/>
          <w:lang w:eastAsia="en-US"/>
        </w:rPr>
        <w:t>Heather, R. (2023)</w:t>
      </w:r>
      <w:r>
        <w:rPr>
          <w:rFonts w:ascii="Times New Roman" w:eastAsia="Calibri" w:hAnsi="Times New Roman"/>
          <w:sz w:val="24"/>
          <w:szCs w:val="24"/>
        </w:rPr>
        <w:t xml:space="preserve">. </w:t>
      </w:r>
      <w:r>
        <w:rPr>
          <w:rFonts w:ascii="Times New Roman" w:eastAsia="Calibri" w:hAnsi="Times New Roman"/>
          <w:sz w:val="24"/>
          <w:szCs w:val="24"/>
          <w:lang w:eastAsia="en-US"/>
        </w:rPr>
        <w:t xml:space="preserve">Dwarf Crocodile </w:t>
      </w:r>
      <w:r>
        <w:rPr>
          <w:rFonts w:ascii="Times New Roman" w:eastAsia="Calibri" w:hAnsi="Times New Roman"/>
          <w:i/>
          <w:iCs/>
          <w:sz w:val="24"/>
          <w:szCs w:val="24"/>
          <w:lang w:eastAsia="en-US"/>
        </w:rPr>
        <w:t>Osteolaemus</w:t>
      </w:r>
      <w:r>
        <w:rPr>
          <w:rFonts w:ascii="Times New Roman" w:eastAsia="Calibri" w:hAnsi="Times New Roman"/>
          <w:i/>
          <w:iCs/>
          <w:sz w:val="24"/>
          <w:szCs w:val="24"/>
          <w:lang w:eastAsia="en-US"/>
        </w:rPr>
        <w:t xml:space="preserve"> </w:t>
      </w:r>
      <w:r>
        <w:rPr>
          <w:rFonts w:ascii="Times New Roman" w:eastAsia="Calibri" w:hAnsi="Times New Roman"/>
          <w:i/>
          <w:iCs/>
          <w:sz w:val="24"/>
          <w:szCs w:val="24"/>
          <w:lang w:eastAsia="en-US"/>
        </w:rPr>
        <w:t>tetraspis</w:t>
      </w:r>
      <w:r>
        <w:rPr>
          <w:rFonts w:ascii="Times New Roman" w:eastAsia="Calibri" w:hAnsi="Times New Roman"/>
          <w:i/>
          <w:iCs/>
          <w:sz w:val="24"/>
          <w:szCs w:val="24"/>
        </w:rPr>
        <w:t xml:space="preserve">. </w:t>
      </w:r>
      <w:r>
        <w:rPr/>
        <w:fldChar w:fldCharType="begin"/>
      </w:r>
      <w:r>
        <w:instrText xml:space="preserve"> HYPERLINK "https://animaldiversity.org/" </w:instrText>
      </w:r>
      <w:r>
        <w:rPr/>
        <w:fldChar w:fldCharType="separate"/>
      </w:r>
      <w:r>
        <w:rPr>
          <w:rStyle w:val="style85"/>
          <w:rFonts w:ascii="Times New Roman" w:hAnsi="Times New Roman"/>
          <w:sz w:val="24"/>
          <w:szCs w:val="24"/>
        </w:rPr>
        <w:t>https://animaldiversity.org</w:t>
      </w:r>
      <w:r>
        <w:rPr/>
        <w:fldChar w:fldCharType="end"/>
      </w:r>
      <w:r>
        <w:rPr>
          <w:rFonts w:ascii="Times New Roman" w:eastAsia="Calibri" w:hAnsi="Times New Roman"/>
          <w:sz w:val="24"/>
          <w:szCs w:val="24"/>
        </w:rPr>
        <w:t xml:space="preserve">. </w:t>
      </w:r>
    </w:p>
    <w:p>
      <w:pPr>
        <w:pStyle w:val="style94"/>
        <w:tabs>
          <w:tab w:val="left" w:leader="none" w:pos="990"/>
        </w:tabs>
        <w:spacing w:before="0" w:beforeAutospacing="false" w:after="240" w:afterAutospacing="false" w:lineRule="exact" w:line="240"/>
        <w:ind w:left="630" w:hanging="630"/>
        <w:jc w:val="both"/>
        <w:rPr/>
      </w:pPr>
      <w:r>
        <w:t>Hekkala</w:t>
      </w:r>
      <w:r>
        <w:t xml:space="preserve">, E., Shirley, M. H., Amato, G., Austin, J. D., Charter, S., </w:t>
      </w:r>
      <w:r>
        <w:t>Thorbjarnarson</w:t>
      </w:r>
      <w:r>
        <w:t xml:space="preserve">, J., Vliet, K. A., Houck, M. L., Desalle, R., &amp; Blum, M. J. (2020). An ancient icon reveals new mysteries: Comparative phylogeography of African dwarf crocodiles. </w:t>
      </w:r>
      <w:r>
        <w:rPr>
          <w:rStyle w:val="style88"/>
          <w:rFonts w:eastAsia="SimSun"/>
        </w:rPr>
        <w:t>Molecular Ecology</w:t>
      </w:r>
      <w:r>
        <w:t xml:space="preserve">, 29(3), 491–504. </w:t>
      </w:r>
    </w:p>
    <w:p>
      <w:pPr>
        <w:pStyle w:val="style0"/>
        <w:spacing w:after="240"/>
        <w:ind w:left="630" w:hanging="630"/>
        <w:jc w:val="both"/>
        <w:rPr>
          <w:rFonts w:ascii="Times New Roman" w:hAnsi="Times New Roman"/>
          <w:sz w:val="24"/>
          <w:szCs w:val="24"/>
        </w:rPr>
      </w:pPr>
      <w:r>
        <w:rPr>
          <w:rFonts w:ascii="Times New Roman" w:hAnsi="Times New Roman"/>
          <w:sz w:val="24"/>
          <w:szCs w:val="24"/>
        </w:rPr>
        <w:t xml:space="preserve">Hughes, A., Auliya, M., Altherr, S., Scheffers, B., Janssen, J., Nijman, V., Shepherd, C. R., D’Cruze, N., Sy, E., &amp; Edwards, D. P. (2023). Determining the sustainability of legal wildlife trade. </w:t>
      </w:r>
      <w:r>
        <w:rPr>
          <w:rStyle w:val="style88"/>
          <w:rFonts w:ascii="Times New Roman" w:hAnsi="Times New Roman"/>
          <w:sz w:val="24"/>
          <w:szCs w:val="24"/>
        </w:rPr>
        <w:t>Journal of Environmental Management, 341,</w:t>
      </w:r>
      <w:r>
        <w:rPr>
          <w:rFonts w:ascii="Times New Roman" w:hAnsi="Times New Roman"/>
          <w:sz w:val="24"/>
          <w:szCs w:val="24"/>
        </w:rPr>
        <w:t xml:space="preserve"> 117987. </w:t>
      </w:r>
      <w:r>
        <w:rPr/>
        <w:fldChar w:fldCharType="begin"/>
      </w:r>
      <w:r>
        <w:instrText xml:space="preserve"> HYPERLINK "https://doi.org/10.1016/j.jenvman.2023.117987" \t "_new" </w:instrText>
      </w:r>
      <w:r>
        <w:rPr/>
        <w:fldChar w:fldCharType="separate"/>
      </w:r>
      <w:r>
        <w:rPr>
          <w:rStyle w:val="style85"/>
          <w:rFonts w:ascii="Times New Roman" w:hAnsi="Times New Roman"/>
          <w:sz w:val="24"/>
          <w:szCs w:val="24"/>
        </w:rPr>
        <w:t>https://doi.org/10.1016/j.jenvman.2023.117987</w:t>
      </w:r>
      <w:r>
        <w:rPr/>
        <w:fldChar w:fldCharType="end"/>
      </w:r>
      <w:r>
        <w:rPr>
          <w:rFonts w:ascii="Times New Roman" w:hAnsi="Times New Roman"/>
          <w:sz w:val="24"/>
          <w:szCs w:val="24"/>
        </w:rPr>
        <w:t>.</w:t>
      </w:r>
    </w:p>
    <w:p>
      <w:pPr>
        <w:pStyle w:val="style94"/>
        <w:tabs>
          <w:tab w:val="left" w:leader="none" w:pos="990"/>
        </w:tabs>
        <w:spacing w:before="0" w:beforeAutospacing="false" w:after="240" w:afterAutospacing="false" w:lineRule="exact" w:line="240"/>
        <w:ind w:left="630" w:hanging="630"/>
        <w:jc w:val="both"/>
        <w:rPr/>
      </w:pPr>
      <w:r>
        <w:t xml:space="preserve">Ingram, D.J., Coad, L., Abernethy, K. A., </w:t>
      </w:r>
      <w:r>
        <w:t>Maisels</w:t>
      </w:r>
      <w:r>
        <w:t xml:space="preserve">, F., Stokes, E.J., Bobo, K.S., &amp; </w:t>
      </w:r>
      <w:r>
        <w:t>Scharlemann</w:t>
      </w:r>
      <w:r>
        <w:t xml:space="preserve">, J. P. W. (2021). Wild meat is still on the menu: Progress in wild meat research, policy, and practice from 2002 to 2020. </w:t>
      </w:r>
      <w:r>
        <w:rPr>
          <w:rStyle w:val="style88"/>
          <w:rFonts w:eastAsia="SimSun"/>
        </w:rPr>
        <w:t>Annual Review of Environment and Resources</w:t>
      </w:r>
      <w:r>
        <w:t>, 46, 221–254.</w:t>
      </w:r>
    </w:p>
    <w:p>
      <w:pPr>
        <w:pStyle w:val="style94"/>
        <w:tabs>
          <w:tab w:val="left" w:leader="none" w:pos="990"/>
        </w:tabs>
        <w:spacing w:before="0" w:beforeAutospacing="false" w:after="240" w:afterAutospacing="false" w:lineRule="exact" w:line="240"/>
        <w:ind w:left="630" w:hanging="630"/>
        <w:jc w:val="both"/>
        <w:rPr/>
      </w:pPr>
      <w:r>
        <w:t xml:space="preserve">Ito, E.E., </w:t>
      </w:r>
      <w:r>
        <w:t>Agbure</w:t>
      </w:r>
      <w:r>
        <w:t xml:space="preserve">, P.A and </w:t>
      </w:r>
      <w:r>
        <w:t>Egwunyenga</w:t>
      </w:r>
      <w:r>
        <w:rPr>
          <w:shd w:val="clear" w:color="auto" w:fill="ffffff"/>
        </w:rPr>
        <w:t xml:space="preserve">, A.O. (2023a). </w:t>
      </w:r>
      <w:r>
        <w:t xml:space="preserve">Soil-Transmitted Helminths Co-Infected with </w:t>
      </w:r>
      <w:r>
        <w:rPr>
          <w:i/>
          <w:iCs/>
        </w:rPr>
        <w:t>Schistosoma</w:t>
      </w:r>
      <w:r>
        <w:t xml:space="preserve"> in Flood-Plain Communities, Southern, Nigeria.</w:t>
      </w:r>
      <w:r>
        <w:rPr>
          <w:i/>
          <w:iCs/>
        </w:rPr>
        <w:t xml:space="preserve"> Journal of the Egyptian Society of Parasitology,</w:t>
      </w:r>
      <w:r>
        <w:t xml:space="preserve"> 53(3): 593-598.</w:t>
      </w:r>
    </w:p>
    <w:p>
      <w:pPr>
        <w:pStyle w:val="style0"/>
        <w:spacing w:after="240" w:lineRule="auto" w:line="240"/>
        <w:ind w:left="630" w:hanging="63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Ito, E.E., Eze, C.N., and Nduka, F.O. (2023b). Geospatial Seasonal Environmental Impacts on the Distribution and Abundance of </w:t>
      </w:r>
      <w:r>
        <w:rPr>
          <w:rFonts w:ascii="Times New Roman" w:hAnsi="Times New Roman"/>
          <w:i/>
          <w:iCs/>
          <w:sz w:val="24"/>
          <w:szCs w:val="24"/>
          <w:shd w:val="clear" w:color="auto" w:fill="ffffff"/>
        </w:rPr>
        <w:t>Schistosoma haematobium</w:t>
      </w:r>
      <w:r>
        <w:rPr>
          <w:rFonts w:ascii="Times New Roman" w:hAnsi="Times New Roman"/>
          <w:sz w:val="24"/>
          <w:szCs w:val="24"/>
          <w:shd w:val="clear" w:color="auto" w:fill="ffffff"/>
        </w:rPr>
        <w:t xml:space="preserve"> Vectors in Two Districts of the Ase River Catchment, Delta State, Nigeria.</w:t>
      </w:r>
      <w:r>
        <w:rPr>
          <w:rFonts w:ascii="Times New Roman" w:hAnsi="Times New Roman"/>
          <w:i/>
          <w:iCs/>
          <w:sz w:val="24"/>
          <w:szCs w:val="24"/>
          <w:shd w:val="clear" w:color="auto" w:fill="ffffff"/>
        </w:rPr>
        <w:t xml:space="preserve"> Tropical Freshwater Biology. 32,</w:t>
      </w:r>
      <w:r>
        <w:rPr>
          <w:rFonts w:ascii="Times New Roman" w:hAnsi="Times New Roman"/>
          <w:sz w:val="24"/>
          <w:szCs w:val="24"/>
          <w:shd w:val="clear" w:color="auto" w:fill="ffffff"/>
        </w:rPr>
        <w:t xml:space="preserve"> 19-36.   </w:t>
      </w:r>
    </w:p>
    <w:p>
      <w:pPr>
        <w:pStyle w:val="style0"/>
        <w:spacing w:after="240" w:lineRule="auto" w:line="240"/>
        <w:ind w:left="630" w:hanging="630"/>
        <w:jc w:val="both"/>
        <w:rPr>
          <w:rFonts w:ascii="Times New Roman" w:hAnsi="Times New Roman"/>
          <w:sz w:val="24"/>
          <w:szCs w:val="24"/>
          <w:shd w:val="clear" w:color="auto" w:fill="ffffff"/>
        </w:rPr>
      </w:pPr>
      <w:r>
        <w:rPr>
          <w:rFonts w:ascii="Times New Roman" w:hAnsi="Times New Roman"/>
          <w:sz w:val="24"/>
          <w:szCs w:val="24"/>
        </w:rPr>
        <w:t>Ito, E</w:t>
      </w:r>
      <w:r>
        <w:rPr>
          <w:rFonts w:ascii="Times New Roman" w:hAnsi="Times New Roman"/>
          <w:sz w:val="24"/>
          <w:szCs w:val="24"/>
        </w:rPr>
        <w:t>.</w:t>
      </w:r>
      <w:r>
        <w:rPr>
          <w:rFonts w:ascii="Times New Roman" w:hAnsi="Times New Roman"/>
          <w:sz w:val="24"/>
          <w:szCs w:val="24"/>
        </w:rPr>
        <w:t>E</w:t>
      </w:r>
      <w:r>
        <w:rPr>
          <w:rFonts w:ascii="Times New Roman" w:hAnsi="Times New Roman"/>
          <w:sz w:val="24"/>
          <w:szCs w:val="24"/>
        </w:rPr>
        <w:t xml:space="preserve"> and</w:t>
      </w:r>
      <w:r>
        <w:rPr>
          <w:rFonts w:ascii="Times New Roman" w:hAnsi="Times New Roman"/>
          <w:sz w:val="24"/>
          <w:szCs w:val="24"/>
        </w:rPr>
        <w:t xml:space="preserve"> </w:t>
      </w:r>
      <w:r>
        <w:rPr>
          <w:rFonts w:ascii="Times New Roman" w:hAnsi="Times New Roman"/>
          <w:sz w:val="24"/>
          <w:szCs w:val="24"/>
        </w:rPr>
        <w:t>Ugbome</w:t>
      </w:r>
      <w:r>
        <w:rPr>
          <w:rFonts w:ascii="Times New Roman" w:hAnsi="Times New Roman"/>
          <w:sz w:val="24"/>
          <w:szCs w:val="24"/>
        </w:rPr>
        <w:t xml:space="preserve">, I.L (2017). </w:t>
      </w:r>
      <w:r>
        <w:rPr>
          <w:rFonts w:ascii="Times New Roman" w:hAnsi="Times New Roman"/>
          <w:sz w:val="24"/>
          <w:szCs w:val="24"/>
          <w:shd w:val="clear" w:color="auto" w:fill="ffffff"/>
        </w:rPr>
        <w:t>Impact of gas flaring on biodiversity in Niger Delta, Nigeria</w:t>
      </w:r>
      <w:r>
        <w:rPr>
          <w:rFonts w:ascii="Times New Roman" w:hAnsi="Times New Roman"/>
          <w:sz w:val="24"/>
          <w:szCs w:val="24"/>
        </w:rPr>
        <w:t xml:space="preserve">. </w:t>
      </w:r>
      <w:r>
        <w:rPr>
          <w:rFonts w:ascii="Times New Roman" w:hAnsi="Times New Roman"/>
          <w:i/>
          <w:iCs/>
          <w:sz w:val="24"/>
          <w:szCs w:val="24"/>
        </w:rPr>
        <w:t xml:space="preserve">Nigerian </w:t>
      </w:r>
      <w:r>
        <w:rPr>
          <w:rFonts w:ascii="Times New Roman" w:hAnsi="Times New Roman"/>
          <w:i/>
          <w:iCs/>
          <w:sz w:val="24"/>
          <w:szCs w:val="24"/>
        </w:rPr>
        <w:t>J</w:t>
      </w:r>
      <w:r>
        <w:rPr>
          <w:rFonts w:ascii="Times New Roman" w:hAnsi="Times New Roman"/>
          <w:i/>
          <w:iCs/>
          <w:sz w:val="24"/>
          <w:szCs w:val="24"/>
        </w:rPr>
        <w:t xml:space="preserve">ournal of </w:t>
      </w:r>
      <w:r>
        <w:rPr>
          <w:rFonts w:ascii="Times New Roman" w:hAnsi="Times New Roman"/>
          <w:i/>
          <w:iCs/>
          <w:sz w:val="24"/>
          <w:szCs w:val="24"/>
        </w:rPr>
        <w:t>S</w:t>
      </w:r>
      <w:r>
        <w:rPr>
          <w:rFonts w:ascii="Times New Roman" w:hAnsi="Times New Roman"/>
          <w:i/>
          <w:iCs/>
          <w:sz w:val="24"/>
          <w:szCs w:val="24"/>
        </w:rPr>
        <w:t xml:space="preserve">cience and </w:t>
      </w:r>
      <w:r>
        <w:rPr>
          <w:rFonts w:ascii="Times New Roman" w:hAnsi="Times New Roman"/>
          <w:i/>
          <w:iCs/>
          <w:sz w:val="24"/>
          <w:szCs w:val="24"/>
        </w:rPr>
        <w:t>E</w:t>
      </w:r>
      <w:r>
        <w:rPr>
          <w:rFonts w:ascii="Times New Roman" w:hAnsi="Times New Roman"/>
          <w:i/>
          <w:iCs/>
          <w:sz w:val="24"/>
          <w:szCs w:val="24"/>
        </w:rPr>
        <w:t>nvironment</w:t>
      </w:r>
      <w:r>
        <w:rPr>
          <w:rFonts w:ascii="Times New Roman" w:hAnsi="Times New Roman"/>
          <w:sz w:val="24"/>
          <w:szCs w:val="24"/>
        </w:rPr>
        <w:t xml:space="preserve"> 15 (1), 147-154</w:t>
      </w:r>
      <w:r>
        <w:rPr>
          <w:rFonts w:ascii="Times New Roman" w:hAnsi="Times New Roman"/>
          <w:sz w:val="24"/>
          <w:szCs w:val="24"/>
        </w:rPr>
        <w:t>.</w:t>
      </w:r>
    </w:p>
    <w:p>
      <w:pPr>
        <w:pStyle w:val="style94"/>
        <w:tabs>
          <w:tab w:val="left" w:leader="none" w:pos="630"/>
          <w:tab w:val="left" w:leader="none" w:pos="990"/>
        </w:tabs>
        <w:spacing w:before="0" w:beforeAutospacing="false" w:after="240" w:afterAutospacing="false" w:lineRule="exact" w:line="240"/>
        <w:ind w:left="630" w:hanging="630"/>
        <w:jc w:val="both"/>
        <w:rPr/>
      </w:pPr>
      <w:r>
        <w:t xml:space="preserve">IUCN (2022). </w:t>
      </w:r>
      <w:r>
        <w:rPr>
          <w:rStyle w:val="style88"/>
          <w:rFonts w:eastAsia="SimSun"/>
        </w:rPr>
        <w:t>Osteolaemus</w:t>
      </w:r>
      <w:r>
        <w:rPr>
          <w:rStyle w:val="style88"/>
          <w:rFonts w:eastAsia="SimSun"/>
        </w:rPr>
        <w:t xml:space="preserve"> </w:t>
      </w:r>
      <w:r>
        <w:rPr>
          <w:rStyle w:val="style88"/>
          <w:rFonts w:eastAsia="SimSun"/>
        </w:rPr>
        <w:t>tetraspis</w:t>
      </w:r>
      <w:r>
        <w:t>. The IUCN Red List of Threatened Species 2022. https://www.iucnredlist.org/</w:t>
      </w:r>
    </w:p>
    <w:p>
      <w:pPr>
        <w:pStyle w:val="style94"/>
        <w:tabs>
          <w:tab w:val="left" w:leader="none" w:pos="990"/>
        </w:tabs>
        <w:spacing w:before="0" w:beforeAutospacing="false" w:after="240" w:afterAutospacing="false" w:lineRule="exact" w:line="240"/>
        <w:ind w:left="630" w:hanging="630"/>
        <w:jc w:val="both"/>
        <w:rPr/>
      </w:pPr>
      <w:r>
        <w:t xml:space="preserve">IUCN (2024). </w:t>
      </w:r>
      <w:r>
        <w:rPr>
          <w:rStyle w:val="style88"/>
          <w:rFonts w:eastAsia="SimSun"/>
        </w:rPr>
        <w:t>Osteolaemus</w:t>
      </w:r>
      <w:r>
        <w:rPr>
          <w:rStyle w:val="style88"/>
          <w:rFonts w:eastAsia="SimSun"/>
        </w:rPr>
        <w:t xml:space="preserve"> </w:t>
      </w:r>
      <w:r>
        <w:rPr>
          <w:rStyle w:val="style88"/>
          <w:rFonts w:eastAsia="SimSun"/>
        </w:rPr>
        <w:t>tetraspis</w:t>
      </w:r>
      <w:r>
        <w:t xml:space="preserve">. The IUCN Red List of Threatened Species. Retrieved from </w:t>
      </w:r>
      <w:r>
        <w:rPr/>
        <w:fldChar w:fldCharType="begin"/>
      </w:r>
      <w:r>
        <w:instrText xml:space="preserve"> HYPERLINK "https://www.iucnredlist.org/" </w:instrText>
      </w:r>
      <w:r>
        <w:rPr/>
        <w:fldChar w:fldCharType="separate"/>
      </w:r>
      <w:r>
        <w:rPr>
          <w:rStyle w:val="style85"/>
          <w:rFonts w:eastAsia="SimSun"/>
        </w:rPr>
        <w:t>https://www.iucnredlist.org</w:t>
      </w:r>
      <w:r>
        <w:rPr/>
        <w:fldChar w:fldCharType="end"/>
      </w:r>
      <w:r>
        <w:t>.</w:t>
      </w:r>
    </w:p>
    <w:p>
      <w:pPr>
        <w:pStyle w:val="style94"/>
        <w:tabs>
          <w:tab w:val="left" w:leader="none" w:pos="990"/>
        </w:tabs>
        <w:spacing w:before="0" w:beforeAutospacing="false" w:after="240" w:afterAutospacing="false" w:lineRule="exact" w:line="240"/>
        <w:ind w:left="630" w:hanging="630"/>
        <w:jc w:val="both"/>
        <w:rPr/>
      </w:pPr>
      <w:r>
        <w:t>Kofron, C. P., &amp; Steiner, T. (1994). Observations on the African dwarf crocodile (</w:t>
      </w:r>
      <w:r>
        <w:rPr>
          <w:rStyle w:val="style88"/>
          <w:rFonts w:eastAsia="SimSun"/>
        </w:rPr>
        <w:t>Osteolaemus</w:t>
      </w:r>
      <w:r>
        <w:rPr>
          <w:rStyle w:val="style88"/>
          <w:rFonts w:eastAsia="SimSun"/>
        </w:rPr>
        <w:t xml:space="preserve"> </w:t>
      </w:r>
      <w:r>
        <w:rPr>
          <w:rStyle w:val="style88"/>
          <w:rFonts w:eastAsia="SimSun"/>
        </w:rPr>
        <w:t>tetraspis</w:t>
      </w:r>
      <w:r>
        <w:t xml:space="preserve">). </w:t>
      </w:r>
      <w:r>
        <w:rPr>
          <w:rStyle w:val="style88"/>
          <w:rFonts w:eastAsia="SimSun"/>
        </w:rPr>
        <w:t>Copeia</w:t>
      </w:r>
      <w:r>
        <w:rPr>
          <w:rStyle w:val="style88"/>
          <w:rFonts w:eastAsia="SimSun"/>
        </w:rPr>
        <w:t>, 1994</w:t>
      </w:r>
      <w:r>
        <w:t xml:space="preserve">(2), 533–535. </w:t>
      </w:r>
      <w:r>
        <w:rPr/>
        <w:fldChar w:fldCharType="begin"/>
      </w:r>
      <w:r>
        <w:instrText xml:space="preserve"> HYPERLINK "https://doi.org/10.2307/1447004" </w:instrText>
      </w:r>
      <w:r>
        <w:rPr/>
        <w:fldChar w:fldCharType="separate"/>
      </w:r>
      <w:r>
        <w:rPr>
          <w:rStyle w:val="style85"/>
          <w:rFonts w:eastAsia="SimSun"/>
        </w:rPr>
        <w:t>https://doi.org/10.2307/1447004</w:t>
      </w:r>
      <w:r>
        <w:rPr/>
        <w:fldChar w:fldCharType="end"/>
      </w:r>
    </w:p>
    <w:p>
      <w:pPr>
        <w:pStyle w:val="style0"/>
        <w:spacing w:after="240" w:lineRule="auto" w:line="240"/>
        <w:ind w:left="630" w:hanging="630"/>
        <w:jc w:val="both"/>
        <w:rPr>
          <w:rFonts w:ascii="Times New Roman" w:eastAsia="Calibri" w:hAnsi="Times New Roman"/>
          <w:sz w:val="24"/>
          <w:szCs w:val="24"/>
          <w:lang w:eastAsia="en-US"/>
        </w:rPr>
      </w:pPr>
      <w:r>
        <w:rPr>
          <w:rFonts w:ascii="Times New Roman" w:hAnsi="Times New Roman"/>
          <w:sz w:val="24"/>
          <w:szCs w:val="24"/>
        </w:rPr>
        <w:t xml:space="preserve">Lenth, R. V. (2024). </w:t>
      </w:r>
      <w:r>
        <w:rPr>
          <w:rStyle w:val="style88"/>
          <w:rFonts w:ascii="Times New Roman" w:hAnsi="Times New Roman"/>
          <w:sz w:val="24"/>
          <w:szCs w:val="24"/>
        </w:rPr>
        <w:t>emmeans</w:t>
      </w:r>
      <w:r>
        <w:rPr>
          <w:rStyle w:val="style88"/>
          <w:rFonts w:ascii="Times New Roman" w:hAnsi="Times New Roman"/>
          <w:sz w:val="24"/>
          <w:szCs w:val="24"/>
        </w:rPr>
        <w:t>: Estimated marginal means, aka least-squares means</w:t>
      </w:r>
      <w:r>
        <w:rPr>
          <w:rFonts w:ascii="Times New Roman" w:hAnsi="Times New Roman"/>
          <w:sz w:val="24"/>
          <w:szCs w:val="24"/>
        </w:rPr>
        <w:t xml:space="preserve"> (R package version 1.10). </w:t>
      </w:r>
      <w:r>
        <w:rPr/>
        <w:fldChar w:fldCharType="begin"/>
      </w:r>
      <w:r>
        <w:instrText xml:space="preserve"> HYPERLINK "https://CRAN.R-project.org/package=emmeans" </w:instrText>
      </w:r>
      <w:r>
        <w:rPr/>
        <w:fldChar w:fldCharType="separate"/>
      </w:r>
      <w:r>
        <w:rPr>
          <w:rStyle w:val="style85"/>
          <w:rFonts w:ascii="Times New Roman" w:hAnsi="Times New Roman"/>
          <w:sz w:val="24"/>
          <w:szCs w:val="24"/>
        </w:rPr>
        <w:t>https://CRAN.R-project.org/package=emmeans</w:t>
      </w:r>
      <w:r>
        <w:rPr/>
        <w:fldChar w:fldCharType="end"/>
      </w:r>
      <w:r>
        <w:rPr>
          <w:rFonts w:ascii="Times New Roman" w:hAnsi="Times New Roman"/>
          <w:sz w:val="24"/>
          <w:szCs w:val="24"/>
        </w:rPr>
        <w:t xml:space="preserve">. </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Lüdecke, D., Ben-Shachar, M. S., Patil, I., Waggoner, P., &amp; Makowski, D. (2021). performance: An R package for assessment, comparison and testing of statistical models. </w:t>
      </w:r>
      <w:r>
        <w:rPr>
          <w:rStyle w:val="style88"/>
          <w:rFonts w:ascii="Times New Roman" w:hAnsi="Times New Roman"/>
          <w:sz w:val="24"/>
          <w:szCs w:val="24"/>
        </w:rPr>
        <w:t xml:space="preserve">Journal of </w:t>
      </w:r>
      <w:r>
        <w:rPr>
          <w:rStyle w:val="style88"/>
          <w:rFonts w:ascii="Times New Roman" w:hAnsi="Times New Roman"/>
          <w:sz w:val="24"/>
          <w:szCs w:val="24"/>
        </w:rPr>
        <w:t>Open Source</w:t>
      </w:r>
      <w:r>
        <w:rPr>
          <w:rStyle w:val="style88"/>
          <w:rFonts w:ascii="Times New Roman" w:hAnsi="Times New Roman"/>
          <w:sz w:val="24"/>
          <w:szCs w:val="24"/>
        </w:rPr>
        <w:t xml:space="preserve"> Software, 6</w:t>
      </w:r>
      <w:r>
        <w:rPr>
          <w:rFonts w:ascii="Times New Roman" w:hAnsi="Times New Roman"/>
          <w:sz w:val="24"/>
          <w:szCs w:val="24"/>
        </w:rPr>
        <w:t xml:space="preserve">(60), 3139. </w:t>
      </w:r>
      <w:r>
        <w:rPr/>
        <w:fldChar w:fldCharType="begin"/>
      </w:r>
      <w:r>
        <w:instrText xml:space="preserve"> HYPERLINK "https://doi.org/10.21105/joss.03139" </w:instrText>
      </w:r>
      <w:r>
        <w:rPr/>
        <w:fldChar w:fldCharType="separate"/>
      </w:r>
      <w:r>
        <w:rPr>
          <w:rStyle w:val="style85"/>
          <w:rFonts w:ascii="Times New Roman" w:hAnsi="Times New Roman"/>
          <w:sz w:val="24"/>
          <w:szCs w:val="24"/>
        </w:rPr>
        <w:t>https://doi.org/10.21105/joss.03139</w:t>
      </w:r>
      <w:r>
        <w:rPr/>
        <w:fldChar w:fldCharType="end"/>
      </w:r>
      <w:r>
        <w:rPr>
          <w:rFonts w:ascii="Times New Roman" w:hAnsi="Times New Roman"/>
          <w:sz w:val="24"/>
          <w:szCs w:val="24"/>
        </w:rPr>
        <w:t xml:space="preserve">. </w:t>
      </w:r>
    </w:p>
    <w:p>
      <w:pPr>
        <w:pStyle w:val="style94"/>
        <w:tabs>
          <w:tab w:val="left" w:leader="none" w:pos="990"/>
        </w:tabs>
        <w:spacing w:before="0" w:beforeAutospacing="false" w:after="240" w:afterAutospacing="false" w:lineRule="exact" w:line="240"/>
        <w:ind w:left="630" w:hanging="630"/>
        <w:jc w:val="both"/>
        <w:rPr/>
      </w:pPr>
      <w:r>
        <w:t xml:space="preserve">Luiselli, L., &amp; Akani, G. C. (2019). Crocodile population ecology and conservation in sub-Saharan Africa: Insights from long-term studies. </w:t>
      </w:r>
      <w:r>
        <w:rPr>
          <w:rStyle w:val="style88"/>
          <w:rFonts w:eastAsia="SimSun"/>
        </w:rPr>
        <w:t>Herpetological Conservation and Biology</w:t>
      </w:r>
      <w:r>
        <w:t>, 14(2), 281–294.</w:t>
      </w:r>
    </w:p>
    <w:p>
      <w:pPr>
        <w:pStyle w:val="style94"/>
        <w:tabs>
          <w:tab w:val="left" w:leader="none" w:pos="990"/>
        </w:tabs>
        <w:spacing w:before="0" w:beforeAutospacing="false" w:after="240" w:afterAutospacing="false" w:lineRule="exact" w:line="240"/>
        <w:ind w:left="630" w:hanging="630"/>
        <w:jc w:val="both"/>
        <w:rPr/>
      </w:pPr>
      <w:r>
        <w:t xml:space="preserve">Luiselli, L., Akani, G. C., Petrozzi, F., &amp; Pacini, N. (2023). Socioeconomic drivers of the bushmeat trade in sub-Saharan Africa. </w:t>
      </w:r>
      <w:r>
        <w:rPr>
          <w:rStyle w:val="style88"/>
          <w:rFonts w:eastAsia="SimSun"/>
        </w:rPr>
        <w:t>People and Nature</w:t>
      </w:r>
      <w:r>
        <w:t>, 5(1), 120–134.</w:t>
      </w:r>
    </w:p>
    <w:p>
      <w:pPr>
        <w:pStyle w:val="style94"/>
        <w:tabs>
          <w:tab w:val="left" w:leader="none" w:pos="990"/>
        </w:tabs>
        <w:spacing w:before="0" w:beforeAutospacing="false" w:after="240" w:afterAutospacing="false" w:lineRule="exact" w:line="240"/>
        <w:ind w:left="630" w:hanging="630"/>
        <w:jc w:val="both"/>
        <w:rPr/>
      </w:pPr>
      <w:r>
        <w:t xml:space="preserve">Luiselli, L., Hema, E.M., </w:t>
      </w:r>
      <w:r>
        <w:t>Segniagbeto</w:t>
      </w:r>
      <w:r>
        <w:t xml:space="preserve">, G.H., Ouattara, V., </w:t>
      </w:r>
      <w:r>
        <w:t>Eniang</w:t>
      </w:r>
      <w:r>
        <w:t xml:space="preserve">, E.A., Vittorio, M.D., Amadi, N., Parfait, G., </w:t>
      </w:r>
      <w:r>
        <w:t>Pacini,N</w:t>
      </w:r>
      <w:r>
        <w:t>.</w:t>
      </w:r>
      <w:r>
        <w:t xml:space="preserve">, </w:t>
      </w:r>
      <w:r>
        <w:t>Akani,G.C</w:t>
      </w:r>
      <w:r>
        <w:t>.</w:t>
      </w:r>
      <w:r>
        <w:t xml:space="preserve">, Sirima, D., </w:t>
      </w:r>
      <w:r>
        <w:t>Wendengoudi</w:t>
      </w:r>
      <w:r>
        <w:t xml:space="preserve"> </w:t>
      </w:r>
      <w:r>
        <w:t>Guenda</w:t>
      </w:r>
      <w:r>
        <w:t xml:space="preserve">, </w:t>
      </w:r>
      <w:r>
        <w:t>Fakae</w:t>
      </w:r>
      <w:r>
        <w:t xml:space="preserve">, B.B., </w:t>
      </w:r>
      <w:r>
        <w:t>Dendi</w:t>
      </w:r>
      <w:r>
        <w:t xml:space="preserve">, D and Fa, J.E. (2019). Understanding the influence of non-wealth factors in determining bushmeat consumption: Results from four West African countries. </w:t>
      </w:r>
      <w:r>
        <w:rPr>
          <w:i/>
          <w:iCs/>
        </w:rPr>
        <w:t xml:space="preserve">Acta </w:t>
      </w:r>
      <w:r>
        <w:rPr>
          <w:i/>
          <w:iCs/>
        </w:rPr>
        <w:t>Oecologica</w:t>
      </w:r>
      <w:r>
        <w:t>, 94: 47-56.</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Nakagawa, S., &amp; </w:t>
      </w:r>
      <w:r>
        <w:rPr>
          <w:rFonts w:ascii="Times New Roman" w:hAnsi="Times New Roman"/>
          <w:sz w:val="24"/>
          <w:szCs w:val="24"/>
        </w:rPr>
        <w:t>Schielzeth</w:t>
      </w:r>
      <w:r>
        <w:rPr>
          <w:rFonts w:ascii="Times New Roman" w:hAnsi="Times New Roman"/>
          <w:sz w:val="24"/>
          <w:szCs w:val="24"/>
        </w:rPr>
        <w:t xml:space="preserve">, H. (2013). A general and simple method for obtaining R² from generalized linear mixed-effects models. </w:t>
      </w:r>
      <w:r>
        <w:rPr>
          <w:rStyle w:val="style88"/>
          <w:rFonts w:ascii="Times New Roman" w:hAnsi="Times New Roman"/>
          <w:sz w:val="24"/>
          <w:szCs w:val="24"/>
        </w:rPr>
        <w:t>Methods in Ecology and Evolution, 4</w:t>
      </w:r>
      <w:r>
        <w:rPr>
          <w:rFonts w:ascii="Times New Roman" w:hAnsi="Times New Roman"/>
          <w:sz w:val="24"/>
          <w:szCs w:val="24"/>
        </w:rPr>
        <w:t xml:space="preserve">(2), 133–142. </w:t>
      </w:r>
      <w:r>
        <w:rPr/>
        <w:fldChar w:fldCharType="begin"/>
      </w:r>
      <w:r>
        <w:instrText xml:space="preserve"> HYPERLINK "https://doi.org/10.1111/j.2041-210X.2012.00261.x" </w:instrText>
      </w:r>
      <w:r>
        <w:rPr/>
        <w:fldChar w:fldCharType="separate"/>
      </w:r>
      <w:r>
        <w:rPr>
          <w:rStyle w:val="style85"/>
          <w:rFonts w:ascii="Times New Roman" w:hAnsi="Times New Roman"/>
          <w:sz w:val="24"/>
          <w:szCs w:val="24"/>
        </w:rPr>
        <w:t>https://doi.org/10.1111/j.2041-210X.2012.00261.x</w:t>
      </w:r>
      <w:r>
        <w:rPr/>
        <w:fldChar w:fldCharType="end"/>
      </w:r>
      <w:r>
        <w:rPr>
          <w:rFonts w:ascii="Times New Roman" w:hAnsi="Times New Roman"/>
          <w:sz w:val="24"/>
          <w:szCs w:val="24"/>
        </w:rPr>
        <w:t xml:space="preserve">. </w:t>
      </w:r>
    </w:p>
    <w:p>
      <w:pPr>
        <w:pStyle w:val="style94"/>
        <w:tabs>
          <w:tab w:val="left" w:leader="none" w:pos="990"/>
        </w:tabs>
        <w:spacing w:before="0" w:beforeAutospacing="false" w:after="240" w:afterAutospacing="false" w:lineRule="exact" w:line="240"/>
        <w:ind w:left="630" w:hanging="630"/>
        <w:jc w:val="both"/>
        <w:rPr/>
      </w:pPr>
      <w:r>
        <w:t xml:space="preserve">Nasi, R., Taber, A., &amp; van Vliet, N. (2022). Empty forests, empty stomachs? Bushmeat and livelihoods in the Congo and beyond. </w:t>
      </w:r>
      <w:r>
        <w:rPr>
          <w:rStyle w:val="style88"/>
          <w:rFonts w:eastAsia="SimSun"/>
        </w:rPr>
        <w:t>Frontiers in Ecology and Evolution</w:t>
      </w:r>
      <w:r>
        <w:t>, 10, 842559.</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Nathaniel A. &amp; </w:t>
      </w:r>
      <w:r>
        <w:rPr>
          <w:rFonts w:ascii="Times New Roman" w:hAnsi="Times New Roman"/>
          <w:sz w:val="24"/>
          <w:szCs w:val="24"/>
        </w:rPr>
        <w:t>Imeh</w:t>
      </w:r>
      <w:r>
        <w:rPr>
          <w:rFonts w:ascii="Times New Roman" w:hAnsi="Times New Roman"/>
          <w:sz w:val="24"/>
          <w:szCs w:val="24"/>
        </w:rPr>
        <w:t xml:space="preserve"> T. (2010). The effects of poverty in conservation of biodiversity: The Nigeria Experience. </w:t>
      </w:r>
    </w:p>
    <w:p>
      <w:pPr>
        <w:pStyle w:val="style94"/>
        <w:tabs>
          <w:tab w:val="left" w:leader="none" w:pos="990"/>
        </w:tabs>
        <w:spacing w:before="0" w:beforeAutospacing="false" w:after="240" w:afterAutospacing="false" w:lineRule="exact" w:line="240"/>
        <w:ind w:left="630" w:hanging="630"/>
        <w:jc w:val="both"/>
        <w:rPr/>
      </w:pPr>
      <w:r>
        <w:t xml:space="preserve">Njiforti, H. L., &amp; Tchamba, M. N. (1999). The bushmeat trade in northern Cameroon. </w:t>
      </w:r>
      <w:r>
        <w:rPr>
          <w:rStyle w:val="style88"/>
          <w:rFonts w:eastAsia="SimSun"/>
        </w:rPr>
        <w:t>Journal of Ethnobiology</w:t>
      </w:r>
      <w:r>
        <w:t>, 19(1), 27–44.</w:t>
      </w:r>
    </w:p>
    <w:p>
      <w:pPr>
        <w:pStyle w:val="style0"/>
        <w:spacing w:after="240" w:lineRule="auto" w:line="240"/>
        <w:ind w:left="630" w:hanging="630"/>
        <w:jc w:val="both"/>
        <w:rPr>
          <w:rFonts w:ascii="Times New Roman" w:hAnsi="Times New Roman"/>
          <w:sz w:val="24"/>
          <w:szCs w:val="24"/>
        </w:rPr>
      </w:pPr>
      <w:r>
        <w:rPr>
          <w:rFonts w:ascii="Times New Roman" w:eastAsia="Times New Roman" w:hAnsi="Times New Roman"/>
          <w:sz w:val="24"/>
          <w:szCs w:val="24"/>
          <w:lang w:eastAsia="en-US"/>
        </w:rPr>
        <w:t>Ogorode</w:t>
      </w:r>
      <w:r>
        <w:rPr>
          <w:rFonts w:ascii="Times New Roman" w:eastAsia="Times New Roman" w:hAnsi="Times New Roman"/>
          <w:sz w:val="24"/>
          <w:szCs w:val="24"/>
          <w:lang w:eastAsia="en-US"/>
        </w:rPr>
        <w:t>, I.O, Vincent-</w:t>
      </w:r>
      <w:r>
        <w:rPr>
          <w:rFonts w:ascii="Times New Roman" w:eastAsia="Times New Roman" w:hAnsi="Times New Roman"/>
          <w:sz w:val="24"/>
          <w:szCs w:val="24"/>
          <w:lang w:eastAsia="en-US"/>
        </w:rPr>
        <w:t>akpu</w:t>
      </w:r>
      <w:r>
        <w:rPr>
          <w:rFonts w:ascii="Times New Roman" w:eastAsia="Times New Roman" w:hAnsi="Times New Roman"/>
          <w:sz w:val="24"/>
          <w:szCs w:val="24"/>
          <w:lang w:eastAsia="en-US"/>
        </w:rPr>
        <w:t xml:space="preserve">, I. F, Babatunde, B.B, Ijeoma, M. H, </w:t>
      </w:r>
      <w:r>
        <w:rPr>
          <w:rFonts w:ascii="Times New Roman" w:eastAsia="Times New Roman" w:hAnsi="Times New Roman"/>
          <w:sz w:val="24"/>
          <w:szCs w:val="24"/>
          <w:lang w:eastAsia="en-US"/>
        </w:rPr>
        <w:t>Ogbeibu</w:t>
      </w:r>
      <w:r>
        <w:rPr>
          <w:rFonts w:ascii="Times New Roman" w:eastAsia="Times New Roman" w:hAnsi="Times New Roman"/>
          <w:sz w:val="24"/>
          <w:szCs w:val="24"/>
          <w:lang w:eastAsia="en-US"/>
        </w:rPr>
        <w:t xml:space="preserve">, E.A &amp; </w:t>
      </w:r>
      <w:r>
        <w:rPr>
          <w:rFonts w:ascii="Times New Roman" w:eastAsia="Times New Roman" w:hAnsi="Times New Roman"/>
          <w:sz w:val="24"/>
          <w:szCs w:val="24"/>
          <w:lang w:eastAsia="en-US"/>
        </w:rPr>
        <w:t>Olaleru</w:t>
      </w:r>
      <w:r>
        <w:rPr>
          <w:rFonts w:ascii="Times New Roman" w:eastAsia="Times New Roman" w:hAnsi="Times New Roman"/>
          <w:sz w:val="24"/>
          <w:szCs w:val="24"/>
          <w:lang w:eastAsia="en-US"/>
        </w:rPr>
        <w:t xml:space="preserve">, F. (2023). Illegal Wildlife Trade and </w:t>
      </w:r>
      <w:r>
        <w:rPr>
          <w:rFonts w:ascii="Times New Roman" w:eastAsia="Times New Roman" w:hAnsi="Times New Roman"/>
          <w:i/>
          <w:iCs/>
          <w:sz w:val="24"/>
          <w:szCs w:val="24"/>
          <w:lang w:eastAsia="en-US"/>
        </w:rPr>
        <w:t>Osteolaemus</w:t>
      </w:r>
      <w:r>
        <w:rPr>
          <w:rFonts w:ascii="Times New Roman" w:eastAsia="Times New Roman" w:hAnsi="Times New Roman"/>
          <w:i/>
          <w:iCs/>
          <w:sz w:val="24"/>
          <w:szCs w:val="24"/>
          <w:lang w:eastAsia="en-US"/>
        </w:rPr>
        <w:t xml:space="preserve"> Tetraspis</w:t>
      </w:r>
      <w:r>
        <w:rPr>
          <w:rFonts w:ascii="Times New Roman" w:eastAsia="Times New Roman" w:hAnsi="Times New Roman"/>
          <w:sz w:val="24"/>
          <w:szCs w:val="24"/>
          <w:lang w:eastAsia="en-US"/>
        </w:rPr>
        <w:t xml:space="preserve">. A Case Study of Activities in Bushmeat Markets (Uwa and </w:t>
      </w:r>
      <w:r>
        <w:rPr>
          <w:rFonts w:ascii="Times New Roman" w:eastAsia="Times New Roman" w:hAnsi="Times New Roman"/>
          <w:sz w:val="24"/>
          <w:szCs w:val="24"/>
          <w:lang w:eastAsia="en-US"/>
        </w:rPr>
        <w:t>Edumanom</w:t>
      </w:r>
      <w:r>
        <w:rPr>
          <w:rFonts w:ascii="Times New Roman" w:eastAsia="Times New Roman" w:hAnsi="Times New Roman"/>
          <w:sz w:val="24"/>
          <w:szCs w:val="24"/>
          <w:lang w:eastAsia="en-US"/>
        </w:rPr>
        <w:t xml:space="preserve">) in Niger Delta. </w:t>
      </w:r>
      <w:r>
        <w:rPr>
          <w:rFonts w:ascii="Times New Roman" w:eastAsia="Times New Roman" w:hAnsi="Times New Roman"/>
          <w:i/>
          <w:iCs/>
          <w:sz w:val="24"/>
          <w:szCs w:val="24"/>
          <w:lang w:eastAsia="en-US"/>
        </w:rPr>
        <w:t>Sankalp Journal of Multidisciplinary Studies,</w:t>
      </w:r>
      <w:r>
        <w:rPr>
          <w:rFonts w:ascii="Times New Roman" w:eastAsia="Times New Roman" w:hAnsi="Times New Roman"/>
          <w:sz w:val="24"/>
          <w:szCs w:val="24"/>
          <w:lang w:eastAsia="en-US"/>
        </w:rPr>
        <w:t xml:space="preserve"> (SJMS) 3(4), </w:t>
      </w:r>
    </w:p>
    <w:p>
      <w:pPr>
        <w:pStyle w:val="style94"/>
        <w:tabs>
          <w:tab w:val="left" w:leader="none" w:pos="990"/>
        </w:tabs>
        <w:spacing w:before="0" w:beforeAutospacing="false" w:after="240" w:afterAutospacing="false" w:lineRule="exact" w:line="240"/>
        <w:ind w:left="630" w:hanging="630"/>
        <w:jc w:val="both"/>
        <w:rPr/>
      </w:pPr>
      <w:r>
        <w:t xml:space="preserve">Okello, M. M., </w:t>
      </w:r>
      <w:r>
        <w:t>Kiringe</w:t>
      </w:r>
      <w:r>
        <w:t xml:space="preserve">, J. W., &amp; </w:t>
      </w:r>
      <w:r>
        <w:t>Warinwa</w:t>
      </w:r>
      <w:r>
        <w:t xml:space="preserve">, F. (2017). Conservation and livelihood implications of the bushmeat trade in African savannah ecosystems. </w:t>
      </w:r>
      <w:r>
        <w:rPr>
          <w:rStyle w:val="style88"/>
          <w:rFonts w:eastAsia="SimSun"/>
        </w:rPr>
        <w:t>Biodiversity and Conservation</w:t>
      </w:r>
      <w:r>
        <w:t>, 26(2), 451–471.</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Rio, J. P. and Mannion, P. D. (2021). Phylogenetic analysis of a new morphological dataset elucidates the evolutionary history of </w:t>
      </w:r>
      <w:r>
        <w:rPr>
          <w:rFonts w:ascii="Times New Roman" w:hAnsi="Times New Roman"/>
          <w:i/>
          <w:iCs/>
          <w:sz w:val="24"/>
          <w:szCs w:val="24"/>
        </w:rPr>
        <w:t>Crocodylia</w:t>
      </w:r>
      <w:r>
        <w:rPr>
          <w:rFonts w:ascii="Times New Roman" w:hAnsi="Times New Roman"/>
          <w:sz w:val="24"/>
          <w:szCs w:val="24"/>
        </w:rPr>
        <w:t xml:space="preserve"> and resolves the long-standing gharial problem. </w:t>
      </w:r>
      <w:r>
        <w:rPr>
          <w:rFonts w:ascii="Times New Roman" w:hAnsi="Times New Roman"/>
          <w:i/>
          <w:iCs/>
          <w:sz w:val="24"/>
          <w:szCs w:val="24"/>
        </w:rPr>
        <w:t>Peer J</w:t>
      </w:r>
      <w:r>
        <w:rPr>
          <w:rFonts w:ascii="Times New Roman" w:hAnsi="Times New Roman"/>
          <w:sz w:val="24"/>
          <w:szCs w:val="24"/>
        </w:rPr>
        <w:t>, 9: e12094.</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San-Diego, A. (2015). Dwarf crocodile (</w:t>
      </w:r>
      <w:r>
        <w:rPr>
          <w:rFonts w:ascii="Times New Roman" w:hAnsi="Times New Roman"/>
          <w:i/>
          <w:iCs/>
          <w:sz w:val="24"/>
          <w:szCs w:val="24"/>
        </w:rPr>
        <w:t>Osteolaemus</w:t>
      </w:r>
      <w:r>
        <w:rPr>
          <w:rFonts w:ascii="Times New Roman" w:hAnsi="Times New Roman"/>
          <w:i/>
          <w:iCs/>
          <w:sz w:val="24"/>
          <w:szCs w:val="24"/>
        </w:rPr>
        <w:t xml:space="preserve"> </w:t>
      </w:r>
      <w:r>
        <w:rPr>
          <w:rFonts w:ascii="Times New Roman" w:hAnsi="Times New Roman"/>
          <w:i/>
          <w:iCs/>
          <w:sz w:val="24"/>
          <w:szCs w:val="24"/>
        </w:rPr>
        <w:t>tetraspis</w:t>
      </w:r>
      <w:r>
        <w:rPr>
          <w:rFonts w:ascii="Times New Roman" w:hAnsi="Times New Roman"/>
          <w:sz w:val="24"/>
          <w:szCs w:val="24"/>
        </w:rPr>
        <w:t xml:space="preserve">) Fact Sheet. c2015, San Diego Zoo Wildlife Alliance. (Accessed August, 2025) </w:t>
      </w:r>
      <w:r>
        <w:rPr/>
        <w:fldChar w:fldCharType="begin"/>
      </w:r>
      <w:r>
        <w:instrText xml:space="preserve"> HYPERLINK "http://ielc.libguides.com/sdzg/factsheets/dwarf_crocodile" </w:instrText>
      </w:r>
      <w:r>
        <w:rPr/>
        <w:fldChar w:fldCharType="separate"/>
      </w:r>
      <w:r>
        <w:rPr>
          <w:rStyle w:val="style85"/>
          <w:rFonts w:ascii="Times New Roman" w:hAnsi="Times New Roman"/>
          <w:sz w:val="24"/>
          <w:szCs w:val="24"/>
        </w:rPr>
        <w:t>http://ielc.libguides.com/sdzg/factsheets/dwarf_crocodile</w:t>
      </w:r>
      <w:r>
        <w:rPr/>
        <w:fldChar w:fldCharType="end"/>
      </w:r>
      <w:r>
        <w:rPr>
          <w:rFonts w:ascii="Times New Roman" w:hAnsi="Times New Roman"/>
          <w:sz w:val="24"/>
          <w:szCs w:val="24"/>
        </w:rPr>
        <w:t xml:space="preserve">. </w:t>
      </w:r>
    </w:p>
    <w:p>
      <w:pPr>
        <w:pStyle w:val="style0"/>
        <w:spacing w:after="240" w:lineRule="auto" w:line="240"/>
        <w:ind w:left="630" w:hanging="630"/>
        <w:jc w:val="both"/>
        <w:rPr>
          <w:rFonts w:ascii="Times New Roman" w:hAnsi="Times New Roman"/>
          <w:sz w:val="24"/>
          <w:szCs w:val="24"/>
        </w:rPr>
      </w:pPr>
      <w:r>
        <w:rPr>
          <w:rFonts w:ascii="Times New Roman" w:hAnsi="Times New Roman"/>
          <w:sz w:val="24"/>
          <w:szCs w:val="24"/>
        </w:rPr>
        <w:t xml:space="preserve">Shirley, M. H., Villanova, V. L., Vliet, K. A. and Austin, J. D. (2015). Genetic barcoding facilitates captive and wild management of three cryptic African crocodile species complexes. </w:t>
      </w:r>
      <w:r>
        <w:rPr>
          <w:rFonts w:ascii="Times New Roman" w:hAnsi="Times New Roman"/>
          <w:i/>
          <w:iCs/>
          <w:sz w:val="24"/>
          <w:szCs w:val="24"/>
        </w:rPr>
        <w:t>Animal Conservation</w:t>
      </w:r>
      <w:r>
        <w:rPr>
          <w:rFonts w:ascii="Times New Roman" w:hAnsi="Times New Roman"/>
          <w:sz w:val="24"/>
          <w:szCs w:val="24"/>
        </w:rPr>
        <w:t>, 18 (4): 322–330. doi:10.1111/acv.12176. S2CID 82155811.</w:t>
      </w:r>
    </w:p>
    <w:p>
      <w:pPr>
        <w:pStyle w:val="style2"/>
        <w:spacing w:before="0" w:after="240" w:lineRule="auto" w:line="240"/>
        <w:ind w:left="630" w:hanging="630"/>
        <w:jc w:val="both"/>
        <w:rPr>
          <w:rFonts w:ascii="Times New Roman" w:cs="Times New Roman" w:eastAsia="Times New Roman" w:hAnsi="Times New Roman"/>
          <w:color w:val="1f1f1f"/>
          <w:sz w:val="24"/>
          <w:szCs w:val="24"/>
        </w:rPr>
      </w:pPr>
      <w:r>
        <w:rPr>
          <w:rStyle w:val="style4123"/>
          <w:rFonts w:ascii="Times New Roman" w:cs="Times New Roman" w:hAnsi="Times New Roman"/>
          <w:color w:val="1f1f1f"/>
          <w:sz w:val="24"/>
          <w:szCs w:val="24"/>
        </w:rPr>
        <w:t>Utete, B.,</w:t>
      </w:r>
      <w:r>
        <w:rPr>
          <w:rFonts w:ascii="Times New Roman" w:cs="Times New Roman" w:hAnsi="Times New Roman"/>
          <w:sz w:val="24"/>
          <w:szCs w:val="24"/>
        </w:rPr>
        <w:t xml:space="preserve"> (2021). </w:t>
      </w:r>
      <w:r>
        <w:rPr>
          <w:rFonts w:ascii="Times New Roman" w:cs="Times New Roman" w:hAnsi="Times New Roman"/>
          <w:color w:val="auto"/>
          <w:sz w:val="24"/>
          <w:szCs w:val="24"/>
        </w:rPr>
        <w:t xml:space="preserve">A review of the conservation status of the Nile crocodile (Crocodylus niloticus Laurenti, 1768) in aquatic systems of Zimbabwe. </w:t>
      </w:r>
      <w:r>
        <w:rPr/>
        <w:fldChar w:fldCharType="begin"/>
      </w:r>
      <w:r>
        <w:instrText xml:space="preserve"> HYPERLINK "https://www.sciencedirect.com/journal/global-ecology-and-conservation" \o "Go to Global Ecology and Conservation on ScienceDirect" </w:instrText>
      </w:r>
      <w:r>
        <w:rPr/>
        <w:fldChar w:fldCharType="separate"/>
      </w:r>
      <w:r>
        <w:rPr>
          <w:rFonts w:ascii="Times New Roman" w:cs="Times New Roman" w:eastAsia="Times New Roman" w:hAnsi="Times New Roman"/>
          <w:i/>
          <w:iCs/>
          <w:color w:val="1f1f1f"/>
          <w:sz w:val="24"/>
          <w:szCs w:val="24"/>
        </w:rPr>
        <w:t>Global Ecology and Conservation</w:t>
      </w:r>
      <w:r>
        <w:rPr/>
        <w:fldChar w:fldCharType="end"/>
      </w:r>
      <w:r>
        <w:rPr>
          <w:rFonts w:ascii="Times New Roman" w:cs="Times New Roman" w:eastAsia="Times New Roman" w:hAnsi="Times New Roman"/>
          <w:i/>
          <w:iCs/>
          <w:color w:val="1f1f1f"/>
          <w:sz w:val="24"/>
          <w:szCs w:val="24"/>
        </w:rPr>
        <w:t>,</w:t>
      </w:r>
      <w:r>
        <w:rPr>
          <w:rFonts w:ascii="Times New Roman" w:cs="Times New Roman" w:eastAsia="Times New Roman" w:hAnsi="Times New Roman"/>
          <w:i/>
          <w:iCs/>
          <w:color w:val="0272b1"/>
          <w:sz w:val="24"/>
          <w:szCs w:val="24"/>
        </w:rPr>
        <w:t xml:space="preserve"> </w:t>
      </w:r>
      <w:r>
        <w:rPr>
          <w:rFonts w:ascii="Times New Roman" w:cs="Times New Roman" w:eastAsia="Times New Roman" w:hAnsi="Times New Roman"/>
          <w:i/>
          <w:iCs/>
          <w:color w:val="auto"/>
          <w:sz w:val="24"/>
          <w:szCs w:val="24"/>
        </w:rPr>
        <w:t>29</w:t>
      </w:r>
      <w:r>
        <w:rPr>
          <w:rFonts w:ascii="Times New Roman" w:cs="Times New Roman" w:eastAsia="Times New Roman" w:hAnsi="Times New Roman"/>
          <w:i/>
          <w:iCs/>
          <w:color w:val="1f1f1f"/>
          <w:sz w:val="24"/>
          <w:szCs w:val="24"/>
        </w:rPr>
        <w:t xml:space="preserve">: </w:t>
      </w:r>
      <w:r>
        <w:rPr>
          <w:rFonts w:ascii="Times New Roman" w:cs="Times New Roman" w:eastAsia="Times New Roman" w:hAnsi="Times New Roman"/>
          <w:color w:val="1f1f1f"/>
          <w:sz w:val="24"/>
          <w:szCs w:val="24"/>
        </w:rPr>
        <w:t>e01743.</w:t>
      </w:r>
    </w:p>
    <w:p>
      <w:pPr>
        <w:pStyle w:val="style0"/>
        <w:spacing w:after="240" w:lineRule="auto" w:line="240"/>
        <w:ind w:left="630" w:hanging="630"/>
        <w:jc w:val="both"/>
        <w:rPr>
          <w:rFonts w:ascii="Times New Roman" w:hAnsi="Times New Roman"/>
          <w:sz w:val="24"/>
          <w:szCs w:val="24"/>
        </w:rPr>
      </w:pPr>
      <w:r>
        <w:rPr>
          <w:rFonts w:ascii="Times New Roman" w:eastAsia="Calibri" w:hAnsi="Times New Roman"/>
          <w:sz w:val="24"/>
          <w:szCs w:val="24"/>
          <w:lang w:eastAsia="en-US"/>
        </w:rPr>
        <w:t xml:space="preserve">Villiers, A. </w:t>
      </w:r>
      <w:r>
        <w:rPr>
          <w:rFonts w:ascii="Times New Roman" w:eastAsia="Calibri" w:hAnsi="Times New Roman"/>
          <w:sz w:val="24"/>
          <w:szCs w:val="24"/>
        </w:rPr>
        <w:t>(</w:t>
      </w:r>
      <w:r>
        <w:rPr>
          <w:rFonts w:ascii="Times New Roman" w:eastAsia="Calibri" w:hAnsi="Times New Roman"/>
          <w:sz w:val="24"/>
          <w:szCs w:val="24"/>
          <w:lang w:eastAsia="en-US"/>
        </w:rPr>
        <w:t>1958</w:t>
      </w:r>
      <w:r>
        <w:rPr>
          <w:rFonts w:ascii="Times New Roman" w:eastAsia="Calibri" w:hAnsi="Times New Roman"/>
          <w:sz w:val="24"/>
          <w:szCs w:val="24"/>
        </w:rPr>
        <w:t>)</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Tortues</w:t>
      </w:r>
      <w:r>
        <w:rPr>
          <w:rFonts w:ascii="Times New Roman" w:eastAsia="Calibri" w:hAnsi="Times New Roman"/>
          <w:sz w:val="24"/>
          <w:szCs w:val="24"/>
          <w:lang w:eastAsia="en-US"/>
        </w:rPr>
        <w:t xml:space="preserve"> et Crocodiles de </w:t>
      </w:r>
      <w:r>
        <w:rPr>
          <w:rFonts w:ascii="Times New Roman" w:eastAsia="Calibri" w:hAnsi="Times New Roman"/>
          <w:sz w:val="24"/>
          <w:szCs w:val="24"/>
          <w:lang w:eastAsia="en-US"/>
        </w:rPr>
        <w:t>l'Afrique</w:t>
      </w:r>
      <w:r>
        <w:rPr>
          <w:rFonts w:ascii="Times New Roman" w:eastAsia="Calibri" w:hAnsi="Times New Roman"/>
          <w:sz w:val="24"/>
          <w:szCs w:val="24"/>
          <w:lang w:eastAsia="en-US"/>
        </w:rPr>
        <w:t xml:space="preserve"> Noire Francaise. Initiations </w:t>
      </w:r>
      <w:r>
        <w:rPr>
          <w:rFonts w:ascii="Times New Roman" w:eastAsia="Calibri" w:hAnsi="Times New Roman"/>
          <w:sz w:val="24"/>
          <w:szCs w:val="24"/>
          <w:lang w:eastAsia="en-US"/>
        </w:rPr>
        <w:t>Africaines</w:t>
      </w:r>
      <w:r>
        <w:rPr>
          <w:rFonts w:ascii="Times New Roman" w:eastAsia="Calibri" w:hAnsi="Times New Roman"/>
          <w:sz w:val="24"/>
          <w:szCs w:val="24"/>
          <w:lang w:eastAsia="en-US"/>
        </w:rPr>
        <w:t xml:space="preserve"> (Dakar, Senegal) (15): 1-354</w:t>
      </w:r>
    </w:p>
    <w:p>
      <w:pPr>
        <w:pStyle w:val="style0"/>
        <w:spacing w:after="240" w:lineRule="auto" w:line="240"/>
        <w:ind w:left="630" w:hanging="630"/>
        <w:jc w:val="both"/>
        <w:rPr>
          <w:rFonts w:ascii="Times New Roman" w:hAnsi="Times New Roman"/>
          <w:sz w:val="24"/>
          <w:szCs w:val="24"/>
        </w:rPr>
      </w:pPr>
      <w:r>
        <w:rPr>
          <w:rFonts w:ascii="Times New Roman" w:eastAsia="Calibri" w:hAnsi="Times New Roman"/>
          <w:sz w:val="24"/>
          <w:szCs w:val="24"/>
          <w:lang w:eastAsia="en-US"/>
        </w:rPr>
        <w:t xml:space="preserve">Webb, G J &amp; </w:t>
      </w:r>
      <w:r>
        <w:rPr>
          <w:rFonts w:ascii="Times New Roman" w:eastAsia="Calibri" w:hAnsi="Times New Roman"/>
          <w:sz w:val="24"/>
          <w:szCs w:val="24"/>
          <w:lang w:eastAsia="en-US"/>
        </w:rPr>
        <w:t>Mannolis</w:t>
      </w:r>
      <w:r>
        <w:rPr>
          <w:rFonts w:ascii="Times New Roman" w:eastAsia="Calibri" w:hAnsi="Times New Roman"/>
          <w:sz w:val="24"/>
          <w:szCs w:val="24"/>
          <w:lang w:eastAsia="en-US"/>
        </w:rPr>
        <w:t xml:space="preserve">, S. C. (1989). Crocodiles of Australia. Reed Books, Cornell University.  160. ISBN :0730102548Wermuth H. (1953) </w:t>
      </w:r>
      <w:r>
        <w:rPr>
          <w:rFonts w:ascii="Times New Roman" w:eastAsia="Calibri" w:hAnsi="Times New Roman"/>
          <w:sz w:val="24"/>
          <w:szCs w:val="24"/>
          <w:lang w:eastAsia="en-US"/>
        </w:rPr>
        <w:t>Systematik</w:t>
      </w:r>
      <w:r>
        <w:rPr>
          <w:rFonts w:ascii="Times New Roman" w:eastAsia="Calibri" w:hAnsi="Times New Roman"/>
          <w:sz w:val="24"/>
          <w:szCs w:val="24"/>
          <w:lang w:eastAsia="en-US"/>
        </w:rPr>
        <w:t xml:space="preserve"> der </w:t>
      </w:r>
      <w:r>
        <w:rPr>
          <w:rFonts w:ascii="Times New Roman" w:eastAsia="Calibri" w:hAnsi="Times New Roman"/>
          <w:sz w:val="24"/>
          <w:szCs w:val="24"/>
          <w:lang w:eastAsia="en-US"/>
        </w:rPr>
        <w:t>rezenten</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Krokodile</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Mitteilungen</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aus</w:t>
      </w:r>
      <w:r>
        <w:rPr>
          <w:rFonts w:ascii="Times New Roman" w:eastAsia="Calibri" w:hAnsi="Times New Roman"/>
          <w:sz w:val="24"/>
          <w:szCs w:val="24"/>
          <w:lang w:eastAsia="en-US"/>
        </w:rPr>
        <w:t xml:space="preserve"> dem </w:t>
      </w:r>
      <w:r>
        <w:rPr>
          <w:rFonts w:ascii="Times New Roman" w:eastAsia="Calibri" w:hAnsi="Times New Roman"/>
          <w:sz w:val="24"/>
          <w:szCs w:val="24"/>
          <w:lang w:eastAsia="en-US"/>
        </w:rPr>
        <w:t>Zoologischen</w:t>
      </w:r>
      <w:r>
        <w:rPr>
          <w:rFonts w:ascii="Times New Roman" w:eastAsia="Calibri" w:hAnsi="Times New Roman"/>
          <w:sz w:val="24"/>
          <w:szCs w:val="24"/>
          <w:lang w:eastAsia="en-US"/>
        </w:rPr>
        <w:t xml:space="preserve"> Museum in Berlin 29 (2): 375-514 Wermuth, H. &amp; R. Mertens (1961). </w:t>
      </w:r>
      <w:r>
        <w:rPr>
          <w:rFonts w:ascii="Times New Roman" w:eastAsia="Calibri" w:hAnsi="Times New Roman"/>
          <w:sz w:val="24"/>
          <w:szCs w:val="24"/>
          <w:lang w:eastAsia="en-US"/>
        </w:rPr>
        <w:t>Schildkröten</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Krokodile</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Brückenechsen</w:t>
      </w:r>
      <w:r>
        <w:rPr>
          <w:rFonts w:ascii="Times New Roman" w:eastAsia="Calibri" w:hAnsi="Times New Roman"/>
          <w:sz w:val="24"/>
          <w:szCs w:val="24"/>
          <w:lang w:eastAsia="en-US"/>
        </w:rPr>
        <w:t xml:space="preserve">. </w:t>
      </w:r>
      <w:r>
        <w:rPr>
          <w:rFonts w:ascii="Times New Roman" w:eastAsia="Calibri" w:hAnsi="Times New Roman"/>
          <w:sz w:val="24"/>
          <w:szCs w:val="24"/>
          <w:lang w:eastAsia="en-US"/>
        </w:rPr>
        <w:t>Veb</w:t>
      </w:r>
      <w:r>
        <w:rPr>
          <w:rFonts w:ascii="Times New Roman" w:eastAsia="Calibri" w:hAnsi="Times New Roman"/>
          <w:sz w:val="24"/>
          <w:szCs w:val="24"/>
          <w:lang w:eastAsia="en-US"/>
        </w:rPr>
        <w:t xml:space="preserve"> Gustav Fischer Verlag</w:t>
      </w:r>
    </w:p>
    <w:p>
      <w:pPr>
        <w:pStyle w:val="style94"/>
        <w:tabs>
          <w:tab w:val="left" w:leader="none" w:pos="990"/>
        </w:tabs>
        <w:spacing w:before="0" w:beforeAutospacing="false" w:after="240" w:afterAutospacing="false" w:lineRule="exact" w:line="240"/>
        <w:ind w:left="630" w:hanging="630"/>
        <w:jc w:val="both"/>
        <w:rPr/>
      </w:pPr>
      <w:r>
        <w:t xml:space="preserve">Webb, G. J. W., Britton, A. R. C., Manolis, S. C., &amp; Ottley, B. (2010). Decline and recovery of crocodile populations: Lessons learned from the management of crocodilians in Australia. </w:t>
      </w:r>
      <w:r>
        <w:rPr>
          <w:rStyle w:val="style88"/>
          <w:rFonts w:eastAsia="SimSun"/>
        </w:rPr>
        <w:t>Wildlife Research, 37</w:t>
      </w:r>
      <w:r>
        <w:t xml:space="preserve">(5), 357–365. </w:t>
      </w:r>
    </w:p>
    <w:p>
      <w:pPr>
        <w:pStyle w:val="style0"/>
        <w:spacing w:after="240" w:lineRule="auto" w:line="240"/>
        <w:ind w:left="630" w:hanging="63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Webb, G., </w:t>
      </w:r>
      <w:r>
        <w:rPr>
          <w:rFonts w:ascii="Times New Roman" w:eastAsia="Calibri" w:hAnsi="Times New Roman"/>
          <w:sz w:val="24"/>
          <w:szCs w:val="24"/>
          <w:lang w:eastAsia="en-US"/>
        </w:rPr>
        <w:t>Mannolis</w:t>
      </w:r>
      <w:r>
        <w:rPr>
          <w:rFonts w:ascii="Times New Roman" w:eastAsia="Calibri" w:hAnsi="Times New Roman"/>
          <w:sz w:val="24"/>
          <w:szCs w:val="24"/>
          <w:lang w:eastAsia="en-US"/>
        </w:rPr>
        <w:t>, C., &amp; Whitehead, P. (2010). Crocodylus porosus. In Crocodiles: Status Survey and Conservation Action Plan (3rd ed., 23-30). IUCN/SSC Crocodile Specialist Group.</w:t>
      </w:r>
    </w:p>
    <w:sectPr>
      <w:type w:val="continuous"/>
      <w:pgSz w:w="11906" w:h="16838" w:orient="portrait" w:code="9"/>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SimSun">
    <w:altName w:val="宋体"/>
    <w:panose1 w:val="02010600030001010101"/>
    <w:charset w:val="86"/>
    <w:family w:val="auto"/>
    <w:pitch w:val="variable"/>
    <w:sig w:usb0="00000203" w:usb1="288F0000" w:usb2="00000016" w:usb3="00000000" w:csb0="00040001" w:csb1="00000000"/>
  </w:font>
  <w:font w:name="Calibri Light">
    <w:altName w:val="Calibri Light"/>
    <w:panose1 w:val="020f0302020002030204"/>
    <w:charset w:val="00"/>
    <w:family w:val="swiss"/>
    <w:pitch w:val="variable"/>
    <w:sig w:usb0="E4002EFF" w:usb1="C2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mbria Math">
    <w:altName w:val="Cambria Math"/>
    <w:panose1 w:val="02040503050004030204"/>
    <w:charset w:val="00"/>
    <w:family w:val="roman"/>
    <w:pitch w:val="variable"/>
    <w:sig w:usb0="E00006FF" w:usb1="420024FF" w:usb2="02000000" w:usb3="00000000" w:csb0="0000019F" w:csb1="00000000"/>
  </w:font>
  <w:font w:name="Cambria">
    <w:altName w:val="Cambria"/>
    <w:panose1 w:val="02040503050004030204"/>
    <w:charset w:val="00"/>
    <w:family w:val="roman"/>
    <w:pitch w:val="variable"/>
    <w:sig w:usb0="E00006FF" w:usb1="420024FF" w:usb2="02000000" w:usb3="00000000" w:csb0="0000019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fldChar w:fldCharType="begin"/>
    </w:r>
    <w:r>
      <w:instrText xml:space="preserve"> PAGE   \* MERGEFORMAT </w:instrText>
    </w:r>
    <w:r>
      <w:rPr/>
      <w:fldChar w:fldCharType="separate"/>
    </w:r>
    <w:r>
      <w:rPr>
        <w:noProof/>
      </w:rPr>
      <w:t>2</w:t>
    </w:r>
    <w:r>
      <w:rPr>
        <w:noProof/>
      </w:rPr>
      <w:fldChar w:fldCharType="end"/>
    </w:r>
  </w:p>
  <w:p>
    <w:pPr>
      <w:pStyle w:val="style3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4EBA9B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cs="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cs="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cs="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01"/>
    <w:multiLevelType w:val="multilevel"/>
    <w:tmpl w:val="3712229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3B081DB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55AE628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A7A28ADC"/>
    <w:lvl w:ilvl="0">
      <w:start w:val="1"/>
      <w:numFmt w:val="lowerRoman"/>
      <w:lvlText w:val="%1."/>
      <w:lvlJc w:val="righ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BFFC986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54DE2AD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hybridMultilevel"/>
    <w:tmpl w:val="7F987960"/>
    <w:lvl w:ilvl="0" w:tplc="50F4F812">
      <w:start w:val="1"/>
      <w:numFmt w:val="bullet"/>
      <w:lvlText w:val=""/>
      <w:lvlJc w:val="left"/>
      <w:pPr>
        <w:ind w:left="0" w:hanging="360"/>
      </w:pPr>
      <w:rPr>
        <w:rFonts w:ascii="Symbol" w:cs="Times New Roman" w:eastAsia="Times New Roman" w:hAnsi="Symbol" w:hint="default"/>
      </w:rPr>
    </w:lvl>
    <w:lvl w:ilvl="1" w:tplc="04090003" w:tentative="1">
      <w:start w:val="1"/>
      <w:numFmt w:val="bullet"/>
      <w:lvlText w:val="o"/>
      <w:lvlJc w:val="left"/>
      <w:pPr>
        <w:ind w:left="720" w:hanging="360"/>
      </w:pPr>
      <w:rPr>
        <w:rFonts w:ascii="Courier New" w:cs="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cs="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cs="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8">
    <w:nsid w:val="00000008"/>
    <w:multiLevelType w:val="multilevel"/>
    <w:tmpl w:val="CFA6BB3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7C1830C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0">
    <w:nsid w:val="0000000A"/>
    <w:multiLevelType w:val="multilevel"/>
    <w:tmpl w:val="E052677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3FD8CEB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2">
    <w:nsid w:val="0000000C"/>
    <w:multiLevelType w:val="multilevel"/>
    <w:tmpl w:val="86E46FC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BB645C6A"/>
    <w:lvl w:ilvl="0">
      <w:start w:val="1"/>
      <w:numFmt w:val="lowerRoman"/>
      <w:lvlText w:val="%1."/>
      <w:lvlJc w:val="righ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C10ED28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E75084CA"/>
    <w:lvl w:ilvl="0">
      <w:start w:val="1"/>
      <w:numFmt w:val="decimal"/>
      <w:lvlText w:val="%1."/>
      <w:lvlJc w:val="left"/>
      <w:pPr>
        <w:tabs>
          <w:tab w:val="left" w:leader="none" w:pos="720"/>
        </w:tabs>
        <w:ind w:left="720" w:hanging="360"/>
      </w:p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6">
    <w:nsid w:val="00000010"/>
    <w:multiLevelType w:val="multilevel"/>
    <w:tmpl w:val="FF1ED5A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multilevel"/>
    <w:tmpl w:val="BC8E2B5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4"/>
  </w:num>
  <w:num w:numId="2">
    <w:abstractNumId w:val="9"/>
  </w:num>
  <w:num w:numId="3">
    <w:abstractNumId w:val="10"/>
  </w:num>
  <w:num w:numId="4">
    <w:abstractNumId w:val="5"/>
  </w:num>
  <w:num w:numId="5">
    <w:abstractNumId w:val="2"/>
  </w:num>
  <w:num w:numId="6">
    <w:abstractNumId w:val="11"/>
  </w:num>
  <w:num w:numId="7">
    <w:abstractNumId w:val="17"/>
  </w:num>
  <w:num w:numId="8">
    <w:abstractNumId w:val="1"/>
  </w:num>
  <w:num w:numId="9">
    <w:abstractNumId w:val="8"/>
  </w:num>
  <w:num w:numId="10">
    <w:abstractNumId w:val="6"/>
  </w:num>
  <w:num w:numId="11">
    <w:abstractNumId w:val="3"/>
  </w:num>
  <w:num w:numId="12">
    <w:abstractNumId w:val="13"/>
  </w:num>
  <w:num w:numId="13">
    <w:abstractNumId w:val="0"/>
  </w:num>
  <w:num w:numId="14">
    <w:abstractNumId w:val="7"/>
  </w:num>
  <w:num w:numId="15">
    <w:abstractNumId w:val="12"/>
  </w:num>
  <w:num w:numId="16">
    <w:abstractNumId w:val="14"/>
  </w:num>
  <w:num w:numId="17">
    <w:abstractNumId w:val="15"/>
  </w:num>
  <w:num w:numId="18">
    <w:abstractNumId w:val="1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pacing w:after="200" w:lineRule="auto" w:line="276"/>
    </w:pPr>
    <w:rPr>
      <w:rFonts w:cs="Times New Roman" w:eastAsia="SimSun"/>
      <w:kern w:val="0"/>
      <w:sz w:val="22"/>
      <w:szCs w:val="22"/>
      <w:lang w:eastAsia="zh-CN"/>
      <w14:ligatures xmlns:w14="http://schemas.microsoft.com/office/word/2010/wordml" w14:val="none"/>
    </w:rPr>
  </w:style>
  <w:style w:type="paragraph" w:styleId="style1">
    <w:name w:val="heading 1"/>
    <w:basedOn w:val="style0"/>
    <w:next w:val="style0"/>
    <w:link w:val="style4097"/>
    <w:qFormat/>
    <w:uiPriority w:val="9"/>
    <w:pPr>
      <w:keepNext/>
      <w:keepLines/>
      <w:spacing w:before="360" w:after="80"/>
      <w:outlineLvl w:val="0"/>
    </w:pPr>
    <w:rPr>
      <w:rFonts w:ascii="Calibri Light" w:cs="SimSun"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SimSun"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SimSun"/>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SimSun"/>
      <w:i/>
      <w:iCs/>
      <w:color w:val="2f5496"/>
    </w:rPr>
  </w:style>
  <w:style w:type="paragraph" w:styleId="style5">
    <w:name w:val="heading 5"/>
    <w:basedOn w:val="style0"/>
    <w:next w:val="style0"/>
    <w:link w:val="style4101"/>
    <w:qFormat/>
    <w:uiPriority w:val="9"/>
    <w:pPr>
      <w:keepNext/>
      <w:keepLines/>
      <w:spacing w:before="80" w:after="40"/>
      <w:outlineLvl w:val="4"/>
    </w:pPr>
    <w:rPr>
      <w:rFonts w:cs="SimSun"/>
      <w:color w:val="2f5496"/>
    </w:rPr>
  </w:style>
  <w:style w:type="paragraph" w:styleId="style6">
    <w:name w:val="heading 6"/>
    <w:basedOn w:val="style0"/>
    <w:next w:val="style0"/>
    <w:link w:val="style4102"/>
    <w:qFormat/>
    <w:uiPriority w:val="9"/>
    <w:pPr>
      <w:keepNext/>
      <w:keepLines/>
      <w:spacing w:before="40" w:after="0"/>
      <w:outlineLvl w:val="5"/>
    </w:pPr>
    <w:rPr>
      <w:rFonts w:cs="SimSun"/>
      <w:i/>
      <w:iCs/>
      <w:color w:val="595959"/>
    </w:rPr>
  </w:style>
  <w:style w:type="paragraph" w:styleId="style7">
    <w:name w:val="heading 7"/>
    <w:basedOn w:val="style0"/>
    <w:next w:val="style0"/>
    <w:link w:val="style4103"/>
    <w:qFormat/>
    <w:uiPriority w:val="9"/>
    <w:pPr>
      <w:keepNext/>
      <w:keepLines/>
      <w:spacing w:before="40" w:after="0"/>
      <w:outlineLvl w:val="6"/>
    </w:pPr>
    <w:rPr>
      <w:rFonts w:cs="SimSun"/>
      <w:color w:val="595959"/>
    </w:rPr>
  </w:style>
  <w:style w:type="paragraph" w:styleId="style8">
    <w:name w:val="heading 8"/>
    <w:basedOn w:val="style0"/>
    <w:next w:val="style0"/>
    <w:link w:val="style4104"/>
    <w:qFormat/>
    <w:uiPriority w:val="9"/>
    <w:pPr>
      <w:keepNext/>
      <w:keepLines/>
      <w:spacing w:after="0"/>
      <w:outlineLvl w:val="7"/>
    </w:pPr>
    <w:rPr>
      <w:rFonts w:cs="SimSun"/>
      <w:i/>
      <w:iCs/>
      <w:color w:val="272727"/>
    </w:rPr>
  </w:style>
  <w:style w:type="paragraph" w:styleId="style9">
    <w:name w:val="heading 9"/>
    <w:basedOn w:val="style0"/>
    <w:next w:val="style0"/>
    <w:link w:val="style4105"/>
    <w:qFormat/>
    <w:uiPriority w:val="9"/>
    <w:pPr>
      <w:keepNext/>
      <w:keepLines/>
      <w:spacing w:after="0"/>
      <w:outlineLvl w:val="8"/>
    </w:pPr>
    <w:rPr>
      <w:rFonts w:cs="SimSun"/>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14778279-de0a-4c74-8583-a24aeb9338c5"/>
    <w:basedOn w:val="style65"/>
    <w:next w:val="style4097"/>
    <w:link w:val="style1"/>
    <w:uiPriority w:val="9"/>
    <w:rPr>
      <w:rFonts w:ascii="Calibri Light" w:cs="SimSun" w:eastAsia="SimSun" w:hAnsi="Calibri Light"/>
      <w:color w:val="2f5496"/>
      <w:sz w:val="40"/>
      <w:szCs w:val="40"/>
    </w:rPr>
  </w:style>
  <w:style w:type="character" w:customStyle="1" w:styleId="style4098">
    <w:name w:val="Heading 2 Char_ca0535a2-5559-49cb-ba50-f6af329e0b80"/>
    <w:basedOn w:val="style65"/>
    <w:next w:val="style4098"/>
    <w:link w:val="style2"/>
    <w:uiPriority w:val="9"/>
    <w:rPr>
      <w:rFonts w:ascii="Calibri Light" w:cs="SimSun" w:eastAsia="SimSun" w:hAnsi="Calibri Light"/>
      <w:color w:val="2f5496"/>
      <w:sz w:val="32"/>
      <w:szCs w:val="32"/>
    </w:rPr>
  </w:style>
  <w:style w:type="character" w:customStyle="1" w:styleId="style4099">
    <w:name w:val="Heading 3 Char_78797a84-0c2e-419d-89e2-d5722c656806"/>
    <w:basedOn w:val="style65"/>
    <w:next w:val="style4099"/>
    <w:link w:val="style3"/>
    <w:uiPriority w:val="9"/>
    <w:rPr>
      <w:rFonts w:cs="SimSun" w:eastAsia="SimSun"/>
      <w:color w:val="2f5496"/>
      <w:sz w:val="28"/>
      <w:szCs w:val="28"/>
    </w:rPr>
  </w:style>
  <w:style w:type="character" w:customStyle="1" w:styleId="style4100">
    <w:name w:val="Heading 4 Char_0cc3d905-2a32-4816-8d10-30cefcb2187e"/>
    <w:basedOn w:val="style65"/>
    <w:next w:val="style4100"/>
    <w:link w:val="style4"/>
    <w:uiPriority w:val="9"/>
    <w:rPr>
      <w:rFonts w:cs="SimSun" w:eastAsia="SimSun"/>
      <w:i/>
      <w:iCs/>
      <w:color w:val="2f5496"/>
    </w:rPr>
  </w:style>
  <w:style w:type="character" w:customStyle="1" w:styleId="style4101">
    <w:name w:val="Heading 5 Char_731b449a-9b2b-4b37-847b-481d9a15953e"/>
    <w:basedOn w:val="style65"/>
    <w:next w:val="style4101"/>
    <w:link w:val="style5"/>
    <w:uiPriority w:val="9"/>
    <w:rPr>
      <w:rFonts w:cs="SimSun" w:eastAsia="SimSun"/>
      <w:color w:val="2f5496"/>
    </w:rPr>
  </w:style>
  <w:style w:type="character" w:customStyle="1" w:styleId="style4102">
    <w:name w:val="Heading 6 Char_4a6c0539-597c-4007-82b6-9b961ca27490"/>
    <w:basedOn w:val="style65"/>
    <w:next w:val="style4102"/>
    <w:link w:val="style6"/>
    <w:uiPriority w:val="9"/>
    <w:rPr>
      <w:rFonts w:cs="SimSun" w:eastAsia="SimSun"/>
      <w:i/>
      <w:iCs/>
      <w:color w:val="595959"/>
    </w:rPr>
  </w:style>
  <w:style w:type="character" w:customStyle="1" w:styleId="style4103">
    <w:name w:val="Heading 7 Char_11c760b9-61b8-475f-9c38-074713432671"/>
    <w:basedOn w:val="style65"/>
    <w:next w:val="style4103"/>
    <w:link w:val="style7"/>
    <w:uiPriority w:val="9"/>
    <w:rPr>
      <w:rFonts w:cs="SimSun" w:eastAsia="SimSun"/>
      <w:color w:val="595959"/>
    </w:rPr>
  </w:style>
  <w:style w:type="character" w:customStyle="1" w:styleId="style4104">
    <w:name w:val="Heading 8 Char_0a6d0e8d-22ee-4fbe-9fd2-3d2591e24b33"/>
    <w:basedOn w:val="style65"/>
    <w:next w:val="style4104"/>
    <w:link w:val="style8"/>
    <w:uiPriority w:val="9"/>
    <w:rPr>
      <w:rFonts w:cs="SimSun" w:eastAsia="SimSun"/>
      <w:i/>
      <w:iCs/>
      <w:color w:val="272727"/>
    </w:rPr>
  </w:style>
  <w:style w:type="character" w:customStyle="1" w:styleId="style4105">
    <w:name w:val="Heading 9 Char_0e0f6695-374e-4161-9b4e-929fb161f451"/>
    <w:basedOn w:val="style65"/>
    <w:next w:val="style4105"/>
    <w:link w:val="style9"/>
    <w:uiPriority w:val="9"/>
    <w:rPr>
      <w:rFonts w:cs="SimSun" w:eastAsia="SimSun"/>
      <w:color w:val="272727"/>
    </w:rPr>
  </w:style>
  <w:style w:type="paragraph" w:styleId="style62">
    <w:name w:val="Title"/>
    <w:basedOn w:val="style0"/>
    <w:next w:val="style0"/>
    <w:link w:val="style4106"/>
    <w:qFormat/>
    <w:uiPriority w:val="10"/>
    <w:pPr>
      <w:spacing w:after="80" w:lineRule="auto" w:line="240"/>
      <w:contextualSpacing/>
    </w:pPr>
    <w:rPr>
      <w:rFonts w:ascii="Calibri Light" w:cs="SimSun" w:hAnsi="Calibri Light"/>
      <w:spacing w:val="-10"/>
      <w:kern w:val="28"/>
      <w:sz w:val="56"/>
      <w:szCs w:val="56"/>
    </w:rPr>
  </w:style>
  <w:style w:type="character" w:customStyle="1" w:styleId="style4106">
    <w:name w:val="Title Char_fdc0f5a5-33e6-4f62-b9a4-1a93e2aca560"/>
    <w:basedOn w:val="style65"/>
    <w:next w:val="style4106"/>
    <w:link w:val="style62"/>
    <w:uiPriority w:val="10"/>
    <w:rPr>
      <w:rFonts w:ascii="Calibri Light" w:cs="SimSun" w:eastAsia="SimSun"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SimSun"/>
      <w:color w:val="595959"/>
      <w:spacing w:val="15"/>
      <w:sz w:val="28"/>
      <w:szCs w:val="28"/>
    </w:rPr>
  </w:style>
  <w:style w:type="character" w:customStyle="1" w:styleId="style4107">
    <w:name w:val="Subtitle Char"/>
    <w:basedOn w:val="style65"/>
    <w:next w:val="style4107"/>
    <w:link w:val="style74"/>
    <w:uiPriority w:val="11"/>
    <w:rPr>
      <w:rFonts w:cs="SimSun" w:eastAsia="SimSun"/>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a406bcb9-743c-466b-83a5-e61760685854"/>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af9c1e58-3ff4-4ec9-902f-677c51e04355"/>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 w:type="character" w:styleId="style39">
    <w:name w:val="annotation reference"/>
    <w:next w:val="style39"/>
    <w:rPr>
      <w:rFonts w:ascii="Times New Roman" w:cs="Times New Roman" w:eastAsia="SimSun" w:hAnsi="Times New Roman"/>
      <w:sz w:val="16"/>
      <w:szCs w:val="16"/>
      <w:lang w:val="en-US" w:bidi="ar-SA" w:eastAsia="zh-CN"/>
    </w:rPr>
  </w:style>
  <w:style w:type="paragraph" w:styleId="style30">
    <w:name w:val="annotation text"/>
    <w:basedOn w:val="style0"/>
    <w:next w:val="style30"/>
    <w:link w:val="style4110"/>
    <w:pPr/>
    <w:rPr>
      <w:rFonts w:cs="Calibri"/>
      <w:sz w:val="20"/>
      <w:szCs w:val="20"/>
    </w:rPr>
  </w:style>
  <w:style w:type="character" w:customStyle="1" w:styleId="style4110">
    <w:name w:val="Comment Text Char"/>
    <w:basedOn w:val="style65"/>
    <w:next w:val="style4110"/>
    <w:link w:val="style30"/>
    <w:rPr>
      <w:rFonts w:ascii="Calibri" w:cs="Calibri" w:eastAsia="SimSun" w:hAnsi="Calibri"/>
      <w:kern w:val="0"/>
      <w:sz w:val="20"/>
      <w:szCs w:val="20"/>
      <w:lang w:eastAsia="zh-CN"/>
      <w14:ligatures xmlns:w14="http://schemas.microsoft.com/office/word/2010/wordml" w14:val="none"/>
    </w:rPr>
  </w:style>
  <w:style w:type="paragraph" w:styleId="style94">
    <w:name w:val="Normal (Web)"/>
    <w:basedOn w:val="style0"/>
    <w:next w:val="style94"/>
    <w:uiPriority w:val="99"/>
    <w:pPr>
      <w:spacing w:before="100" w:beforeAutospacing="true" w:after="100" w:afterAutospacing="true" w:lineRule="auto" w:line="240"/>
    </w:pPr>
    <w:rPr>
      <w:rFonts w:ascii="Times New Roman" w:eastAsia="Times New Roman" w:hAnsi="Times New Roman"/>
      <w:sz w:val="24"/>
      <w:szCs w:val="24"/>
      <w:lang w:eastAsia="en-US"/>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customStyle="1" w:styleId="style4111">
    <w:name w:val="ms-1"/>
    <w:basedOn w:val="style65"/>
    <w:next w:val="style4111"/>
  </w:style>
  <w:style w:type="character" w:customStyle="1" w:styleId="style4112">
    <w:name w:val="max-w-full"/>
    <w:basedOn w:val="style65"/>
    <w:next w:val="style4112"/>
  </w:style>
  <w:style w:type="character" w:customStyle="1" w:styleId="style4113">
    <w:name w:val="katex-mathml"/>
    <w:basedOn w:val="style65"/>
    <w:next w:val="style4113"/>
  </w:style>
  <w:style w:type="character" w:customStyle="1" w:styleId="style4114">
    <w:name w:val="mord"/>
    <w:basedOn w:val="style65"/>
    <w:next w:val="style4114"/>
  </w:style>
  <w:style w:type="character" w:customStyle="1" w:styleId="style4115">
    <w:name w:val="mpunct"/>
    <w:basedOn w:val="style65"/>
    <w:next w:val="style4115"/>
  </w:style>
  <w:style w:type="character" w:customStyle="1" w:styleId="style4116">
    <w:name w:val="vlist-s"/>
    <w:basedOn w:val="style65"/>
    <w:next w:val="style4116"/>
  </w:style>
  <w:style w:type="character" w:customStyle="1" w:styleId="style4117">
    <w:name w:val="mrel"/>
    <w:basedOn w:val="style65"/>
    <w:next w:val="style4117"/>
  </w:style>
  <w:style w:type="character" w:customStyle="1" w:styleId="style4118">
    <w:name w:val="Unresolved Mention1"/>
    <w:basedOn w:val="style65"/>
    <w:next w:val="style4118"/>
    <w:uiPriority w:val="99"/>
    <w:rPr>
      <w:color w:val="605e5c"/>
      <w:shd w:val="clear" w:color="auto" w:fill="e1dfdd"/>
    </w:rPr>
  </w:style>
  <w:style w:type="paragraph" w:styleId="style31">
    <w:name w:val="header"/>
    <w:basedOn w:val="style0"/>
    <w:next w:val="style31"/>
    <w:link w:val="style4119"/>
    <w:uiPriority w:val="99"/>
    <w:pPr>
      <w:tabs>
        <w:tab w:val="center" w:leader="none" w:pos="4680"/>
        <w:tab w:val="right" w:leader="none" w:pos="9360"/>
      </w:tabs>
      <w:spacing w:after="0" w:lineRule="auto" w:line="240"/>
    </w:pPr>
    <w:rPr/>
  </w:style>
  <w:style w:type="character" w:customStyle="1" w:styleId="style4119">
    <w:name w:val="Header Char_4a87c42c-3cec-41a5-8e4e-c5730a114c64"/>
    <w:basedOn w:val="style65"/>
    <w:next w:val="style4119"/>
    <w:link w:val="style31"/>
    <w:uiPriority w:val="99"/>
    <w:rPr>
      <w:rFonts w:ascii="Calibri" w:cs="Times New Roman" w:eastAsia="SimSun" w:hAnsi="Calibri"/>
      <w:kern w:val="0"/>
      <w:sz w:val="22"/>
      <w:szCs w:val="22"/>
      <w:lang w:eastAsia="zh-CN"/>
      <w14:ligatures xmlns:w14="http://schemas.microsoft.com/office/word/2010/wordml" w14:val="none"/>
    </w:rPr>
  </w:style>
  <w:style w:type="paragraph" w:styleId="style32">
    <w:name w:val="footer"/>
    <w:basedOn w:val="style0"/>
    <w:next w:val="style32"/>
    <w:link w:val="style4120"/>
    <w:uiPriority w:val="99"/>
    <w:pPr>
      <w:tabs>
        <w:tab w:val="center" w:leader="none" w:pos="4680"/>
        <w:tab w:val="right" w:leader="none" w:pos="9360"/>
      </w:tabs>
      <w:spacing w:after="0" w:lineRule="auto" w:line="240"/>
    </w:pPr>
    <w:rPr/>
  </w:style>
  <w:style w:type="character" w:customStyle="1" w:styleId="style4120">
    <w:name w:val="Footer Char_7d41570e-4465-4407-9ed3-e3387fb2989e"/>
    <w:basedOn w:val="style65"/>
    <w:next w:val="style4120"/>
    <w:link w:val="style32"/>
    <w:uiPriority w:val="99"/>
    <w:rPr>
      <w:rFonts w:ascii="Calibri" w:cs="Times New Roman" w:eastAsia="SimSun" w:hAnsi="Calibri"/>
      <w:kern w:val="0"/>
      <w:sz w:val="22"/>
      <w:szCs w:val="22"/>
      <w:lang w:eastAsia="zh-CN"/>
      <w14:ligatures xmlns:w14="http://schemas.microsoft.com/office/word/2010/wordml" w14:val="none"/>
    </w:rPr>
  </w:style>
  <w:style w:type="character" w:styleId="style86">
    <w:name w:val="FollowedHyperlink"/>
    <w:basedOn w:val="style65"/>
    <w:next w:val="style86"/>
    <w:uiPriority w:val="99"/>
    <w:rPr>
      <w:color w:val="954f72"/>
      <w:u w:val="single"/>
    </w:rPr>
  </w:style>
  <w:style w:type="paragraph" w:styleId="style106">
    <w:name w:val="annotation subject"/>
    <w:basedOn w:val="style30"/>
    <w:next w:val="style30"/>
    <w:link w:val="style4121"/>
    <w:uiPriority w:val="99"/>
    <w:pPr>
      <w:spacing w:lineRule="auto" w:line="240"/>
    </w:pPr>
    <w:rPr>
      <w:rFonts w:cs="Times New Roman"/>
      <w:b/>
      <w:bCs/>
    </w:rPr>
  </w:style>
  <w:style w:type="character" w:customStyle="1" w:styleId="style4121">
    <w:name w:val="Comment Subject Char"/>
    <w:basedOn w:val="style4110"/>
    <w:next w:val="style4121"/>
    <w:link w:val="style106"/>
    <w:uiPriority w:val="99"/>
    <w:rPr>
      <w:rFonts w:ascii="Calibri" w:cs="Times New Roman" w:eastAsia="SimSun" w:hAnsi="Calibri"/>
      <w:b/>
      <w:bCs/>
      <w:kern w:val="0"/>
      <w:sz w:val="20"/>
      <w:szCs w:val="20"/>
      <w:lang w:eastAsia="zh-CN"/>
      <w14:ligatures xmlns:w14="http://schemas.microsoft.com/office/word/2010/wordml" w14:val="none"/>
    </w:rPr>
  </w:style>
  <w:style w:type="paragraph" w:styleId="style153">
    <w:name w:val="Balloon Text"/>
    <w:basedOn w:val="style0"/>
    <w:next w:val="style153"/>
    <w:link w:val="style4122"/>
    <w:uiPriority w:val="99"/>
    <w:pPr>
      <w:spacing w:after="0" w:lineRule="auto" w:line="240"/>
    </w:pPr>
    <w:rPr>
      <w:rFonts w:ascii="Segoe UI" w:cs="Segoe UI" w:hAnsi="Segoe UI"/>
      <w:sz w:val="18"/>
      <w:szCs w:val="18"/>
    </w:rPr>
  </w:style>
  <w:style w:type="character" w:customStyle="1" w:styleId="style4122">
    <w:name w:val="Balloon Text Char"/>
    <w:basedOn w:val="style65"/>
    <w:next w:val="style4122"/>
    <w:link w:val="style153"/>
    <w:uiPriority w:val="99"/>
    <w:rPr>
      <w:rFonts w:ascii="Segoe UI" w:cs="Segoe UI" w:eastAsia="SimSun" w:hAnsi="Segoe UI"/>
      <w:kern w:val="0"/>
      <w:sz w:val="18"/>
      <w:szCs w:val="18"/>
      <w:lang w:eastAsia="zh-CN"/>
      <w14:ligatures xmlns:w14="http://schemas.microsoft.com/office/word/2010/wordml" w14:val="none"/>
    </w:rPr>
  </w:style>
  <w:style w:type="character" w:customStyle="1" w:styleId="style4123">
    <w:name w:val="text"/>
    <w:basedOn w:val="style65"/>
    <w:next w:val="style4123"/>
  </w:style>
  <w:style w:type="character" w:styleId="style98">
    <w:name w:val="HTML Code"/>
    <w:basedOn w:val="style65"/>
    <w:next w:val="style98"/>
    <w:uiPriority w:val="99"/>
    <w:rPr>
      <w:rFonts w:ascii="Courier New" w:cs="Courier New" w:eastAsia="Times New Roman" w:hAnsi="Courier New"/>
      <w:sz w:val="20"/>
      <w:szCs w:val="20"/>
    </w:rPr>
  </w:style>
  <w:style w:type="character" w:customStyle="1" w:styleId="style4124">
    <w:name w:val="Unresolved Mention"/>
    <w:basedOn w:val="style65"/>
    <w:next w:val="style4124"/>
    <w:uiPriority w:val="99"/>
    <w:rPr>
      <w:color w:val="605e5c"/>
      <w:shd w:val="clear" w:color="auto" w:fill="e1dfdd"/>
    </w:rPr>
  </w:style>
  <w:style w:type="character" w:styleId="style40">
    <w:name w:val="line number"/>
    <w:basedOn w:val="style65"/>
    <w:next w:val="style40"/>
    <w:uiPriority w:val="99"/>
  </w:style>
  <w:style w:type="character" w:customStyle="1" w:styleId="style4125">
    <w:name w:val="mopen"/>
    <w:basedOn w:val="style65"/>
    <w:next w:val="style4125"/>
  </w:style>
  <w:style w:type="character" w:customStyle="1" w:styleId="style4126">
    <w:name w:val="mclose"/>
    <w:basedOn w:val="style65"/>
    <w:next w:val="style4126"/>
  </w:style>
  <w:style w:type="paragraph" w:customStyle="1" w:styleId="style4127">
    <w:name w:val="isselectedend"/>
    <w:basedOn w:val="style0"/>
    <w:next w:val="style4127"/>
    <w:pPr>
      <w:spacing w:before="100" w:beforeAutospacing="true" w:after="100" w:afterAutospacing="true" w:lineRule="auto" w:line="240"/>
    </w:pPr>
    <w:rPr>
      <w:rFonts w:ascii="Times New Roman" w:eastAsia="Times New Roman" w:hAnsi="Times New Roman"/>
      <w:sz w:val="24"/>
      <w:szCs w:val="24"/>
      <w:lang w:eastAsia="en-US"/>
    </w:rPr>
  </w:style>
</w:styles>
</file>

<file path=word/_rels/document.xml.rels><?xml version="1.0" encoding="UTF-8"?>
<Relationships xmlns="http://schemas.openxmlformats.org/package/2006/relationships"><Relationship Id="rId11" Type="http://schemas.openxmlformats.org/officeDocument/2006/relationships/image" Target="media/image9.png"/><Relationship Id="rId10" Type="http://schemas.openxmlformats.org/officeDocument/2006/relationships/footer" Target="footer1.xml"/><Relationship Id="rId13" Type="http://schemas.openxmlformats.org/officeDocument/2006/relationships/fontTable" Target="fontTable.xml"/><Relationship Id="rId12" Type="http://schemas.openxmlformats.org/officeDocument/2006/relationships/styles" Target="styles.xml"/><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image" Target="media/image8.png"/><Relationship Id="rId15" Type="http://schemas.openxmlformats.org/officeDocument/2006/relationships/theme" Target="theme/theme1.xml"/><Relationship Id="rId14" Type="http://schemas.openxmlformats.org/officeDocument/2006/relationships/settings" Target="settings.xml"/><Relationship Id="rId16" Type="http://schemas.openxmlformats.org/officeDocument/2006/relationships/customXml" Target="../customXml/item1.xml"/><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B53CA-1B90-47A9-AD82-30AA0C46C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6541</Words>
  <Pages>18</Pages>
  <Characters>40765</Characters>
  <Application>WPS Office</Application>
  <DocSecurity>0</DocSecurity>
  <Paragraphs>353</Paragraphs>
  <ScaleCrop>false</ScaleCrop>
  <LinksUpToDate>false</LinksUpToDate>
  <CharactersWithSpaces>47019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2025-09-05T05:51:00Z</dcterms:created>
  <dc:creator>WPS Office</dc:creator>
  <lastModifiedBy>Dr Ogorode</lastModifiedBy>
  <dcterms:modified xsi:type="dcterms:W3CDTF">2026-06-07T16:46:57Z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e14a9ab75bb842088938415f76c1bff5</vt:lpwstr>
  </property>
</Properties>
</file>