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8E180" w14:textId="215FD734" w:rsidR="0050721C" w:rsidRDefault="00C138CF" w:rsidP="00C138CF">
      <w:pPr>
        <w:spacing w:after="0" w:line="360" w:lineRule="auto"/>
        <w:jc w:val="thaiDistribut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E7D8FE8" wp14:editId="53D66BB1">
            <wp:extent cx="5964764" cy="4356000"/>
            <wp:effectExtent l="0" t="0" r="0" b="0"/>
            <wp:docPr id="61398877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764" cy="435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96082D" w14:textId="77777777" w:rsidR="00C138CF" w:rsidRDefault="00C138CF" w:rsidP="00C138CF">
      <w:pPr>
        <w:spacing w:after="0" w:line="360" w:lineRule="auto"/>
        <w:jc w:val="thaiDistribute"/>
        <w:rPr>
          <w:rFonts w:ascii="Times New Roman" w:hAnsi="Times New Roman" w:cs="Times New Roman"/>
          <w:sz w:val="20"/>
          <w:szCs w:val="20"/>
        </w:rPr>
      </w:pPr>
    </w:p>
    <w:p w14:paraId="10F70E6E" w14:textId="4CE942A1" w:rsidR="00C138CF" w:rsidRPr="00C138CF" w:rsidRDefault="00C138CF" w:rsidP="00C138CF">
      <w:pPr>
        <w:spacing w:after="0" w:line="360" w:lineRule="auto"/>
        <w:jc w:val="thaiDistribute"/>
        <w:rPr>
          <w:rFonts w:ascii="Times New Roman" w:hAnsi="Times New Roman" w:cs="Times New Roman"/>
          <w:sz w:val="20"/>
          <w:szCs w:val="20"/>
        </w:rPr>
      </w:pPr>
      <w:r w:rsidRPr="00C138CF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Pr="00C138CF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C138CF">
        <w:rPr>
          <w:rFonts w:ascii="Times New Roman" w:hAnsi="Times New Roman" w:cs="Times New Roman"/>
          <w:b/>
          <w:bCs/>
          <w:sz w:val="20"/>
          <w:szCs w:val="20"/>
        </w:rPr>
        <w:t xml:space="preserve"> S1</w:t>
      </w:r>
      <w:r w:rsidRPr="00C138CF">
        <w:rPr>
          <w:rFonts w:ascii="Times New Roman" w:hAnsi="Times New Roman" w:cs="Times New Roman"/>
          <w:sz w:val="20"/>
          <w:szCs w:val="20"/>
        </w:rPr>
        <w:t xml:space="preserve"> Maximum likelihood phylogenetic tree inferred from partial mitochondrial cytochrome c oxidase subunit I sequences representing two major phyla, Annelida and Mollusca. Morphological identifications were compared with species delimitation inferred using ABGD. Bootstrap support values (%) are shown at the nodes, and the scale bar represents the number of nucleotide substitutions per site.</w:t>
      </w:r>
    </w:p>
    <w:sectPr w:rsidR="00C138CF" w:rsidRPr="00C138CF" w:rsidSect="00C138CF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8CF"/>
    <w:rsid w:val="004239F3"/>
    <w:rsid w:val="0050721C"/>
    <w:rsid w:val="0058133B"/>
    <w:rsid w:val="006073AE"/>
    <w:rsid w:val="00972C0F"/>
    <w:rsid w:val="009F20B9"/>
    <w:rsid w:val="00C138CF"/>
    <w:rsid w:val="00DF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6CB4F"/>
  <w15:chartTrackingRefBased/>
  <w15:docId w15:val="{DAC9AA50-D6B8-4E18-B0B3-4249779E3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38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38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38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38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38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38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38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38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38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138C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138C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138C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138C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138CF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138C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138C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138C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138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38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138C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138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138C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138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C138C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138C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138C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138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138C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138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dutrudi panprommin</dc:creator>
  <cp:keywords/>
  <dc:description/>
  <cp:lastModifiedBy>dutrudi panprommin</cp:lastModifiedBy>
  <cp:revision>3</cp:revision>
  <dcterms:created xsi:type="dcterms:W3CDTF">2026-03-14T08:38:00Z</dcterms:created>
  <dcterms:modified xsi:type="dcterms:W3CDTF">2026-03-14T08:44:00Z</dcterms:modified>
</cp:coreProperties>
</file>