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480" w:lineRule="auto"/>
        <w:rPr>
          <w:color w:val="434343"/>
        </w:rPr>
      </w:pPr>
      <w:bookmarkStart w:colFirst="0" w:colLast="0" w:name="_qn2meiqx118l" w:id="0"/>
      <w:bookmarkEnd w:id="0"/>
      <w:r w:rsidDel="00000000" w:rsidR="00000000" w:rsidRPr="00000000">
        <w:rPr>
          <w:i w:val="0"/>
          <w:iCs w:val="0"/>
          <w:color w:val="434343"/>
          <w:rtl w:val="0"/>
        </w:rPr>
        <w:t xml:space="preserve">Title: </w:t>
      </w:r>
      <w:r w:rsidDel="00000000" w:rsidR="00000000" w:rsidRPr="00000000">
        <w:rPr>
          <w:color w:val="434343"/>
          <w:rtl w:val="0"/>
        </w:rPr>
        <w:t xml:space="preserve">Optimizing Pathogen-Based Sampling Methods for Vertebrate Field Research</w:t>
      </w:r>
    </w:p>
    <w:p w:rsidR="00000000" w:rsidDel="00000000" w:rsidP="00000000" w:rsidRDefault="00000000" w:rsidRPr="00000000" w14:paraId="00000002">
      <w:pPr>
        <w:pStyle w:val="Heading1"/>
        <w:spacing w:line="480" w:lineRule="auto"/>
        <w:rPr>
          <w:color w:val="434343"/>
        </w:rPr>
      </w:pPr>
      <w:bookmarkStart w:colFirst="0" w:colLast="0" w:name="_las8u8epnei7" w:id="1"/>
      <w:bookmarkEnd w:id="1"/>
      <w:r w:rsidDel="00000000" w:rsidR="00000000" w:rsidRPr="00000000">
        <w:rPr>
          <w:color w:val="434343"/>
          <w:rtl w:val="0"/>
        </w:rPr>
        <w:t xml:space="preserve">Supplemental 1: Glossary</w:t>
      </w:r>
      <w:r w:rsidDel="00000000" w:rsidR="00000000" w:rsidRPr="00000000">
        <w:rPr>
          <w:rtl w:val="0"/>
        </w:rPr>
      </w:r>
    </w:p>
    <w:p w:rsidR="00000000" w:rsidDel="00000000" w:rsidP="00000000" w:rsidRDefault="00000000" w:rsidRPr="00000000" w14:paraId="00000003">
      <w:pPr>
        <w:shd w:fill="ffffff" w:val="clear"/>
        <w:spacing w:after="200" w:line="480" w:lineRule="auto"/>
        <w:rPr>
          <w:color w:val="434343"/>
        </w:rPr>
      </w:pPr>
      <w:r w:rsidDel="00000000" w:rsidR="00000000" w:rsidRPr="00000000">
        <w:rPr>
          <w:color w:val="434343"/>
          <w:shd w:fill="6aa84f" w:val="clear"/>
          <w:rtl w:val="0"/>
        </w:rPr>
        <w:t xml:space="preserve">Pathobiology</w:t>
      </w:r>
      <w:r w:rsidDel="00000000" w:rsidR="00000000" w:rsidRPr="00000000">
        <w:rPr>
          <w:color w:val="434343"/>
          <w:rtl w:val="0"/>
        </w:rPr>
        <w:t xml:space="preserve"> within this paper refers broadly to the study of pathogens, including viruses, bacteria, protozoans, endo- and ectoparasites associated with a vertebrate animal of interest and the underlying biological mechanisms of host–pathogen interactions and how pathogens impact or associate with tissues, immune function, hormones, among other organism functions.</w:t>
      </w:r>
    </w:p>
    <w:p w:rsidR="00000000" w:rsidDel="00000000" w:rsidP="00000000" w:rsidRDefault="00000000" w:rsidRPr="00000000" w14:paraId="00000004">
      <w:pPr>
        <w:spacing w:line="480" w:lineRule="auto"/>
        <w:rPr>
          <w:color w:val="434343"/>
        </w:rPr>
      </w:pPr>
      <w:r w:rsidDel="00000000" w:rsidR="00000000" w:rsidRPr="00000000">
        <w:rPr>
          <w:color w:val="434343"/>
          <w:rtl w:val="0"/>
        </w:rPr>
        <w:t xml:space="preserve">A </w:t>
      </w:r>
      <w:r w:rsidDel="00000000" w:rsidR="00000000" w:rsidRPr="00000000">
        <w:rPr>
          <w:color w:val="434343"/>
          <w:shd w:fill="6aa84f" w:val="clear"/>
          <w:rtl w:val="0"/>
        </w:rPr>
        <w:t xml:space="preserve">voucher</w:t>
      </w:r>
      <w:r w:rsidDel="00000000" w:rsidR="00000000" w:rsidRPr="00000000">
        <w:rPr>
          <w:color w:val="434343"/>
          <w:rtl w:val="0"/>
        </w:rPr>
        <w:t xml:space="preserve"> </w:t>
      </w:r>
      <w:r w:rsidDel="00000000" w:rsidR="00000000" w:rsidRPr="00000000">
        <w:rPr>
          <w:color w:val="434343"/>
          <w:rtl w:val="0"/>
        </w:rPr>
        <w:t xml:space="preserve">A voucher is a preserved whole or partial organism, accompanied by associated collection and identification data, that serves as a permanent, verifiable physical record of an organism</w:t>
      </w:r>
      <w:r w:rsidDel="00000000" w:rsidR="00000000" w:rsidRPr="00000000">
        <w:rPr>
          <w:color w:val="434343"/>
          <w:rtl w:val="0"/>
        </w:rPr>
        <w:t xml:space="preserve"> </w:t>
      </w:r>
      <w:hyperlink r:id="rId6">
        <w:r w:rsidDel="00000000" w:rsidR="00000000" w:rsidRPr="00000000">
          <w:rPr>
            <w:color w:val="434343"/>
            <w:rtl w:val="0"/>
          </w:rPr>
          <w:t xml:space="preserve">[1]</w:t>
        </w:r>
      </w:hyperlink>
      <w:r w:rsidDel="00000000" w:rsidR="00000000" w:rsidRPr="00000000">
        <w:rPr>
          <w:color w:val="434343"/>
          <w:rtl w:val="0"/>
        </w:rPr>
        <w:t xml:space="preserve">.</w:t>
      </w:r>
      <w:r w:rsidDel="00000000" w:rsidR="00000000" w:rsidRPr="00000000">
        <w:rPr>
          <w:color w:val="434343"/>
          <w:rtl w:val="0"/>
        </w:rPr>
        <w:t xml:space="preserve"> In vertebrate research, vouchers commonly refer to whole organisms (lethal sampling) but may also comprise a substantial part of an organism (e.g. whale bone) or multiple tissue types for identification and documentation of that specific organism in time and space </w:t>
      </w:r>
      <w:hyperlink r:id="rId7">
        <w:r w:rsidDel="00000000" w:rsidR="00000000" w:rsidRPr="00000000">
          <w:rPr>
            <w:color w:val="434343"/>
            <w:rtl w:val="0"/>
          </w:rPr>
          <w:t xml:space="preserve">[1–4]</w:t>
        </w:r>
      </w:hyperlink>
      <w:r w:rsidDel="00000000" w:rsidR="00000000" w:rsidRPr="00000000">
        <w:rPr>
          <w:color w:val="434343"/>
          <w:rtl w:val="0"/>
        </w:rPr>
        <w:t xml:space="preserve">.</w:t>
      </w:r>
      <w:r w:rsidDel="00000000" w:rsidR="00000000" w:rsidRPr="00000000">
        <w:rPr>
          <w:rtl w:val="0"/>
        </w:rPr>
      </w:r>
    </w:p>
    <w:p w:rsidR="00000000" w:rsidDel="00000000" w:rsidP="00000000" w:rsidRDefault="00000000" w:rsidRPr="00000000" w14:paraId="00000005">
      <w:pPr>
        <w:shd w:fill="ffffff" w:val="clear"/>
        <w:spacing w:after="200" w:line="480" w:lineRule="auto"/>
        <w:rPr>
          <w:color w:val="434343"/>
        </w:rPr>
      </w:pPr>
      <w:r w:rsidDel="00000000" w:rsidR="00000000" w:rsidRPr="00000000">
        <w:rPr>
          <w:color w:val="434343"/>
          <w:shd w:fill="6aa84f" w:val="clear"/>
          <w:rtl w:val="0"/>
        </w:rPr>
        <w:t xml:space="preserve">Extended-specimen</w:t>
      </w:r>
      <w:r w:rsidDel="00000000" w:rsidR="00000000" w:rsidRPr="00000000">
        <w:rPr>
          <w:color w:val="434343"/>
          <w:rtl w:val="0"/>
        </w:rPr>
        <w:t xml:space="preserve"> is the concept that a specimen provides holistic data beyond itself, providing more context on genetic, environmental, taxonomic, host-pathogen evolution, epidemiological data, etc. </w:t>
      </w:r>
      <w:hyperlink r:id="rId8">
        <w:r w:rsidDel="00000000" w:rsidR="00000000" w:rsidRPr="00000000">
          <w:rPr>
            <w:color w:val="434343"/>
            <w:rtl w:val="0"/>
          </w:rPr>
          <w:t xml:space="preserve">[2, 5–7]</w:t>
        </w:r>
      </w:hyperlink>
      <w:r w:rsidDel="00000000" w:rsidR="00000000" w:rsidRPr="00000000">
        <w:rPr>
          <w:color w:val="434343"/>
          <w:rtl w:val="0"/>
        </w:rPr>
        <w:t xml:space="preserve">. Supplementary (meta)data collected with a biodiversity specimen can include habitat data, life history stage, reproduction, activity, images, CT scans, but also parasites, bodily fluids, tissues and more. </w:t>
      </w:r>
    </w:p>
    <w:p w:rsidR="00000000" w:rsidDel="00000000" w:rsidP="00000000" w:rsidRDefault="00000000" w:rsidRPr="00000000" w14:paraId="00000006">
      <w:pPr>
        <w:shd w:fill="ffffff" w:val="clear"/>
        <w:spacing w:after="200" w:line="480" w:lineRule="auto"/>
        <w:rPr>
          <w:color w:val="434343"/>
        </w:rPr>
      </w:pPr>
      <w:r w:rsidDel="00000000" w:rsidR="00000000" w:rsidRPr="00000000">
        <w:rPr>
          <w:color w:val="434343"/>
          <w:shd w:fill="6aa84f" w:val="clear"/>
          <w:rtl w:val="0"/>
        </w:rPr>
        <w:t xml:space="preserve">Biobanking</w:t>
      </w:r>
      <w:r w:rsidDel="00000000" w:rsidR="00000000" w:rsidRPr="00000000">
        <w:rPr>
          <w:color w:val="434343"/>
          <w:rtl w:val="0"/>
        </w:rPr>
        <w:t xml:space="preserve"> is the practice of systematically collecting and preserving biological materials, typically at low temperatures, along with associated data, for long-term storage and research use </w:t>
      </w:r>
      <w:hyperlink r:id="rId9">
        <w:r w:rsidDel="00000000" w:rsidR="00000000" w:rsidRPr="00000000">
          <w:rPr>
            <w:color w:val="434343"/>
            <w:rtl w:val="0"/>
          </w:rPr>
          <w:t xml:space="preserve">[8]</w:t>
        </w:r>
      </w:hyperlink>
      <w:r w:rsidDel="00000000" w:rsidR="00000000" w:rsidRPr="00000000">
        <w:rPr>
          <w:color w:val="434343"/>
          <w:rtl w:val="0"/>
        </w:rPr>
        <w:t xml:space="preserve">. Biobanking helps maintain and preserve genetic material for future studies that would otherwise not be available. </w:t>
      </w:r>
    </w:p>
    <w:p w:rsidR="00000000" w:rsidDel="00000000" w:rsidP="00000000" w:rsidRDefault="00000000" w:rsidRPr="00000000" w14:paraId="00000007">
      <w:pPr>
        <w:spacing w:line="480" w:lineRule="auto"/>
        <w:rPr>
          <w:color w:val="434343"/>
        </w:rPr>
      </w:pPr>
      <w:r w:rsidDel="00000000" w:rsidR="00000000" w:rsidRPr="00000000">
        <w:rPr>
          <w:color w:val="434343"/>
          <w:shd w:fill="6aa84f" w:val="clear"/>
          <w:rtl w:val="0"/>
        </w:rPr>
        <w:t xml:space="preserve">Cold chain</w:t>
      </w:r>
      <w:r w:rsidDel="00000000" w:rsidR="00000000" w:rsidRPr="00000000">
        <w:rPr>
          <w:color w:val="434343"/>
          <w:rtl w:val="0"/>
        </w:rPr>
        <w:t xml:space="preserve"> refers to the temperature-controlled supply chain units used to store samples from time of collection to analysis. </w:t>
      </w:r>
    </w:p>
    <w:p w:rsidR="00000000" w:rsidDel="00000000" w:rsidP="00000000" w:rsidRDefault="00000000" w:rsidRPr="00000000" w14:paraId="00000008">
      <w:pPr>
        <w:spacing w:line="480" w:lineRule="auto"/>
        <w:ind w:left="720" w:firstLine="0"/>
        <w:rPr>
          <w:color w:val="434343"/>
        </w:rPr>
      </w:pPr>
      <w:r w:rsidDel="00000000" w:rsidR="00000000" w:rsidRPr="00000000">
        <w:rPr>
          <w:color w:val="434343"/>
          <w:shd w:fill="6aa84f" w:val="clear"/>
          <w:rtl w:val="0"/>
        </w:rPr>
        <w:t xml:space="preserve">Strong cold chain</w:t>
      </w:r>
      <w:r w:rsidDel="00000000" w:rsidR="00000000" w:rsidRPr="00000000">
        <w:rPr>
          <w:color w:val="434343"/>
          <w:rtl w:val="0"/>
        </w:rPr>
        <w:t xml:space="preserve">: immediate access to LN2 or dry ice to flash freeze samples in the field and subsequently store samples in LN2 or at ULT (-70ºC or -80ºC) for long term storage.</w:t>
      </w:r>
    </w:p>
    <w:p w:rsidR="00000000" w:rsidDel="00000000" w:rsidP="00000000" w:rsidRDefault="00000000" w:rsidRPr="00000000" w14:paraId="00000009">
      <w:pPr>
        <w:spacing w:line="480" w:lineRule="auto"/>
        <w:ind w:left="720" w:firstLine="0"/>
        <w:rPr>
          <w:color w:val="434343"/>
        </w:rPr>
      </w:pPr>
      <w:r w:rsidDel="00000000" w:rsidR="00000000" w:rsidRPr="00000000">
        <w:rPr>
          <w:color w:val="434343"/>
          <w:shd w:fill="6aa84f" w:val="clear"/>
          <w:rtl w:val="0"/>
        </w:rPr>
        <w:t xml:space="preserve">Weak cold chain</w:t>
      </w:r>
      <w:r w:rsidDel="00000000" w:rsidR="00000000" w:rsidRPr="00000000">
        <w:rPr>
          <w:color w:val="434343"/>
          <w:rtl w:val="0"/>
        </w:rPr>
        <w:t xml:space="preserve">: Access to store samples at 4–8ºC immediately (via fridge, freezer blocks or cooler, and subsequently at (at least) -20°C within 7–14 days for long term storage.  </w:t>
      </w:r>
    </w:p>
    <w:p w:rsidR="00000000" w:rsidDel="00000000" w:rsidP="00000000" w:rsidRDefault="00000000" w:rsidRPr="00000000" w14:paraId="0000000A">
      <w:pPr>
        <w:spacing w:line="480" w:lineRule="auto"/>
        <w:rPr>
          <w:color w:val="434343"/>
        </w:rPr>
      </w:pPr>
      <w:r w:rsidDel="00000000" w:rsidR="00000000" w:rsidRPr="00000000">
        <w:rPr>
          <w:color w:val="434343"/>
          <w:shd w:fill="6aa84f" w:val="clear"/>
          <w:rtl w:val="0"/>
        </w:rPr>
        <w:t xml:space="preserve">Cryovials</w:t>
      </w:r>
      <w:r w:rsidDel="00000000" w:rsidR="00000000" w:rsidRPr="00000000">
        <w:rPr>
          <w:color w:val="434343"/>
          <w:rtl w:val="0"/>
        </w:rPr>
        <w:t xml:space="preserve">, or cryogenic tubes, are specialized polypropylene tubes intended for biological material samples stored at ulra-low temperatures, typically made with threaded caps, gaskets/0-rings, and flat bottoms. </w:t>
      </w:r>
    </w:p>
    <w:p w:rsidR="00000000" w:rsidDel="00000000" w:rsidP="00000000" w:rsidRDefault="00000000" w:rsidRPr="00000000" w14:paraId="0000000B">
      <w:pPr>
        <w:spacing w:line="480" w:lineRule="auto"/>
        <w:rPr>
          <w:color w:val="434343"/>
        </w:rPr>
      </w:pPr>
      <w:r w:rsidDel="00000000" w:rsidR="00000000" w:rsidRPr="00000000">
        <w:rPr>
          <w:color w:val="434343"/>
          <w:rtl w:val="0"/>
        </w:rPr>
        <w:t xml:space="preserve"> </w:t>
      </w:r>
      <w:r w:rsidDel="00000000" w:rsidR="00000000" w:rsidRPr="00000000">
        <w:rPr>
          <w:color w:val="434343"/>
          <w:shd w:fill="6aa84f" w:val="clear"/>
          <w:rtl w:val="0"/>
        </w:rPr>
        <w:t xml:space="preserve">Serum</w:t>
      </w:r>
      <w:r w:rsidDel="00000000" w:rsidR="00000000" w:rsidRPr="00000000">
        <w:rPr>
          <w:color w:val="434343"/>
          <w:rtl w:val="0"/>
        </w:rPr>
        <w:t xml:space="preserve"> is the portion of blood that contains antibodies, enzymes, hormones and other molecules, but no cells, platelets or clotting factors </w:t>
      </w:r>
      <w:hyperlink r:id="rId10">
        <w:r w:rsidDel="00000000" w:rsidR="00000000" w:rsidRPr="00000000">
          <w:rPr>
            <w:color w:val="434343"/>
            <w:rtl w:val="0"/>
          </w:rPr>
          <w:t xml:space="preserve">[9–11]</w:t>
        </w:r>
      </w:hyperlink>
      <w:r w:rsidDel="00000000" w:rsidR="00000000" w:rsidRPr="00000000">
        <w:rPr>
          <w:color w:val="434343"/>
          <w:rtl w:val="0"/>
        </w:rPr>
        <w:t xml:space="preserve">. It is obtained by centrifuging the whole blood after it clots </w:t>
      </w:r>
      <w:hyperlink r:id="rId11">
        <w:r w:rsidDel="00000000" w:rsidR="00000000" w:rsidRPr="00000000">
          <w:rPr>
            <w:color w:val="434343"/>
            <w:rtl w:val="0"/>
          </w:rPr>
          <w:t xml:space="preserve">[10]</w:t>
        </w:r>
      </w:hyperlink>
      <w:r w:rsidDel="00000000" w:rsidR="00000000" w:rsidRPr="00000000">
        <w:rPr>
          <w:color w:val="434343"/>
          <w:rtl w:val="0"/>
        </w:rPr>
        <w:t xml:space="preserve">. </w:t>
      </w:r>
    </w:p>
    <w:p w:rsidR="00000000" w:rsidDel="00000000" w:rsidP="00000000" w:rsidRDefault="00000000" w:rsidRPr="00000000" w14:paraId="0000000C">
      <w:pPr>
        <w:spacing w:line="480" w:lineRule="auto"/>
        <w:rPr>
          <w:color w:val="434343"/>
        </w:rPr>
      </w:pPr>
      <w:r w:rsidDel="00000000" w:rsidR="00000000" w:rsidRPr="00000000">
        <w:rPr>
          <w:color w:val="434343"/>
          <w:rtl w:val="0"/>
        </w:rPr>
        <w:t xml:space="preserve">A </w:t>
      </w:r>
      <w:r w:rsidDel="00000000" w:rsidR="00000000" w:rsidRPr="00000000">
        <w:rPr>
          <w:color w:val="434343"/>
          <w:shd w:fill="6aa84f" w:val="clear"/>
          <w:rtl w:val="0"/>
        </w:rPr>
        <w:t xml:space="preserve">buffy coat</w:t>
      </w:r>
      <w:r w:rsidDel="00000000" w:rsidR="00000000" w:rsidRPr="00000000">
        <w:rPr>
          <w:color w:val="434343"/>
          <w:rtl w:val="0"/>
        </w:rPr>
        <w:t xml:space="preserve"> is a thin whitish layer that forms between the upper plasma and lower packed red blood cells, after centrifuging </w:t>
      </w:r>
      <w:hyperlink r:id="rId12">
        <w:r w:rsidDel="00000000" w:rsidR="00000000" w:rsidRPr="00000000">
          <w:rPr>
            <w:color w:val="434343"/>
            <w:rtl w:val="0"/>
          </w:rPr>
          <w:t xml:space="preserve">[12, 13]</w:t>
        </w:r>
      </w:hyperlink>
      <w:r w:rsidDel="00000000" w:rsidR="00000000" w:rsidRPr="00000000">
        <w:rPr>
          <w:color w:val="434343"/>
          <w:rtl w:val="0"/>
        </w:rPr>
        <w:t xml:space="preserve">. The buffy coat is typically rich in white blood cells and platelets </w:t>
      </w:r>
      <w:hyperlink r:id="rId13">
        <w:r w:rsidDel="00000000" w:rsidR="00000000" w:rsidRPr="00000000">
          <w:rPr>
            <w:color w:val="434343"/>
            <w:rtl w:val="0"/>
          </w:rPr>
          <w:t xml:space="preserve">[12, 13]</w:t>
        </w:r>
      </w:hyperlink>
      <w:r w:rsidDel="00000000" w:rsidR="00000000" w:rsidRPr="00000000">
        <w:rPr>
          <w:color w:val="434343"/>
          <w:rtl w:val="0"/>
        </w:rPr>
        <w:t xml:space="preserve">.</w:t>
      </w:r>
    </w:p>
    <w:p w:rsidR="00000000" w:rsidDel="00000000" w:rsidP="00000000" w:rsidRDefault="00000000" w:rsidRPr="00000000" w14:paraId="0000000D">
      <w:pPr>
        <w:spacing w:line="480" w:lineRule="auto"/>
        <w:rPr>
          <w:color w:val="434343"/>
        </w:rPr>
      </w:pPr>
      <w:r w:rsidDel="00000000" w:rsidR="00000000" w:rsidRPr="00000000">
        <w:rPr>
          <w:color w:val="434343"/>
          <w:shd w:fill="6aa84f" w:val="clear"/>
          <w:rtl w:val="0"/>
        </w:rPr>
        <w:t xml:space="preserve">Plasma</w:t>
      </w:r>
      <w:r w:rsidDel="00000000" w:rsidR="00000000" w:rsidRPr="00000000">
        <w:rPr>
          <w:color w:val="434343"/>
          <w:rtl w:val="0"/>
        </w:rPr>
        <w:t xml:space="preserve">, as opposed to serum, consists of clotting factors as well as antibodies, hormones, enzymes, salts, minerals and proteins </w:t>
      </w:r>
      <w:hyperlink r:id="rId14">
        <w:r w:rsidDel="00000000" w:rsidR="00000000" w:rsidRPr="00000000">
          <w:rPr>
            <w:color w:val="434343"/>
            <w:rtl w:val="0"/>
          </w:rPr>
          <w:t xml:space="preserve">[10]</w:t>
        </w:r>
      </w:hyperlink>
      <w:r w:rsidDel="00000000" w:rsidR="00000000" w:rsidRPr="00000000">
        <w:rPr>
          <w:color w:val="434343"/>
          <w:rtl w:val="0"/>
        </w:rPr>
        <w:t xml:space="preserve">. Plasma can be isolated from whole blood by adding anticoagulant like EDTA or citrate </w:t>
      </w:r>
      <w:hyperlink r:id="rId15">
        <w:r w:rsidDel="00000000" w:rsidR="00000000" w:rsidRPr="00000000">
          <w:rPr>
            <w:color w:val="434343"/>
            <w:rtl w:val="0"/>
          </w:rPr>
          <w:t xml:space="preserve">[14]</w:t>
        </w:r>
      </w:hyperlink>
      <w:r w:rsidDel="00000000" w:rsidR="00000000" w:rsidRPr="00000000">
        <w:rPr>
          <w:color w:val="434343"/>
          <w:rtl w:val="0"/>
        </w:rPr>
        <w:t xml:space="preserve"> to the sample or using an anticoagulant coated tube and then spinning down and extracting the lighter colored top layer </w:t>
      </w:r>
      <w:hyperlink r:id="rId16">
        <w:r w:rsidDel="00000000" w:rsidR="00000000" w:rsidRPr="00000000">
          <w:rPr>
            <w:color w:val="434343"/>
            <w:rtl w:val="0"/>
          </w:rPr>
          <w:t xml:space="preserve">[15]</w:t>
        </w:r>
      </w:hyperlink>
      <w:r w:rsidDel="00000000" w:rsidR="00000000" w:rsidRPr="00000000">
        <w:rPr>
          <w:color w:val="434343"/>
          <w:rtl w:val="0"/>
        </w:rPr>
        <w:t xml:space="preserve">. </w:t>
      </w:r>
    </w:p>
    <w:p w:rsidR="00000000" w:rsidDel="00000000" w:rsidP="00000000" w:rsidRDefault="00000000" w:rsidRPr="00000000" w14:paraId="0000000E">
      <w:pPr>
        <w:spacing w:line="480" w:lineRule="auto"/>
        <w:rPr>
          <w:color w:val="434343"/>
        </w:rPr>
      </w:pPr>
      <w:r w:rsidDel="00000000" w:rsidR="00000000" w:rsidRPr="00000000">
        <w:rPr>
          <w:color w:val="434343"/>
          <w:shd w:fill="6aa84f" w:val="clear"/>
          <w:rtl w:val="0"/>
        </w:rPr>
        <w:t xml:space="preserve">Peripheral blood mononuclear cells (PBMCs) </w:t>
      </w:r>
      <w:r w:rsidDel="00000000" w:rsidR="00000000" w:rsidRPr="00000000">
        <w:rPr>
          <w:color w:val="434343"/>
          <w:rtl w:val="0"/>
        </w:rPr>
        <w:t xml:space="preserve">are defined as any blood cell with a round nucleus including lymphocytes, monocytes, natural killer (NK) cells, and dendritic cells </w:t>
      </w:r>
      <w:hyperlink r:id="rId17">
        <w:r w:rsidDel="00000000" w:rsidR="00000000" w:rsidRPr="00000000">
          <w:rPr>
            <w:color w:val="434343"/>
            <w:rtl w:val="0"/>
          </w:rPr>
          <w:t xml:space="preserve">[16]</w:t>
        </w:r>
      </w:hyperlink>
      <w:r w:rsidDel="00000000" w:rsidR="00000000" w:rsidRPr="00000000">
        <w:rPr>
          <w:color w:val="434343"/>
          <w:rtl w:val="0"/>
        </w:rPr>
        <w:t xml:space="preserve">. They are isolated from whole blood via density-gradient centrifugation, a process that removes red blood cells and granulocytes, leaving PBMCs concentrated in the resulting buffy coat layer. In the field, this isolation is typically performed using specialized cell preparation tubes </w:t>
      </w:r>
      <w:hyperlink r:id="rId18">
        <w:r w:rsidDel="00000000" w:rsidR="00000000" w:rsidRPr="00000000">
          <w:rPr>
            <w:color w:val="434343"/>
            <w:rtl w:val="0"/>
          </w:rPr>
          <w:t xml:space="preserve">[17]</w:t>
        </w:r>
      </w:hyperlink>
      <w:r w:rsidDel="00000000" w:rsidR="00000000" w:rsidRPr="00000000">
        <w:rPr>
          <w:color w:val="434343"/>
          <w:rtl w:val="0"/>
        </w:rPr>
        <w:t xml:space="preserve"> or tubes pre-loaded with a density-gradient medium (e.g., Ficoll), which separate the buffy coat, followed by lysis of residual red blood cells to yield a purified PBMC fraction </w:t>
      </w:r>
      <w:hyperlink r:id="rId19">
        <w:r w:rsidDel="00000000" w:rsidR="00000000" w:rsidRPr="00000000">
          <w:rPr>
            <w:color w:val="434343"/>
            <w:rtl w:val="0"/>
          </w:rPr>
          <w:t xml:space="preserve">[18]</w:t>
        </w:r>
      </w:hyperlink>
      <w:r w:rsidDel="00000000" w:rsidR="00000000" w:rsidRPr="00000000">
        <w:rPr>
          <w:color w:val="434343"/>
          <w:rtl w:val="0"/>
        </w:rPr>
        <w:t xml:space="preserve">.</w:t>
      </w:r>
    </w:p>
    <w:p w:rsidR="00000000" w:rsidDel="00000000" w:rsidP="00000000" w:rsidRDefault="00000000" w:rsidRPr="00000000" w14:paraId="0000000F">
      <w:pPr>
        <w:spacing w:line="480" w:lineRule="auto"/>
        <w:rPr>
          <w:color w:val="434343"/>
        </w:rPr>
      </w:pPr>
      <w:r w:rsidDel="00000000" w:rsidR="00000000" w:rsidRPr="00000000">
        <w:rPr>
          <w:color w:val="434343"/>
          <w:shd w:fill="6aa84f" w:val="clear"/>
          <w:rtl w:val="0"/>
        </w:rPr>
        <w:t xml:space="preserve">Red Blood Cells (RBCs)</w:t>
      </w:r>
      <w:r w:rsidDel="00000000" w:rsidR="00000000" w:rsidRPr="00000000">
        <w:rPr>
          <w:color w:val="434343"/>
          <w:rtl w:val="0"/>
        </w:rPr>
        <w:t xml:space="preserve">, or erythrocytes, are the most abundant cells in blood and primarily transport oxygen and carbon dioxide throughout the body </w:t>
      </w:r>
      <w:hyperlink r:id="rId20">
        <w:r w:rsidDel="00000000" w:rsidR="00000000" w:rsidRPr="00000000">
          <w:rPr>
            <w:color w:val="434343"/>
            <w:rtl w:val="0"/>
          </w:rPr>
          <w:t xml:space="preserve">[19]</w:t>
        </w:r>
      </w:hyperlink>
      <w:r w:rsidDel="00000000" w:rsidR="00000000" w:rsidRPr="00000000">
        <w:rPr>
          <w:color w:val="434343"/>
          <w:rtl w:val="0"/>
        </w:rPr>
        <w:t xml:space="preserve">. They are cells that comprise the packed, darker colored portion of blood following centrifugation and can be separated from plasma and other blood cells during sample processing typically with use of a sterile plastic spatula.</w:t>
      </w:r>
    </w:p>
    <w:p w:rsidR="00000000" w:rsidDel="00000000" w:rsidP="00000000" w:rsidRDefault="00000000" w:rsidRPr="00000000" w14:paraId="00000010">
      <w:pPr>
        <w:shd w:fill="ffffff" w:val="clear"/>
        <w:spacing w:after="200" w:line="480" w:lineRule="auto"/>
        <w:rPr>
          <w:color w:val="434343"/>
        </w:rPr>
      </w:pPr>
      <w:r w:rsidDel="00000000" w:rsidR="00000000" w:rsidRPr="00000000">
        <w:rPr>
          <w:color w:val="434343"/>
          <w:shd w:fill="6aa84f" w:val="clear"/>
          <w:rtl w:val="0"/>
        </w:rPr>
        <w:t xml:space="preserve">Ectoparasite</w:t>
      </w:r>
      <w:r w:rsidDel="00000000" w:rsidR="00000000" w:rsidRPr="00000000">
        <w:rPr>
          <w:color w:val="434343"/>
          <w:rtl w:val="0"/>
        </w:rPr>
        <w:t xml:space="preserve"> is a parasite that lives on the exterior of its host, such as lice, fleas, ticks, and leeches. Ectoparasites feed on the host’s blood, skin, or feathers and may cause pathology (such as the scabies mite) or be vectors for pathogens.</w:t>
      </w:r>
    </w:p>
    <w:p w:rsidR="00000000" w:rsidDel="00000000" w:rsidP="00000000" w:rsidRDefault="00000000" w:rsidRPr="00000000" w14:paraId="00000011">
      <w:pPr>
        <w:shd w:fill="ffffff" w:val="clear"/>
        <w:spacing w:after="200" w:line="480" w:lineRule="auto"/>
        <w:rPr>
          <w:color w:val="434343"/>
        </w:rPr>
      </w:pPr>
      <w:r w:rsidDel="00000000" w:rsidR="00000000" w:rsidRPr="00000000">
        <w:rPr>
          <w:color w:val="434343"/>
          <w:shd w:fill="6aa84f" w:val="clear"/>
          <w:rtl w:val="0"/>
        </w:rPr>
        <w:t xml:space="preserve">Endoparasite</w:t>
      </w:r>
      <w:r w:rsidDel="00000000" w:rsidR="00000000" w:rsidRPr="00000000">
        <w:rPr>
          <w:color w:val="434343"/>
          <w:rtl w:val="0"/>
        </w:rPr>
        <w:t xml:space="preserve"> is a parasite that lives within the interior of its host, such as helminths and protozoans.</w:t>
      </w:r>
    </w:p>
    <w:p w:rsidR="00000000" w:rsidDel="00000000" w:rsidP="00000000" w:rsidRDefault="00000000" w:rsidRPr="00000000" w14:paraId="00000012">
      <w:pPr>
        <w:pStyle w:val="Heading1"/>
        <w:shd w:fill="ffffff" w:val="clear"/>
        <w:spacing w:after="200" w:line="480" w:lineRule="auto"/>
        <w:rPr>
          <w:color w:val="434343"/>
        </w:rPr>
      </w:pPr>
      <w:bookmarkStart w:colFirst="0" w:colLast="0" w:name="_adpim8h93gpg" w:id="2"/>
      <w:bookmarkEnd w:id="2"/>
      <w:r w:rsidDel="00000000" w:rsidR="00000000" w:rsidRPr="00000000">
        <w:rPr>
          <w:color w:val="434343"/>
          <w:rtl w:val="0"/>
        </w:rPr>
        <w:t xml:space="preserve">Supplemental 2: Additional Samples: Ectoparasites, Hair or feather clippings, Organs, and Epigenetic Tissue samples</w:t>
      </w:r>
    </w:p>
    <w:p w:rsidR="00000000" w:rsidDel="00000000" w:rsidP="00000000" w:rsidRDefault="00000000" w:rsidRPr="00000000" w14:paraId="00000013">
      <w:pPr>
        <w:pStyle w:val="Heading2"/>
        <w:keepNext w:val="0"/>
        <w:keepLines w:val="0"/>
        <w:spacing w:line="480" w:lineRule="auto"/>
        <w:rPr>
          <w:color w:val="434343"/>
          <w:sz w:val="24"/>
          <w:szCs w:val="24"/>
        </w:rPr>
      </w:pPr>
      <w:bookmarkStart w:colFirst="0" w:colLast="0" w:name="_hnh73picmbuc" w:id="3"/>
      <w:bookmarkEnd w:id="3"/>
      <w:r w:rsidDel="00000000" w:rsidR="00000000" w:rsidRPr="00000000">
        <w:rPr>
          <w:color w:val="434343"/>
          <w:sz w:val="24"/>
          <w:szCs w:val="24"/>
          <w:rtl w:val="0"/>
        </w:rPr>
        <w:t xml:space="preserve">2.1 </w:t>
      </w:r>
      <w:r w:rsidDel="00000000" w:rsidR="00000000" w:rsidRPr="00000000">
        <w:rPr>
          <w:color w:val="434343"/>
          <w:sz w:val="24"/>
          <w:szCs w:val="24"/>
          <w:rtl w:val="0"/>
        </w:rPr>
        <w:t xml:space="preserve">A note on uses of plasma and serum: </w:t>
      </w:r>
      <w:r w:rsidDel="00000000" w:rsidR="00000000" w:rsidRPr="00000000">
        <w:rPr>
          <w:rtl w:val="0"/>
        </w:rPr>
      </w:r>
    </w:p>
    <w:p w:rsidR="00000000" w:rsidDel="00000000" w:rsidP="00000000" w:rsidRDefault="00000000" w:rsidRPr="00000000" w14:paraId="00000014">
      <w:pPr>
        <w:spacing w:line="480" w:lineRule="auto"/>
        <w:rPr>
          <w:color w:val="434343"/>
        </w:rPr>
      </w:pPr>
      <w:r w:rsidDel="00000000" w:rsidR="00000000" w:rsidRPr="00000000">
        <w:rPr>
          <w:color w:val="434343"/>
          <w:rtl w:val="0"/>
        </w:rPr>
        <w:t xml:space="preserve">Serum is typically preferred over plasma for RNA preservation </w:t>
      </w:r>
      <w:hyperlink r:id="rId21">
        <w:r w:rsidDel="00000000" w:rsidR="00000000" w:rsidRPr="00000000">
          <w:rPr>
            <w:color w:val="434343"/>
            <w:rtl w:val="0"/>
          </w:rPr>
          <w:t xml:space="preserve">[20–22]</w:t>
        </w:r>
      </w:hyperlink>
      <w:r w:rsidDel="00000000" w:rsidR="00000000" w:rsidRPr="00000000">
        <w:rPr>
          <w:color w:val="434343"/>
          <w:rtl w:val="0"/>
        </w:rPr>
        <w:t xml:space="preserve">. In terms of serological use, both serum and plasma can be used in ELISA, Luminex and Western blots; however, the performance of each and optimization of each may differ </w:t>
      </w:r>
      <w:hyperlink r:id="rId22">
        <w:r w:rsidDel="00000000" w:rsidR="00000000" w:rsidRPr="00000000">
          <w:rPr>
            <w:color w:val="434343"/>
            <w:rtl w:val="0"/>
          </w:rPr>
          <w:t xml:space="preserve">[23, 24]</w:t>
        </w:r>
      </w:hyperlink>
      <w:r w:rsidDel="00000000" w:rsidR="00000000" w:rsidRPr="00000000">
        <w:rPr>
          <w:color w:val="434343"/>
          <w:rtl w:val="0"/>
        </w:rPr>
        <w:t xml:space="preserve">. The addition of anticoagulants (often salt based) may affect binding during immunoassays, as well as concentrations of cations which may affect </w:t>
      </w:r>
      <w:r w:rsidDel="00000000" w:rsidR="00000000" w:rsidRPr="00000000">
        <w:rPr>
          <w:color w:val="434343"/>
          <w:rtl w:val="0"/>
        </w:rPr>
        <w:t xml:space="preserve">assays</w:t>
      </w:r>
      <w:r w:rsidDel="00000000" w:rsidR="00000000" w:rsidRPr="00000000">
        <w:rPr>
          <w:color w:val="434343"/>
          <w:rtl w:val="0"/>
        </w:rPr>
        <w:t xml:space="preserve"> </w:t>
      </w:r>
      <w:hyperlink r:id="rId23">
        <w:r w:rsidDel="00000000" w:rsidR="00000000" w:rsidRPr="00000000">
          <w:rPr>
            <w:color w:val="434343"/>
            <w:rtl w:val="0"/>
          </w:rPr>
          <w:t xml:space="preserve">[11, 25–28]</w:t>
        </w:r>
      </w:hyperlink>
      <w:r w:rsidDel="00000000" w:rsidR="00000000" w:rsidRPr="00000000">
        <w:rPr>
          <w:color w:val="434343"/>
          <w:rtl w:val="0"/>
        </w:rPr>
        <w:t xml:space="preserve">. Some studies have had more consistent results from plasma compared to serum, potentially due to some processes that occur during blood clotting, which are essential to the collection of serum and are prevented in the collection of plasma </w:t>
      </w:r>
      <w:hyperlink r:id="rId24">
        <w:r w:rsidDel="00000000" w:rsidR="00000000" w:rsidRPr="00000000">
          <w:rPr>
            <w:color w:val="434343"/>
            <w:rtl w:val="0"/>
          </w:rPr>
          <w:t xml:space="preserve">[29–31]</w:t>
        </w:r>
      </w:hyperlink>
      <w:r w:rsidDel="00000000" w:rsidR="00000000" w:rsidRPr="00000000">
        <w:rPr>
          <w:color w:val="434343"/>
          <w:rtl w:val="0"/>
        </w:rPr>
        <w:t xml:space="preserve">. The process of clotting that is necessary to obtain serum may lead to the increase of platelet components, including potassium, serotonin, neuron-specific enolase, and the release of ammonia derivatives from fibrinogen </w:t>
      </w:r>
      <w:hyperlink r:id="rId25">
        <w:r w:rsidDel="00000000" w:rsidR="00000000" w:rsidRPr="00000000">
          <w:rPr>
            <w:color w:val="434343"/>
            <w:rtl w:val="0"/>
          </w:rPr>
          <w:t xml:space="preserve">[24]</w:t>
        </w:r>
      </w:hyperlink>
      <w:r w:rsidDel="00000000" w:rsidR="00000000" w:rsidRPr="00000000">
        <w:rPr>
          <w:color w:val="434343"/>
          <w:rtl w:val="0"/>
        </w:rPr>
        <w:t xml:space="preserve">. Likewise, due to continued cellular activity during coagulation, levels of glucose, proteins used in clotting, and platelets may be altered [195, 198]. Thus, for studies on analyses such as neuron-specific enolase, serotonin, and ammonia, plasma would be preferred. This tends to be the case for nutritional and hormonal studies. For some example, plasma has been used to study insulin </w:t>
      </w:r>
      <w:hyperlink r:id="rId26">
        <w:r w:rsidDel="00000000" w:rsidR="00000000" w:rsidRPr="00000000">
          <w:rPr>
            <w:color w:val="434343"/>
            <w:rtl w:val="0"/>
          </w:rPr>
          <w:t xml:space="preserve">[32]</w:t>
        </w:r>
      </w:hyperlink>
      <w:r w:rsidDel="00000000" w:rsidR="00000000" w:rsidRPr="00000000">
        <w:rPr>
          <w:color w:val="434343"/>
          <w:rtl w:val="0"/>
        </w:rPr>
        <w:t xml:space="preserve"> </w:t>
      </w:r>
      <w:r w:rsidDel="00000000" w:rsidR="00000000" w:rsidRPr="00000000">
        <w:rPr>
          <w:color w:val="434343"/>
          <w:rtl w:val="0"/>
        </w:rPr>
        <w:t xml:space="preserve">in squamates, catecholamines and metanephrines </w:t>
      </w:r>
      <w:hyperlink r:id="rId27">
        <w:r w:rsidDel="00000000" w:rsidR="00000000" w:rsidRPr="00000000">
          <w:rPr>
            <w:color w:val="434343"/>
            <w:rtl w:val="0"/>
          </w:rPr>
          <w:t xml:space="preserve">[33]</w:t>
        </w:r>
      </w:hyperlink>
      <w:r w:rsidDel="00000000" w:rsidR="00000000" w:rsidRPr="00000000">
        <w:rPr>
          <w:color w:val="434343"/>
          <w:rtl w:val="0"/>
        </w:rPr>
        <w:t xml:space="preserve">; steroid hormones including corticosteroids and testosterone in birds </w:t>
      </w:r>
      <w:hyperlink r:id="rId28">
        <w:r w:rsidDel="00000000" w:rsidR="00000000" w:rsidRPr="00000000">
          <w:rPr>
            <w:color w:val="434343"/>
            <w:rtl w:val="0"/>
          </w:rPr>
          <w:t xml:space="preserve">[34–36]</w:t>
        </w:r>
      </w:hyperlink>
      <w:r w:rsidDel="00000000" w:rsidR="00000000" w:rsidRPr="00000000">
        <w:rPr>
          <w:color w:val="434343"/>
          <w:rtl w:val="0"/>
        </w:rPr>
        <w:t xml:space="preserve">, mammals </w:t>
      </w:r>
      <w:hyperlink r:id="rId29">
        <w:r w:rsidDel="00000000" w:rsidR="00000000" w:rsidRPr="00000000">
          <w:rPr>
            <w:color w:val="434343"/>
            <w:rtl w:val="0"/>
          </w:rPr>
          <w:t xml:space="preserve">[37]</w:t>
        </w:r>
      </w:hyperlink>
      <w:r w:rsidDel="00000000" w:rsidR="00000000" w:rsidRPr="00000000">
        <w:rPr>
          <w:color w:val="434343"/>
          <w:rtl w:val="0"/>
        </w:rPr>
        <w:t xml:space="preserve"> </w:t>
      </w:r>
      <w:r w:rsidDel="00000000" w:rsidR="00000000" w:rsidRPr="00000000">
        <w:rPr>
          <w:color w:val="434343"/>
          <w:rtl w:val="0"/>
        </w:rPr>
        <w:t xml:space="preserve">and fish</w:t>
      </w:r>
      <w:r w:rsidDel="00000000" w:rsidR="00000000" w:rsidRPr="00000000">
        <w:rPr>
          <w:color w:val="434343"/>
          <w:rtl w:val="0"/>
        </w:rPr>
        <w:t xml:space="preserve"> </w:t>
      </w:r>
      <w:hyperlink r:id="rId30">
        <w:r w:rsidDel="00000000" w:rsidR="00000000" w:rsidRPr="00000000">
          <w:rPr>
            <w:color w:val="434343"/>
            <w:rtl w:val="0"/>
          </w:rPr>
          <w:t xml:space="preserve">[38]</w:t>
        </w:r>
      </w:hyperlink>
      <w:r w:rsidDel="00000000" w:rsidR="00000000" w:rsidRPr="00000000">
        <w:rPr>
          <w:color w:val="434343"/>
          <w:rtl w:val="0"/>
        </w:rPr>
        <w:t xml:space="preserve"> </w:t>
      </w:r>
      <w:r w:rsidDel="00000000" w:rsidR="00000000" w:rsidRPr="00000000">
        <w:rPr>
          <w:color w:val="434343"/>
          <w:rtl w:val="0"/>
        </w:rPr>
        <w:t xml:space="preserve">and is typically used to measure homocysteine, a nutritional biomarke</w:t>
      </w:r>
      <w:r w:rsidDel="00000000" w:rsidR="00000000" w:rsidRPr="00000000">
        <w:rPr>
          <w:color w:val="434343"/>
          <w:rtl w:val="0"/>
        </w:rPr>
        <w:t xml:space="preserve">r </w:t>
      </w:r>
      <w:hyperlink r:id="rId31">
        <w:r w:rsidDel="00000000" w:rsidR="00000000" w:rsidRPr="00000000">
          <w:rPr>
            <w:color w:val="434343"/>
            <w:rtl w:val="0"/>
          </w:rPr>
          <w:t xml:space="preserve">[39, 40]</w:t>
        </w:r>
      </w:hyperlink>
      <w:r w:rsidDel="00000000" w:rsidR="00000000" w:rsidRPr="00000000">
        <w:rPr>
          <w:color w:val="434343"/>
          <w:rtl w:val="0"/>
        </w:rPr>
        <w:t xml:space="preserve">. </w:t>
      </w:r>
      <w:r w:rsidDel="00000000" w:rsidR="00000000" w:rsidRPr="00000000">
        <w:rPr>
          <w:color w:val="434343"/>
          <w:rtl w:val="0"/>
        </w:rPr>
        <w:t xml:space="preserve">That said, each hormone and analyte differs: for example, in equids, insulin was found to be more stable in serum than pla</w:t>
      </w:r>
      <w:r w:rsidDel="00000000" w:rsidR="00000000" w:rsidRPr="00000000">
        <w:rPr>
          <w:color w:val="434343"/>
          <w:rtl w:val="0"/>
        </w:rPr>
        <w:t xml:space="preserve">sma </w:t>
      </w:r>
      <w:hyperlink r:id="rId32">
        <w:r w:rsidDel="00000000" w:rsidR="00000000" w:rsidRPr="00000000">
          <w:rPr>
            <w:color w:val="434343"/>
            <w:rtl w:val="0"/>
          </w:rPr>
          <w:t xml:space="preserve">[41]</w:t>
        </w:r>
      </w:hyperlink>
      <w:r w:rsidDel="00000000" w:rsidR="00000000" w:rsidRPr="00000000">
        <w:rPr>
          <w:color w:val="434343"/>
          <w:rtl w:val="0"/>
        </w:rPr>
        <w:t xml:space="preserve">.</w:t>
      </w:r>
      <w:r w:rsidDel="00000000" w:rsidR="00000000" w:rsidRPr="00000000">
        <w:rPr>
          <w:rtl w:val="0"/>
        </w:rPr>
      </w:r>
    </w:p>
    <w:p w:rsidR="00000000" w:rsidDel="00000000" w:rsidP="00000000" w:rsidRDefault="00000000" w:rsidRPr="00000000" w14:paraId="00000015">
      <w:pPr>
        <w:spacing w:line="480" w:lineRule="auto"/>
        <w:rPr>
          <w:color w:val="434343"/>
        </w:rPr>
      </w:pPr>
      <w:r w:rsidDel="00000000" w:rsidR="00000000" w:rsidRPr="00000000">
        <w:rPr>
          <w:color w:val="434343"/>
          <w:rtl w:val="0"/>
        </w:rPr>
        <w:t xml:space="preserve">Researchers must choose the anticoagulant for plasma samples carefully based on their interests </w:t>
      </w:r>
      <w:hyperlink r:id="rId33">
        <w:r w:rsidDel="00000000" w:rsidR="00000000" w:rsidRPr="00000000">
          <w:rPr>
            <w:color w:val="434343"/>
            <w:rtl w:val="0"/>
          </w:rPr>
          <w:t xml:space="preserve">[23, 25, 31, 42–44]</w:t>
        </w:r>
      </w:hyperlink>
      <w:r w:rsidDel="00000000" w:rsidR="00000000" w:rsidRPr="00000000">
        <w:rPr>
          <w:color w:val="434343"/>
          <w:rtl w:val="0"/>
        </w:rPr>
        <w:t xml:space="preserve">. See the supplemental document for a detailed review of the literature on the use of serum and plasma across different analytes.</w:t>
      </w:r>
    </w:p>
    <w:p w:rsidR="00000000" w:rsidDel="00000000" w:rsidP="00000000" w:rsidRDefault="00000000" w:rsidRPr="00000000" w14:paraId="00000016">
      <w:pPr>
        <w:spacing w:line="480" w:lineRule="auto"/>
        <w:rPr>
          <w:color w:val="434343"/>
        </w:rPr>
      </w:pPr>
      <w:r w:rsidDel="00000000" w:rsidR="00000000" w:rsidRPr="00000000">
        <w:rPr>
          <w:color w:val="434343"/>
          <w:rtl w:val="0"/>
        </w:rPr>
        <w:t xml:space="preserve">In summary, serum has been validated more widely for serological and immunological studies and some anticoagulants used in plasma degrade RNA.</w:t>
      </w:r>
      <w:r w:rsidDel="00000000" w:rsidR="00000000" w:rsidRPr="00000000">
        <w:rPr>
          <w:rtl w:val="0"/>
        </w:rPr>
      </w:r>
    </w:p>
    <w:p w:rsidR="00000000" w:rsidDel="00000000" w:rsidP="00000000" w:rsidRDefault="00000000" w:rsidRPr="00000000" w14:paraId="00000017">
      <w:pPr>
        <w:pStyle w:val="Heading2"/>
        <w:keepNext w:val="0"/>
        <w:keepLines w:val="0"/>
        <w:spacing w:line="480" w:lineRule="auto"/>
        <w:rPr>
          <w:color w:val="434343"/>
        </w:rPr>
      </w:pPr>
      <w:bookmarkStart w:colFirst="0" w:colLast="0" w:name="_lv9fra24fdtq" w:id="4"/>
      <w:bookmarkEnd w:id="4"/>
      <w:r w:rsidDel="00000000" w:rsidR="00000000" w:rsidRPr="00000000">
        <w:rPr>
          <w:color w:val="434343"/>
          <w:rtl w:val="0"/>
        </w:rPr>
        <w:t xml:space="preserve">2.2 Ectoparasites</w:t>
      </w:r>
    </w:p>
    <w:p w:rsidR="00000000" w:rsidDel="00000000" w:rsidP="00000000" w:rsidRDefault="00000000" w:rsidRPr="00000000" w14:paraId="00000018">
      <w:pPr>
        <w:pStyle w:val="Heading3"/>
        <w:spacing w:before="200" w:line="480" w:lineRule="auto"/>
        <w:rPr>
          <w:color w:val="434343"/>
        </w:rPr>
      </w:pPr>
      <w:bookmarkStart w:colFirst="0" w:colLast="0" w:name="_ltmflquta1us" w:id="5"/>
      <w:bookmarkEnd w:id="5"/>
      <w:r w:rsidDel="00000000" w:rsidR="00000000" w:rsidRPr="00000000">
        <w:rPr>
          <w:color w:val="434343"/>
          <w:rtl w:val="0"/>
        </w:rPr>
        <w:t xml:space="preserve">Rationale</w:t>
      </w:r>
    </w:p>
    <w:p w:rsidR="00000000" w:rsidDel="00000000" w:rsidP="00000000" w:rsidRDefault="00000000" w:rsidRPr="00000000" w14:paraId="00000019">
      <w:pPr>
        <w:spacing w:line="480" w:lineRule="auto"/>
        <w:rPr>
          <w:color w:val="434343"/>
        </w:rPr>
      </w:pPr>
      <w:r w:rsidDel="00000000" w:rsidR="00000000" w:rsidRPr="00000000">
        <w:rPr>
          <w:color w:val="434343"/>
          <w:rtl w:val="0"/>
        </w:rPr>
        <w:t xml:space="preserve">Collecting ectoparasites - typically macroscopic parasites that live on the host, sometimes serving as vectors of pathogens such as viruses or bacteria - individually or collectively in tubes can be used for general ectoparasite studies </w:t>
      </w:r>
      <w:hyperlink r:id="rId34">
        <w:r w:rsidDel="00000000" w:rsidR="00000000" w:rsidRPr="00000000">
          <w:rPr>
            <w:color w:val="434343"/>
            <w:rtl w:val="0"/>
          </w:rPr>
          <w:t xml:space="preserve">[45, 46]</w:t>
        </w:r>
      </w:hyperlink>
      <w:r w:rsidDel="00000000" w:rsidR="00000000" w:rsidRPr="00000000">
        <w:rPr>
          <w:color w:val="434343"/>
          <w:rtl w:val="0"/>
        </w:rPr>
        <w:t xml:space="preserve">, host evolutionary studies </w:t>
      </w:r>
      <w:hyperlink r:id="rId35">
        <w:r w:rsidDel="00000000" w:rsidR="00000000" w:rsidRPr="00000000">
          <w:rPr>
            <w:color w:val="434343"/>
            <w:rtl w:val="0"/>
          </w:rPr>
          <w:t xml:space="preserve">[47]</w:t>
        </w:r>
      </w:hyperlink>
      <w:r w:rsidDel="00000000" w:rsidR="00000000" w:rsidRPr="00000000">
        <w:rPr>
          <w:color w:val="434343"/>
          <w:rtl w:val="0"/>
        </w:rPr>
        <w:t xml:space="preserve">, seasonal variation in ectoparasites </w:t>
      </w:r>
      <w:hyperlink r:id="rId36">
        <w:r w:rsidDel="00000000" w:rsidR="00000000" w:rsidRPr="00000000">
          <w:rPr>
            <w:color w:val="434343"/>
            <w:rtl w:val="0"/>
          </w:rPr>
          <w:t xml:space="preserve">[48]</w:t>
        </w:r>
      </w:hyperlink>
      <w:r w:rsidDel="00000000" w:rsidR="00000000" w:rsidRPr="00000000">
        <w:rPr>
          <w:color w:val="434343"/>
          <w:rtl w:val="0"/>
        </w:rPr>
        <w:t xml:space="preserve">, pathogen dynamics between those ectoparasites and the host species </w:t>
      </w:r>
      <w:hyperlink r:id="rId37">
        <w:r w:rsidDel="00000000" w:rsidR="00000000" w:rsidRPr="00000000">
          <w:rPr>
            <w:color w:val="434343"/>
            <w:rtl w:val="0"/>
          </w:rPr>
          <w:t xml:space="preserve">[49–51]</w:t>
        </w:r>
      </w:hyperlink>
      <w:r w:rsidDel="00000000" w:rsidR="00000000" w:rsidRPr="00000000">
        <w:rPr>
          <w:color w:val="434343"/>
          <w:rtl w:val="0"/>
        </w:rPr>
        <w:t xml:space="preserve">, and more </w:t>
      </w:r>
      <w:hyperlink r:id="rId38">
        <w:r w:rsidDel="00000000" w:rsidR="00000000" w:rsidRPr="00000000">
          <w:rPr>
            <w:color w:val="434343"/>
            <w:rtl w:val="0"/>
          </w:rPr>
          <w:t xml:space="preserve">[47]</w:t>
        </w:r>
      </w:hyperlink>
      <w:r w:rsidDel="00000000" w:rsidR="00000000" w:rsidRPr="00000000">
        <w:rPr>
          <w:color w:val="434343"/>
          <w:rtl w:val="0"/>
        </w:rPr>
        <w:t xml:space="preserve">.</w:t>
      </w:r>
    </w:p>
    <w:p w:rsidR="00000000" w:rsidDel="00000000" w:rsidP="00000000" w:rsidRDefault="00000000" w:rsidRPr="00000000" w14:paraId="0000001A">
      <w:pPr>
        <w:spacing w:line="480" w:lineRule="auto"/>
        <w:rPr>
          <w:color w:val="434343"/>
        </w:rPr>
      </w:pPr>
      <w:r w:rsidDel="00000000" w:rsidR="00000000" w:rsidRPr="00000000">
        <w:rPr>
          <w:color w:val="434343"/>
          <w:rtl w:val="0"/>
        </w:rPr>
        <w:t xml:space="preserve">When processing an individual animal, remove all ectoparasites into vials and as with all other associated samples obtained, be sure to keep track of the associated specimen number with the ectoparasites on the tube label. </w:t>
      </w:r>
    </w:p>
    <w:p w:rsidR="00000000" w:rsidDel="00000000" w:rsidP="00000000" w:rsidRDefault="00000000" w:rsidRPr="00000000" w14:paraId="0000001B">
      <w:pPr>
        <w:pStyle w:val="Heading4"/>
        <w:spacing w:line="480" w:lineRule="auto"/>
        <w:rPr>
          <w:color w:val="434343"/>
        </w:rPr>
      </w:pPr>
      <w:bookmarkStart w:colFirst="0" w:colLast="0" w:name="_smmrc388aak7" w:id="6"/>
      <w:bookmarkEnd w:id="6"/>
      <w:r w:rsidDel="00000000" w:rsidR="00000000" w:rsidRPr="00000000">
        <w:rPr>
          <w:color w:val="434343"/>
          <w:rtl w:val="0"/>
        </w:rPr>
        <w:t xml:space="preserve">Primary suggested collection method</w:t>
      </w:r>
    </w:p>
    <w:p w:rsidR="00000000" w:rsidDel="00000000" w:rsidP="00000000" w:rsidRDefault="00000000" w:rsidRPr="00000000" w14:paraId="0000001C">
      <w:pPr>
        <w:spacing w:line="480" w:lineRule="auto"/>
        <w:rPr>
          <w:color w:val="434343"/>
        </w:rPr>
      </w:pPr>
      <w:r w:rsidDel="00000000" w:rsidR="00000000" w:rsidRPr="00000000">
        <w:rPr>
          <w:color w:val="434343"/>
          <w:rtl w:val="0"/>
        </w:rPr>
        <w:t xml:space="preserve">It is best to collect all species of ectoparasites into distinct tubes (i.e. ticks in one tube, fleas in another), but if this is not possible in terms of time, storage, or identification ability, it is sufficient to collect each individual host’s ectoparasites into a single composite “ectoparasite” tube.</w:t>
      </w:r>
    </w:p>
    <w:p w:rsidR="00000000" w:rsidDel="00000000" w:rsidP="00000000" w:rsidRDefault="00000000" w:rsidRPr="00000000" w14:paraId="0000001D">
      <w:pPr>
        <w:spacing w:line="480" w:lineRule="auto"/>
        <w:rPr>
          <w:color w:val="434343"/>
        </w:rPr>
      </w:pPr>
      <w:r w:rsidDel="00000000" w:rsidR="00000000" w:rsidRPr="00000000">
        <w:rPr>
          <w:rFonts w:ascii="Nova Mono" w:cs="Nova Mono" w:eastAsia="Nova Mono" w:hAnsi="Nova Mono"/>
          <w:color w:val="434343"/>
          <w:rtl w:val="0"/>
        </w:rPr>
        <w:t xml:space="preserve">If the study aims to identify viral RNA pathogens vectored by these ectoparasites, then the collection of samples into DNA/RNA Shield™ </w:t>
      </w:r>
      <w:hyperlink r:id="rId39">
        <w:r w:rsidDel="00000000" w:rsidR="00000000" w:rsidRPr="00000000">
          <w:rPr>
            <w:color w:val="434343"/>
            <w:rtl w:val="0"/>
          </w:rPr>
          <w:t xml:space="preserve">[52, 53]</w:t>
        </w:r>
      </w:hyperlink>
      <w:r w:rsidDel="00000000" w:rsidR="00000000" w:rsidRPr="00000000">
        <w:rPr>
          <w:color w:val="434343"/>
          <w:rtl w:val="0"/>
        </w:rPr>
        <w:t xml:space="preserve"> or similar RNA preserving buffer is recommended as best practice. Freeze these samples as soon as possible at -80ºC, ideally, or at -20ºC. </w:t>
      </w:r>
    </w:p>
    <w:p w:rsidR="00000000" w:rsidDel="00000000" w:rsidP="00000000" w:rsidRDefault="00000000" w:rsidRPr="00000000" w14:paraId="0000001E">
      <w:pPr>
        <w:pStyle w:val="Heading4"/>
        <w:spacing w:line="480" w:lineRule="auto"/>
        <w:rPr>
          <w:color w:val="434343"/>
        </w:rPr>
      </w:pPr>
      <w:bookmarkStart w:colFirst="0" w:colLast="0" w:name="_j0dmy2960u4w" w:id="7"/>
      <w:bookmarkEnd w:id="7"/>
      <w:r w:rsidDel="00000000" w:rsidR="00000000" w:rsidRPr="00000000">
        <w:rPr>
          <w:color w:val="434343"/>
          <w:rtl w:val="0"/>
        </w:rPr>
        <w:t xml:space="preserve">Secondary suggested collection method</w:t>
      </w:r>
    </w:p>
    <w:p w:rsidR="00000000" w:rsidDel="00000000" w:rsidP="00000000" w:rsidRDefault="00000000" w:rsidRPr="00000000" w14:paraId="0000001F">
      <w:pPr>
        <w:spacing w:line="480" w:lineRule="auto"/>
        <w:rPr>
          <w:color w:val="434343"/>
        </w:rPr>
      </w:pPr>
      <w:r w:rsidDel="00000000" w:rsidR="00000000" w:rsidRPr="00000000">
        <w:rPr>
          <w:color w:val="434343"/>
          <w:rtl w:val="0"/>
        </w:rPr>
        <w:t xml:space="preserve">If the study does not aim to identify RNA viruses vectored by these ectoparasites, a cheaper option that preserves DNA is to store these ectoparasite samples in cryovials of </w:t>
      </w:r>
      <w:r w:rsidDel="00000000" w:rsidR="00000000" w:rsidRPr="00000000">
        <w:rPr>
          <w:color w:val="434343"/>
          <w:u w:val="single"/>
          <w:rtl w:val="0"/>
        </w:rPr>
        <w:t xml:space="preserve">&gt;</w:t>
      </w:r>
      <w:r w:rsidDel="00000000" w:rsidR="00000000" w:rsidRPr="00000000">
        <w:rPr>
          <w:color w:val="434343"/>
          <w:rtl w:val="0"/>
        </w:rPr>
        <w:t xml:space="preserve">95% EtOH with at least a 5:1 buffer to ectoparasite volume, which will retain DNA data </w:t>
      </w:r>
      <w:hyperlink r:id="rId40">
        <w:r w:rsidDel="00000000" w:rsidR="00000000" w:rsidRPr="00000000">
          <w:rPr>
            <w:color w:val="434343"/>
            <w:rtl w:val="0"/>
          </w:rPr>
          <w:t xml:space="preserve">[48, 54, 55]</w:t>
        </w:r>
      </w:hyperlink>
      <w:r w:rsidDel="00000000" w:rsidR="00000000" w:rsidRPr="00000000">
        <w:rPr>
          <w:color w:val="434343"/>
          <w:rtl w:val="0"/>
        </w:rPr>
        <w:t xml:space="preserve">. In the case of preserving morphological features, teams may consider lower concentrations of EtOH which is preferred for morphological preservation of invertebrates </w:t>
      </w:r>
      <w:hyperlink r:id="rId41">
        <w:r w:rsidDel="00000000" w:rsidR="00000000" w:rsidRPr="00000000">
          <w:rPr>
            <w:color w:val="434343"/>
            <w:rtl w:val="0"/>
          </w:rPr>
          <w:t xml:space="preserve">[55, 56]</w:t>
        </w:r>
      </w:hyperlink>
      <w:r w:rsidDel="00000000" w:rsidR="00000000" w:rsidRPr="00000000">
        <w:rPr>
          <w:color w:val="434343"/>
          <w:rtl w:val="0"/>
        </w:rPr>
        <w:t xml:space="preserve">. These samples are shelf stable, but it is best practice to freeze as soon as possible at -80ºC, ideally, or at -20ºC. </w:t>
      </w:r>
    </w:p>
    <w:p w:rsidR="00000000" w:rsidDel="00000000" w:rsidP="00000000" w:rsidRDefault="00000000" w:rsidRPr="00000000" w14:paraId="00000020">
      <w:pPr>
        <w:pStyle w:val="Heading2"/>
        <w:spacing w:line="480" w:lineRule="auto"/>
        <w:rPr>
          <w:color w:val="434343"/>
        </w:rPr>
      </w:pPr>
      <w:bookmarkStart w:colFirst="0" w:colLast="0" w:name="_dn7sh5mnwuz4" w:id="8"/>
      <w:bookmarkEnd w:id="8"/>
      <w:r w:rsidDel="00000000" w:rsidR="00000000" w:rsidRPr="00000000">
        <w:rPr>
          <w:color w:val="434343"/>
          <w:rtl w:val="0"/>
        </w:rPr>
        <w:t xml:space="preserve">2.3 Hair or feather clipping</w:t>
      </w:r>
    </w:p>
    <w:p w:rsidR="00000000" w:rsidDel="00000000" w:rsidP="00000000" w:rsidRDefault="00000000" w:rsidRPr="00000000" w14:paraId="00000021">
      <w:pPr>
        <w:pStyle w:val="Heading3"/>
        <w:spacing w:before="200" w:line="480" w:lineRule="auto"/>
        <w:rPr>
          <w:color w:val="434343"/>
        </w:rPr>
      </w:pPr>
      <w:bookmarkStart w:colFirst="0" w:colLast="0" w:name="_pattxdouwrek" w:id="9"/>
      <w:bookmarkEnd w:id="9"/>
      <w:r w:rsidDel="00000000" w:rsidR="00000000" w:rsidRPr="00000000">
        <w:rPr>
          <w:color w:val="434343"/>
          <w:rtl w:val="0"/>
        </w:rPr>
        <w:t xml:space="preserve">Rationale</w:t>
      </w:r>
    </w:p>
    <w:p w:rsidR="00000000" w:rsidDel="00000000" w:rsidP="00000000" w:rsidRDefault="00000000" w:rsidRPr="00000000" w14:paraId="00000022">
      <w:pPr>
        <w:spacing w:line="480" w:lineRule="auto"/>
        <w:rPr>
          <w:color w:val="434343"/>
        </w:rPr>
      </w:pPr>
      <w:r w:rsidDel="00000000" w:rsidR="00000000" w:rsidRPr="00000000">
        <w:rPr>
          <w:color w:val="434343"/>
          <w:rtl w:val="0"/>
        </w:rPr>
        <w:t xml:space="preserve">While hair or feather clippings are not pathogen samples, we include this section due to this sample’s long maintained history of use in larger studies associated with morbidity or other expression of health-related factors that can tie into pathobiology: hair or feather clippings can be used for toxicology/mineral analysis </w:t>
      </w:r>
      <w:hyperlink r:id="rId42">
        <w:r w:rsidDel="00000000" w:rsidR="00000000" w:rsidRPr="00000000">
          <w:rPr>
            <w:color w:val="434343"/>
            <w:rtl w:val="0"/>
          </w:rPr>
          <w:t xml:space="preserve">[57, 58]</w:t>
        </w:r>
      </w:hyperlink>
      <w:r w:rsidDel="00000000" w:rsidR="00000000" w:rsidRPr="00000000">
        <w:rPr>
          <w:color w:val="434343"/>
          <w:rtl w:val="0"/>
        </w:rPr>
        <w:t xml:space="preserve">, stable isotope for diet analysis </w:t>
      </w:r>
      <w:hyperlink r:id="rId43">
        <w:r w:rsidDel="00000000" w:rsidR="00000000" w:rsidRPr="00000000">
          <w:rPr>
            <w:color w:val="434343"/>
            <w:rtl w:val="0"/>
          </w:rPr>
          <w:t xml:space="preserve">[59–61]</w:t>
        </w:r>
      </w:hyperlink>
      <w:r w:rsidDel="00000000" w:rsidR="00000000" w:rsidRPr="00000000">
        <w:rPr>
          <w:color w:val="434343"/>
          <w:rtl w:val="0"/>
        </w:rPr>
        <w:t xml:space="preserve">, and hormone assays including glucocorticoid levels for stress analysis </w:t>
      </w:r>
      <w:hyperlink r:id="rId44">
        <w:r w:rsidDel="00000000" w:rsidR="00000000" w:rsidRPr="00000000">
          <w:rPr>
            <w:color w:val="434343"/>
            <w:rtl w:val="0"/>
          </w:rPr>
          <w:t xml:space="preserve">[35, 62–64]</w:t>
        </w:r>
      </w:hyperlink>
      <w:r w:rsidDel="00000000" w:rsidR="00000000" w:rsidRPr="00000000">
        <w:rPr>
          <w:color w:val="434343"/>
          <w:rtl w:val="0"/>
        </w:rPr>
        <w:t xml:space="preserve">, see a full list of uses in </w:t>
      </w:r>
      <w:hyperlink r:id="rId45">
        <w:r w:rsidDel="00000000" w:rsidR="00000000" w:rsidRPr="00000000">
          <w:rPr>
            <w:color w:val="434343"/>
            <w:rtl w:val="0"/>
          </w:rPr>
          <w:t xml:space="preserve">[6]</w:t>
        </w:r>
      </w:hyperlink>
      <w:r w:rsidDel="00000000" w:rsidR="00000000" w:rsidRPr="00000000">
        <w:rPr>
          <w:color w:val="434343"/>
          <w:rtl w:val="0"/>
        </w:rPr>
        <w:t xml:space="preserve">. Given the ease of collection and storage, hair and feather clippings can be incredibly useful samples for long-term storage. In fact, recent work has used historical collections of hair and feathers to elucidate the impact of climate change on small rodent populations </w:t>
      </w:r>
      <w:hyperlink r:id="rId46">
        <w:r w:rsidDel="00000000" w:rsidR="00000000" w:rsidRPr="00000000">
          <w:rPr>
            <w:color w:val="434343"/>
            <w:rtl w:val="0"/>
          </w:rPr>
          <w:t xml:space="preserve">[65]</w:t>
        </w:r>
      </w:hyperlink>
      <w:r w:rsidDel="00000000" w:rsidR="00000000" w:rsidRPr="00000000">
        <w:rPr>
          <w:color w:val="434343"/>
          <w:rtl w:val="0"/>
        </w:rPr>
        <w:t xml:space="preserve"> as well as aerial insectivores </w:t>
      </w:r>
      <w:hyperlink r:id="rId47">
        <w:r w:rsidDel="00000000" w:rsidR="00000000" w:rsidRPr="00000000">
          <w:rPr>
            <w:color w:val="434343"/>
            <w:rtl w:val="0"/>
          </w:rPr>
          <w:t xml:space="preserve">[66]</w:t>
        </w:r>
      </w:hyperlink>
      <w:r w:rsidDel="00000000" w:rsidR="00000000" w:rsidRPr="00000000">
        <w:rPr>
          <w:color w:val="434343"/>
          <w:rtl w:val="0"/>
        </w:rPr>
        <w:t xml:space="preserve"> and to reconstruct the diet and health of historical human populations </w:t>
      </w:r>
      <w:hyperlink r:id="rId48">
        <w:r w:rsidDel="00000000" w:rsidR="00000000" w:rsidRPr="00000000">
          <w:rPr>
            <w:color w:val="434343"/>
            <w:rtl w:val="0"/>
          </w:rPr>
          <w:t xml:space="preserve">[67]</w:t>
        </w:r>
      </w:hyperlink>
      <w:r w:rsidDel="00000000" w:rsidR="00000000" w:rsidRPr="00000000">
        <w:rPr>
          <w:color w:val="434343"/>
          <w:rtl w:val="0"/>
        </w:rPr>
        <w:t xml:space="preserve">. While traditional museum collecting missions typically include the collection of study skins, ensuring the proper treatment of handling of these specimens will allow for continued use of these sample types </w:t>
      </w:r>
      <w:hyperlink r:id="rId49">
        <w:r w:rsidDel="00000000" w:rsidR="00000000" w:rsidRPr="00000000">
          <w:rPr>
            <w:color w:val="434343"/>
            <w:rtl w:val="0"/>
          </w:rPr>
          <w:t xml:space="preserve">[68–70]</w:t>
        </w:r>
      </w:hyperlink>
      <w:r w:rsidDel="00000000" w:rsidR="00000000" w:rsidRPr="00000000">
        <w:rPr>
          <w:color w:val="434343"/>
          <w:rtl w:val="0"/>
        </w:rPr>
        <w:t xml:space="preserve">.</w:t>
      </w:r>
    </w:p>
    <w:p w:rsidR="00000000" w:rsidDel="00000000" w:rsidP="00000000" w:rsidRDefault="00000000" w:rsidRPr="00000000" w14:paraId="00000023">
      <w:pPr>
        <w:pStyle w:val="Heading4"/>
        <w:spacing w:line="480" w:lineRule="auto"/>
        <w:rPr>
          <w:color w:val="434343"/>
        </w:rPr>
      </w:pPr>
      <w:bookmarkStart w:colFirst="0" w:colLast="0" w:name="_vo73x4n7eb0g" w:id="10"/>
      <w:bookmarkEnd w:id="10"/>
      <w:r w:rsidDel="00000000" w:rsidR="00000000" w:rsidRPr="00000000">
        <w:rPr>
          <w:color w:val="434343"/>
          <w:rtl w:val="0"/>
        </w:rPr>
        <w:t xml:space="preserve">Primary suggested collection method</w:t>
      </w:r>
    </w:p>
    <w:p w:rsidR="00000000" w:rsidDel="00000000" w:rsidP="00000000" w:rsidRDefault="00000000" w:rsidRPr="00000000" w14:paraId="00000024">
      <w:pPr>
        <w:spacing w:line="480" w:lineRule="auto"/>
        <w:rPr>
          <w:color w:val="434343"/>
        </w:rPr>
      </w:pPr>
      <w:r w:rsidDel="00000000" w:rsidR="00000000" w:rsidRPr="00000000">
        <w:rPr>
          <w:color w:val="434343"/>
          <w:rtl w:val="0"/>
        </w:rPr>
        <w:t xml:space="preserve">Researchers should collect hair or feathers in the manner outlined by the SOP/ACUC guidelines for the SOI. As a general rule, it is advised to collect at least 3mg of hair/fur/feathers and no more than 10mg </w:t>
      </w:r>
      <w:hyperlink r:id="rId50">
        <w:r w:rsidDel="00000000" w:rsidR="00000000" w:rsidRPr="00000000">
          <w:rPr>
            <w:color w:val="434343"/>
            <w:rtl w:val="0"/>
          </w:rPr>
          <w:t xml:space="preserve">[62]</w:t>
        </w:r>
      </w:hyperlink>
      <w:r w:rsidDel="00000000" w:rsidR="00000000" w:rsidRPr="00000000">
        <w:rPr>
          <w:color w:val="434343"/>
          <w:rtl w:val="0"/>
        </w:rPr>
        <w:t xml:space="preserve">. Hair samples can typically be stored in a coin envelope or similar package and do not have to be frozen. Hair roots do not need to be included, thus a small clipping is possible. It is recommended that the feather or hair from each individual be taken from a standardized anatomical location to ensure comparability across individuals. Depending on the environment, researchers should take care to allow fur or feathers to dry properly prior to storing them in envelopes, as this will prevent mold (the use of a silica pack might help preserve them over time).</w:t>
      </w:r>
    </w:p>
    <w:p w:rsidR="00000000" w:rsidDel="00000000" w:rsidP="00000000" w:rsidRDefault="00000000" w:rsidRPr="00000000" w14:paraId="00000025">
      <w:pPr>
        <w:pStyle w:val="Heading2"/>
        <w:keepNext w:val="0"/>
        <w:keepLines w:val="0"/>
        <w:spacing w:line="480" w:lineRule="auto"/>
        <w:rPr>
          <w:color w:val="434343"/>
        </w:rPr>
      </w:pPr>
      <w:bookmarkStart w:colFirst="0" w:colLast="0" w:name="_hp7vneik6126" w:id="11"/>
      <w:bookmarkEnd w:id="11"/>
      <w:r w:rsidDel="00000000" w:rsidR="00000000" w:rsidRPr="00000000">
        <w:rPr>
          <w:color w:val="434343"/>
          <w:rtl w:val="0"/>
        </w:rPr>
        <w:t xml:space="preserve">2.4 Organ tissue samples</w:t>
      </w:r>
    </w:p>
    <w:p w:rsidR="00000000" w:rsidDel="00000000" w:rsidP="00000000" w:rsidRDefault="00000000" w:rsidRPr="00000000" w14:paraId="00000026">
      <w:pPr>
        <w:pStyle w:val="Heading3"/>
        <w:spacing w:before="200" w:line="480" w:lineRule="auto"/>
        <w:rPr>
          <w:color w:val="434343"/>
        </w:rPr>
      </w:pPr>
      <w:bookmarkStart w:colFirst="0" w:colLast="0" w:name="_7gbmt9uucbvs" w:id="12"/>
      <w:bookmarkEnd w:id="12"/>
      <w:r w:rsidDel="00000000" w:rsidR="00000000" w:rsidRPr="00000000">
        <w:rPr>
          <w:color w:val="434343"/>
          <w:rtl w:val="0"/>
        </w:rPr>
        <w:t xml:space="preserve">Rationale</w:t>
      </w:r>
    </w:p>
    <w:p w:rsidR="00000000" w:rsidDel="00000000" w:rsidP="00000000" w:rsidRDefault="00000000" w:rsidRPr="00000000" w14:paraId="00000027">
      <w:pPr>
        <w:spacing w:line="480" w:lineRule="auto"/>
        <w:rPr>
          <w:color w:val="434343"/>
        </w:rPr>
      </w:pPr>
      <w:r w:rsidDel="00000000" w:rsidR="00000000" w:rsidRPr="00000000">
        <w:rPr>
          <w:color w:val="434343"/>
          <w:rtl w:val="0"/>
        </w:rPr>
        <w:t xml:space="preserve">If and when performing an opportunistic necropsy, in addition to the pathobiology-associated samples described in this paper, it is recommended to take the voucher specimen (the whole organism) if possible. Preserving a voucher specimen with extended samples is still the gold standard for pathobiology studies. Vouchers provide the ability to verify or address taxonomic uncertainties and misidentifications, connect morphology and genome studies, enable future research, and more </w:t>
      </w:r>
      <w:hyperlink r:id="rId51">
        <w:r w:rsidDel="00000000" w:rsidR="00000000" w:rsidRPr="00000000">
          <w:rPr>
            <w:color w:val="434343"/>
            <w:rtl w:val="0"/>
          </w:rPr>
          <w:t xml:space="preserve">[2, 71, 72]</w:t>
        </w:r>
      </w:hyperlink>
      <w:r w:rsidDel="00000000" w:rsidR="00000000" w:rsidRPr="00000000">
        <w:rPr>
          <w:color w:val="434343"/>
          <w:rtl w:val="0"/>
        </w:rPr>
        <w:t xml:space="preserve">. As part of pre-expedition preparation, teams should consult with the project’s institution or a partner institution about voucher sampling and storage, and collect the voucher specimen according to institution, export and travel restrictions (i.e. whether this voucher sample should be collected as “liquid” (e.g. formaldehyde, ethanol) or “dry” (e.g. skin, skeleton)).</w:t>
      </w:r>
    </w:p>
    <w:p w:rsidR="00000000" w:rsidDel="00000000" w:rsidP="00000000" w:rsidRDefault="00000000" w:rsidRPr="00000000" w14:paraId="00000028">
      <w:pPr>
        <w:spacing w:after="0" w:line="480" w:lineRule="auto"/>
        <w:rPr>
          <w:color w:val="434343"/>
        </w:rPr>
      </w:pPr>
      <w:r w:rsidDel="00000000" w:rsidR="00000000" w:rsidRPr="00000000">
        <w:rPr>
          <w:color w:val="434343"/>
          <w:rtl w:val="0"/>
        </w:rPr>
        <w:t xml:space="preserve">Organ tissue samples can be used in a myriad of studies regarding pathobiology, diet, disease and more. In the case of an opportunistic necropsy or lethal sampling, we suggest collecting the following samples: liver, kidney, spleen, sections of the gastrointestinal tract, as well as, if space allows, heart, lung, muscle and gonad</w:t>
      </w:r>
      <w:r w:rsidDel="00000000" w:rsidR="00000000" w:rsidRPr="00000000">
        <w:rPr>
          <w:color w:val="434343"/>
          <w:rtl w:val="0"/>
        </w:rPr>
        <w:t xml:space="preserve">s </w:t>
      </w:r>
      <w:hyperlink r:id="rId52">
        <w:r w:rsidDel="00000000" w:rsidR="00000000" w:rsidRPr="00000000">
          <w:rPr>
            <w:color w:val="434343"/>
            <w:rtl w:val="0"/>
          </w:rPr>
          <w:t xml:space="preserve">[3, 54, 73, 74]</w:t>
        </w:r>
      </w:hyperlink>
      <w:r w:rsidDel="00000000" w:rsidR="00000000" w:rsidRPr="00000000">
        <w:rPr>
          <w:color w:val="434343"/>
          <w:rtl w:val="0"/>
        </w:rPr>
        <w:t xml:space="preserve">. Liver, kidney, and spleen samples are standard tissues for viral studies </w:t>
      </w:r>
      <w:hyperlink r:id="rId53">
        <w:r w:rsidDel="00000000" w:rsidR="00000000" w:rsidRPr="00000000">
          <w:rPr>
            <w:color w:val="434343"/>
            <w:rtl w:val="0"/>
          </w:rPr>
          <w:t xml:space="preserve">[71, 72, 75, 76]</w:t>
        </w:r>
      </w:hyperlink>
      <w:r w:rsidDel="00000000" w:rsidR="00000000" w:rsidRPr="00000000">
        <w:rPr>
          <w:color w:val="434343"/>
          <w:rtl w:val="0"/>
        </w:rPr>
        <w:t xml:space="preserve">. SOP at natural history institutions also typically suggest taking heart, lung and muscle samples, exactly which muscle to sample may depend on the species </w:t>
      </w:r>
      <w:hyperlink r:id="rId54">
        <w:r w:rsidDel="00000000" w:rsidR="00000000" w:rsidRPr="00000000">
          <w:rPr>
            <w:color w:val="434343"/>
            <w:rtl w:val="0"/>
          </w:rPr>
          <w:t xml:space="preserve">[3]</w:t>
        </w:r>
      </w:hyperlink>
      <w:r w:rsidDel="00000000" w:rsidR="00000000" w:rsidRPr="00000000">
        <w:rPr>
          <w:color w:val="434343"/>
          <w:rtl w:val="0"/>
        </w:rPr>
        <w:t xml:space="preserve">. </w:t>
      </w:r>
    </w:p>
    <w:p w:rsidR="00000000" w:rsidDel="00000000" w:rsidP="00000000" w:rsidRDefault="00000000" w:rsidRPr="00000000" w14:paraId="00000029">
      <w:pPr>
        <w:spacing w:after="0" w:line="480" w:lineRule="auto"/>
        <w:rPr>
          <w:color w:val="434343"/>
        </w:rPr>
      </w:pPr>
      <w:r w:rsidDel="00000000" w:rsidR="00000000" w:rsidRPr="00000000">
        <w:rPr>
          <w:color w:val="434343"/>
          <w:rtl w:val="0"/>
        </w:rPr>
        <w:t xml:space="preserve">S</w:t>
      </w:r>
      <w:r w:rsidDel="00000000" w:rsidR="00000000" w:rsidRPr="00000000">
        <w:rPr>
          <w:color w:val="434343"/>
          <w:rtl w:val="0"/>
        </w:rPr>
        <w:t xml:space="preserve">ampling contents or parts of the gastrointestinal system can give different information than fecal samples alone </w:t>
      </w:r>
      <w:hyperlink r:id="rId55">
        <w:r w:rsidDel="00000000" w:rsidR="00000000" w:rsidRPr="00000000">
          <w:rPr>
            <w:color w:val="434343"/>
            <w:rtl w:val="0"/>
          </w:rPr>
          <w:t xml:space="preserve">[77]</w:t>
        </w:r>
      </w:hyperlink>
      <w:r w:rsidDel="00000000" w:rsidR="00000000" w:rsidRPr="00000000">
        <w:rPr>
          <w:color w:val="434343"/>
          <w:rtl w:val="0"/>
        </w:rPr>
        <w:t xml:space="preserve">. There does not yet seem to be consensus on which parts of the gastrointestinal tract to sample or to prioritize, and it has been noted that a universal protocol for this would be challenging due to species size and endoparasitic differences </w:t>
      </w:r>
      <w:hyperlink r:id="rId56">
        <w:r w:rsidDel="00000000" w:rsidR="00000000" w:rsidRPr="00000000">
          <w:rPr>
            <w:color w:val="434343"/>
            <w:rtl w:val="0"/>
          </w:rPr>
          <w:t xml:space="preserve">[47]</w:t>
        </w:r>
      </w:hyperlink>
      <w:r w:rsidDel="00000000" w:rsidR="00000000" w:rsidRPr="00000000">
        <w:rPr>
          <w:color w:val="434343"/>
          <w:rtl w:val="0"/>
        </w:rPr>
        <w:t xml:space="preserve">; options include the stomach contents, sections of the large and small intestine </w:t>
      </w:r>
      <w:hyperlink r:id="rId57">
        <w:r w:rsidDel="00000000" w:rsidR="00000000" w:rsidRPr="00000000">
          <w:rPr>
            <w:color w:val="434343"/>
            <w:rtl w:val="0"/>
          </w:rPr>
          <w:t xml:space="preserve">[54]</w:t>
        </w:r>
      </w:hyperlink>
      <w:r w:rsidDel="00000000" w:rsidR="00000000" w:rsidRPr="00000000">
        <w:rPr>
          <w:color w:val="434343"/>
          <w:rtl w:val="0"/>
        </w:rPr>
        <w:t xml:space="preserve">, distal intestinal mucosa </w:t>
      </w:r>
      <w:hyperlink r:id="rId58">
        <w:r w:rsidDel="00000000" w:rsidR="00000000" w:rsidRPr="00000000">
          <w:rPr>
            <w:color w:val="434343"/>
            <w:rtl w:val="0"/>
          </w:rPr>
          <w:t xml:space="preserve">[77]</w:t>
        </w:r>
      </w:hyperlink>
      <w:r w:rsidDel="00000000" w:rsidR="00000000" w:rsidRPr="00000000">
        <w:rPr>
          <w:color w:val="434343"/>
          <w:rtl w:val="0"/>
        </w:rPr>
        <w:t xml:space="preserve">, and cecum content </w:t>
      </w:r>
      <w:hyperlink r:id="rId59">
        <w:r w:rsidDel="00000000" w:rsidR="00000000" w:rsidRPr="00000000">
          <w:rPr>
            <w:color w:val="434343"/>
            <w:rtl w:val="0"/>
          </w:rPr>
          <w:t xml:space="preserve">[78]</w:t>
        </w:r>
      </w:hyperlink>
      <w:r w:rsidDel="00000000" w:rsidR="00000000" w:rsidRPr="00000000">
        <w:rPr>
          <w:color w:val="434343"/>
          <w:rtl w:val="0"/>
        </w:rPr>
        <w:t xml:space="preserve">. The literature on the SOI should be consulted to determine which sections are most relevant. </w:t>
      </w:r>
    </w:p>
    <w:p w:rsidR="00000000" w:rsidDel="00000000" w:rsidP="00000000" w:rsidRDefault="00000000" w:rsidRPr="00000000" w14:paraId="0000002A">
      <w:pPr>
        <w:pStyle w:val="Heading4"/>
        <w:spacing w:line="480" w:lineRule="auto"/>
        <w:rPr>
          <w:color w:val="434343"/>
        </w:rPr>
      </w:pPr>
      <w:bookmarkStart w:colFirst="0" w:colLast="0" w:name="_d50rag8rigpe" w:id="13"/>
      <w:bookmarkEnd w:id="13"/>
      <w:r w:rsidDel="00000000" w:rsidR="00000000" w:rsidRPr="00000000">
        <w:rPr>
          <w:color w:val="434343"/>
          <w:rtl w:val="0"/>
        </w:rPr>
        <w:t xml:space="preserve">Primary suggested collection method</w:t>
      </w:r>
    </w:p>
    <w:p w:rsidR="00000000" w:rsidDel="00000000" w:rsidP="00000000" w:rsidRDefault="00000000" w:rsidRPr="00000000" w14:paraId="0000002B">
      <w:pPr>
        <w:spacing w:line="480" w:lineRule="auto"/>
        <w:rPr>
          <w:i w:val="1"/>
          <w:iCs w:val="1"/>
          <w:color w:val="434343"/>
          <w:highlight w:val="yellow"/>
        </w:rPr>
      </w:pPr>
      <w:r w:rsidDel="00000000" w:rsidR="00000000" w:rsidRPr="00000000">
        <w:rPr>
          <w:rFonts w:ascii="Nova Mono" w:cs="Nova Mono" w:eastAsia="Nova Mono" w:hAnsi="Nova Mono"/>
          <w:color w:val="434343"/>
          <w:rtl w:val="0"/>
        </w:rPr>
        <w:t xml:space="preserve">For each of these organs (liver, kidney, spleen, lung, heart, muscle, gonads, selections of the gastrointestinal system) we suggest extracting a small piece of the organ and placing it in a cryovial with DNA/RNA shield™, RNAprotect®, homemade NAP or a similar DNA and RNA preserving buffer. Although collecting tissues into tubes without buffers poses a degradation risk in the presence of cold chain failure or repeated freeze-thaw cycles </w:t>
      </w:r>
      <w:hyperlink r:id="rId60">
        <w:r w:rsidDel="00000000" w:rsidR="00000000" w:rsidRPr="00000000">
          <w:rPr>
            <w:color w:val="434343"/>
            <w:rtl w:val="0"/>
          </w:rPr>
          <w:t xml:space="preserve">[76]</w:t>
        </w:r>
      </w:hyperlink>
      <w:r w:rsidDel="00000000" w:rsidR="00000000" w:rsidRPr="00000000">
        <w:rPr>
          <w:color w:val="434343"/>
          <w:rtl w:val="0"/>
        </w:rPr>
        <w:t xml:space="preserve">, tissues preserved without buffer and immediately flash frozen in LN2 remain the gold standard for whole genome sequencin</w:t>
      </w:r>
      <w:r w:rsidDel="00000000" w:rsidR="00000000" w:rsidRPr="00000000">
        <w:rPr>
          <w:color w:val="434343"/>
          <w:rtl w:val="0"/>
        </w:rPr>
        <w:t xml:space="preserve">g </w:t>
      </w:r>
      <w:hyperlink r:id="rId61">
        <w:r w:rsidDel="00000000" w:rsidR="00000000" w:rsidRPr="00000000">
          <w:rPr>
            <w:color w:val="434343"/>
            <w:rtl w:val="0"/>
          </w:rPr>
          <w:t xml:space="preserve">[73, 79–81]</w:t>
        </w:r>
      </w:hyperlink>
      <w:r w:rsidDel="00000000" w:rsidR="00000000" w:rsidRPr="00000000">
        <w:rPr>
          <w:color w:val="434343"/>
          <w:rtl w:val="0"/>
        </w:rPr>
        <w:t xml:space="preserve">,</w:t>
      </w:r>
      <w:r w:rsidDel="00000000" w:rsidR="00000000" w:rsidRPr="00000000">
        <w:rPr>
          <w:color w:val="434343"/>
          <w:rtl w:val="0"/>
        </w:rPr>
        <w:t xml:space="preserve"> and therefore in the case that there is remaining tissue from the aforementioned organs and available resources, it is ideal to preserve a portion of the tissue in a tube with no buffer, flash-frozen in LN2. We recommend that at least one tube of tissue, preferably spleen given its high DNA yield </w:t>
      </w:r>
      <w:hyperlink r:id="rId62">
        <w:r w:rsidDel="00000000" w:rsidR="00000000" w:rsidRPr="00000000">
          <w:rPr>
            <w:color w:val="434343"/>
            <w:rtl w:val="0"/>
          </w:rPr>
          <w:t xml:space="preserve">[79]</w:t>
        </w:r>
      </w:hyperlink>
      <w:r w:rsidDel="00000000" w:rsidR="00000000" w:rsidRPr="00000000">
        <w:rPr>
          <w:color w:val="434343"/>
          <w:rtl w:val="0"/>
        </w:rPr>
        <w:t xml:space="preserve">, be collected without a buffer. The ratio of buffer to tissue sample is important: the tissue must be sufficiently submerged in the buffer and the buffer must penetrate the entire tissue to prevent rot. If tissues are large, cut a 0.5cm x 0.5cm size (about the size of a pea or grain of rice) and place it within a cryovial of centrifuge size (e.g. 1mL or 1.5mL) with roughly 500μL or 600μL buffer. Follow buffer protocols, some of which, such as RNAlater®, necessitate time at 4ºC for the buffer to penetrate the tissue before freezing or decanting the buffer after absorption prior to freezing </w:t>
      </w:r>
      <w:hyperlink r:id="rId63">
        <w:r w:rsidDel="00000000" w:rsidR="00000000" w:rsidRPr="00000000">
          <w:rPr>
            <w:color w:val="434343"/>
            <w:rtl w:val="0"/>
          </w:rPr>
          <w:t xml:space="preserve">[74]</w:t>
        </w:r>
      </w:hyperlink>
      <w:r w:rsidDel="00000000" w:rsidR="00000000" w:rsidRPr="00000000">
        <w:rPr>
          <w:rFonts w:ascii="Nova Mono" w:cs="Nova Mono" w:eastAsia="Nova Mono" w:hAnsi="Nova Mono"/>
          <w:color w:val="434343"/>
          <w:rtl w:val="0"/>
        </w:rPr>
        <w:t xml:space="preserve">. DNA/RNA Shield™ does not need to be decanted and typically inactivates pathogens, as stated in Section “Storage Buffers”, and therefore may be preferred over RNAlater®. Freeze for long term storage at -20ºC (stable for at least 1 year; </w:t>
      </w:r>
      <w:hyperlink r:id="rId64">
        <w:r w:rsidDel="00000000" w:rsidR="00000000" w:rsidRPr="00000000">
          <w:rPr>
            <w:color w:val="434343"/>
            <w:rtl w:val="0"/>
          </w:rPr>
          <w:t xml:space="preserve">[74]</w:t>
        </w:r>
      </w:hyperlink>
      <w:r w:rsidDel="00000000" w:rsidR="00000000" w:rsidRPr="00000000">
        <w:rPr>
          <w:color w:val="434343"/>
          <w:rtl w:val="0"/>
        </w:rPr>
        <w:t xml:space="preserve">) or -80ºC as soon as possible. Collecting organ samples in aliquots (e.g. two samples of liver in two separate vials) allows for repeatability and a variety of studies to be carried out. If the budget and storage space allows, take at least 2 aliquots of each organ, one in buffer and one without buffer if resources allow. If endoparasites are found in the necropsy process, </w:t>
      </w:r>
      <w:hyperlink r:id="rId65">
        <w:r w:rsidDel="00000000" w:rsidR="00000000" w:rsidRPr="00000000">
          <w:rPr>
            <w:color w:val="434343"/>
            <w:rtl w:val="0"/>
          </w:rPr>
          <w:t xml:space="preserve">[54]</w:t>
        </w:r>
      </w:hyperlink>
      <w:r w:rsidDel="00000000" w:rsidR="00000000" w:rsidRPr="00000000">
        <w:rPr>
          <w:color w:val="434343"/>
          <w:rtl w:val="0"/>
        </w:rPr>
        <w:t xml:space="preserve"> suggests (at least for mammal vouchers) to store these endoparasites in 80% EtOH. </w:t>
      </w:r>
      <w:hyperlink r:id="rId66">
        <w:r w:rsidDel="00000000" w:rsidR="00000000" w:rsidRPr="00000000">
          <w:rPr>
            <w:color w:val="434343"/>
            <w:rtl w:val="0"/>
          </w:rPr>
          <w:t xml:space="preserve">[82]</w:t>
        </w:r>
      </w:hyperlink>
      <w:r w:rsidDel="00000000" w:rsidR="00000000" w:rsidRPr="00000000">
        <w:rPr>
          <w:color w:val="434343"/>
          <w:rtl w:val="0"/>
        </w:rPr>
        <w:t xml:space="preserve"> (bats) and </w:t>
      </w:r>
      <w:hyperlink r:id="rId67">
        <w:r w:rsidDel="00000000" w:rsidR="00000000" w:rsidRPr="00000000">
          <w:rPr>
            <w:color w:val="434343"/>
            <w:rtl w:val="0"/>
          </w:rPr>
          <w:t xml:space="preserve">[47]</w:t>
        </w:r>
      </w:hyperlink>
      <w:r w:rsidDel="00000000" w:rsidR="00000000" w:rsidRPr="00000000">
        <w:rPr>
          <w:color w:val="434343"/>
          <w:rtl w:val="0"/>
        </w:rPr>
        <w:t xml:space="preserve"> (birds) provide helpful guidelines for reducing contamination during the organ sampling process. </w:t>
      </w:r>
      <w:r w:rsidDel="00000000" w:rsidR="00000000" w:rsidRPr="00000000">
        <w:rPr>
          <w:rtl w:val="0"/>
        </w:rPr>
      </w:r>
    </w:p>
    <w:p w:rsidR="00000000" w:rsidDel="00000000" w:rsidP="00000000" w:rsidRDefault="00000000" w:rsidRPr="00000000" w14:paraId="0000002C">
      <w:pPr>
        <w:pStyle w:val="Heading4"/>
        <w:spacing w:line="480" w:lineRule="auto"/>
        <w:rPr>
          <w:color w:val="434343"/>
        </w:rPr>
      </w:pPr>
      <w:bookmarkStart w:colFirst="0" w:colLast="0" w:name="_wxsw7nq6haep" w:id="14"/>
      <w:bookmarkEnd w:id="14"/>
      <w:r w:rsidDel="00000000" w:rsidR="00000000" w:rsidRPr="00000000">
        <w:rPr>
          <w:color w:val="434343"/>
          <w:rtl w:val="0"/>
        </w:rPr>
        <w:t xml:space="preserve">Secondary suggested collection method</w:t>
      </w:r>
    </w:p>
    <w:p w:rsidR="00000000" w:rsidDel="00000000" w:rsidP="00000000" w:rsidRDefault="00000000" w:rsidRPr="00000000" w14:paraId="0000002D">
      <w:pPr>
        <w:spacing w:line="480" w:lineRule="auto"/>
        <w:rPr>
          <w:color w:val="434343"/>
        </w:rPr>
      </w:pPr>
      <w:r w:rsidDel="00000000" w:rsidR="00000000" w:rsidRPr="00000000">
        <w:rPr>
          <w:color w:val="434343"/>
          <w:rtl w:val="0"/>
        </w:rPr>
        <w:t xml:space="preserve">If the budget is limited, use</w:t>
      </w:r>
      <w:r w:rsidDel="00000000" w:rsidR="00000000" w:rsidRPr="00000000">
        <w:rPr>
          <w:i w:val="1"/>
          <w:iCs w:val="1"/>
          <w:color w:val="434343"/>
          <w:rtl w:val="0"/>
        </w:rPr>
        <w:t xml:space="preserve"> </w:t>
      </w:r>
      <w:r w:rsidDel="00000000" w:rsidR="00000000" w:rsidRPr="00000000">
        <w:rPr>
          <w:color w:val="434343"/>
          <w:rtl w:val="0"/>
        </w:rPr>
        <w:t xml:space="preserve">DMSO buffers or EtOH/EDTA buffers </w:t>
      </w:r>
      <w:hyperlink r:id="rId68">
        <w:r w:rsidDel="00000000" w:rsidR="00000000" w:rsidRPr="00000000">
          <w:rPr>
            <w:color w:val="434343"/>
            <w:rtl w:val="0"/>
          </w:rPr>
          <w:t xml:space="preserve">[83–85]</w:t>
        </w:r>
      </w:hyperlink>
      <w:r w:rsidDel="00000000" w:rsidR="00000000" w:rsidRPr="00000000">
        <w:rPr>
          <w:color w:val="434343"/>
          <w:rtl w:val="0"/>
        </w:rPr>
        <w:t xml:space="preserve">. As stated in the storage buffer section, these preservatives will preclude RNA studies, and in the case of DMSO, epigenetic studies. While shelf stable for DNA for 2 years (DMSO/EDTA) or indefinitely (EtOH), it is always good practice to freeze these samples as soon as possible and keep the samples at -80ºC, ideally, or -20ºC </w:t>
      </w:r>
      <w:hyperlink r:id="rId69">
        <w:r w:rsidDel="00000000" w:rsidR="00000000" w:rsidRPr="00000000">
          <w:rPr>
            <w:color w:val="434343"/>
            <w:rtl w:val="0"/>
          </w:rPr>
          <w:t xml:space="preserve">[84, 86]</w:t>
        </w:r>
      </w:hyperlink>
      <w:r w:rsidDel="00000000" w:rsidR="00000000" w:rsidRPr="00000000">
        <w:rPr>
          <w:color w:val="434343"/>
          <w:rtl w:val="0"/>
        </w:rPr>
        <w:t xml:space="preserve">.  </w:t>
      </w:r>
    </w:p>
    <w:p w:rsidR="00000000" w:rsidDel="00000000" w:rsidP="00000000" w:rsidRDefault="00000000" w:rsidRPr="00000000" w14:paraId="0000002E">
      <w:pPr>
        <w:pStyle w:val="Heading2"/>
        <w:keepNext w:val="0"/>
        <w:keepLines w:val="0"/>
        <w:spacing w:line="480" w:lineRule="auto"/>
        <w:rPr>
          <w:color w:val="434343"/>
        </w:rPr>
      </w:pPr>
      <w:bookmarkStart w:colFirst="0" w:colLast="0" w:name="_sgmb79qsrxon" w:id="15"/>
      <w:bookmarkEnd w:id="15"/>
      <w:r w:rsidDel="00000000" w:rsidR="00000000" w:rsidRPr="00000000">
        <w:rPr>
          <w:color w:val="434343"/>
          <w:rtl w:val="0"/>
        </w:rPr>
        <w:t xml:space="preserve">2.5 Epigenetic aging tissue biopsy</w:t>
      </w:r>
    </w:p>
    <w:p w:rsidR="00000000" w:rsidDel="00000000" w:rsidP="00000000" w:rsidRDefault="00000000" w:rsidRPr="00000000" w14:paraId="0000002F">
      <w:pPr>
        <w:pStyle w:val="Heading3"/>
        <w:spacing w:before="200" w:line="480" w:lineRule="auto"/>
        <w:rPr>
          <w:color w:val="434343"/>
        </w:rPr>
      </w:pPr>
      <w:bookmarkStart w:colFirst="0" w:colLast="0" w:name="_3st1h0el9kt4" w:id="16"/>
      <w:bookmarkEnd w:id="16"/>
      <w:r w:rsidDel="00000000" w:rsidR="00000000" w:rsidRPr="00000000">
        <w:rPr>
          <w:color w:val="434343"/>
          <w:rtl w:val="0"/>
        </w:rPr>
        <w:t xml:space="preserve">Rationale</w:t>
      </w:r>
    </w:p>
    <w:p w:rsidR="00000000" w:rsidDel="00000000" w:rsidP="00000000" w:rsidRDefault="00000000" w:rsidRPr="00000000" w14:paraId="00000030">
      <w:pPr>
        <w:spacing w:line="480" w:lineRule="auto"/>
        <w:rPr>
          <w:color w:val="434343"/>
        </w:rPr>
      </w:pPr>
      <w:r w:rsidDel="00000000" w:rsidR="00000000" w:rsidRPr="00000000">
        <w:rPr>
          <w:color w:val="434343"/>
          <w:rtl w:val="0"/>
        </w:rPr>
        <w:t xml:space="preserve">While not strictly a pathobiology sample, an epigenetic aging tissue sample can be extremely useful in tandem with pathobiology samples and expanded specimen metadata in the study of disease ecology. </w:t>
      </w:r>
      <w:r w:rsidDel="00000000" w:rsidR="00000000" w:rsidRPr="00000000">
        <w:rPr>
          <w:color w:val="434343"/>
          <w:rtl w:val="0"/>
        </w:rPr>
        <w:t xml:space="preserve">Age is a key covariate in infection dynamics: susceptibility to infection, immune competence, pathogen shedding intensity and more can vary substantially across age classes </w:t>
      </w:r>
      <w:hyperlink r:id="rId70">
        <w:r w:rsidDel="00000000" w:rsidR="00000000" w:rsidRPr="00000000">
          <w:rPr>
            <w:color w:val="434343"/>
            <w:rtl w:val="0"/>
          </w:rPr>
          <w:t xml:space="preserve">[87]</w:t>
        </w:r>
      </w:hyperlink>
      <w:r w:rsidDel="00000000" w:rsidR="00000000" w:rsidRPr="00000000">
        <w:rPr>
          <w:color w:val="434343"/>
          <w:rtl w:val="0"/>
        </w:rPr>
        <w:t xml:space="preserve">.</w:t>
      </w:r>
      <w:r w:rsidDel="00000000" w:rsidR="00000000" w:rsidRPr="00000000">
        <w:rPr>
          <w:color w:val="434343"/>
          <w:rtl w:val="0"/>
        </w:rPr>
        <w:t xml:space="preserve"> </w:t>
      </w:r>
      <w:r w:rsidDel="00000000" w:rsidR="00000000" w:rsidRPr="00000000">
        <w:rPr>
          <w:color w:val="434343"/>
          <w:rtl w:val="0"/>
        </w:rPr>
        <w:t xml:space="preserve">This tissue sample can be analyzed for the age of the individual, allowing age to be incorporated as a variable for/when interpreting pathogen prevalence, shedding patterns, immune response across a sampled population, infection dynamics and population viability </w:t>
      </w:r>
      <w:hyperlink r:id="rId71">
        <w:r w:rsidDel="00000000" w:rsidR="00000000" w:rsidRPr="00000000">
          <w:rPr>
            <w:color w:val="434343"/>
            <w:rtl w:val="0"/>
          </w:rPr>
          <w:t xml:space="preserve">[88]</w:t>
        </w:r>
      </w:hyperlink>
      <w:r w:rsidDel="00000000" w:rsidR="00000000" w:rsidRPr="00000000">
        <w:rPr>
          <w:color w:val="434343"/>
          <w:rtl w:val="0"/>
        </w:rPr>
        <w:t xml:space="preserve">.</w:t>
      </w:r>
      <w:r w:rsidDel="00000000" w:rsidR="00000000" w:rsidRPr="00000000">
        <w:rPr>
          <w:color w:val="434343"/>
          <w:rtl w:val="0"/>
        </w:rPr>
        <w:t xml:space="preserve"> Many species have, or have in development, an epigenetic clock whereby DNA methylome measurements of a specific tissue sample are used to determine age </w:t>
      </w:r>
      <w:hyperlink r:id="rId72">
        <w:r w:rsidDel="00000000" w:rsidR="00000000" w:rsidRPr="00000000">
          <w:rPr>
            <w:color w:val="434343"/>
            <w:rtl w:val="0"/>
          </w:rPr>
          <w:t xml:space="preserve">[89–94]</w:t>
        </w:r>
      </w:hyperlink>
      <w:r w:rsidDel="00000000" w:rsidR="00000000" w:rsidRPr="00000000">
        <w:rPr>
          <w:color w:val="434343"/>
          <w:rtl w:val="0"/>
        </w:rPr>
        <w:t xml:space="preserve">. </w:t>
      </w:r>
    </w:p>
    <w:p w:rsidR="00000000" w:rsidDel="00000000" w:rsidP="00000000" w:rsidRDefault="00000000" w:rsidRPr="00000000" w14:paraId="00000031">
      <w:pPr>
        <w:spacing w:line="480" w:lineRule="auto"/>
        <w:rPr>
          <w:color w:val="434343"/>
        </w:rPr>
      </w:pPr>
      <w:r w:rsidDel="00000000" w:rsidR="00000000" w:rsidRPr="00000000">
        <w:rPr>
          <w:color w:val="434343"/>
          <w:rtl w:val="0"/>
        </w:rPr>
        <w:t xml:space="preserve">If determining molecular age is of interest, we advise researching whether an epigenetic clock has been created for the SOI and collecting the tissue sample used to model the clock. For example, bat epigenetic clocks have been established for wing punch samples </w:t>
      </w:r>
      <w:hyperlink r:id="rId73">
        <w:r w:rsidDel="00000000" w:rsidR="00000000" w:rsidRPr="00000000">
          <w:rPr>
            <w:color w:val="434343"/>
            <w:rtl w:val="0"/>
          </w:rPr>
          <w:t xml:space="preserve">[95, 96]</w:t>
        </w:r>
      </w:hyperlink>
      <w:r w:rsidDel="00000000" w:rsidR="00000000" w:rsidRPr="00000000">
        <w:rPr>
          <w:color w:val="434343"/>
          <w:rtl w:val="0"/>
        </w:rPr>
        <w:t xml:space="preserve">. </w:t>
      </w:r>
    </w:p>
    <w:p w:rsidR="00000000" w:rsidDel="00000000" w:rsidP="00000000" w:rsidRDefault="00000000" w:rsidRPr="00000000" w14:paraId="00000032">
      <w:pPr>
        <w:pStyle w:val="Heading4"/>
        <w:spacing w:line="480" w:lineRule="auto"/>
        <w:rPr>
          <w:color w:val="434343"/>
        </w:rPr>
      </w:pPr>
      <w:bookmarkStart w:colFirst="0" w:colLast="0" w:name="_j75d80f4bfb0" w:id="17"/>
      <w:bookmarkEnd w:id="17"/>
      <w:r w:rsidDel="00000000" w:rsidR="00000000" w:rsidRPr="00000000">
        <w:rPr>
          <w:color w:val="434343"/>
          <w:rtl w:val="0"/>
        </w:rPr>
        <w:t xml:space="preserve">Primary suggested collection method</w:t>
      </w:r>
    </w:p>
    <w:p w:rsidR="00000000" w:rsidDel="00000000" w:rsidP="00000000" w:rsidRDefault="00000000" w:rsidRPr="00000000" w14:paraId="00000033">
      <w:pPr>
        <w:spacing w:line="480" w:lineRule="auto"/>
        <w:rPr>
          <w:color w:val="434343"/>
        </w:rPr>
      </w:pPr>
      <w:r w:rsidDel="00000000" w:rsidR="00000000" w:rsidRPr="00000000">
        <w:rPr>
          <w:color w:val="434343"/>
          <w:rtl w:val="0"/>
        </w:rPr>
        <w:t xml:space="preserve">If following an existing protocol for epigenetic aging of the SOI, follow the previously set example. Otherwise, this tissue sample is typically stored in a cryovial with 80%–100% EtOH </w:t>
      </w:r>
      <w:hyperlink r:id="rId74">
        <w:r w:rsidDel="00000000" w:rsidR="00000000" w:rsidRPr="00000000">
          <w:rPr>
            <w:color w:val="434343"/>
            <w:rtl w:val="0"/>
          </w:rPr>
          <w:t xml:space="preserve">[91]</w:t>
        </w:r>
      </w:hyperlink>
      <w:r w:rsidDel="00000000" w:rsidR="00000000" w:rsidRPr="00000000">
        <w:rPr>
          <w:color w:val="434343"/>
          <w:rtl w:val="0"/>
        </w:rPr>
        <w:t xml:space="preserve">. Ensure at least a 5:1 EtOH to sample ratio and be mindful of evaporation </w:t>
      </w:r>
      <w:hyperlink r:id="rId75">
        <w:r w:rsidDel="00000000" w:rsidR="00000000" w:rsidRPr="00000000">
          <w:rPr>
            <w:color w:val="434343"/>
            <w:rtl w:val="0"/>
          </w:rPr>
          <w:t xml:space="preserve">[85]</w:t>
        </w:r>
      </w:hyperlink>
      <w:r w:rsidDel="00000000" w:rsidR="00000000" w:rsidRPr="00000000">
        <w:rPr>
          <w:color w:val="434343"/>
          <w:rtl w:val="0"/>
        </w:rPr>
        <w:t xml:space="preserve">. In general, these samples can likely be stored at ambient temperature for 7-14 days in 95% EtOH according to </w:t>
      </w:r>
      <w:hyperlink r:id="rId76">
        <w:r w:rsidDel="00000000" w:rsidR="00000000" w:rsidRPr="00000000">
          <w:rPr>
            <w:color w:val="434343"/>
            <w:rtl w:val="0"/>
          </w:rPr>
          <w:t xml:space="preserve">[73]</w:t>
        </w:r>
      </w:hyperlink>
      <w:r w:rsidDel="00000000" w:rsidR="00000000" w:rsidRPr="00000000">
        <w:rPr>
          <w:color w:val="434343"/>
          <w:rtl w:val="0"/>
        </w:rPr>
        <w:t xml:space="preserve"> and </w:t>
      </w:r>
      <w:hyperlink r:id="rId77">
        <w:r w:rsidDel="00000000" w:rsidR="00000000" w:rsidRPr="00000000">
          <w:rPr>
            <w:color w:val="434343"/>
            <w:rtl w:val="0"/>
          </w:rPr>
          <w:t xml:space="preserve">[96]</w:t>
        </w:r>
      </w:hyperlink>
      <w:r w:rsidDel="00000000" w:rsidR="00000000" w:rsidRPr="00000000">
        <w:rPr>
          <w:color w:val="434343"/>
          <w:rtl w:val="0"/>
        </w:rPr>
        <w:t xml:space="preserve">, but the exact time of storage prior to freezing -20ºC or -80ºC before methylome quality degradation is not known.</w:t>
      </w:r>
    </w:p>
    <w:p w:rsidR="00000000" w:rsidDel="00000000" w:rsidP="00000000" w:rsidRDefault="00000000" w:rsidRPr="00000000" w14:paraId="00000034">
      <w:pPr>
        <w:spacing w:line="480" w:lineRule="auto"/>
        <w:rPr>
          <w:color w:val="434343"/>
        </w:rPr>
      </w:pPr>
      <w:r w:rsidDel="00000000" w:rsidR="00000000" w:rsidRPr="00000000">
        <w:rPr>
          <w:rFonts w:ascii="Nova Mono" w:cs="Nova Mono" w:eastAsia="Nova Mono" w:hAnsi="Nova Mono"/>
          <w:color w:val="434343"/>
          <w:rtl w:val="0"/>
        </w:rPr>
        <w:t xml:space="preserve">This sample can also be collected using DNA/RNA Shield™ or similar RNA preserving buffer, but as this evaluation does not need quality RNA there is no reason to spend more money on those buffers as opposed to EtOH, which is typically cheaper. Do not store this sample in DMSO: as stated in Section “Storage Buffers”, DMSO degrades the methylome and renders the sample unusable for epigenetic aging.</w:t>
      </w:r>
    </w:p>
    <w:p w:rsidR="00000000" w:rsidDel="00000000" w:rsidP="00000000" w:rsidRDefault="00000000" w:rsidRPr="00000000" w14:paraId="00000035">
      <w:pPr>
        <w:pStyle w:val="Heading1"/>
        <w:spacing w:line="480" w:lineRule="auto"/>
        <w:rPr>
          <w:color w:val="434343"/>
        </w:rPr>
      </w:pPr>
      <w:bookmarkStart w:colFirst="0" w:colLast="0" w:name="_f54elwfk8hkd" w:id="18"/>
      <w:bookmarkEnd w:id="18"/>
      <w:r w:rsidDel="00000000" w:rsidR="00000000" w:rsidRPr="00000000">
        <w:rPr>
          <w:color w:val="434343"/>
          <w:rtl w:val="0"/>
        </w:rPr>
        <w:t xml:space="preserve">Supplemental 3: Additional Resources / Annotated References </w:t>
      </w:r>
    </w:p>
    <w:p w:rsidR="00000000" w:rsidDel="00000000" w:rsidP="00000000" w:rsidRDefault="00000000" w:rsidRPr="00000000" w14:paraId="00000036">
      <w:pPr>
        <w:pStyle w:val="Heading2"/>
        <w:keepNext w:val="0"/>
        <w:keepLines w:val="0"/>
        <w:spacing w:before="320" w:line="480" w:lineRule="auto"/>
        <w:rPr>
          <w:color w:val="434343"/>
        </w:rPr>
      </w:pPr>
      <w:bookmarkStart w:colFirst="0" w:colLast="0" w:name="_p6pe7q7nki" w:id="19"/>
      <w:bookmarkEnd w:id="19"/>
      <w:r w:rsidDel="00000000" w:rsidR="00000000" w:rsidRPr="00000000">
        <w:rPr>
          <w:color w:val="434343"/>
          <w:rtl w:val="0"/>
        </w:rPr>
        <w:t xml:space="preserve">3.1 </w:t>
      </w:r>
      <w:r w:rsidDel="00000000" w:rsidR="00000000" w:rsidRPr="00000000">
        <w:rPr>
          <w:color w:val="434343"/>
          <w:rtl w:val="0"/>
        </w:rPr>
        <w:t xml:space="preserve">Field Centrifuges </w:t>
      </w:r>
    </w:p>
    <w:p w:rsidR="00000000" w:rsidDel="00000000" w:rsidP="00000000" w:rsidRDefault="00000000" w:rsidRPr="00000000" w14:paraId="00000037">
      <w:pPr>
        <w:spacing w:line="480" w:lineRule="auto"/>
        <w:rPr>
          <w:color w:val="434343"/>
        </w:rPr>
      </w:pPr>
      <w:r w:rsidDel="00000000" w:rsidR="00000000" w:rsidRPr="00000000">
        <w:rPr>
          <w:color w:val="434343"/>
          <w:rtl w:val="0"/>
        </w:rPr>
        <w:t xml:space="preserve">There are portable battery powered centrifuges available for field use. </w:t>
      </w:r>
      <w:r w:rsidDel="00000000" w:rsidR="00000000" w:rsidRPr="00000000">
        <w:rPr>
          <w:color w:val="434343"/>
          <w:rtl w:val="0"/>
        </w:rPr>
        <w:t xml:space="preserve">Ultra-low-cost, non-electric centrifuge options have also been developed for resource-constrained field settings, including the hand-powered "paperfuge," a device constructed from inexpensive materials capable of reaching rotational speeds of up to 125,000 r.p.m. (30,000 × g) and processing sample volumes as low as 10 µL </w:t>
      </w:r>
      <w:hyperlink r:id="rId78">
        <w:r w:rsidDel="00000000" w:rsidR="00000000" w:rsidRPr="00000000">
          <w:rPr>
            <w:color w:val="434343"/>
            <w:rtl w:val="0"/>
          </w:rPr>
          <w:t xml:space="preserve">[97]</w:t>
        </w:r>
      </w:hyperlink>
      <w:r w:rsidDel="00000000" w:rsidR="00000000" w:rsidRPr="00000000">
        <w:rPr>
          <w:b w:val="1"/>
          <w:bCs w:val="1"/>
          <w:color w:val="434343"/>
          <w:rtl w:val="0"/>
        </w:rPr>
        <w:t xml:space="preserve">,</w:t>
      </w:r>
      <w:r w:rsidDel="00000000" w:rsidR="00000000" w:rsidRPr="00000000">
        <w:rPr>
          <w:color w:val="434343"/>
          <w:rtl w:val="0"/>
        </w:rPr>
        <w:t xml:space="preserve"> as well as subsequent modifications such as a 3D-printed, multi-sample design accommodating at least 8 samples simultaneously, and the "CentREUSE," a discarded-materials-based adaptation that extends usable sample volume up to 1 mL </w:t>
      </w:r>
      <w:hyperlink r:id="rId79">
        <w:r w:rsidDel="00000000" w:rsidR="00000000" w:rsidRPr="00000000">
          <w:rPr>
            <w:color w:val="434343"/>
            <w:rtl w:val="0"/>
          </w:rPr>
          <w:t xml:space="preserve">[98]</w:t>
        </w:r>
      </w:hyperlink>
      <w:r w:rsidDel="00000000" w:rsidR="00000000" w:rsidRPr="00000000">
        <w:rPr>
          <w:b w:val="1"/>
          <w:bCs w:val="1"/>
          <w:color w:val="434343"/>
          <w:rtl w:val="0"/>
        </w:rPr>
        <w:t xml:space="preserve"> </w:t>
      </w:r>
      <w:r w:rsidDel="00000000" w:rsidR="00000000" w:rsidRPr="00000000">
        <w:rPr>
          <w:color w:val="434343"/>
          <w:rtl w:val="0"/>
        </w:rPr>
        <w:t xml:space="preserve">that expand the throughput and volume capacity of paper-based centrifugation.</w:t>
      </w:r>
    </w:p>
    <w:p w:rsidR="00000000" w:rsidDel="00000000" w:rsidP="00000000" w:rsidRDefault="00000000" w:rsidRPr="00000000" w14:paraId="00000038">
      <w:pPr>
        <w:pStyle w:val="Heading2"/>
        <w:keepNext w:val="0"/>
        <w:keepLines w:val="0"/>
        <w:spacing w:after="0" w:before="320" w:line="480" w:lineRule="auto"/>
        <w:rPr>
          <w:color w:val="434343"/>
        </w:rPr>
      </w:pPr>
      <w:bookmarkStart w:colFirst="0" w:colLast="0" w:name="_7t2ea7dpqxwo" w:id="20"/>
      <w:bookmarkEnd w:id="20"/>
      <w:r w:rsidDel="00000000" w:rsidR="00000000" w:rsidRPr="00000000">
        <w:rPr>
          <w:color w:val="434343"/>
          <w:rtl w:val="0"/>
        </w:rPr>
        <w:t xml:space="preserve">3.2 General Recommended Collection Practices</w:t>
      </w:r>
    </w:p>
    <w:p w:rsidR="00000000" w:rsidDel="00000000" w:rsidP="00000000" w:rsidRDefault="00000000" w:rsidRPr="00000000" w14:paraId="00000039">
      <w:pPr>
        <w:spacing w:line="480" w:lineRule="auto"/>
        <w:rPr>
          <w:color w:val="434343"/>
        </w:rPr>
      </w:pPr>
      <w:r w:rsidDel="00000000" w:rsidR="00000000" w:rsidRPr="00000000">
        <w:rPr>
          <w:color w:val="434343"/>
          <w:rtl w:val="0"/>
        </w:rPr>
        <w:t xml:space="preserve">In general, we would like to emphasize a few practices that are most useful for lab processing and sample use for downstream disease-based studies.</w:t>
      </w:r>
    </w:p>
    <w:p w:rsidR="00000000" w:rsidDel="00000000" w:rsidP="00000000" w:rsidRDefault="00000000" w:rsidRPr="00000000" w14:paraId="0000003A">
      <w:pPr>
        <w:pStyle w:val="Heading3"/>
        <w:spacing w:line="480" w:lineRule="auto"/>
        <w:rPr>
          <w:color w:val="434343"/>
        </w:rPr>
      </w:pPr>
      <w:bookmarkStart w:colFirst="0" w:colLast="0" w:name="_8li9hchhkokd" w:id="21"/>
      <w:bookmarkEnd w:id="21"/>
      <w:r w:rsidDel="00000000" w:rsidR="00000000" w:rsidRPr="00000000">
        <w:rPr>
          <w:color w:val="434343"/>
          <w:rtl w:val="0"/>
        </w:rPr>
        <w:t xml:space="preserve">Cryovials</w:t>
      </w:r>
    </w:p>
    <w:p w:rsidR="00000000" w:rsidDel="00000000" w:rsidP="00000000" w:rsidRDefault="00000000" w:rsidRPr="00000000" w14:paraId="0000003B">
      <w:pPr>
        <w:spacing w:after="200" w:line="480" w:lineRule="auto"/>
        <w:rPr>
          <w:color w:val="434343"/>
        </w:rPr>
      </w:pPr>
      <w:r w:rsidDel="00000000" w:rsidR="00000000" w:rsidRPr="00000000">
        <w:rPr>
          <w:color w:val="434343"/>
          <w:rtl w:val="0"/>
        </w:rPr>
        <w:t xml:space="preserve">It is best for spillage protection and sample integrity to store all frozen tissue and liquid samples in outer threaded screw-top cryovials. Storing samples in Eppendorf tubes will leave them liable to burst open or “explode” upon freezing and/or thawing. Screw-top tubes with outer threading are preferred to avoid sample collecting on the internal threads. Anecdotally, inner-threaded tubes have been known to explode upon opening if frozen while non-vertically oriented and lose sample volume in the inner threading. It is further recommended to use screw cap vials with rubber barriers, such as gaskets or O-rings to reduce any evaporation or leaks.</w:t>
      </w:r>
    </w:p>
    <w:p w:rsidR="00000000" w:rsidDel="00000000" w:rsidP="00000000" w:rsidRDefault="00000000" w:rsidRPr="00000000" w14:paraId="0000003C">
      <w:pPr>
        <w:pStyle w:val="Heading3"/>
        <w:spacing w:after="0" w:line="480" w:lineRule="auto"/>
        <w:rPr>
          <w:color w:val="434343"/>
        </w:rPr>
      </w:pPr>
      <w:bookmarkStart w:colFirst="0" w:colLast="0" w:name="_d4fzr12u12m6" w:id="22"/>
      <w:bookmarkEnd w:id="22"/>
      <w:r w:rsidDel="00000000" w:rsidR="00000000" w:rsidRPr="00000000">
        <w:rPr>
          <w:color w:val="434343"/>
          <w:rtl w:val="0"/>
        </w:rPr>
        <w:t xml:space="preserve">Tube Labeling</w:t>
      </w:r>
    </w:p>
    <w:p w:rsidR="00000000" w:rsidDel="00000000" w:rsidP="00000000" w:rsidRDefault="00000000" w:rsidRPr="00000000" w14:paraId="0000003D">
      <w:pPr>
        <w:spacing w:after="0" w:line="480" w:lineRule="auto"/>
        <w:rPr>
          <w:color w:val="434343"/>
        </w:rPr>
      </w:pPr>
      <w:r w:rsidDel="00000000" w:rsidR="00000000" w:rsidRPr="00000000">
        <w:rPr>
          <w:color w:val="434343"/>
          <w:sz w:val="22"/>
          <w:szCs w:val="22"/>
          <w:rtl w:val="0"/>
        </w:rPr>
        <w:t xml:space="preserve">It is best practice to label all tubes with a permanent marker and an etcher/scriber (or other permanent labels including polyvinyl adhesive stickers). In our experience, markers can be easily washed off with ethanol or freezer burn, though ‘ethanol resistant’ sharpies/pens do exist, such as archival pens but produce mixed results. We suggest additionally labeling the vials using a scriber, mechanical or electric, for extra labeling security. These scratch pens also work on glass microscope slides for labelling blood smears. On filter paper, we recommend labels be applied with pencil</w:t>
      </w:r>
      <w:r w:rsidDel="00000000" w:rsidR="00000000" w:rsidRPr="00000000">
        <w:rPr>
          <w:i w:val="1"/>
          <w:iCs w:val="1"/>
          <w:color w:val="434343"/>
          <w:sz w:val="22"/>
          <w:szCs w:val="22"/>
          <w:rtl w:val="0"/>
        </w:rPr>
        <w:t xml:space="preserve"> </w:t>
      </w:r>
      <w:r w:rsidDel="00000000" w:rsidR="00000000" w:rsidRPr="00000000">
        <w:rPr>
          <w:color w:val="434343"/>
          <w:sz w:val="22"/>
          <w:szCs w:val="22"/>
          <w:rtl w:val="0"/>
        </w:rPr>
        <w:t xml:space="preserve">as</w:t>
      </w:r>
      <w:r w:rsidDel="00000000" w:rsidR="00000000" w:rsidRPr="00000000">
        <w:rPr>
          <w:i w:val="1"/>
          <w:iCs w:val="1"/>
          <w:color w:val="434343"/>
          <w:sz w:val="22"/>
          <w:szCs w:val="22"/>
          <w:rtl w:val="0"/>
        </w:rPr>
        <w:t xml:space="preserve"> </w:t>
      </w:r>
      <w:r w:rsidDel="00000000" w:rsidR="00000000" w:rsidRPr="00000000">
        <w:rPr>
          <w:color w:val="434343"/>
          <w:sz w:val="22"/>
          <w:szCs w:val="22"/>
          <w:rtl w:val="0"/>
        </w:rPr>
        <w:t xml:space="preserve">pen ink may bleed and contaminate when eluting the sample later. If scratch pens are not available, using an adhesive label and scotch tape overtop can help prevent any loss of information. Some labs label sets of tubes ahead of time, whether by hand or by printing on adhesive labels. Some teams use adhesive labels with a barcode system </w:t>
      </w:r>
      <w:hyperlink r:id="rId80">
        <w:r w:rsidDel="00000000" w:rsidR="00000000" w:rsidRPr="00000000">
          <w:rPr>
            <w:color w:val="434343"/>
            <w:rtl w:val="0"/>
          </w:rPr>
          <w:t xml:space="preserve">[99]</w:t>
        </w:r>
      </w:hyperlink>
      <w:r w:rsidDel="00000000" w:rsidR="00000000" w:rsidRPr="00000000">
        <w:rPr>
          <w:color w:val="434343"/>
          <w:sz w:val="22"/>
          <w:szCs w:val="22"/>
          <w:rtl w:val="0"/>
        </w:rPr>
        <w:t xml:space="preserve">. The advantage to this is saving time spent labeling in the field and having tubes ready for animal processing; disadvantages include wasting tubes and/or labels if every sample is not collected as predicted, although utilizing a barcoding system can eliminate this issue and provide an effective means for tube tracking and installation.</w:t>
      </w:r>
      <w:r w:rsidDel="00000000" w:rsidR="00000000" w:rsidRPr="00000000">
        <w:rPr>
          <w:rtl w:val="0"/>
        </w:rPr>
      </w:r>
    </w:p>
    <w:p w:rsidR="00000000" w:rsidDel="00000000" w:rsidP="00000000" w:rsidRDefault="00000000" w:rsidRPr="00000000" w14:paraId="0000003E">
      <w:pPr>
        <w:spacing w:line="480" w:lineRule="auto"/>
        <w:rPr>
          <w:color w:val="434343"/>
        </w:rPr>
      </w:pPr>
      <w:r w:rsidDel="00000000" w:rsidR="00000000" w:rsidRPr="00000000">
        <w:rPr>
          <w:color w:val="434343"/>
          <w:rtl w:val="0"/>
        </w:rPr>
        <w:t xml:space="preserve">It is always advised to label tubes with the field number referring to that individual organism, sample type, buffer, and locality code. This information should be stored in a datasheet (written, electronic, or preferably both) in addition to the vial.</w:t>
      </w:r>
    </w:p>
    <w:p w:rsidR="00000000" w:rsidDel="00000000" w:rsidP="00000000" w:rsidRDefault="00000000" w:rsidRPr="00000000" w14:paraId="0000003F">
      <w:pPr>
        <w:pStyle w:val="Heading3"/>
        <w:spacing w:before="200" w:line="480" w:lineRule="auto"/>
        <w:rPr>
          <w:color w:val="434343"/>
        </w:rPr>
      </w:pPr>
      <w:bookmarkStart w:colFirst="0" w:colLast="0" w:name="_e93dqwiko860" w:id="23"/>
      <w:bookmarkEnd w:id="23"/>
      <w:r w:rsidDel="00000000" w:rsidR="00000000" w:rsidRPr="00000000">
        <w:rPr>
          <w:color w:val="434343"/>
          <w:rtl w:val="0"/>
        </w:rPr>
        <w:t xml:space="preserve">Datasheets / Field Notes</w:t>
      </w:r>
    </w:p>
    <w:p w:rsidR="00000000" w:rsidDel="00000000" w:rsidP="00000000" w:rsidRDefault="00000000" w:rsidRPr="00000000" w14:paraId="00000040">
      <w:pPr>
        <w:spacing w:line="480" w:lineRule="auto"/>
        <w:rPr>
          <w:color w:val="434343"/>
        </w:rPr>
      </w:pPr>
      <w:r w:rsidDel="00000000" w:rsidR="00000000" w:rsidRPr="00000000">
        <w:rPr>
          <w:color w:val="434343"/>
          <w:rtl w:val="0"/>
        </w:rPr>
        <w:t xml:space="preserve">We highly recommend recording details about sampling methods in field notes or directly on each day’s datasheet. It is vital to record the sample type (e.g. tissue type, swab fluid, whole blood or serum, etc.) and buffer type used for each sample in the field notes. If recorded on paper, these notes should be copied and collected into a digital database as soon as possible. Knowing what tissue a cryovial contains determines what information can be extracted from it, and knowing the total count of samples for that tissue helps prioritize which questions to investigate. Furthermore, lab scientists must know what buffer or preservative agent the sample is stored in in order to select the most compatible processing kit or procedure when processing. Overall, detailing this information will streamline lab processing down the line. </w:t>
      </w:r>
    </w:p>
    <w:p w:rsidR="00000000" w:rsidDel="00000000" w:rsidP="00000000" w:rsidRDefault="00000000" w:rsidRPr="00000000" w14:paraId="00000041">
      <w:pPr>
        <w:spacing w:line="480" w:lineRule="auto"/>
        <w:rPr>
          <w:color w:val="434343"/>
        </w:rPr>
      </w:pPr>
      <w:r w:rsidDel="00000000" w:rsidR="00000000" w:rsidRPr="00000000">
        <w:rPr>
          <w:color w:val="434343"/>
          <w:rtl w:val="0"/>
        </w:rPr>
        <w:t xml:space="preserve">Information typically recorded and needed in datasheet and/or field notes in association with a sample include: collection date, time of day, weather conditions, collector names, collection method, collection locality including GPS points and altitude, taxonomic ID of specimen (and host, if relevant), life history (sex, life stage and/or age class, reproductive status), standard morphometric measurements including mass, PIT/band/ring number, body or wing molt, environment/habitat information, behaviour notes and it is encouraged to record in the same entry for the individual the pathobiology samples taken such as: fecal swab, urine swab, throat swab, skin swab, cloacal swab, whole blood, serum, RBC, DBS/DSS, fur/feather/hair, epigenetic tissue sample, and ectoparasites identified by type and number of type; as well as what buffer each sample was stored in, the estimated tissue volume, buffer volume, and the cold chain used for these samples. It would be best for collectors and pathobiologists to discuss what form collection sheets should take: for example specimen collection sheets that include extended specimen samples, like tissue samples associated with a certain specimen, allowing those samples and specimens to be linked (See Supplemental Figure 01). An example for birds can be seen on page 162 of </w:t>
      </w:r>
      <w:hyperlink r:id="rId81">
        <w:r w:rsidDel="00000000" w:rsidR="00000000" w:rsidRPr="00000000">
          <w:rPr>
            <w:color w:val="434343"/>
            <w:rtl w:val="0"/>
          </w:rPr>
          <w:t xml:space="preserve">[47]</w:t>
        </w:r>
      </w:hyperlink>
      <w:r w:rsidDel="00000000" w:rsidR="00000000" w:rsidRPr="00000000">
        <w:rPr>
          <w:color w:val="434343"/>
          <w:rtl w:val="0"/>
        </w:rPr>
        <w:t xml:space="preserve">. It may be easier to use horizontal datasheets in the field; see Supplemental Figure 02. If conducting a catch-and-release study, there can be a check box for necropsy and a separate necropsy datasheet where entries should include cause of death, preparation type of the whole organism (if relevant; e.g. skin, skeleton, EtOH or formalin preserved), time since death prior to organ collection, which organs were sampled, information relevant to the reproductive status of the individual (e.g. placental scars, embryos, internal or external testes), stomach contents, endoparasites, buffers and cold chain of any and all samples taken, as well as any visual indications of disease.</w:t>
      </w:r>
    </w:p>
    <w:p w:rsidR="00000000" w:rsidDel="00000000" w:rsidP="00000000" w:rsidRDefault="00000000" w:rsidRPr="00000000" w14:paraId="00000042">
      <w:pPr>
        <w:spacing w:line="480" w:lineRule="auto"/>
        <w:rPr>
          <w:color w:val="434343"/>
        </w:rPr>
      </w:pPr>
      <w:r w:rsidDel="00000000" w:rsidR="00000000" w:rsidRPr="00000000">
        <w:rPr>
          <w:color w:val="434343"/>
          <w:rtl w:val="0"/>
        </w:rPr>
        <w:t xml:space="preserve">It is also important to add to the data collection the location of the sample as soon as it is housed: which freezer, shelf, cryobox, and cryobox location. Many museums, labs and researchers develop a locality code specific to freezer location. This needs to be updated as the sample is used and or moved. This again helps with streamlining downstream analyses allowing researchers to quickly count and locate available samples. </w:t>
      </w:r>
    </w:p>
    <w:p w:rsidR="00000000" w:rsidDel="00000000" w:rsidP="00000000" w:rsidRDefault="00000000" w:rsidRPr="00000000" w14:paraId="00000043">
      <w:pPr>
        <w:spacing w:line="480" w:lineRule="auto"/>
        <w:rPr>
          <w:color w:val="434343"/>
        </w:rPr>
      </w:pPr>
      <w:r w:rsidDel="00000000" w:rsidR="00000000" w:rsidRPr="00000000">
        <w:rPr>
          <w:b w:val="1"/>
          <w:bCs w:val="1"/>
          <w:color w:val="434343"/>
          <w:rtl w:val="0"/>
        </w:rPr>
        <w:t xml:space="preserve">Supp Fig. 01 Example of an integrated field expedition sheet (see attached). </w:t>
      </w:r>
      <w:r w:rsidDel="00000000" w:rsidR="00000000" w:rsidRPr="00000000">
        <w:rPr>
          <w:color w:val="434343"/>
          <w:rtl w:val="0"/>
        </w:rPr>
        <w:t xml:space="preserve">This field expedition sheet is a draft and is untested; customize before use. This is crafted in the style of museum collection datasheets and can likely be condensed to a smaller size either by workshopping or by individual teams that are consistent in buffer choice. This does not include a necropsy sheet.</w:t>
      </w:r>
    </w:p>
    <w:p w:rsidR="00000000" w:rsidDel="00000000" w:rsidP="00000000" w:rsidRDefault="00000000" w:rsidRPr="00000000" w14:paraId="00000044">
      <w:pPr>
        <w:spacing w:line="480" w:lineRule="auto"/>
        <w:rPr>
          <w:color w:val="434343"/>
        </w:rPr>
      </w:pPr>
      <w:r w:rsidDel="00000000" w:rsidR="00000000" w:rsidRPr="00000000">
        <w:rPr>
          <w:b w:val="1"/>
          <w:bCs w:val="1"/>
          <w:color w:val="434343"/>
          <w:rtl w:val="0"/>
        </w:rPr>
        <w:t xml:space="preserve">Supp Fig. 02 Example of a horizontally oriented extended specimen datasheet  (see attached)</w:t>
      </w:r>
      <w:r w:rsidDel="00000000" w:rsidR="00000000" w:rsidRPr="00000000">
        <w:rPr>
          <w:color w:val="434343"/>
          <w:rtl w:val="0"/>
        </w:rPr>
        <w:t xml:space="preserve">:</w:t>
      </w:r>
      <w:r w:rsidDel="00000000" w:rsidR="00000000" w:rsidRPr="00000000">
        <w:rPr>
          <w:b w:val="1"/>
          <w:bCs w:val="1"/>
          <w:color w:val="434343"/>
          <w:rtl w:val="0"/>
        </w:rPr>
        <w:t xml:space="preserve"> </w:t>
      </w:r>
      <w:r w:rsidDel="00000000" w:rsidR="00000000" w:rsidRPr="00000000">
        <w:rPr>
          <w:color w:val="434343"/>
          <w:rtl w:val="0"/>
        </w:rPr>
        <w:t xml:space="preserve">Adapted from one successfully used in capture-and-release field studies on fruit bats used in studies including: </w:t>
      </w:r>
      <w:hyperlink r:id="rId82">
        <w:r w:rsidDel="00000000" w:rsidR="00000000" w:rsidRPr="00000000">
          <w:rPr>
            <w:color w:val="434343"/>
            <w:rtl w:val="0"/>
          </w:rPr>
          <w:t xml:space="preserve">[48, 49, 100–103]</w:t>
        </w:r>
      </w:hyperlink>
      <w:r w:rsidDel="00000000" w:rsidR="00000000" w:rsidRPr="00000000">
        <w:rPr>
          <w:color w:val="434343"/>
          <w:rtl w:val="0"/>
        </w:rPr>
        <w:t xml:space="preserve">. Unique ID refers to the Passive Integrated Transponder (PIT) microchip identification tag for that individual (might instead be an ear or thumb tab, or similar identifier), whether a recapture or new capture; Sample ID number consists of locality code and a unique number, e.g. MAD123; Fed before processing should identify if the mammal is fed peanut butter, oats, bananas, etc. in the process of capture before processing, ectoparasite numbers collected include bat flies (BF), </w:t>
      </w:r>
      <w:r w:rsidDel="00000000" w:rsidR="00000000" w:rsidRPr="00000000">
        <w:rPr>
          <w:i w:val="1"/>
          <w:iCs w:val="1"/>
          <w:color w:val="434343"/>
          <w:rtl w:val="0"/>
        </w:rPr>
        <w:t xml:space="preserve">Megastrebla</w:t>
      </w:r>
      <w:r w:rsidDel="00000000" w:rsidR="00000000" w:rsidRPr="00000000">
        <w:rPr>
          <w:color w:val="434343"/>
          <w:rtl w:val="0"/>
        </w:rPr>
        <w:t xml:space="preserve"> (MS), flea (F), mites (M), and ticks (T); swab abbreviations: urine (UR), fecal (FEC) and throat (THR) to be recorded as how many swabs taken in individual vials for each individual; “thin slides” refers to blood smear microscope slides; and finally, “filter paper” refers to DBS. “YOY” stands for “young of the year”.</w:t>
      </w:r>
      <w:r w:rsidDel="00000000" w:rsidR="00000000" w:rsidRPr="00000000">
        <w:rPr>
          <w:rtl w:val="0"/>
        </w:rPr>
      </w:r>
    </w:p>
    <w:p w:rsidR="00000000" w:rsidDel="00000000" w:rsidP="00000000" w:rsidRDefault="00000000" w:rsidRPr="00000000" w14:paraId="00000045">
      <w:pPr>
        <w:pStyle w:val="Heading2"/>
        <w:keepNext w:val="0"/>
        <w:keepLines w:val="0"/>
        <w:spacing w:after="0" w:before="320" w:line="480" w:lineRule="auto"/>
        <w:rPr>
          <w:color w:val="434343"/>
        </w:rPr>
      </w:pPr>
      <w:bookmarkStart w:colFirst="0" w:colLast="0" w:name="_6jjxdixhfzwr" w:id="24"/>
      <w:bookmarkEnd w:id="24"/>
      <w:r w:rsidDel="00000000" w:rsidR="00000000" w:rsidRPr="00000000">
        <w:rPr>
          <w:color w:val="434343"/>
          <w:rtl w:val="0"/>
        </w:rPr>
        <w:t xml:space="preserve">3.3 </w:t>
      </w:r>
      <w:r w:rsidDel="00000000" w:rsidR="00000000" w:rsidRPr="00000000">
        <w:rPr>
          <w:color w:val="434343"/>
          <w:rtl w:val="0"/>
        </w:rPr>
        <w:t xml:space="preserve">Helpful Papers  / Additional Resources</w:t>
      </w:r>
    </w:p>
    <w:p w:rsidR="00000000" w:rsidDel="00000000" w:rsidP="00000000" w:rsidRDefault="00000000" w:rsidRPr="00000000" w14:paraId="00000046">
      <w:pPr>
        <w:spacing w:line="480" w:lineRule="auto"/>
        <w:rPr>
          <w:color w:val="434343"/>
        </w:rPr>
      </w:pPr>
      <w:r w:rsidDel="00000000" w:rsidR="00000000" w:rsidRPr="00000000">
        <w:rPr>
          <w:b w:val="1"/>
          <w:bCs w:val="1"/>
          <w:color w:val="434343"/>
          <w:rtl w:val="0"/>
        </w:rPr>
        <w:t xml:space="preserve">Buffer choice: </w:t>
      </w:r>
      <w:r w:rsidDel="00000000" w:rsidR="00000000" w:rsidRPr="00000000">
        <w:rPr>
          <w:color w:val="434343"/>
          <w:rtl w:val="0"/>
        </w:rPr>
        <w:t xml:space="preserve">In addition to this paper, review these helpful guides for buffer choice: </w:t>
      </w:r>
      <w:hyperlink r:id="rId83">
        <w:r w:rsidDel="00000000" w:rsidR="00000000" w:rsidRPr="00000000">
          <w:rPr>
            <w:color w:val="434343"/>
            <w:rtl w:val="0"/>
          </w:rPr>
          <w:t xml:space="preserve">[20, 27, 85, 86, 104]</w:t>
        </w:r>
      </w:hyperlink>
      <w:r w:rsidDel="00000000" w:rsidR="00000000" w:rsidRPr="00000000">
        <w:rPr>
          <w:b w:val="1"/>
          <w:bCs w:val="1"/>
          <w:color w:val="434343"/>
          <w:rtl w:val="0"/>
        </w:rPr>
        <w:t xml:space="preserve">.</w:t>
      </w:r>
      <w:r w:rsidDel="00000000" w:rsidR="00000000" w:rsidRPr="00000000">
        <w:rPr>
          <w:color w:val="434343"/>
          <w:rtl w:val="0"/>
        </w:rPr>
        <w:t xml:space="preserve"> </w:t>
      </w:r>
    </w:p>
    <w:p w:rsidR="00000000" w:rsidDel="00000000" w:rsidP="00000000" w:rsidRDefault="00000000" w:rsidRPr="00000000" w14:paraId="00000047">
      <w:pPr>
        <w:spacing w:line="480" w:lineRule="auto"/>
        <w:rPr>
          <w:color w:val="434343"/>
        </w:rPr>
      </w:pPr>
      <w:hyperlink r:id="rId84">
        <w:r w:rsidDel="00000000" w:rsidR="00000000" w:rsidRPr="00000000">
          <w:rPr>
            <w:color w:val="434343"/>
            <w:rtl w:val="0"/>
          </w:rPr>
          <w:t xml:space="preserve">[2]</w:t>
        </w:r>
      </w:hyperlink>
      <w:r w:rsidDel="00000000" w:rsidR="00000000" w:rsidRPr="00000000">
        <w:rPr>
          <w:color w:val="434343"/>
          <w:rtl w:val="0"/>
        </w:rPr>
        <w:t xml:space="preserve"> provides a well laid out workflow for integration of extended specimen data, considerations prior to collection, archiving, data storage, and more.</w:t>
      </w:r>
    </w:p>
    <w:p w:rsidR="00000000" w:rsidDel="00000000" w:rsidP="00000000" w:rsidRDefault="00000000" w:rsidRPr="00000000" w14:paraId="00000048">
      <w:pPr>
        <w:spacing w:line="480" w:lineRule="auto"/>
        <w:rPr>
          <w:color w:val="434343"/>
        </w:rPr>
      </w:pPr>
      <w:hyperlink r:id="rId85">
        <w:r w:rsidDel="00000000" w:rsidR="00000000" w:rsidRPr="00000000">
          <w:rPr>
            <w:color w:val="434343"/>
            <w:rtl w:val="0"/>
          </w:rPr>
          <w:t xml:space="preserve">[105]</w:t>
        </w:r>
      </w:hyperlink>
      <w:r w:rsidDel="00000000" w:rsidR="00000000" w:rsidRPr="00000000">
        <w:rPr>
          <w:b w:val="1"/>
          <w:bCs w:val="1"/>
          <w:color w:val="434343"/>
          <w:rtl w:val="0"/>
        </w:rPr>
        <w:t xml:space="preserve"> </w:t>
      </w:r>
      <w:r w:rsidDel="00000000" w:rsidR="00000000" w:rsidRPr="00000000">
        <w:rPr>
          <w:color w:val="434343"/>
          <w:rtl w:val="0"/>
        </w:rPr>
        <w:t xml:space="preserve">provide a guide for best practices both for collectors and museum staff in terms of practical organization and integration.</w:t>
      </w:r>
    </w:p>
    <w:p w:rsidR="00000000" w:rsidDel="00000000" w:rsidP="00000000" w:rsidRDefault="00000000" w:rsidRPr="00000000" w14:paraId="00000049">
      <w:pPr>
        <w:spacing w:line="480" w:lineRule="auto"/>
        <w:rPr>
          <w:color w:val="434343"/>
        </w:rPr>
      </w:pPr>
      <w:hyperlink r:id="rId86">
        <w:r w:rsidDel="00000000" w:rsidR="00000000" w:rsidRPr="00000000">
          <w:rPr>
            <w:color w:val="434343"/>
            <w:rtl w:val="0"/>
          </w:rPr>
          <w:t xml:space="preserve">[99]</w:t>
        </w:r>
      </w:hyperlink>
      <w:r w:rsidDel="00000000" w:rsidR="00000000" w:rsidRPr="00000000">
        <w:rPr>
          <w:color w:val="434343"/>
          <w:rtl w:val="0"/>
        </w:rPr>
        <w:t xml:space="preserve"> discusses how animal biobanks and cryogenic collections are emerging infrastructures in zoology and related sciences, storing frozen biological samples long-term in anticipation of future research needs; and the vital need for careful integration of physical samples with metadata to ensure that stored materials can be meaningfully rediscovered and reused as technologies evolve.</w:t>
      </w:r>
    </w:p>
    <w:p w:rsidR="00000000" w:rsidDel="00000000" w:rsidP="00000000" w:rsidRDefault="00000000" w:rsidRPr="00000000" w14:paraId="0000004A">
      <w:pPr>
        <w:spacing w:line="480" w:lineRule="auto"/>
        <w:rPr>
          <w:color w:val="434343"/>
        </w:rPr>
      </w:pPr>
      <w:hyperlink r:id="rId87">
        <w:r w:rsidDel="00000000" w:rsidR="00000000" w:rsidRPr="00000000">
          <w:rPr>
            <w:color w:val="434343"/>
            <w:rtl w:val="0"/>
          </w:rPr>
          <w:t xml:space="preserve">[6]</w:t>
        </w:r>
      </w:hyperlink>
      <w:r w:rsidDel="00000000" w:rsidR="00000000" w:rsidRPr="00000000">
        <w:rPr>
          <w:color w:val="434343"/>
          <w:rtl w:val="0"/>
        </w:rPr>
        <w:t xml:space="preserve"> is a review of non-invasive wildlife sampling for pathobiology studies highlighting useful samples and underutilized technologies</w:t>
      </w:r>
    </w:p>
    <w:p w:rsidR="00000000" w:rsidDel="00000000" w:rsidP="00000000" w:rsidRDefault="00000000" w:rsidRPr="00000000" w14:paraId="0000004B">
      <w:pPr>
        <w:spacing w:line="480" w:lineRule="auto"/>
        <w:rPr>
          <w:color w:val="434343"/>
        </w:rPr>
      </w:pPr>
      <w:hyperlink r:id="rId88">
        <w:r w:rsidDel="00000000" w:rsidR="00000000" w:rsidRPr="00000000">
          <w:rPr>
            <w:color w:val="434343"/>
            <w:rtl w:val="0"/>
          </w:rPr>
          <w:t xml:space="preserve">[106]</w:t>
        </w:r>
      </w:hyperlink>
      <w:r w:rsidDel="00000000" w:rsidR="00000000" w:rsidRPr="00000000">
        <w:rPr>
          <w:b w:val="1"/>
          <w:bCs w:val="1"/>
          <w:color w:val="434343"/>
          <w:rtl w:val="0"/>
        </w:rPr>
        <w:t xml:space="preserve"> </w:t>
      </w:r>
      <w:r w:rsidDel="00000000" w:rsidR="00000000" w:rsidRPr="00000000">
        <w:rPr>
          <w:color w:val="434343"/>
          <w:rtl w:val="0"/>
        </w:rPr>
        <w:t xml:space="preserve">is a useful framework for project management from study design through to analysis.</w:t>
      </w:r>
    </w:p>
    <w:p w:rsidR="00000000" w:rsidDel="00000000" w:rsidP="00000000" w:rsidRDefault="00000000" w:rsidRPr="00000000" w14:paraId="0000004C">
      <w:pPr>
        <w:spacing w:line="480" w:lineRule="auto"/>
        <w:rPr>
          <w:color w:val="434343"/>
        </w:rPr>
      </w:pPr>
      <w:hyperlink r:id="rId89">
        <w:r w:rsidDel="00000000" w:rsidR="00000000" w:rsidRPr="00000000">
          <w:rPr>
            <w:color w:val="434343"/>
            <w:rtl w:val="0"/>
          </w:rPr>
          <w:t xml:space="preserve">[47]</w:t>
        </w:r>
      </w:hyperlink>
      <w:r w:rsidDel="00000000" w:rsidR="00000000" w:rsidRPr="00000000">
        <w:rPr>
          <w:color w:val="434343"/>
          <w:rtl w:val="0"/>
        </w:rPr>
        <w:t xml:space="preserve"> provides a comprehensive overview of methods for pathobiology associated samples for aves field studies giving previous examples of pathobiological studies, protocols for blood sampling for the study of parasites, field notebook examples, protocols for ecto- and endoparasite collection, preparation and curation, and more. This article is applicable in many ways to other integrating pathobiology sampling into vertebrate systems beyond aves.</w:t>
      </w:r>
    </w:p>
    <w:p w:rsidR="00000000" w:rsidDel="00000000" w:rsidP="00000000" w:rsidRDefault="00000000" w:rsidRPr="00000000" w14:paraId="0000004D">
      <w:pPr>
        <w:spacing w:line="480" w:lineRule="auto"/>
        <w:rPr>
          <w:color w:val="434343"/>
        </w:rPr>
      </w:pPr>
      <w:hyperlink r:id="rId90">
        <w:r w:rsidDel="00000000" w:rsidR="00000000" w:rsidRPr="00000000">
          <w:rPr>
            <w:color w:val="434343"/>
            <w:rtl w:val="0"/>
          </w:rPr>
          <w:t xml:space="preserve">[107]</w:t>
        </w:r>
      </w:hyperlink>
      <w:r w:rsidDel="00000000" w:rsidR="00000000" w:rsidRPr="00000000">
        <w:rPr>
          <w:b w:val="1"/>
          <w:bCs w:val="1"/>
          <w:color w:val="434343"/>
          <w:rtl w:val="0"/>
        </w:rPr>
        <w:t xml:space="preserve"> </w:t>
      </w:r>
      <w:r w:rsidDel="00000000" w:rsidR="00000000" w:rsidRPr="00000000">
        <w:rPr>
          <w:color w:val="434343"/>
          <w:rtl w:val="0"/>
        </w:rPr>
        <w:t xml:space="preserve">provides a guide to sampling marine mammals that also very useful for other vertebrate studies for the use of samples for genomics, metagenomics, metabarcoding, transcriptomics, proteomics, metabolomics and epigenomics as well as for the study of pollutants, toxins, stable isotopes, and hormones. This paper outlines general sample collection recommendations and includes a helpful chart of common types of biospecimen samples, common preservation methods (namely DMSO, DESS, EtOH, Dry, EDTA, &amp; RNAlater®) and their suitable analytical approaches.</w:t>
      </w:r>
    </w:p>
    <w:p w:rsidR="00000000" w:rsidDel="00000000" w:rsidP="00000000" w:rsidRDefault="00000000" w:rsidRPr="00000000" w14:paraId="0000004E">
      <w:pPr>
        <w:spacing w:line="480" w:lineRule="auto"/>
        <w:rPr>
          <w:color w:val="434343"/>
        </w:rPr>
      </w:pPr>
      <w:hyperlink r:id="rId91">
        <w:r w:rsidDel="00000000" w:rsidR="00000000" w:rsidRPr="00000000">
          <w:rPr>
            <w:color w:val="434343"/>
            <w:rtl w:val="0"/>
          </w:rPr>
          <w:t xml:space="preserve">[82]</w:t>
        </w:r>
      </w:hyperlink>
      <w:r w:rsidDel="00000000" w:rsidR="00000000" w:rsidRPr="00000000">
        <w:rPr>
          <w:color w:val="434343"/>
          <w:rtl w:val="0"/>
        </w:rPr>
        <w:t xml:space="preserve"> has provided a fantastic guide to bat sampling for eco-epidemiological studies. Their field guide is helpful for general guidelines for vertebrate sampling for eco-epidemiological studies as well. </w:t>
      </w:r>
    </w:p>
    <w:p w:rsidR="00000000" w:rsidDel="00000000" w:rsidP="00000000" w:rsidRDefault="00000000" w:rsidRPr="00000000" w14:paraId="0000004F">
      <w:pPr>
        <w:shd w:fill="ffffff" w:val="clear"/>
        <w:spacing w:after="200" w:line="480" w:lineRule="auto"/>
        <w:rPr>
          <w:color w:val="434343"/>
        </w:rPr>
      </w:pPr>
      <w:hyperlink r:id="rId92">
        <w:r w:rsidDel="00000000" w:rsidR="00000000" w:rsidRPr="00000000">
          <w:rPr>
            <w:color w:val="434343"/>
            <w:rtl w:val="0"/>
          </w:rPr>
          <w:t xml:space="preserve">[108]</w:t>
        </w:r>
      </w:hyperlink>
      <w:r w:rsidDel="00000000" w:rsidR="00000000" w:rsidRPr="00000000">
        <w:rPr>
          <w:color w:val="434343"/>
          <w:rtl w:val="0"/>
        </w:rPr>
        <w:t xml:space="preserve"> presents a succinct overview of preserving field-collected samples to maintain DNA integrity based on </w:t>
      </w:r>
      <w:hyperlink r:id="rId93">
        <w:r w:rsidDel="00000000" w:rsidR="00000000" w:rsidRPr="00000000">
          <w:rPr>
            <w:color w:val="434343"/>
            <w:rtl w:val="0"/>
          </w:rPr>
          <w:t xml:space="preserve">[85]</w:t>
        </w:r>
      </w:hyperlink>
      <w:r w:rsidDel="00000000" w:rsidR="00000000" w:rsidRPr="00000000">
        <w:rPr>
          <w:color w:val="434343"/>
          <w:rtl w:val="0"/>
        </w:rPr>
        <w:t xml:space="preserve"> as used by the Québec Centre for Biodiversity Science. Though now dated, the questions posed to be addressed before fieldwork are relevant.</w:t>
      </w:r>
    </w:p>
    <w:p w:rsidR="00000000" w:rsidDel="00000000" w:rsidP="00000000" w:rsidRDefault="00000000" w:rsidRPr="00000000" w14:paraId="00000050">
      <w:pPr>
        <w:shd w:fill="ffffff" w:val="clear"/>
        <w:spacing w:after="200" w:line="480" w:lineRule="auto"/>
        <w:rPr>
          <w:b w:val="1"/>
          <w:bCs w:val="1"/>
          <w:color w:val="434343"/>
        </w:rPr>
      </w:pPr>
      <w:r w:rsidDel="00000000" w:rsidR="00000000" w:rsidRPr="00000000">
        <w:rPr>
          <w:b w:val="1"/>
          <w:bCs w:val="1"/>
          <w:color w:val="434343"/>
          <w:rtl w:val="0"/>
        </w:rPr>
        <w:t xml:space="preserve">Other Resources:</w:t>
      </w:r>
    </w:p>
    <w:p w:rsidR="00000000" w:rsidDel="00000000" w:rsidP="00000000" w:rsidRDefault="00000000" w:rsidRPr="00000000" w14:paraId="00000051">
      <w:pPr>
        <w:shd w:fill="ffffff" w:val="clear"/>
        <w:spacing w:after="200" w:line="480" w:lineRule="auto"/>
        <w:rPr>
          <w:color w:val="434343"/>
        </w:rPr>
      </w:pPr>
      <w:r w:rsidDel="00000000" w:rsidR="00000000" w:rsidRPr="00000000">
        <w:rPr>
          <w:color w:val="434343"/>
          <w:rtl w:val="0"/>
        </w:rPr>
        <w:t xml:space="preserve">Global Biodiversity Information Facility (GBIF, https://www.gbif.org/) is an international network of governments and scientific institutions that provides open access to biodiversity data from around the world. It serves as an open source global data portal for species occurrence data (including historical occurrence data, for example, derived from collector field notes or DNA from museum specimens) and encourages data sharing and the use of standardized data formats like Darwin Core. </w:t>
      </w:r>
    </w:p>
    <w:p w:rsidR="00000000" w:rsidDel="00000000" w:rsidP="00000000" w:rsidRDefault="00000000" w:rsidRPr="00000000" w14:paraId="00000052">
      <w:pPr>
        <w:pStyle w:val="Heading1"/>
        <w:spacing w:line="480" w:lineRule="auto"/>
        <w:rPr>
          <w:color w:val="434343"/>
        </w:rPr>
      </w:pPr>
      <w:bookmarkStart w:colFirst="0" w:colLast="0" w:name="_mjf4qpb200lg" w:id="25"/>
      <w:bookmarkEnd w:id="25"/>
      <w:r w:rsidDel="00000000" w:rsidR="00000000" w:rsidRPr="00000000">
        <w:rPr>
          <w:color w:val="434343"/>
          <w:rtl w:val="0"/>
        </w:rPr>
        <w:t xml:space="preserve">Supplemental references</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94">
        <w:r w:rsidDel="00000000" w:rsidR="00000000" w:rsidRPr="00000000">
          <w:rPr>
            <w:color w:val="434343"/>
            <w:sz w:val="20"/>
            <w:szCs w:val="20"/>
            <w:rtl w:val="0"/>
          </w:rPr>
          <w:t xml:space="preserve">1. Cato PS. Guidelines for the Care of Natural History Collections. Society for the Preservation of Natural History Collections; 1994. </w:t>
        </w:r>
      </w:hyperlink>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95">
        <w:r w:rsidDel="00000000" w:rsidR="00000000" w:rsidRPr="00000000">
          <w:rPr>
            <w:color w:val="434343"/>
            <w:sz w:val="20"/>
            <w:szCs w:val="20"/>
            <w:rtl w:val="0"/>
          </w:rPr>
          <w:t xml:space="preserve">2. Thompson CW, Phelps KL, Allard MW, Cook JA, Dunnum JL, Ferguson AW, et al. Preserve a Voucher Specimen! The Critical Need for Integrating Natural History Collections in Infectious Disease Studies. mBio. 2021;12:10.1128/mbio.02698-20. https://doi.org/10.1128/mbio.02698-20. </w:t>
        </w:r>
      </w:hyperlink>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96">
        <w:r w:rsidDel="00000000" w:rsidR="00000000" w:rsidRPr="00000000">
          <w:rPr>
            <w:color w:val="434343"/>
            <w:sz w:val="20"/>
            <w:szCs w:val="20"/>
            <w:rtl w:val="0"/>
          </w:rPr>
          <w:t xml:space="preserve">3. Clemann N, Rowe KMC, Rowe KC, Raadik T, Gomon M, Menkhorst P, et al. Value and impacts of collecting vertebrate voucher specimens, with guidelines for ethical collection. Mem Mus Vic. 2014;72:141–53. https://doi.org/10.24199/j.mmv.2014.72.09. </w:t>
        </w:r>
      </w:hyperlink>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97">
        <w:r w:rsidDel="00000000" w:rsidR="00000000" w:rsidRPr="00000000">
          <w:rPr>
            <w:color w:val="434343"/>
            <w:sz w:val="20"/>
            <w:szCs w:val="20"/>
            <w:rtl w:val="0"/>
          </w:rPr>
          <w:t xml:space="preserve">4. Academy Standards Board. Wildlife Forensics Morphology Standards. ANSI/ASB Standard. 2019. </w:t>
        </w:r>
      </w:hyperlink>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98">
        <w:r w:rsidDel="00000000" w:rsidR="00000000" w:rsidRPr="00000000">
          <w:rPr>
            <w:color w:val="434343"/>
            <w:sz w:val="20"/>
            <w:szCs w:val="20"/>
            <w:rtl w:val="0"/>
          </w:rPr>
          <w:t xml:space="preserve">5. Cook JA, Greiman SE, Agosta SJ, Anderson RP, Arbogast BS, Baker RJ, et al. Transformational Principles for NEON Sampling of Mammalian Parasites and Pathogens: A Response to Springer and Colleagues. BioScience. 2016;66:917–9. https://doi.org/10.1093/biosci/biw123. </w:t>
        </w:r>
      </w:hyperlink>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99">
        <w:r w:rsidDel="00000000" w:rsidR="00000000" w:rsidRPr="00000000">
          <w:rPr>
            <w:color w:val="434343"/>
            <w:sz w:val="20"/>
            <w:szCs w:val="20"/>
            <w:rtl w:val="0"/>
          </w:rPr>
          <w:t xml:space="preserve">6. Schilling A-K, Mazzamuto MV, Romeo C. A Review of Non-Invasive Sampling in Wildlife Disease and Health Research: What’s New? Animals. 2022;12:1719. https://doi.org/10.3390/ani12131719. </w:t>
        </w:r>
      </w:hyperlink>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0">
        <w:r w:rsidDel="00000000" w:rsidR="00000000" w:rsidRPr="00000000">
          <w:rPr>
            <w:color w:val="434343"/>
            <w:sz w:val="20"/>
            <w:szCs w:val="20"/>
            <w:rtl w:val="0"/>
          </w:rPr>
          <w:t xml:space="preserve">7. Joffrin L, Goodman SM, Wilkinson DA, Ramasindrazana B, Lagadec E, Gomard Y, et al. Bat coronavirus phylogeography in the Western Indian Ocean. Sci Rep. 2020;10:6873. https://doi.org/10.1038/s41598-020-63799-7. </w:t>
        </w:r>
      </w:hyperlink>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1">
        <w:r w:rsidDel="00000000" w:rsidR="00000000" w:rsidRPr="00000000">
          <w:rPr>
            <w:color w:val="434343"/>
            <w:sz w:val="20"/>
            <w:szCs w:val="20"/>
            <w:rtl w:val="0"/>
          </w:rPr>
          <w:t xml:space="preserve">8. Fujihara M, Comizzoli P. Human and wildlife biobanks of germplasms and reproductive tissues can contribute to a broader concept of One Health. FS Rep. 2025;6:63–6. https://doi.org/10.1016/j.xfre.2025.01.004. </w:t>
        </w:r>
      </w:hyperlink>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2">
        <w:r w:rsidDel="00000000" w:rsidR="00000000" w:rsidRPr="00000000">
          <w:rPr>
            <w:color w:val="434343"/>
            <w:sz w:val="20"/>
            <w:szCs w:val="20"/>
            <w:rtl w:val="0"/>
          </w:rPr>
          <w:t xml:space="preserve">9. Owen JC. Collecting, processing, and storing avian blood: a review. J Field Ornithol. 2011;82:339–54. https://doi.org/10.1111/j.1557-9263.2011.00338.x. </w:t>
        </w:r>
      </w:hyperlink>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3">
        <w:r w:rsidDel="00000000" w:rsidR="00000000" w:rsidRPr="00000000">
          <w:rPr>
            <w:color w:val="434343"/>
            <w:sz w:val="20"/>
            <w:szCs w:val="20"/>
            <w:rtl w:val="0"/>
          </w:rPr>
          <w:t xml:space="preserve">10. Vignoli A, Tenori L, Morsiani C, Turano P, Capri M, Luchinat C. Serum or Plasma (and Which Plasma), That Is the Question. J Proteome Res. 2022;21:1061–72. https://doi.org/10.1021/acs.jproteome.1c00935. </w:t>
        </w:r>
      </w:hyperlink>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4">
        <w:r w:rsidDel="00000000" w:rsidR="00000000" w:rsidRPr="00000000">
          <w:rPr>
            <w:color w:val="434343"/>
            <w:sz w:val="20"/>
            <w:szCs w:val="20"/>
            <w:rtl w:val="0"/>
          </w:rPr>
          <w:t xml:space="preserve">11. World Health Organization. Use of anticoagulants in diagnostic laboratory investigations. In: World Health Organization. Diagnostic Imaging and Laboratory Technology. World Health Organization; 2002. </w:t>
        </w:r>
      </w:hyperlink>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5">
        <w:r w:rsidDel="00000000" w:rsidR="00000000" w:rsidRPr="00000000">
          <w:rPr>
            <w:color w:val="434343"/>
            <w:sz w:val="20"/>
            <w:szCs w:val="20"/>
            <w:rtl w:val="0"/>
          </w:rPr>
          <w:t xml:space="preserve">12. Hawes HG, Cotton BA, McElroy LA. Buffy Coat. In: Papadakos PJ, Gestring ML, editors. Encyclopedia of Trauma Care. Berlin, Heidelberg: Springer; 2015. p. 246–7. https://doi.org/10.1007/978-3-642-29613-0_38. </w:t>
        </w:r>
      </w:hyperlink>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6">
        <w:r w:rsidDel="00000000" w:rsidR="00000000" w:rsidRPr="00000000">
          <w:rPr>
            <w:color w:val="434343"/>
            <w:sz w:val="20"/>
            <w:szCs w:val="20"/>
            <w:rtl w:val="0"/>
          </w:rPr>
          <w:t xml:space="preserve">13. Villalva M, Macphail S, Li Y, Caruana B. Isolating Human Peripheral Blood Mononuclear Cells from Buffy Coats via High Throughput Immunomagnetic Bead Separation. J Vis Exp JoVE. 2024;:e66887. https://doi.org/10.3791/66887. </w:t>
        </w:r>
      </w:hyperlink>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7">
        <w:r w:rsidDel="00000000" w:rsidR="00000000" w:rsidRPr="00000000">
          <w:rPr>
            <w:color w:val="434343"/>
            <w:sz w:val="20"/>
            <w:szCs w:val="20"/>
            <w:rtl w:val="0"/>
          </w:rPr>
          <w:t xml:space="preserve">14. Bernini P, Bertini I, Luchinat C, Nincheri P, Staderini S, Turano P. Standard operating procedures for pre-analytical handling of blood and urine for metabolomic studies and biobanks. J Biomol NMR. 2011;49:231–43. https://doi.org/10.1007/s10858-011-9489-1. </w:t>
        </w:r>
      </w:hyperlink>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8">
        <w:r w:rsidDel="00000000" w:rsidR="00000000" w:rsidRPr="00000000">
          <w:rPr>
            <w:color w:val="434343"/>
            <w:sz w:val="20"/>
            <w:szCs w:val="20"/>
            <w:rtl w:val="0"/>
          </w:rPr>
          <w:t xml:space="preserve">15. Mathew J, Sankar P, Varacallo MA. Physiology, Blood Plasma. In: StatPearls. Treasure Island (FL): StatPearls Publishing; 2025. </w:t>
        </w:r>
      </w:hyperlink>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09">
        <w:r w:rsidDel="00000000" w:rsidR="00000000" w:rsidRPr="00000000">
          <w:rPr>
            <w:color w:val="434343"/>
            <w:sz w:val="20"/>
            <w:szCs w:val="20"/>
            <w:rtl w:val="0"/>
          </w:rPr>
          <w:t xml:space="preserve">16. Kleiveland CR. Peripheral Blood Mononuclear Cells. In: Verhoeckx K, Cotter P, López-Expósito I, Kleiveland C, Lea T, Mackie A, et al., editors. The Impact of Food Bioactives on Health: in vitro and ex vivo models. Cham (CH): Springer; 2015. </w:t>
        </w:r>
      </w:hyperlink>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0">
        <w:r w:rsidDel="00000000" w:rsidR="00000000" w:rsidRPr="00000000">
          <w:rPr>
            <w:color w:val="434343"/>
            <w:sz w:val="20"/>
            <w:szCs w:val="20"/>
            <w:rtl w:val="0"/>
          </w:rPr>
          <w:t xml:space="preserve">17. Cuhadar S, Koseoglu M, Atay A, Dirican A. The effect of storage time and freeze-thaw cycles on the stability of serum samples. Biochem Medica. 2013;23:70–7. https://doi.org/10.11613/bm.2013.009. </w:t>
        </w:r>
      </w:hyperlink>
      <w:r w:rsidDel="00000000" w:rsidR="00000000" w:rsidRPr="00000000">
        <w:rPr>
          <w:rtl w:val="0"/>
        </w:rPr>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1">
        <w:r w:rsidDel="00000000" w:rsidR="00000000" w:rsidRPr="00000000">
          <w:rPr>
            <w:color w:val="434343"/>
            <w:sz w:val="20"/>
            <w:szCs w:val="20"/>
            <w:rtl w:val="0"/>
          </w:rPr>
          <w:t xml:space="preserve">18. World Health Organization. Collection, storage and shipment of specimens for laboratory diagnosis and interpretation of results. In: Surveillance Guidelines for Measles, Rubella and Congenital Rubella Syndrome in the WHO European Region. 2nd edition. 2012. </w:t>
        </w:r>
      </w:hyperlink>
      <w:r w:rsidDel="00000000" w:rsidR="00000000" w:rsidRPr="00000000">
        <w:rPr>
          <w:rtl w:val="0"/>
        </w:rPr>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2">
        <w:r w:rsidDel="00000000" w:rsidR="00000000" w:rsidRPr="00000000">
          <w:rPr>
            <w:color w:val="434343"/>
            <w:sz w:val="20"/>
            <w:szCs w:val="20"/>
            <w:rtl w:val="0"/>
          </w:rPr>
          <w:t xml:space="preserve">19. Barbalato L, Pillarisetty LS. Histology, Red Blood Cell. In: StatPearls. Treasure Island (FL): StatPearls Publishing; 2026. </w:t>
        </w:r>
      </w:hyperlink>
      <w:r w:rsidDel="00000000" w:rsidR="00000000" w:rsidRPr="00000000">
        <w:rPr>
          <w:rtl w:val="0"/>
        </w:rPr>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3">
        <w:r w:rsidDel="00000000" w:rsidR="00000000" w:rsidRPr="00000000">
          <w:rPr>
            <w:color w:val="434343"/>
            <w:sz w:val="20"/>
            <w:szCs w:val="20"/>
            <w:rtl w:val="0"/>
          </w:rPr>
          <w:t xml:space="preserve">20. Munguía-Ramírez B, Giménez-Lirola L, Zimmerman J. Assessment of Strategies for Preserving Swine Viral RNA Targets in Diagnostic Specimens. Microorganisms. 2024;12:410. https://doi.org/10.3390/microorganisms12020410. </w:t>
        </w:r>
      </w:hyperlink>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4">
        <w:r w:rsidDel="00000000" w:rsidR="00000000" w:rsidRPr="00000000">
          <w:rPr>
            <w:color w:val="434343"/>
            <w:sz w:val="20"/>
            <w:szCs w:val="20"/>
            <w:rtl w:val="0"/>
          </w:rPr>
          <w:t xml:space="preserve">21. Munguía-Ramírez B, Armenta-Leyva B, Henao-Díaz A, Cheng T-Y, Zhang J, Rawal G, et al. Effect of extrinsic factors on the detection of PRRSV and a porcine-specific internal sample control in serum, oral fluid, and fecal specimens tested by RT-rtPCR. J Vet Diagn Invest. 2023;35:375–84. https://doi.org/10.1177/10406387231174556. </w:t>
        </w:r>
      </w:hyperlink>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5">
        <w:r w:rsidDel="00000000" w:rsidR="00000000" w:rsidRPr="00000000">
          <w:rPr>
            <w:color w:val="434343"/>
            <w:sz w:val="20"/>
            <w:szCs w:val="20"/>
            <w:rtl w:val="0"/>
          </w:rPr>
          <w:t xml:space="preserve">22. Wang Z, Zhang C, Zhang X, Bian Y, Cao Y. Assessing the impact of long‐term storage on the quality and integrity of biological specimens in a reproductive biobank. Bioeng Transl Med. 2024;9:e10692. https://doi.org/10.1002/btm2.10692. </w:t>
        </w:r>
      </w:hyperlink>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6">
        <w:r w:rsidDel="00000000" w:rsidR="00000000" w:rsidRPr="00000000">
          <w:rPr>
            <w:color w:val="434343"/>
            <w:sz w:val="20"/>
            <w:szCs w:val="20"/>
            <w:rtl w:val="0"/>
          </w:rPr>
          <w:t xml:space="preserve">23. Deza-Cruz I, Mill A, Rushton S, Kelly P. Comparison of the Use of Serum and Plasma as Matrix Specimens in a Widely Used Noncommercial Dengue IgG ELISA. Am J Trop Med Hyg. 2019;101. https://doi.org/10.4269/ajtmh.19-0112. </w:t>
        </w:r>
      </w:hyperlink>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7">
        <w:r w:rsidDel="00000000" w:rsidR="00000000" w:rsidRPr="00000000">
          <w:rPr>
            <w:color w:val="434343"/>
            <w:sz w:val="20"/>
            <w:szCs w:val="20"/>
            <w:rtl w:val="0"/>
          </w:rPr>
          <w:t xml:space="preserve">24. Fassbinder-Orth CA, Wilcoxen TE, Tran T, Boughton RK, Fair JM, Hofmeister EK, et al. Immunoglobulin detection in wild birds: effectiveness of three secondary anti-avian IgY antibodies in direct ELISAs in 41 avian species. Methods Ecol Evol. 2016;7:1174–81. https://doi.org/10.1111/2041-210X.12583. </w:t>
        </w:r>
      </w:hyperlink>
      <w:r w:rsidDel="00000000" w:rsidR="00000000" w:rsidRPr="00000000">
        <w:rPr>
          <w:rtl w:val="0"/>
        </w:rPr>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8">
        <w:r w:rsidDel="00000000" w:rsidR="00000000" w:rsidRPr="00000000">
          <w:rPr>
            <w:color w:val="434343"/>
            <w:sz w:val="20"/>
            <w:szCs w:val="20"/>
            <w:rtl w:val="0"/>
          </w:rPr>
          <w:t xml:space="preserve">25. Kohek MBF, Leme CRM, Nakamura IT, de Oliveira SA, Lando V, Mendonca BB. Effects of EDTA and Sodium Citrate on hormone measurements by fluorometric (FIA) and immunofluorometric (IFMA) methods. BMC Clin Pathol. 2002;2:2. https://doi.org/10.1186/1472-6890-2-2. </w:t>
        </w:r>
      </w:hyperlink>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19">
        <w:r w:rsidDel="00000000" w:rsidR="00000000" w:rsidRPr="00000000">
          <w:rPr>
            <w:color w:val="434343"/>
            <w:sz w:val="20"/>
            <w:szCs w:val="20"/>
            <w:rtl w:val="0"/>
          </w:rPr>
          <w:t xml:space="preserve">26. Bowen RAR, Remaley AT. Interferences from blood collection tube components on clinical chemistry assays. Biochem Medica. 2014;24:31–44. https://doi.org/10.11613/BM.2014.006. </w:t>
        </w:r>
      </w:hyperlink>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0">
        <w:r w:rsidDel="00000000" w:rsidR="00000000" w:rsidRPr="00000000">
          <w:rPr>
            <w:color w:val="434343"/>
            <w:sz w:val="20"/>
            <w:szCs w:val="20"/>
            <w:rtl w:val="0"/>
          </w:rPr>
          <w:t xml:space="preserve">27. Di Lecce I, Sudyka J, Westneat DF, Szulkin M. Preserving avian blood and DNA sampled in the wild: A survey of personal experiences. Ecol Evol. 2022;12. https://doi.org/10.1002/ece3.9232. </w:t>
        </w:r>
      </w:hyperlink>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1">
        <w:r w:rsidDel="00000000" w:rsidR="00000000" w:rsidRPr="00000000">
          <w:rPr>
            <w:color w:val="434343"/>
            <w:sz w:val="20"/>
            <w:szCs w:val="20"/>
            <w:rtl w:val="0"/>
          </w:rPr>
          <w:t xml:space="preserve">28. Kalaria T, Ford C, Gama R. Managing ethylenediaminetetraacetic acid (EDTA) interference in EDTA contaminated samples – selectivity in reporting analytes. Ann Clin Biochem. 2022;60:92–9. https://doi.org/10.1177/00045632221140989. </w:t>
        </w:r>
      </w:hyperlink>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2">
        <w:r w:rsidDel="00000000" w:rsidR="00000000" w:rsidRPr="00000000">
          <w:rPr>
            <w:color w:val="434343"/>
            <w:sz w:val="20"/>
            <w:szCs w:val="20"/>
            <w:rtl w:val="0"/>
          </w:rPr>
          <w:t xml:space="preserve">29. Hawkins MG, Kass PH, Zinkl JG, Tell LA. Comparison of biochemical values in serum and plasma, fresh and frozen plasma, and hemolyzed samples from orange-winged Amazon parrots (Amazona amazonica). Vet Clin Pathol. 2006;35:219–25. https://doi.org/10.1111/j.1939-165X.2006.tb00118.x. </w:t>
        </w:r>
      </w:hyperlink>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3">
        <w:r w:rsidDel="00000000" w:rsidR="00000000" w:rsidRPr="00000000">
          <w:rPr>
            <w:color w:val="434343"/>
            <w:sz w:val="20"/>
            <w:szCs w:val="20"/>
            <w:rtl w:val="0"/>
          </w:rPr>
          <w:t xml:space="preserve">30. Hennø LT, Storjord E, Christiansen D, Bergseth G, Ludviksen JK, Fure H, et al. Effect of the anticoagulant, storage time and temperature of blood samples on the concentrations of 27 multiplex assayed cytokines – Consequences for defining reference values in healthy humans. Cytokine. 2017;97:86–95. https://doi.org/10.1016/j.cyto.2017.05.014. </w:t>
        </w:r>
      </w:hyperlink>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4">
        <w:r w:rsidDel="00000000" w:rsidR="00000000" w:rsidRPr="00000000">
          <w:rPr>
            <w:color w:val="434343"/>
            <w:sz w:val="20"/>
            <w:szCs w:val="20"/>
            <w:rtl w:val="0"/>
          </w:rPr>
          <w:t xml:space="preserve">31. Sotelo-Orozco J, Chen S-Y, Hertz-Picciotto I, Slupsky CM. A Comparison of Serum and Plasma Blood Collection Tubes for the Integration of Epidemiological and Metabolomics Data. Front Mol Biosci. 2021;8. https://doi.org/10.3389/fmolb.2021.682134. </w:t>
        </w:r>
      </w:hyperlink>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5">
        <w:r w:rsidDel="00000000" w:rsidR="00000000" w:rsidRPr="00000000">
          <w:rPr>
            <w:color w:val="434343"/>
            <w:sz w:val="20"/>
            <w:szCs w:val="20"/>
            <w:rtl w:val="0"/>
          </w:rPr>
          <w:t xml:space="preserve">32. Schwartz TS, Bronikowski AM. Evolution and Function of the Insulin and Insulin-like Signaling Network in Ectothermic Reptiles: Some Answers and More Questions. Integr Comp Biol. 2016;56:171–84. https://doi.org/10.1093/icb/icw046. </w:t>
        </w:r>
      </w:hyperlink>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6">
        <w:r w:rsidDel="00000000" w:rsidR="00000000" w:rsidRPr="00000000">
          <w:rPr>
            <w:color w:val="434343"/>
            <w:sz w:val="20"/>
            <w:szCs w:val="20"/>
            <w:rtl w:val="0"/>
          </w:rPr>
          <w:t xml:space="preserve">33. Salesov E, Boretti FS, Sieber‐Ruckstuhl NS, Rentsch KM, Riond B, Hofmann‐Lehmann R, et al. Urinary and Plasma Catecholamines and Metanephrines in Dogs with Pheochromocytoma, Hypercortisolism, Nonadrenal Disease and in Healthy Dogs. J Vet Intern Med. 2015;29:597–602. https://doi.org/10.1111/jvim.12569. </w:t>
        </w:r>
      </w:hyperlink>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7">
        <w:r w:rsidDel="00000000" w:rsidR="00000000" w:rsidRPr="00000000">
          <w:rPr>
            <w:color w:val="434343"/>
            <w:sz w:val="20"/>
            <w:szCs w:val="20"/>
            <w:rtl w:val="0"/>
          </w:rPr>
          <w:t xml:space="preserve">34. Deviche P, Beouche-Helias B, Davies S, Gao S, Lane S, Valle S. Regulation of plasma testosterone, corticosterone, and metabolites in response to stress, reproductive stage, and social challenges in a desert male songbird. Gen Comp Endocrinol. 2014;203:120–31. https://doi.org/10.1016/j.ygcen.2014.01.010. </w:t>
        </w:r>
      </w:hyperlink>
      <w:r w:rsidDel="00000000" w:rsidR="00000000" w:rsidRPr="00000000">
        <w:rPr>
          <w:rtl w:val="0"/>
        </w:rPr>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8">
        <w:r w:rsidDel="00000000" w:rsidR="00000000" w:rsidRPr="00000000">
          <w:rPr>
            <w:color w:val="434343"/>
            <w:sz w:val="20"/>
            <w:szCs w:val="20"/>
            <w:rtl w:val="0"/>
          </w:rPr>
          <w:t xml:space="preserve">35. Sabater AS, O´Brien E, Velázquez R, Toledano-Díaz A, Castaño C, Oteo M, et al. Adrenocortical activity, measured via feather corticosterone, affects semen quality but not blood plasma prolactin in the capercaillie (Tetrao urogallus L.). Eur J Wildl Res. 2025;71:23. https://doi.org/10.1007/s10344-025-01900-z. </w:t>
        </w:r>
      </w:hyperlink>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29">
        <w:r w:rsidDel="00000000" w:rsidR="00000000" w:rsidRPr="00000000">
          <w:rPr>
            <w:color w:val="434343"/>
            <w:sz w:val="20"/>
            <w:szCs w:val="20"/>
            <w:rtl w:val="0"/>
          </w:rPr>
          <w:t xml:space="preserve">36. Li M, Zhu W, Wang Y, Sun Y, Li J, Liu X, et al. Effects of capture and captivity on plasma corticosterone and metabolite levels in breeding Eurasian Tree Sparrows. Avian Res. 2019;10:16. https://doi.org/10.1186/s40657-019-0155-8. </w:t>
        </w:r>
      </w:hyperlink>
      <w:r w:rsidDel="00000000" w:rsidR="00000000" w:rsidRPr="00000000">
        <w:rPr>
          <w:rtl w:val="0"/>
        </w:rPr>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0">
        <w:r w:rsidDel="00000000" w:rsidR="00000000" w:rsidRPr="00000000">
          <w:rPr>
            <w:color w:val="434343"/>
            <w:sz w:val="20"/>
            <w:szCs w:val="20"/>
            <w:rtl w:val="0"/>
          </w:rPr>
          <w:t xml:space="preserve">37. Bartoš L, Schams D, Bubenik GA, Kotrba R, Tománek M. Relationship between rank and plasma testosterone and cortisol in red deer males (</w:t>
        </w:r>
      </w:hyperlink>
      <w:hyperlink r:id="rId131">
        <w:r w:rsidDel="00000000" w:rsidR="00000000" w:rsidRPr="00000000">
          <w:rPr>
            <w:i w:val="1"/>
            <w:iCs w:val="1"/>
            <w:color w:val="434343"/>
            <w:sz w:val="20"/>
            <w:szCs w:val="20"/>
            <w:rtl w:val="0"/>
          </w:rPr>
          <w:t xml:space="preserve">Cervus elaphus</w:t>
        </w:r>
      </w:hyperlink>
      <w:hyperlink r:id="rId132">
        <w:r w:rsidDel="00000000" w:rsidR="00000000" w:rsidRPr="00000000">
          <w:rPr>
            <w:color w:val="434343"/>
            <w:sz w:val="20"/>
            <w:szCs w:val="20"/>
            <w:rtl w:val="0"/>
          </w:rPr>
          <w:t xml:space="preserve">). Physiol Behav. 2010;101:628–34. https://doi.org/10.1016/j.physbeh.2010.09.011. </w:t>
        </w:r>
      </w:hyperlink>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3">
        <w:r w:rsidDel="00000000" w:rsidR="00000000" w:rsidRPr="00000000">
          <w:rPr>
            <w:color w:val="434343"/>
            <w:sz w:val="20"/>
            <w:szCs w:val="20"/>
            <w:rtl w:val="0"/>
          </w:rPr>
          <w:t xml:space="preserve">38. Nouri M-Z, Kroll KJ, Webb M, Denslow ND. Quantification of steroid hormones in low volume plasma and tissue homogenates of fish using LC-MS/MS. Gen Comp Endocrinol. 2020;296:113543. https://doi.org/10.1016/j.ygcen.2020.113543. </w:t>
        </w:r>
      </w:hyperlink>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4">
        <w:r w:rsidDel="00000000" w:rsidR="00000000" w:rsidRPr="00000000">
          <w:rPr>
            <w:color w:val="434343"/>
            <w:sz w:val="20"/>
            <w:szCs w:val="20"/>
            <w:rtl w:val="0"/>
          </w:rPr>
          <w:t xml:space="preserve">39. Toue S, Kodama R, Amao M, Kawamata Y, Kimura T, Sakai R. Screening of Toxicity Biomarkers for Methionine Excess in Rats1. J Nutr. 2006;136:1716S-1721S. https://doi.org/10.1093/jn/136.6.1716S. </w:t>
        </w:r>
      </w:hyperlink>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5">
        <w:r w:rsidDel="00000000" w:rsidR="00000000" w:rsidRPr="00000000">
          <w:rPr>
            <w:color w:val="434343"/>
            <w:sz w:val="20"/>
            <w:szCs w:val="20"/>
            <w:rtl w:val="0"/>
          </w:rPr>
          <w:t xml:space="preserve">40. Xie M, Hou SS, Huang W, Fan HP. Effect of Excess Methionine and Methionine Hydroxy Analogue on Growth Performance and Plasma Homocysteine of Growing Pekin Ducks. Poult Sci. 2007;86:1995–9. https://doi.org/10.1093/ps/86.9.1995. </w:t>
        </w:r>
      </w:hyperlink>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6">
        <w:r w:rsidDel="00000000" w:rsidR="00000000" w:rsidRPr="00000000">
          <w:rPr>
            <w:color w:val="434343"/>
            <w:sz w:val="20"/>
            <w:szCs w:val="20"/>
            <w:rtl w:val="0"/>
          </w:rPr>
          <w:t xml:space="preserve">41. Leschke DH, Muir GS, Hodgson JK, Coyle M, Horn R, Bertin F. Immunoreactive insulin stability in horses at risk of insulin dysregulation. J Vet Intern Med. 2019;33:2746–51. https://doi.org/10.1111/jvim.15629. </w:t>
        </w:r>
      </w:hyperlink>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7">
        <w:r w:rsidDel="00000000" w:rsidR="00000000" w:rsidRPr="00000000">
          <w:rPr>
            <w:color w:val="434343"/>
            <w:sz w:val="20"/>
            <w:szCs w:val="20"/>
            <w:rtl w:val="0"/>
          </w:rPr>
          <w:t xml:space="preserve">42. Biancotto A, Feng X, Langweiler M, Young NS, Philip McCoy J. Effect of anticoagulants on multiplexed measurement of cytokine/chemokines in healthy subjects. Cytokine. 2012;60:438–46. https://doi.org/10.1016/j.cyto.2012.05.019. </w:t>
        </w:r>
      </w:hyperlink>
      <w:r w:rsidDel="00000000" w:rsidR="00000000" w:rsidRPr="00000000">
        <w:rPr>
          <w:rtl w:val="0"/>
        </w:rPr>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8">
        <w:r w:rsidDel="00000000" w:rsidR="00000000" w:rsidRPr="00000000">
          <w:rPr>
            <w:color w:val="434343"/>
            <w:sz w:val="20"/>
            <w:szCs w:val="20"/>
            <w:rtl w:val="0"/>
          </w:rPr>
          <w:t xml:space="preserve">43. Lin HT, Hsu CH, Tsai HJ, Lin CH, Lo PY, Wang SL, et al. Influenza A plasma and serum virus antibody detection comparison in dogs using blocking enzyme-linked immunosorbent assay. Vet World. 2015;8:580–3. https://doi.org/10.14202/vetworld.2015.580-583. </w:t>
        </w:r>
      </w:hyperlink>
      <w:r w:rsidDel="00000000" w:rsidR="00000000" w:rsidRPr="00000000">
        <w:rPr>
          <w:rtl w:val="0"/>
        </w:rPr>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39">
        <w:r w:rsidDel="00000000" w:rsidR="00000000" w:rsidRPr="00000000">
          <w:rPr>
            <w:color w:val="434343"/>
            <w:sz w:val="20"/>
            <w:szCs w:val="20"/>
            <w:rtl w:val="0"/>
          </w:rPr>
          <w:t xml:space="preserve">44. Su R, Wu Y, Huang Q, Huang S, Li Y, Chen C, et al. Effects of Blood Collection Tubes on the Quantification of Catecholamines and Their O‐Methylated Metabolites by Liquid Chromatography Coupled With Tandem Mass Spectrometry. J Clin Lab Anal. 2024;38:e25107. https://doi.org/10.1002/jcla.25107. </w:t>
        </w:r>
      </w:hyperlink>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0">
        <w:r w:rsidDel="00000000" w:rsidR="00000000" w:rsidRPr="00000000">
          <w:rPr>
            <w:color w:val="434343"/>
            <w:sz w:val="20"/>
            <w:szCs w:val="20"/>
            <w:rtl w:val="0"/>
          </w:rPr>
          <w:t xml:space="preserve">45. Corn JL, Mertins JW, Hanson B, Snow S. First Reports of Ectoparasites Collected From Wild-Caught Exotic Reptiles in Florida. J Med Entomol. 2011;48:94–100. https://doi.org/10.1603/ME10065. </w:t>
        </w:r>
      </w:hyperlink>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1">
        <w:r w:rsidDel="00000000" w:rsidR="00000000" w:rsidRPr="00000000">
          <w:rPr>
            <w:color w:val="434343"/>
            <w:sz w:val="20"/>
            <w:szCs w:val="20"/>
            <w:rtl w:val="0"/>
          </w:rPr>
          <w:t xml:space="preserve">46. Lim ZX, Hitch AT, Lee BPY-H, Low DHW, Neves ES, Borthwick SA, et al. Ecology of bat flies in Singapore: A study on the diversity, infestation bias and host specificity (Diptera: Nycteribiidae). Int J Parasitol Parasites Wildl. 2020;12:29–33. https://doi.org/10.1016/j.ijppaw.2020.04.010. </w:t>
        </w:r>
      </w:hyperlink>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2">
        <w:r w:rsidDel="00000000" w:rsidR="00000000" w:rsidRPr="00000000">
          <w:rPr>
            <w:color w:val="434343"/>
            <w:sz w:val="20"/>
            <w:szCs w:val="20"/>
            <w:rtl w:val="0"/>
          </w:rPr>
          <w:t xml:space="preserve">47. Lutz HL, Tkach VV, Weckstein JD. Methods for Specimen-based Studies of Avian Symbionts. In: The extended specimen: emerging frontiers in collections-based ornithological research. CRC Press; 2021. </w:t>
        </w:r>
      </w:hyperlink>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3">
        <w:r w:rsidDel="00000000" w:rsidR="00000000" w:rsidRPr="00000000">
          <w:rPr>
            <w:color w:val="434343"/>
            <w:sz w:val="20"/>
            <w:szCs w:val="20"/>
            <w:rtl w:val="0"/>
          </w:rPr>
          <w:t xml:space="preserve">48. Andrianiaina AF, Andry S, Kettenburg G, Ranaivoson HC, Lacoste V, Dussart P, et al. Diversity and seasonality of ectoparasite burden on two species of Madagascar fruit bat, Eidolon dupreanum and Rousettus madagascariensis. Parasit Vectors. 2025;18:302. https://doi.org/10.1186/s13071-025-06805-z. </w:t>
        </w:r>
      </w:hyperlink>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4">
        <w:r w:rsidDel="00000000" w:rsidR="00000000" w:rsidRPr="00000000">
          <w:rPr>
            <w:color w:val="434343"/>
            <w:sz w:val="20"/>
            <w:szCs w:val="20"/>
            <w:rtl w:val="0"/>
          </w:rPr>
          <w:t xml:space="preserve">49. Brook CE, Bai Y, Yu EO, Ranaivoson HC, Shin H, Dobson AP, et al. Elucidating transmission dynamics and host-parasite-vector relationships for rodent-borne </w:t>
        </w:r>
      </w:hyperlink>
      <w:hyperlink r:id="rId145">
        <w:r w:rsidDel="00000000" w:rsidR="00000000" w:rsidRPr="00000000">
          <w:rPr>
            <w:i w:val="1"/>
            <w:iCs w:val="1"/>
            <w:color w:val="434343"/>
            <w:sz w:val="20"/>
            <w:szCs w:val="20"/>
            <w:rtl w:val="0"/>
          </w:rPr>
          <w:t xml:space="preserve">Bartonella</w:t>
        </w:r>
      </w:hyperlink>
      <w:hyperlink r:id="rId146">
        <w:r w:rsidDel="00000000" w:rsidR="00000000" w:rsidRPr="00000000">
          <w:rPr>
            <w:color w:val="434343"/>
            <w:sz w:val="20"/>
            <w:szCs w:val="20"/>
            <w:rtl w:val="0"/>
          </w:rPr>
          <w:t xml:space="preserve"> spp. in Madagascar. Epidemics. 2017;20:56–66. https://doi.org/10.1016/j.epidem.2017.03.004. </w:t>
        </w:r>
      </w:hyperlink>
      <w:r w:rsidDel="00000000" w:rsidR="00000000" w:rsidRPr="00000000">
        <w:rPr>
          <w:rtl w:val="0"/>
        </w:rPr>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7">
        <w:r w:rsidDel="00000000" w:rsidR="00000000" w:rsidRPr="00000000">
          <w:rPr>
            <w:color w:val="434343"/>
            <w:sz w:val="20"/>
            <w:szCs w:val="20"/>
            <w:rtl w:val="0"/>
          </w:rPr>
          <w:t xml:space="preserve">50. Clayton DH, Koop JAH, Harbison CW, Moyer BR, Bush SE. How Birds Combat Ectoparasites. Open Ornithol J. 2010;3:41–71. </w:t>
        </w:r>
      </w:hyperlink>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8">
        <w:r w:rsidDel="00000000" w:rsidR="00000000" w:rsidRPr="00000000">
          <w:rPr>
            <w:color w:val="434343"/>
            <w:sz w:val="20"/>
            <w:szCs w:val="20"/>
            <w:rtl w:val="0"/>
          </w:rPr>
          <w:t xml:space="preserve">51. Gómez-Arreaza A, Haenni A-L, Dunia I, Avilán L. Viruses of parasites as actors in the parasite-host relationship: A “ménage à trois.” Acta Trop. 2017;166:126–32. https://doi.org/10.1016/j.actatropica.2016.11.028. </w:t>
        </w:r>
      </w:hyperlink>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49">
        <w:r w:rsidDel="00000000" w:rsidR="00000000" w:rsidRPr="00000000">
          <w:rPr>
            <w:color w:val="434343"/>
            <w:sz w:val="20"/>
            <w:szCs w:val="20"/>
            <w:rtl w:val="0"/>
          </w:rPr>
          <w:t xml:space="preserve">52. Li K, Stanojević M, Stamenković G, Ilić B, Paunović M, Lu M, et al. Insight into diversity of bacteria belonging to the order Rickettsiales in 9 arthropods species collected in Serbia. Sci Rep. 2019;9:18680. https://doi.org/10.1038/s41598-019-55077-y. </w:t>
        </w:r>
      </w:hyperlink>
      <w:r w:rsidDel="00000000" w:rsidR="00000000" w:rsidRPr="00000000">
        <w:rPr>
          <w:rtl w:val="0"/>
        </w:rPr>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0">
        <w:r w:rsidDel="00000000" w:rsidR="00000000" w:rsidRPr="00000000">
          <w:rPr>
            <w:color w:val="434343"/>
            <w:sz w:val="20"/>
            <w:szCs w:val="20"/>
            <w:rtl w:val="0"/>
          </w:rPr>
          <w:t xml:space="preserve">53. Martyn C, Hayes BM, Lauko D, Midthun E, Castaneda G, Bosco-Lauth A, et al. Metatranscriptomic investigation of single Ixodes pacificus ticks reveals diverse microbes, viruses, and novel mRNA-like endogenous viral elements. mSystems. 2024;9:e00321-24. https://doi.org/10.1128/msystems.00321-24. </w:t>
        </w:r>
      </w:hyperlink>
      <w:r w:rsidDel="00000000" w:rsidR="00000000" w:rsidRPr="00000000">
        <w:rPr>
          <w:rtl w:val="0"/>
        </w:rPr>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1">
        <w:r w:rsidDel="00000000" w:rsidR="00000000" w:rsidRPr="00000000">
          <w:rPr>
            <w:color w:val="434343"/>
            <w:sz w:val="20"/>
            <w:szCs w:val="20"/>
            <w:rtl w:val="0"/>
          </w:rPr>
          <w:t xml:space="preserve">54. Galbreath KE, Hoberg EP, Cook JA, Armién B, Bell KC, Campbell ML, et al. Building an integrated infrastructure for exploring biodiversity: field collections and archives of mammals and parasites. J Mammal. 2019;100:382–93. https://doi.org/10.1093/jmammal/gyz048. </w:t>
        </w:r>
      </w:hyperlink>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2">
        <w:r w:rsidDel="00000000" w:rsidR="00000000" w:rsidRPr="00000000">
          <w:rPr>
            <w:color w:val="434343"/>
            <w:sz w:val="20"/>
            <w:szCs w:val="20"/>
            <w:rtl w:val="0"/>
          </w:rPr>
          <w:t xml:space="preserve">55. Stein ED, White BP, Mazor RD, Miller PE, Pilgrim EM. Evaluating Ethanol-based Sample Preservation to Facilitate Use of DNA Barcoding in Routine Freshwater Biomonitoring Programs Using Benthic Macroinvertebrates. PLOS ONE. 2013;8:e51273. https://doi.org/10.1371/journal.pone.0051273. </w:t>
        </w:r>
      </w:hyperlink>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3">
        <w:r w:rsidDel="00000000" w:rsidR="00000000" w:rsidRPr="00000000">
          <w:rPr>
            <w:color w:val="434343"/>
            <w:sz w:val="20"/>
            <w:szCs w:val="20"/>
            <w:rtl w:val="0"/>
          </w:rPr>
          <w:t xml:space="preserve">56. Marquina D, Buczek M, Ronquist F, Łukasik P. The effect of ethanol concentration on the morphological and molecular preservation of insects for biodiversity studies. PeerJ. 2021;9:e10799. https://doi.org/10.7717/peerj.10799. </w:t>
        </w:r>
      </w:hyperlink>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4">
        <w:r w:rsidDel="00000000" w:rsidR="00000000" w:rsidRPr="00000000">
          <w:rPr>
            <w:color w:val="434343"/>
            <w:sz w:val="20"/>
            <w:szCs w:val="20"/>
            <w:rtl w:val="0"/>
          </w:rPr>
          <w:t xml:space="preserve">57. Gil-Jiménez E, Mateo R, de Lucas M, Ferrer M. Feathers and hair as tools for non-destructive pollution exposure assessment in a mining site of the Iberian Pyrite Belt. Environ Pollut. 2020;263:114523. https://doi.org/10.1016/j.envpol.2020.114523. </w:t>
        </w:r>
      </w:hyperlink>
      <w:r w:rsidDel="00000000" w:rsidR="00000000" w:rsidRPr="00000000">
        <w:rPr>
          <w:rtl w:val="0"/>
        </w:rPr>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5">
        <w:r w:rsidDel="00000000" w:rsidR="00000000" w:rsidRPr="00000000">
          <w:rPr>
            <w:color w:val="434343"/>
            <w:sz w:val="20"/>
            <w:szCs w:val="20"/>
            <w:rtl w:val="0"/>
          </w:rPr>
          <w:t xml:space="preserve">58. Lodenius M, Solonen T. The use of feathers of birds of prey as indicators of metal pollution. Ecotoxicology. 2013;22:1319–34. https://doi.org/10.1007/s10646-013-1128-z. </w:t>
        </w:r>
      </w:hyperlink>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6">
        <w:r w:rsidDel="00000000" w:rsidR="00000000" w:rsidRPr="00000000">
          <w:rPr>
            <w:color w:val="434343"/>
            <w:sz w:val="20"/>
            <w:szCs w:val="20"/>
            <w:rtl w:val="0"/>
          </w:rPr>
          <w:t xml:space="preserve">59. Deme S, Yeung LY, Sun T, Lee C-TA. Stable isotope (C, N, O, and H) study of a comprehensive set of feathers from two Setophaga citrina. PLOS ONE. 2021;16:e0236536. https://doi.org/10.1371/journal.pone.0236536. </w:t>
        </w:r>
      </w:hyperlink>
      <w:r w:rsidDel="00000000" w:rsidR="00000000" w:rsidRPr="00000000">
        <w:rPr>
          <w:rtl w:val="0"/>
        </w:rPr>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7">
        <w:r w:rsidDel="00000000" w:rsidR="00000000" w:rsidRPr="00000000">
          <w:rPr>
            <w:color w:val="434343"/>
            <w:sz w:val="20"/>
            <w:szCs w:val="20"/>
            <w:rtl w:val="0"/>
          </w:rPr>
          <w:t xml:space="preserve">60. Quillfeldt P, Bugoni L, McGill RAR, Masello JF, Furness RW. Differences in stable isotopes in blood and feathers of seabirds are consistent across species, age and latitude: implications for food web studies. Mar Biol. 2008;155:593–8. https://doi.org/10.1007/s00227-008-1048-2. </w:t>
        </w:r>
      </w:hyperlink>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8">
        <w:r w:rsidDel="00000000" w:rsidR="00000000" w:rsidRPr="00000000">
          <w:rPr>
            <w:color w:val="434343"/>
            <w:sz w:val="20"/>
            <w:szCs w:val="20"/>
            <w:rtl w:val="0"/>
          </w:rPr>
          <w:t xml:space="preserve">61. White AF, Dawson RD. Can diet composition estimates using stable isotope analysis of feathers predict growth and condition in nestling mountain bluebirds (Sialia currucoides)? Ecol Evol. 2021;11:15273–88. https://doi.org/10.1002/ece3.8210. </w:t>
        </w:r>
      </w:hyperlink>
      <w:r w:rsidDel="00000000" w:rsidR="00000000" w:rsidRPr="00000000">
        <w:rPr>
          <w:rtl w:val="0"/>
        </w:rPr>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59">
        <w:r w:rsidDel="00000000" w:rsidR="00000000" w:rsidRPr="00000000">
          <w:rPr>
            <w:color w:val="434343"/>
            <w:sz w:val="20"/>
            <w:szCs w:val="20"/>
            <w:rtl w:val="0"/>
          </w:rPr>
          <w:t xml:space="preserve">62. Boyle SA, de la Sancha NU, Pérez P, Kabelik D. Small mammal glucocorticoid concentrations vary with forest fragment size, trap type, and mammal taxa in the Interior Atlantic Forest. Sci Rep. 2021;11:2111. https://doi.org/10.1038/s41598-021-81073-2. </w:t>
        </w:r>
      </w:hyperlink>
      <w:r w:rsidDel="00000000" w:rsidR="00000000" w:rsidRPr="00000000">
        <w:rPr>
          <w:rtl w:val="0"/>
        </w:rPr>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0">
        <w:r w:rsidDel="00000000" w:rsidR="00000000" w:rsidRPr="00000000">
          <w:rPr>
            <w:color w:val="434343"/>
            <w:sz w:val="20"/>
            <w:szCs w:val="20"/>
            <w:rtl w:val="0"/>
          </w:rPr>
          <w:t xml:space="preserve">63. Leishman EM, Freeman NE, Newman AEM, van Staaveren N, Wood BJ, Harlander-Matauschek A, et al. Research Note: Quantifying corticosterone in turkey (</w:t>
        </w:r>
      </w:hyperlink>
      <w:hyperlink r:id="rId161">
        <w:r w:rsidDel="00000000" w:rsidR="00000000" w:rsidRPr="00000000">
          <w:rPr>
            <w:i w:val="1"/>
            <w:iCs w:val="1"/>
            <w:color w:val="434343"/>
            <w:sz w:val="20"/>
            <w:szCs w:val="20"/>
            <w:rtl w:val="0"/>
          </w:rPr>
          <w:t xml:space="preserve">Meleagris gallopavo</w:t>
        </w:r>
      </w:hyperlink>
      <w:hyperlink r:id="rId162">
        <w:r w:rsidDel="00000000" w:rsidR="00000000" w:rsidRPr="00000000">
          <w:rPr>
            <w:color w:val="434343"/>
            <w:sz w:val="20"/>
            <w:szCs w:val="20"/>
            <w:rtl w:val="0"/>
          </w:rPr>
          <w:t xml:space="preserve">) feathers using ELISA. Poult Sci. 2020;99:5261–4. https://doi.org/10.1016/j.psj.2020.06.075. </w:t>
        </w:r>
      </w:hyperlink>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3">
        <w:r w:rsidDel="00000000" w:rsidR="00000000" w:rsidRPr="00000000">
          <w:rPr>
            <w:color w:val="434343"/>
            <w:sz w:val="20"/>
            <w:szCs w:val="20"/>
            <w:rtl w:val="0"/>
          </w:rPr>
          <w:t xml:space="preserve">64. Sandoval-Herrera NI, Mastromonaco GF, Becker DJ, Simmons NB, Welch KC Jr. Inter- and intra-specific variation in hair cortisol concentrations of Neotropical bats. Conserv Physiol. 2021;9:coab053. https://doi.org/10.1093/conphys/coab053. </w:t>
        </w:r>
      </w:hyperlink>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4">
        <w:r w:rsidDel="00000000" w:rsidR="00000000" w:rsidRPr="00000000">
          <w:rPr>
            <w:color w:val="434343"/>
            <w:sz w:val="20"/>
            <w:szCs w:val="20"/>
            <w:rtl w:val="0"/>
          </w:rPr>
          <w:t xml:space="preserve">65. Crumsey JM, Searle JB, Sparks JP. Isotope values of California vole (Microtus californicus) hair relate to historical drought and land use patterns in California, USA. Oecologia. 2019;190:769–81. https://doi.org/10.1007/s00442-019-04457-2. </w:t>
        </w:r>
      </w:hyperlink>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5">
        <w:r w:rsidDel="00000000" w:rsidR="00000000" w:rsidRPr="00000000">
          <w:rPr>
            <w:color w:val="434343"/>
            <w:sz w:val="20"/>
            <w:szCs w:val="20"/>
            <w:rtl w:val="0"/>
          </w:rPr>
          <w:t xml:space="preserve">66. English PA, Green DJ, Nocera JJ. Stable Isotopes from Museum Specimens May Provide Evidence of Long-Term Change in the Trophic Ecology of a Migratory Aerial Insectivore. Front Ecol Evol. 2018;6. https://doi.org/10.3389/fevo.2018.00014. </w:t>
        </w:r>
      </w:hyperlink>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6">
        <w:r w:rsidDel="00000000" w:rsidR="00000000" w:rsidRPr="00000000">
          <w:rPr>
            <w:color w:val="434343"/>
            <w:sz w:val="20"/>
            <w:szCs w:val="20"/>
            <w:rtl w:val="0"/>
          </w:rPr>
          <w:t xml:space="preserve">67. Mora A. Stable carbon and nitrogen isotope analysis of archaeological human hair: Reconstructing diet and health of ancient individuals. J Archaeol Sci Rep. 2022;43:103439. https://doi.org/10.1016/j.jasrep.2022.103439. </w:t>
        </w:r>
      </w:hyperlink>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7">
        <w:r w:rsidDel="00000000" w:rsidR="00000000" w:rsidRPr="00000000">
          <w:rPr>
            <w:color w:val="434343"/>
            <w:sz w:val="20"/>
            <w:szCs w:val="20"/>
            <w:rtl w:val="0"/>
          </w:rPr>
          <w:t xml:space="preserve">68. Fakayode SO, Quinn A, Manoylov K, Kleider C, Bolton B, Brown S, et al. Use of natural history museum ungulate specimen hair as biomarkers for environmental trace element contamination. Environ Sci Pollut Res Int. 2024;31:66103–19. https://doi.org/10.1007/s11356-024-35676-7. </w:t>
        </w:r>
      </w:hyperlink>
      <w:r w:rsidDel="00000000" w:rsidR="00000000" w:rsidRPr="00000000">
        <w:rPr>
          <w:rtl w:val="0"/>
        </w:rPr>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8">
        <w:r w:rsidDel="00000000" w:rsidR="00000000" w:rsidRPr="00000000">
          <w:rPr>
            <w:color w:val="434343"/>
            <w:sz w:val="20"/>
            <w:szCs w:val="20"/>
            <w:rtl w:val="0"/>
          </w:rPr>
          <w:t xml:space="preserve">69. Stewart ND, Reilly A, Gilman C, Mastromonaco GF, Burness G. Evidence of degradation of hair corticosterone in museum specimens. Gen Comp Endocrinol. 2018;268:128–33. https://doi.org/10.1016/j.ygcen.2018.08.011. </w:t>
        </w:r>
      </w:hyperlink>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69">
        <w:r w:rsidDel="00000000" w:rsidR="00000000" w:rsidRPr="00000000">
          <w:rPr>
            <w:color w:val="434343"/>
            <w:sz w:val="20"/>
            <w:szCs w:val="20"/>
            <w:rtl w:val="0"/>
          </w:rPr>
          <w:t xml:space="preserve">70. Talbott K. A night at the museum takes us back to the future! – ScIU. 2019. https://blogs.iu.edu/sciu/2019/04/09/night-at-the-museum/. Accessed 24 Feb 2025. </w:t>
        </w:r>
      </w:hyperlink>
      <w:r w:rsidDel="00000000" w:rsidR="00000000" w:rsidRPr="00000000">
        <w:rPr>
          <w:rtl w:val="0"/>
        </w:rPr>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0">
        <w:r w:rsidDel="00000000" w:rsidR="00000000" w:rsidRPr="00000000">
          <w:rPr>
            <w:color w:val="434343"/>
            <w:sz w:val="20"/>
            <w:szCs w:val="20"/>
            <w:rtl w:val="0"/>
          </w:rPr>
          <w:t xml:space="preserve">71. Colella JP, Bates J, Burneo SF, Camacho MA, Bonilla CC, Constable I, et al. Leveraging natural history biorepositories as a global, decentralized, pathogen surveillance network. PLOS Pathog. 2021;17:e1009583. https://doi.org/10.1371/journal.ppat.1009583. </w:t>
        </w:r>
      </w:hyperlink>
      <w:r w:rsidDel="00000000" w:rsidR="00000000" w:rsidRPr="00000000">
        <w:rPr>
          <w:rtl w:val="0"/>
        </w:rPr>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1">
        <w:r w:rsidDel="00000000" w:rsidR="00000000" w:rsidRPr="00000000">
          <w:rPr>
            <w:color w:val="434343"/>
            <w:sz w:val="20"/>
            <w:szCs w:val="20"/>
            <w:rtl w:val="0"/>
          </w:rPr>
          <w:t xml:space="preserve">72. Cook JA, Arai S, Armién B, Bates J, Bonilla CAC, Cortez MB de S, et al. Integrating Biodiversity Infrastructure into Pathogen Discovery and Mitigation of Emerging Infectious Diseases. BioScience. 2020;70:531–4. https://doi.org/10.1093/biosci/biaa064. </w:t>
        </w:r>
      </w:hyperlink>
      <w:r w:rsidDel="00000000" w:rsidR="00000000" w:rsidRPr="00000000">
        <w:rPr>
          <w:rtl w:val="0"/>
        </w:rPr>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2">
        <w:r w:rsidDel="00000000" w:rsidR="00000000" w:rsidRPr="00000000">
          <w:rPr>
            <w:color w:val="434343"/>
            <w:sz w:val="20"/>
            <w:szCs w:val="20"/>
            <w:rtl w:val="0"/>
          </w:rPr>
          <w:t xml:space="preserve">73. Camacho-Sanchez M, Burraco P, Gomez-Mestre I, Leonard JA. Preservation of RNA and DNA from mammal samples under field conditions. Mol Ecol Resour. 2013;13:663–73. https://doi.org/10.1111/1755-0998.12108. </w:t>
        </w:r>
      </w:hyperlink>
      <w:r w:rsidDel="00000000" w:rsidR="00000000" w:rsidRPr="00000000">
        <w:rPr>
          <w:rtl w:val="0"/>
        </w:rPr>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3">
        <w:r w:rsidDel="00000000" w:rsidR="00000000" w:rsidRPr="00000000">
          <w:rPr>
            <w:color w:val="434343"/>
            <w:sz w:val="20"/>
            <w:szCs w:val="20"/>
            <w:rtl w:val="0"/>
          </w:rPr>
          <w:t xml:space="preserve">74. Kasahara T, Miyazaki T, Nitta H, Ono A, Miyagishima T, Nagao T, et al. Evaluation of Methods for Duration of Preservation of Rna Quality in Rat Liver Used for Transcriptome Analysis. J Toxicol Sci. 2006;31:509–19. https://doi.org/10.2131/jts.31.509. </w:t>
        </w:r>
      </w:hyperlink>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4">
        <w:r w:rsidDel="00000000" w:rsidR="00000000" w:rsidRPr="00000000">
          <w:rPr>
            <w:color w:val="434343"/>
            <w:sz w:val="20"/>
            <w:szCs w:val="20"/>
            <w:rtl w:val="0"/>
          </w:rPr>
          <w:t xml:space="preserve">75. Onyuok SO, Hu B, Li B, Fan Y, Kering K, Ochola GO, et al. Molecular Detection and Genetic Characterization of Novel RNA Viruses in Wild and Synanthropic Rodents and Shrews in Kenya. Front Microbiol. 2019;10. https://doi.org/10.3389/fmicb.2019.02696. </w:t>
        </w:r>
      </w:hyperlink>
      <w:r w:rsidDel="00000000" w:rsidR="00000000" w:rsidRPr="00000000">
        <w:rPr>
          <w:rtl w:val="0"/>
        </w:rPr>
      </w:r>
    </w:p>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5">
        <w:r w:rsidDel="00000000" w:rsidR="00000000" w:rsidRPr="00000000">
          <w:rPr>
            <w:color w:val="434343"/>
            <w:sz w:val="20"/>
            <w:szCs w:val="20"/>
            <w:rtl w:val="0"/>
          </w:rPr>
          <w:t xml:space="preserve">76. Salis AT, Watson Z, Forcellati M, Ali N, Karmakar S, Kaur J, et al. Unrecognised DNA Degradation in Flash-Frozen Genetic Samples in Natural History Collections. Mol Ecol Resour. 2025;25:e14121. https://doi.org/10.1111/1755-0998.14121. </w:t>
        </w:r>
      </w:hyperlink>
      <w:r w:rsidDel="00000000" w:rsidR="00000000" w:rsidRPr="00000000">
        <w:rPr>
          <w:rtl w:val="0"/>
        </w:rPr>
      </w:r>
    </w:p>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6">
        <w:r w:rsidDel="00000000" w:rsidR="00000000" w:rsidRPr="00000000">
          <w:rPr>
            <w:color w:val="434343"/>
            <w:sz w:val="20"/>
            <w:szCs w:val="20"/>
            <w:rtl w:val="0"/>
          </w:rPr>
          <w:t xml:space="preserve">77. Ingala MR, Simmons NB, Wultsch C, Krampis K, Speer KA, Perkins SL. Comparing Microbiome Sampling Methods in a Wild Mammal: Fecal and Intestinal Samples Record Different Signals of Host Ecology, Evolution. Front Microbiol. 2018;9:803. https://doi.org/10.3389/fmicb.2018.00803. </w:t>
        </w:r>
      </w:hyperlink>
      <w:r w:rsidDel="00000000" w:rsidR="00000000" w:rsidRPr="00000000">
        <w:rPr>
          <w:rtl w:val="0"/>
        </w:rPr>
      </w:r>
    </w:p>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7">
        <w:r w:rsidDel="00000000" w:rsidR="00000000" w:rsidRPr="00000000">
          <w:rPr>
            <w:color w:val="434343"/>
            <w:sz w:val="20"/>
            <w:szCs w:val="20"/>
            <w:rtl w:val="0"/>
          </w:rPr>
          <w:t xml:space="preserve">78. Li X, Li Y, Nie X, Zhu C, Luo Q, Laghi L, et al. Metabolomic Analysis of Feces vs. Cecum Content in Animals: A Comparative Study Investigated by 1H-NMR. Metabolites. 2025;15:565. https://doi.org/10.3390/metabo15090565. </w:t>
        </w:r>
      </w:hyperlink>
      <w:r w:rsidDel="00000000" w:rsidR="00000000" w:rsidRPr="00000000">
        <w:rPr>
          <w:rtl w:val="0"/>
        </w:rPr>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8">
        <w:r w:rsidDel="00000000" w:rsidR="00000000" w:rsidRPr="00000000">
          <w:rPr>
            <w:color w:val="434343"/>
            <w:sz w:val="20"/>
            <w:szCs w:val="20"/>
            <w:rtl w:val="0"/>
          </w:rPr>
          <w:t xml:space="preserve">79. Dahn HA, Mountcastle J, Balacco J, Winkler S, Bista I, Schmitt AD, et al. Benchmarking ultra-high molecular weight DNA preservation methods for long-read and long-range sequencing. GigaScience. 2022;11:giac068. https://doi.org/10.1093/gigascience/giac068. </w:t>
        </w:r>
      </w:hyperlink>
      <w:r w:rsidDel="00000000" w:rsidR="00000000" w:rsidRPr="00000000">
        <w:rPr>
          <w:rtl w:val="0"/>
        </w:rPr>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79">
        <w:r w:rsidDel="00000000" w:rsidR="00000000" w:rsidRPr="00000000">
          <w:rPr>
            <w:color w:val="434343"/>
            <w:sz w:val="20"/>
            <w:szCs w:val="20"/>
            <w:rtl w:val="0"/>
          </w:rPr>
          <w:t xml:space="preserve">80. Wong PB, Wiley EO, Johnson WE, Ryder OA, O’Brien SJ, Haussler D, et al. Tissue sampling methods and standards for vertebrate genomics. GigaScience. 2012;1:2047-217X-1–8. https://doi.org/10.1186/2047-217X-1-8. </w:t>
        </w:r>
      </w:hyperlink>
      <w:r w:rsidDel="00000000" w:rsidR="00000000" w:rsidRPr="00000000">
        <w:rPr>
          <w:rtl w:val="0"/>
        </w:rPr>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0">
        <w:r w:rsidDel="00000000" w:rsidR="00000000" w:rsidRPr="00000000">
          <w:rPr>
            <w:rFonts w:ascii="Nova Mono" w:cs="Nova Mono" w:eastAsia="Nova Mono" w:hAnsi="Nova Mono"/>
            <w:color w:val="434343"/>
            <w:sz w:val="20"/>
            <w:szCs w:val="20"/>
            <w:rtl w:val="0"/>
          </w:rPr>
          <w:t xml:space="preserve">81. Andreasson A, Kiss NB, Juhlin CC, Höög A. Long-Term Storage of Endocrine Tissues at −80°C Does Not Adversely Affect RNA Quality or Overall Histomorphology. Biopreservation Biobanking. 2013;11:366–70. https://doi.org/10.1089/bio.2013.0038. </w:t>
        </w:r>
      </w:hyperlink>
      <w:r w:rsidDel="00000000" w:rsidR="00000000" w:rsidRPr="00000000">
        <w:rPr>
          <w:rtl w:val="0"/>
        </w:rPr>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1">
        <w:r w:rsidDel="00000000" w:rsidR="00000000" w:rsidRPr="00000000">
          <w:rPr>
            <w:color w:val="434343"/>
            <w:sz w:val="20"/>
            <w:szCs w:val="20"/>
            <w:rtl w:val="0"/>
          </w:rPr>
          <w:t xml:space="preserve">82. Islam S, Kangoyé NM, Velasco-Villa A, Diallo AH, Katani R, Escobar LE. A field guide for sampling bats (Chiroptera) for eco-epidemiological studies. Front Vet Sci. 2025;12. https://doi.org/10.3389/fvets.2025.1605150. </w:t>
        </w:r>
      </w:hyperlink>
      <w:r w:rsidDel="00000000" w:rsidR="00000000" w:rsidRPr="00000000">
        <w:rPr>
          <w:rtl w:val="0"/>
        </w:rPr>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2">
        <w:r w:rsidDel="00000000" w:rsidR="00000000" w:rsidRPr="00000000">
          <w:rPr>
            <w:color w:val="434343"/>
            <w:sz w:val="20"/>
            <w:szCs w:val="20"/>
            <w:rtl w:val="0"/>
          </w:rPr>
          <w:t xml:space="preserve">83. Frantzen MAJ, Silk JB, Ferguson JWH, Wayne RK, Kohn MH. Empirical evaluation of preservation methods for faecal DNA. Mol Ecol. 1998;7:1423–8. </w:t>
        </w:r>
      </w:hyperlink>
      <w:r w:rsidDel="00000000" w:rsidR="00000000" w:rsidRPr="00000000">
        <w:rPr>
          <w:rtl w:val="0"/>
        </w:rPr>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3">
        <w:r w:rsidDel="00000000" w:rsidR="00000000" w:rsidRPr="00000000">
          <w:rPr>
            <w:color w:val="434343"/>
            <w:sz w:val="20"/>
            <w:szCs w:val="20"/>
            <w:rtl w:val="0"/>
          </w:rPr>
          <w:t xml:space="preserve">84. Kilpatrick CW. Noncryogenic Preservation of Mammalian Tissues for DNA Extraction: An Assessment of Storage Methods. Biochem Genet. 2002;40:53–62. https://doi.org/10.1023/A:1014541222816. </w:t>
        </w:r>
      </w:hyperlink>
      <w:r w:rsidDel="00000000" w:rsidR="00000000" w:rsidRPr="00000000">
        <w:rPr>
          <w:rtl w:val="0"/>
        </w:rPr>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4">
        <w:r w:rsidDel="00000000" w:rsidR="00000000" w:rsidRPr="00000000">
          <w:rPr>
            <w:color w:val="434343"/>
            <w:sz w:val="20"/>
            <w:szCs w:val="20"/>
            <w:rtl w:val="0"/>
          </w:rPr>
          <w:t xml:space="preserve">85. Nagy ZT. A hands-on overview of tissue preservation methods for molecular genetic analyses. Org Divers Evol. 2010;10:91–105. https://doi.org/10.1007/s13127-010-0012-4. </w:t>
        </w:r>
      </w:hyperlink>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5">
        <w:r w:rsidDel="00000000" w:rsidR="00000000" w:rsidRPr="00000000">
          <w:rPr>
            <w:color w:val="434343"/>
            <w:sz w:val="20"/>
            <w:szCs w:val="20"/>
            <w:rtl w:val="0"/>
          </w:rPr>
          <w:t xml:space="preserve">86. Wilde THC, Shukla RK, Madden C, Vodovotz Y, Sharma A, McGraw WS, et al. Simian immunodeficiency virus and storage buffer: Field-friendly preservation methods for RNA viral detection in primate feces. mSphere. 2023;8:e00484-23. https://doi.org/10.1128/msphere.00484-23. </w:t>
        </w:r>
      </w:hyperlink>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6">
        <w:r w:rsidDel="00000000" w:rsidR="00000000" w:rsidRPr="00000000">
          <w:rPr>
            <w:color w:val="434343"/>
            <w:sz w:val="20"/>
            <w:szCs w:val="20"/>
            <w:rtl w:val="0"/>
          </w:rPr>
          <w:t xml:space="preserve">87. Clark J, McNally L, Little TJ. Pathogen Dynamics across the Diversity of Aging. Am Nat. 2021;197:203–15. https://doi.org/10.1086/712380. </w:t>
        </w:r>
      </w:hyperlink>
      <w:r w:rsidDel="00000000" w:rsidR="00000000" w:rsidRPr="00000000">
        <w:rPr>
          <w:rtl w:val="0"/>
        </w:rPr>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7">
        <w:r w:rsidDel="00000000" w:rsidR="00000000" w:rsidRPr="00000000">
          <w:rPr>
            <w:color w:val="434343"/>
            <w:sz w:val="20"/>
            <w:szCs w:val="20"/>
            <w:rtl w:val="0"/>
          </w:rPr>
          <w:t xml:space="preserve">88. Heisey DM, Joly DO, Messier F. The Fitting of General Force-of-Infection Models to Wildlife Disease Prevalence Data. Ecology. 2006;87:2356–65. https://doi.org/10.1890/0012-9658(2006)87%5B2356:TFOGFM%5D2.0.CO;2. </w:t>
        </w:r>
      </w:hyperlink>
      <w:r w:rsidDel="00000000" w:rsidR="00000000" w:rsidRPr="00000000">
        <w:rPr>
          <w:rtl w:val="0"/>
        </w:rPr>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8">
        <w:r w:rsidDel="00000000" w:rsidR="00000000" w:rsidRPr="00000000">
          <w:rPr>
            <w:color w:val="434343"/>
            <w:sz w:val="20"/>
            <w:szCs w:val="20"/>
            <w:rtl w:val="0"/>
          </w:rPr>
          <w:t xml:space="preserve">89. De Paoli-Iseppi R, Deagle BE, Polanowski AM, McMahon CR, Dickinson JL, Hindell MA, et al. Age estimation in a long-lived seabird (Ardenna tenuirostris) using DNA methylation-based biomarkers. Mol Ecol Resour. 2019;19:411–25. https://doi.org/10.1111/1755-0998.12981. </w:t>
        </w:r>
      </w:hyperlink>
      <w:r w:rsidDel="00000000" w:rsidR="00000000" w:rsidRPr="00000000">
        <w:rPr>
          <w:rtl w:val="0"/>
        </w:rPr>
      </w:r>
    </w:p>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89">
        <w:r w:rsidDel="00000000" w:rsidR="00000000" w:rsidRPr="00000000">
          <w:rPr>
            <w:color w:val="434343"/>
            <w:sz w:val="20"/>
            <w:szCs w:val="20"/>
            <w:rtl w:val="0"/>
          </w:rPr>
          <w:t xml:space="preserve">90. Haller A, Risse J, Sepers B, Oers K van. Independent avian epigenetic clocks for aging and development. 2024;:2024.09.20.614163. https://doi.org/10.1101/2024.09.20.614163. </w:t>
        </w:r>
      </w:hyperlink>
      <w:r w:rsidDel="00000000" w:rsidR="00000000" w:rsidRPr="00000000">
        <w:rPr>
          <w:rtl w:val="0"/>
        </w:rPr>
      </w:r>
    </w:p>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0">
        <w:r w:rsidDel="00000000" w:rsidR="00000000" w:rsidRPr="00000000">
          <w:rPr>
            <w:color w:val="434343"/>
            <w:sz w:val="20"/>
            <w:szCs w:val="20"/>
            <w:rtl w:val="0"/>
          </w:rPr>
          <w:t xml:space="preserve">91. Lu AT, Fei Z, Haghani A, Robeck TR, Zoller JA, Li CZ, et al. Universal DNA methylation age across mammalian tissues. Nat Aging. 2023;3:1144–66. https://doi.org/10.1038/s43587-023-00462-6. </w:t>
        </w:r>
      </w:hyperlink>
      <w:r w:rsidDel="00000000" w:rsidR="00000000" w:rsidRPr="00000000">
        <w:rPr>
          <w:rtl w:val="0"/>
        </w:rPr>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1">
        <w:r w:rsidDel="00000000" w:rsidR="00000000" w:rsidRPr="00000000">
          <w:rPr>
            <w:color w:val="434343"/>
            <w:sz w:val="20"/>
            <w:szCs w:val="20"/>
            <w:rtl w:val="0"/>
          </w:rPr>
          <w:t xml:space="preserve">92. Shealy EP, Schwartz TS, Cox RM, Reedy AM, Parrott BB. DNA methylation–based age prediction and sex-specific epigenetic aging in a lizard with female-biased longevity. Sci Adv. 2025;11:eadq3589. https://doi.org/10.1126/sciadv.adq3589. </w:t>
        </w:r>
      </w:hyperlink>
      <w:r w:rsidDel="00000000" w:rsidR="00000000" w:rsidRPr="00000000">
        <w:rPr>
          <w:rtl w:val="0"/>
        </w:rPr>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2">
        <w:r w:rsidDel="00000000" w:rsidR="00000000" w:rsidRPr="00000000">
          <w:rPr>
            <w:color w:val="434343"/>
            <w:sz w:val="20"/>
            <w:szCs w:val="20"/>
            <w:rtl w:val="0"/>
          </w:rPr>
          <w:t xml:space="preserve">93. Tangili M, Slettenhaar AJ, Sudyka J, Dugdale HL, Pen I, Palsbøll PJ, et al. DNA methylation markers of age(ing) in non-model animals. Mol Ecol. 2023;32:4725–41. https://doi.org/10.1111/mec.17065. </w:t>
        </w:r>
      </w:hyperlink>
      <w:r w:rsidDel="00000000" w:rsidR="00000000" w:rsidRPr="00000000">
        <w:rPr>
          <w:rtl w:val="0"/>
        </w:rPr>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3">
        <w:r w:rsidDel="00000000" w:rsidR="00000000" w:rsidRPr="00000000">
          <w:rPr>
            <w:color w:val="434343"/>
            <w:sz w:val="20"/>
            <w:szCs w:val="20"/>
            <w:rtl w:val="0"/>
          </w:rPr>
          <w:t xml:space="preserve">94. Zoller JA, Parasyraki E, Lu AT, Haghani A, Niehrs C, Horvath S. DNA methylation clocks for clawed frogs reveal evolutionary conservation of epigenetic aging. GeroScience. 2024;46:945–60. https://doi.org/10.1007/s11357-023-00840-3. </w:t>
        </w:r>
      </w:hyperlink>
      <w:r w:rsidDel="00000000" w:rsidR="00000000" w:rsidRPr="00000000">
        <w:rPr>
          <w:rtl w:val="0"/>
        </w:rPr>
      </w:r>
    </w:p>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4">
        <w:r w:rsidDel="00000000" w:rsidR="00000000" w:rsidRPr="00000000">
          <w:rPr>
            <w:color w:val="434343"/>
            <w:sz w:val="20"/>
            <w:szCs w:val="20"/>
            <w:rtl w:val="0"/>
          </w:rPr>
          <w:t xml:space="preserve">95. Corthals A, Martin A, Warsi OM, Woller-Skar M, Lancaster W, Russell A, et al. From the Field to the Lab: Best Practices for Field Preservation of Bat Specimens for Molecular Analyses. PLOS ONE. 2015;10:e0118994. https://doi.org/10.1371/journal.pone.0118994. </w:t>
        </w:r>
      </w:hyperlink>
      <w:r w:rsidDel="00000000" w:rsidR="00000000" w:rsidRPr="00000000">
        <w:rPr>
          <w:rtl w:val="0"/>
        </w:rPr>
      </w:r>
    </w:p>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5">
        <w:r w:rsidDel="00000000" w:rsidR="00000000" w:rsidRPr="00000000">
          <w:rPr>
            <w:color w:val="434343"/>
            <w:sz w:val="20"/>
            <w:szCs w:val="20"/>
            <w:rtl w:val="0"/>
          </w:rPr>
          <w:t xml:space="preserve">96. Wilkinson GS, Adams DM, Haghani A, Lu AT, Zoller J, Breeze CE, et al. DNA methylation predicts age and provides insight into exceptional longevity of bats. Nat Commun. 2021;12:1615. https://doi.org/10.1038/s41467-021-21900-2. </w:t>
        </w:r>
      </w:hyperlink>
      <w:r w:rsidDel="00000000" w:rsidR="00000000" w:rsidRPr="00000000">
        <w:rPr>
          <w:rtl w:val="0"/>
        </w:rPr>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6">
        <w:r w:rsidDel="00000000" w:rsidR="00000000" w:rsidRPr="00000000">
          <w:rPr>
            <w:color w:val="434343"/>
            <w:sz w:val="20"/>
            <w:szCs w:val="20"/>
            <w:rtl w:val="0"/>
          </w:rPr>
          <w:t xml:space="preserve">97. Bhamla MS, Benson B, Chai C, Katsikis G, Johri A, Prakash M. Hand-powered ultralow-cost paper centrifuge. Nat Biomed Eng. 2017;1:0009. https://doi.org/10.1038/s41551-016-0009. </w:t>
        </w:r>
      </w:hyperlink>
      <w:r w:rsidDel="00000000" w:rsidR="00000000" w:rsidRPr="00000000">
        <w:rPr>
          <w:rtl w:val="0"/>
        </w:rPr>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7">
        <w:r w:rsidDel="00000000" w:rsidR="00000000" w:rsidRPr="00000000">
          <w:rPr>
            <w:color w:val="434343"/>
            <w:sz w:val="20"/>
            <w:szCs w:val="20"/>
            <w:rtl w:val="0"/>
          </w:rPr>
          <w:t xml:space="preserve">98. Franco JJ, Nagata T, Okamoto T, Mukai S. An ultralow-cost portable centrifuge from discarded materials for medical applications. Sci Rep. 2023;13:3081. https://doi.org/10.1038/s41598-023-30327-2. </w:t>
        </w:r>
      </w:hyperlink>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8">
        <w:r w:rsidDel="00000000" w:rsidR="00000000" w:rsidRPr="00000000">
          <w:rPr>
            <w:color w:val="434343"/>
            <w:sz w:val="20"/>
            <w:szCs w:val="20"/>
            <w:rtl w:val="0"/>
          </w:rPr>
          <w:t xml:space="preserve">99. Braun V. The stuff of memories: Planning hindsight in animal cryobanks. Soc Stud Sci. 2024;54:728–48. https://doi.org/10.1177/03063127241252081. </w:t>
        </w:r>
      </w:hyperlink>
      <w:r w:rsidDel="00000000" w:rsidR="00000000" w:rsidRPr="00000000">
        <w:rPr>
          <w:rtl w:val="0"/>
        </w:rPr>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199">
        <w:r w:rsidDel="00000000" w:rsidR="00000000" w:rsidRPr="00000000">
          <w:rPr>
            <w:color w:val="434343"/>
            <w:sz w:val="20"/>
            <w:szCs w:val="20"/>
            <w:rtl w:val="0"/>
          </w:rPr>
          <w:t xml:space="preserve">100. Ranaivoson HC, Héraud J-M, Goethert HK, Telford SR, Rabetafika L, Brook CE. Babesial infection in the Madagascan flying fox, Pteropus rufus É. Geoffroy, 1803. Parasit Vectors. 2019;12:51. https://doi.org/10.1186/s13071-019-3300-7. </w:t>
        </w:r>
      </w:hyperlink>
      <w:r w:rsidDel="00000000" w:rsidR="00000000" w:rsidRPr="00000000">
        <w:rPr>
          <w:rtl w:val="0"/>
        </w:rPr>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0">
        <w:r w:rsidDel="00000000" w:rsidR="00000000" w:rsidRPr="00000000">
          <w:rPr>
            <w:color w:val="434343"/>
            <w:sz w:val="20"/>
            <w:szCs w:val="20"/>
            <w:rtl w:val="0"/>
          </w:rPr>
          <w:t xml:space="preserve">101. Horigan S, Kettenburg G, Kistler A, Ranaivoson HC, Andrianiaina A, Andry S, et al. Detection, characterization, and phylogenetic analysis of novel astroviruses from endemic Malagasy fruit bats. Virol J. 2024;21:195. https://doi.org/10.1186/s12985-024-02471-2. </w:t>
        </w:r>
      </w:hyperlink>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1">
        <w:r w:rsidDel="00000000" w:rsidR="00000000" w:rsidRPr="00000000">
          <w:rPr>
            <w:color w:val="434343"/>
            <w:sz w:val="20"/>
            <w:szCs w:val="20"/>
            <w:rtl w:val="0"/>
          </w:rPr>
          <w:t xml:space="preserve">102. Kettenburg G, Kistler A, Ranaivoson HC, Ahyong V, Andrianiaina A, Andry S, et al. Full Genome Nobecovirus Sequences From Malagasy Fruit Bats Define a Unique Evolutionary History for This Coronavirus Clade. Front Public Health. 2022;10. https://doi.org/10.3389/fpubh.2022.786060. </w:t>
        </w:r>
      </w:hyperlink>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2">
        <w:r w:rsidDel="00000000" w:rsidR="00000000" w:rsidRPr="00000000">
          <w:rPr>
            <w:color w:val="434343"/>
            <w:sz w:val="20"/>
            <w:szCs w:val="20"/>
            <w:rtl w:val="0"/>
          </w:rPr>
          <w:t xml:space="preserve">103. Ruhs EC, Kettenburg G, Andrianiaina A, Andry S, Ranaivoson HC, Grewe F, et al. Quantifying the seasonal reproductive cycle in three species of Malagasy fruit bats with implications for pathogen and population dynamics. 2024;:2024.08.21.608949. https://doi.org/10.1101/2024.08.21.608949. </w:t>
        </w:r>
      </w:hyperlink>
      <w:r w:rsidDel="00000000" w:rsidR="00000000" w:rsidRPr="00000000">
        <w:rPr>
          <w:rtl w:val="0"/>
        </w:rPr>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3">
        <w:r w:rsidDel="00000000" w:rsidR="00000000" w:rsidRPr="00000000">
          <w:rPr>
            <w:color w:val="434343"/>
            <w:sz w:val="20"/>
            <w:szCs w:val="20"/>
            <w:rtl w:val="0"/>
          </w:rPr>
          <w:t xml:space="preserve">104. Schwochow D, Serieys LE, Wayne RK, Thalmann O. Efficient recovery of whole blood RNA - a comparison of commercial RNA extraction protocols for high-throughput applications in wildlife species. BMC Biotechnol. 2012;12:33. https://doi.org/10.1186/1472-6750-12-33. </w:t>
        </w:r>
      </w:hyperlink>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4">
        <w:r w:rsidDel="00000000" w:rsidR="00000000" w:rsidRPr="00000000">
          <w:rPr>
            <w:color w:val="434343"/>
            <w:sz w:val="20"/>
            <w:szCs w:val="20"/>
            <w:rtl w:val="0"/>
          </w:rPr>
          <w:t xml:space="preserve">105. Zimkus BM, Ford LS. Best practices for genetic resources associated with natural history collections: Recommendations for practical implementation. Collect Forum. 2014;28:77–112. https://doi.org/10.14351/0831-0005-28.1.77. </w:t>
        </w:r>
      </w:hyperlink>
      <w:r w:rsidDel="00000000" w:rsidR="00000000" w:rsidRPr="00000000">
        <w:rPr>
          <w:rtl w:val="0"/>
        </w:rPr>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5">
        <w:r w:rsidDel="00000000" w:rsidR="00000000" w:rsidRPr="00000000">
          <w:rPr>
            <w:color w:val="434343"/>
            <w:sz w:val="20"/>
            <w:szCs w:val="20"/>
            <w:rtl w:val="0"/>
          </w:rPr>
          <w:t xml:space="preserve">106. Ragavan GK, Selvaraj P, Murugesan D, Krishnaswamy Gopalan T, Chinnaiyan S, Gopal DR, et al. Management practices and technologies for efficient biological sample collection from domestic animals with special reference to Indian field conditions. Anim Dis. 2023;3:34. https://doi.org/10.1186/s44149-023-00096-6. </w:t>
        </w:r>
      </w:hyperlink>
      <w:r w:rsidDel="00000000" w:rsidR="00000000" w:rsidRPr="00000000">
        <w:rPr>
          <w:rtl w:val="0"/>
        </w:rPr>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6">
        <w:r w:rsidDel="00000000" w:rsidR="00000000" w:rsidRPr="00000000">
          <w:rPr>
            <w:color w:val="434343"/>
            <w:sz w:val="20"/>
            <w:szCs w:val="20"/>
            <w:rtl w:val="0"/>
          </w:rPr>
          <w:t xml:space="preserve">107. Van Cise AM, Switzer AD, Apprill A, Champagne CD, Chittaro PM, Dudek NK, et al. Best practices for collecting and preserving marine mammal biological samples in the ‘omics era. Mar Mammal Sci. 2024;40:e13148. https://doi.org/10.1111/mms.13148. </w:t>
        </w:r>
      </w:hyperlink>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after="240" w:before="0" w:line="240" w:lineRule="auto"/>
        <w:ind w:left="0" w:firstLine="0"/>
        <w:rPr>
          <w:color w:val="434343"/>
          <w:sz w:val="20"/>
          <w:szCs w:val="20"/>
        </w:rPr>
      </w:pPr>
      <w:hyperlink r:id="rId207">
        <w:r w:rsidDel="00000000" w:rsidR="00000000" w:rsidRPr="00000000">
          <w:rPr>
            <w:color w:val="434343"/>
            <w:sz w:val="20"/>
            <w:szCs w:val="20"/>
            <w:rtl w:val="0"/>
          </w:rPr>
          <w:t xml:space="preserve">108. Archambault A. Preserving field-collected samples to maintain DNA integrity. Québec Centre for Biodiversity Science Wiki. 2013. https://wiki.qcbs.ca/sample_collection_and_dna_extraction. </w:t>
        </w:r>
      </w:hyperlink>
      <w:r w:rsidDel="00000000" w:rsidR="00000000" w:rsidRPr="00000000">
        <w:rPr>
          <w:rtl w:val="0"/>
        </w:rPr>
      </w:r>
    </w:p>
    <w:sectPr>
      <w:headerReference r:id="rId208" w:type="default"/>
      <w:footerReference r:id="rId209" w:type="default"/>
      <w:pgSz w:h="15840" w:w="12240" w:orient="portrait"/>
      <w:pgMar w:bottom="1440" w:top="1440" w:left="1440" w:right="1440"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pStyle w:val="Heading5"/>
      <w:rPr/>
    </w:pPr>
    <w:bookmarkStart w:colFirst="0" w:colLast="0" w:name="_43avvae8cv82" w:id="26"/>
    <w:bookmarkEnd w:id="26"/>
    <w:r w:rsidDel="00000000" w:rsidR="00000000" w:rsidRPr="00000000">
      <w:rPr>
        <w:rtl w:val="0"/>
      </w:rPr>
    </w:r>
  </w:p>
  <w:p w:rsidR="00000000" w:rsidDel="00000000" w:rsidP="00000000" w:rsidRDefault="00000000" w:rsidRPr="00000000" w14:paraId="000000C0">
    <w:pPr>
      <w:rPr>
        <w:color w:val="66666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color w:val="353744"/>
        <w:sz w:val="22"/>
        <w:szCs w:val="22"/>
        <w:lang w:val="en"/>
      </w:rPr>
    </w:rPrDefault>
    <w:pPrDefault>
      <w:pPr>
        <w:spacing w:after="80"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28"/>
      <w:szCs w:val="28"/>
    </w:rPr>
  </w:style>
  <w:style w:type="paragraph" w:styleId="Heading2">
    <w:name w:val="heading 2"/>
    <w:basedOn w:val="Normal"/>
    <w:next w:val="Normal"/>
    <w:pPr>
      <w:keepNext w:val="1"/>
      <w:keepLines w:val="1"/>
    </w:pPr>
    <w:rPr>
      <w:b w:val="1"/>
      <w:bCs w:val="1"/>
      <w:sz w:val="28"/>
      <w:szCs w:val="28"/>
    </w:rPr>
  </w:style>
  <w:style w:type="paragraph" w:styleId="Heading3">
    <w:name w:val="heading 3"/>
    <w:basedOn w:val="Normal"/>
    <w:next w:val="Normal"/>
    <w:pPr>
      <w:keepNext w:val="1"/>
      <w:keepLines w:val="1"/>
      <w:spacing w:after="0" w:before="0" w:line="480" w:lineRule="auto"/>
    </w:pPr>
    <w:rPr>
      <w:b w:val="1"/>
      <w:bCs w:val="1"/>
      <w:color w:val="666666"/>
      <w:sz w:val="28"/>
      <w:szCs w:val="28"/>
    </w:rPr>
  </w:style>
  <w:style w:type="paragraph" w:styleId="Heading4">
    <w:name w:val="heading 4"/>
    <w:basedOn w:val="Normal"/>
    <w:next w:val="Normal"/>
    <w:pPr>
      <w:keepNext w:val="1"/>
      <w:keepLines w:val="1"/>
    </w:pPr>
    <w:rPr>
      <w:b w:val="1"/>
      <w:bCs w:val="1"/>
      <w:color w:val="666666"/>
      <w:sz w:val="24"/>
      <w:szCs w:val="24"/>
    </w:rPr>
  </w:style>
  <w:style w:type="paragraph" w:styleId="Heading5">
    <w:name w:val="heading 5"/>
    <w:basedOn w:val="Normal"/>
    <w:next w:val="Normal"/>
    <w:pPr>
      <w:keepNext w:val="1"/>
      <w:keepLines w:val="1"/>
    </w:pPr>
    <w:rPr>
      <w:b w:val="1"/>
      <w:bCs w:val="1"/>
      <w:color w:val="666666"/>
    </w:rPr>
  </w:style>
  <w:style w:type="paragraph" w:styleId="Heading6">
    <w:name w:val="heading 6"/>
    <w:basedOn w:val="Normal"/>
    <w:next w:val="Normal"/>
    <w:pPr>
      <w:keepNext w:val="1"/>
      <w:keepLines w:val="1"/>
      <w:spacing w:before="240" w:lineRule="auto"/>
    </w:pPr>
    <w:rPr>
      <w:i w:val="1"/>
      <w:iCs w:val="1"/>
      <w:color w:val="666666"/>
    </w:rPr>
  </w:style>
  <w:style w:type="paragraph" w:styleId="Title">
    <w:name w:val="Title"/>
    <w:basedOn w:val="Normal"/>
    <w:next w:val="Normal"/>
    <w:pPr>
      <w:keepNext w:val="1"/>
      <w:keepLines w:val="1"/>
      <w:spacing w:after="120" w:before="400" w:line="240" w:lineRule="auto"/>
    </w:pPr>
    <w:rPr>
      <w:b w:val="1"/>
      <w:bCs w:val="1"/>
      <w:i w:val="1"/>
      <w:iCs w:val="1"/>
      <w:sz w:val="28"/>
      <w:szCs w:val="28"/>
    </w:rPr>
  </w:style>
  <w:style w:type="paragraph" w:styleId="Subtitle">
    <w:name w:val="Subtitle"/>
    <w:basedOn w:val="Normal"/>
    <w:next w:val="Normal"/>
    <w:pPr>
      <w:keepNext w:val="1"/>
      <w:keepLines w:val="1"/>
      <w:spacing w:after="320" w:before="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zotero.org/google-docs/?847O3P" TargetMode="External"/><Relationship Id="rId190" Type="http://schemas.openxmlformats.org/officeDocument/2006/relationships/hyperlink" Target="https://www.zotero.org/google-docs/?hi4ipk" TargetMode="External"/><Relationship Id="rId42" Type="http://schemas.openxmlformats.org/officeDocument/2006/relationships/hyperlink" Target="https://www.zotero.org/google-docs/?KCPVZC" TargetMode="External"/><Relationship Id="rId41" Type="http://schemas.openxmlformats.org/officeDocument/2006/relationships/hyperlink" Target="https://www.zotero.org/google-docs/?RNbwbO" TargetMode="External"/><Relationship Id="rId44" Type="http://schemas.openxmlformats.org/officeDocument/2006/relationships/hyperlink" Target="https://www.zotero.org/google-docs/?YzOzNO" TargetMode="External"/><Relationship Id="rId194" Type="http://schemas.openxmlformats.org/officeDocument/2006/relationships/hyperlink" Target="https://www.zotero.org/google-docs/?hi4ipk" TargetMode="External"/><Relationship Id="rId43" Type="http://schemas.openxmlformats.org/officeDocument/2006/relationships/hyperlink" Target="https://www.zotero.org/google-docs/?T4Z9gI" TargetMode="External"/><Relationship Id="rId193" Type="http://schemas.openxmlformats.org/officeDocument/2006/relationships/hyperlink" Target="https://www.zotero.org/google-docs/?hi4ipk" TargetMode="External"/><Relationship Id="rId46" Type="http://schemas.openxmlformats.org/officeDocument/2006/relationships/hyperlink" Target="https://www.zotero.org/google-docs/?JO8mmx" TargetMode="External"/><Relationship Id="rId192" Type="http://schemas.openxmlformats.org/officeDocument/2006/relationships/hyperlink" Target="https://www.zotero.org/google-docs/?hi4ipk" TargetMode="External"/><Relationship Id="rId45" Type="http://schemas.openxmlformats.org/officeDocument/2006/relationships/hyperlink" Target="https://www.zotero.org/google-docs/?PkouQd" TargetMode="External"/><Relationship Id="rId191" Type="http://schemas.openxmlformats.org/officeDocument/2006/relationships/hyperlink" Target="https://www.zotero.org/google-docs/?hi4ipk" TargetMode="External"/><Relationship Id="rId48" Type="http://schemas.openxmlformats.org/officeDocument/2006/relationships/hyperlink" Target="https://www.zotero.org/google-docs/?5EyrMG" TargetMode="External"/><Relationship Id="rId187" Type="http://schemas.openxmlformats.org/officeDocument/2006/relationships/hyperlink" Target="https://www.zotero.org/google-docs/?hi4ipk" TargetMode="External"/><Relationship Id="rId47" Type="http://schemas.openxmlformats.org/officeDocument/2006/relationships/hyperlink" Target="https://www.zotero.org/google-docs/?yz1svG" TargetMode="External"/><Relationship Id="rId186" Type="http://schemas.openxmlformats.org/officeDocument/2006/relationships/hyperlink" Target="https://www.zotero.org/google-docs/?hi4ipk" TargetMode="External"/><Relationship Id="rId185" Type="http://schemas.openxmlformats.org/officeDocument/2006/relationships/hyperlink" Target="https://www.zotero.org/google-docs/?hi4ipk" TargetMode="External"/><Relationship Id="rId49" Type="http://schemas.openxmlformats.org/officeDocument/2006/relationships/hyperlink" Target="https://www.zotero.org/google-docs/?FWqQhq" TargetMode="External"/><Relationship Id="rId184" Type="http://schemas.openxmlformats.org/officeDocument/2006/relationships/hyperlink" Target="https://www.zotero.org/google-docs/?hi4ipk" TargetMode="External"/><Relationship Id="rId189" Type="http://schemas.openxmlformats.org/officeDocument/2006/relationships/hyperlink" Target="https://www.zotero.org/google-docs/?hi4ipk" TargetMode="External"/><Relationship Id="rId188" Type="http://schemas.openxmlformats.org/officeDocument/2006/relationships/hyperlink" Target="https://www.zotero.org/google-docs/?hi4ipk" TargetMode="External"/><Relationship Id="rId31" Type="http://schemas.openxmlformats.org/officeDocument/2006/relationships/hyperlink" Target="https://www.zotero.org/google-docs/?L8zZ8t" TargetMode="External"/><Relationship Id="rId30" Type="http://schemas.openxmlformats.org/officeDocument/2006/relationships/hyperlink" Target="https://www.zotero.org/google-docs/?Ds7WUj" TargetMode="External"/><Relationship Id="rId33" Type="http://schemas.openxmlformats.org/officeDocument/2006/relationships/hyperlink" Target="https://www.zotero.org/google-docs/?grrEDg" TargetMode="External"/><Relationship Id="rId183" Type="http://schemas.openxmlformats.org/officeDocument/2006/relationships/hyperlink" Target="https://www.zotero.org/google-docs/?hi4ipk" TargetMode="External"/><Relationship Id="rId32" Type="http://schemas.openxmlformats.org/officeDocument/2006/relationships/hyperlink" Target="https://www.zotero.org/google-docs/?jM5ecj" TargetMode="External"/><Relationship Id="rId182" Type="http://schemas.openxmlformats.org/officeDocument/2006/relationships/hyperlink" Target="https://www.zotero.org/google-docs/?hi4ipk" TargetMode="External"/><Relationship Id="rId35" Type="http://schemas.openxmlformats.org/officeDocument/2006/relationships/hyperlink" Target="https://www.zotero.org/google-docs/?aAOJJ4" TargetMode="External"/><Relationship Id="rId181" Type="http://schemas.openxmlformats.org/officeDocument/2006/relationships/hyperlink" Target="https://www.zotero.org/google-docs/?hi4ipk" TargetMode="External"/><Relationship Id="rId34" Type="http://schemas.openxmlformats.org/officeDocument/2006/relationships/hyperlink" Target="https://www.zotero.org/google-docs/?ry5EBR" TargetMode="External"/><Relationship Id="rId180" Type="http://schemas.openxmlformats.org/officeDocument/2006/relationships/hyperlink" Target="https://www.zotero.org/google-docs/?hi4ipk" TargetMode="External"/><Relationship Id="rId37" Type="http://schemas.openxmlformats.org/officeDocument/2006/relationships/hyperlink" Target="https://www.zotero.org/google-docs/?90gAC9" TargetMode="External"/><Relationship Id="rId176" Type="http://schemas.openxmlformats.org/officeDocument/2006/relationships/hyperlink" Target="https://www.zotero.org/google-docs/?hi4ipk" TargetMode="External"/><Relationship Id="rId36" Type="http://schemas.openxmlformats.org/officeDocument/2006/relationships/hyperlink" Target="https://www.zotero.org/google-docs/?M9534G" TargetMode="External"/><Relationship Id="rId175" Type="http://schemas.openxmlformats.org/officeDocument/2006/relationships/hyperlink" Target="https://www.zotero.org/google-docs/?hi4ipk" TargetMode="External"/><Relationship Id="rId39" Type="http://schemas.openxmlformats.org/officeDocument/2006/relationships/hyperlink" Target="https://www.zotero.org/google-docs/?klJNNw" TargetMode="External"/><Relationship Id="rId174" Type="http://schemas.openxmlformats.org/officeDocument/2006/relationships/hyperlink" Target="https://www.zotero.org/google-docs/?hi4ipk" TargetMode="External"/><Relationship Id="rId38" Type="http://schemas.openxmlformats.org/officeDocument/2006/relationships/hyperlink" Target="https://www.zotero.org/google-docs/?uEOxL2" TargetMode="External"/><Relationship Id="rId173" Type="http://schemas.openxmlformats.org/officeDocument/2006/relationships/hyperlink" Target="https://www.zotero.org/google-docs/?hi4ipk" TargetMode="External"/><Relationship Id="rId179" Type="http://schemas.openxmlformats.org/officeDocument/2006/relationships/hyperlink" Target="https://www.zotero.org/google-docs/?hi4ipk" TargetMode="External"/><Relationship Id="rId178" Type="http://schemas.openxmlformats.org/officeDocument/2006/relationships/hyperlink" Target="https://www.zotero.org/google-docs/?hi4ipk" TargetMode="External"/><Relationship Id="rId177" Type="http://schemas.openxmlformats.org/officeDocument/2006/relationships/hyperlink" Target="https://www.zotero.org/google-docs/?hi4ipk" TargetMode="External"/><Relationship Id="rId20" Type="http://schemas.openxmlformats.org/officeDocument/2006/relationships/hyperlink" Target="https://www.zotero.org/google-docs/?PNhEKQ" TargetMode="External"/><Relationship Id="rId22" Type="http://schemas.openxmlformats.org/officeDocument/2006/relationships/hyperlink" Target="https://www.zotero.org/google-docs/?AxwWTs" TargetMode="External"/><Relationship Id="rId21" Type="http://schemas.openxmlformats.org/officeDocument/2006/relationships/hyperlink" Target="https://www.zotero.org/google-docs/?cDm4cb" TargetMode="External"/><Relationship Id="rId24" Type="http://schemas.openxmlformats.org/officeDocument/2006/relationships/hyperlink" Target="https://www.zotero.org/google-docs/?rqEAPm" TargetMode="External"/><Relationship Id="rId23" Type="http://schemas.openxmlformats.org/officeDocument/2006/relationships/hyperlink" Target="https://www.zotero.org/google-docs/?LjyKPk" TargetMode="External"/><Relationship Id="rId26" Type="http://schemas.openxmlformats.org/officeDocument/2006/relationships/hyperlink" Target="https://www.zotero.org/google-docs/?HFlB4j" TargetMode="External"/><Relationship Id="rId25" Type="http://schemas.openxmlformats.org/officeDocument/2006/relationships/hyperlink" Target="https://www.zotero.org/google-docs/?IP5gsQ" TargetMode="External"/><Relationship Id="rId28" Type="http://schemas.openxmlformats.org/officeDocument/2006/relationships/hyperlink" Target="https://www.zotero.org/google-docs/?P19dHm" TargetMode="External"/><Relationship Id="rId27" Type="http://schemas.openxmlformats.org/officeDocument/2006/relationships/hyperlink" Target="https://www.zotero.org/google-docs/?cAabZw" TargetMode="External"/><Relationship Id="rId29" Type="http://schemas.openxmlformats.org/officeDocument/2006/relationships/hyperlink" Target="https://www.zotero.org/google-docs/?jQb6Nf" TargetMode="External"/><Relationship Id="rId11" Type="http://schemas.openxmlformats.org/officeDocument/2006/relationships/hyperlink" Target="https://www.zotero.org/google-docs/?jdByqM" TargetMode="External"/><Relationship Id="rId10" Type="http://schemas.openxmlformats.org/officeDocument/2006/relationships/hyperlink" Target="https://www.zotero.org/google-docs/?7d3gZP" TargetMode="External"/><Relationship Id="rId13" Type="http://schemas.openxmlformats.org/officeDocument/2006/relationships/hyperlink" Target="https://www.zotero.org/google-docs/?kVeVC4" TargetMode="External"/><Relationship Id="rId12" Type="http://schemas.openxmlformats.org/officeDocument/2006/relationships/hyperlink" Target="https://www.zotero.org/google-docs/?dMW3QR" TargetMode="External"/><Relationship Id="rId15" Type="http://schemas.openxmlformats.org/officeDocument/2006/relationships/hyperlink" Target="https://www.zotero.org/google-docs/?ifEl5X" TargetMode="External"/><Relationship Id="rId198" Type="http://schemas.openxmlformats.org/officeDocument/2006/relationships/hyperlink" Target="https://www.zotero.org/google-docs/?hi4ipk" TargetMode="External"/><Relationship Id="rId14" Type="http://schemas.openxmlformats.org/officeDocument/2006/relationships/hyperlink" Target="https://www.zotero.org/google-docs/?areXUO" TargetMode="External"/><Relationship Id="rId197" Type="http://schemas.openxmlformats.org/officeDocument/2006/relationships/hyperlink" Target="https://www.zotero.org/google-docs/?hi4ipk" TargetMode="External"/><Relationship Id="rId17" Type="http://schemas.openxmlformats.org/officeDocument/2006/relationships/hyperlink" Target="https://www.zotero.org/google-docs/?OXmHfG" TargetMode="External"/><Relationship Id="rId196" Type="http://schemas.openxmlformats.org/officeDocument/2006/relationships/hyperlink" Target="https://www.zotero.org/google-docs/?hi4ipk" TargetMode="External"/><Relationship Id="rId16" Type="http://schemas.openxmlformats.org/officeDocument/2006/relationships/hyperlink" Target="https://www.zotero.org/google-docs/?695to8" TargetMode="External"/><Relationship Id="rId195" Type="http://schemas.openxmlformats.org/officeDocument/2006/relationships/hyperlink" Target="https://www.zotero.org/google-docs/?hi4ipk" TargetMode="External"/><Relationship Id="rId19" Type="http://schemas.openxmlformats.org/officeDocument/2006/relationships/hyperlink" Target="https://www.zotero.org/google-docs/?y0zV3p" TargetMode="External"/><Relationship Id="rId18" Type="http://schemas.openxmlformats.org/officeDocument/2006/relationships/hyperlink" Target="https://www.zotero.org/google-docs/?EHqhO4" TargetMode="External"/><Relationship Id="rId199" Type="http://schemas.openxmlformats.org/officeDocument/2006/relationships/hyperlink" Target="https://www.zotero.org/google-docs/?hi4ipk" TargetMode="External"/><Relationship Id="rId84" Type="http://schemas.openxmlformats.org/officeDocument/2006/relationships/hyperlink" Target="https://www.zotero.org/google-docs/?K07d3X" TargetMode="External"/><Relationship Id="rId83" Type="http://schemas.openxmlformats.org/officeDocument/2006/relationships/hyperlink" Target="https://www.zotero.org/google-docs/?z5ys80" TargetMode="External"/><Relationship Id="rId86" Type="http://schemas.openxmlformats.org/officeDocument/2006/relationships/hyperlink" Target="https://www.zotero.org/google-docs/?7vF0pw" TargetMode="External"/><Relationship Id="rId85" Type="http://schemas.openxmlformats.org/officeDocument/2006/relationships/hyperlink" Target="https://www.zotero.org/google-docs/?XUD9m0" TargetMode="External"/><Relationship Id="rId88" Type="http://schemas.openxmlformats.org/officeDocument/2006/relationships/hyperlink" Target="https://www.zotero.org/google-docs/?NPLxzw" TargetMode="External"/><Relationship Id="rId150" Type="http://schemas.openxmlformats.org/officeDocument/2006/relationships/hyperlink" Target="https://www.zotero.org/google-docs/?hi4ipk" TargetMode="External"/><Relationship Id="rId87" Type="http://schemas.openxmlformats.org/officeDocument/2006/relationships/hyperlink" Target="https://www.zotero.org/google-docs/?JdhwGn" TargetMode="External"/><Relationship Id="rId89" Type="http://schemas.openxmlformats.org/officeDocument/2006/relationships/hyperlink" Target="https://www.zotero.org/google-docs/?djbWUI" TargetMode="External"/><Relationship Id="rId80" Type="http://schemas.openxmlformats.org/officeDocument/2006/relationships/hyperlink" Target="https://www.zotero.org/google-docs/?AMmCkg" TargetMode="External"/><Relationship Id="rId82" Type="http://schemas.openxmlformats.org/officeDocument/2006/relationships/hyperlink" Target="https://www.zotero.org/google-docs/?xTnrqE" TargetMode="External"/><Relationship Id="rId81" Type="http://schemas.openxmlformats.org/officeDocument/2006/relationships/hyperlink" Target="https://www.zotero.org/google-docs/?b725Y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zotero.org/google-docs/?hi4ipk" TargetMode="External"/><Relationship Id="rId4" Type="http://schemas.openxmlformats.org/officeDocument/2006/relationships/numbering" Target="numbering.xml"/><Relationship Id="rId148" Type="http://schemas.openxmlformats.org/officeDocument/2006/relationships/hyperlink" Target="https://www.zotero.org/google-docs/?hi4ipk" TargetMode="External"/><Relationship Id="rId9" Type="http://schemas.openxmlformats.org/officeDocument/2006/relationships/hyperlink" Target="https://www.zotero.org/google-docs/?O8VbXJ" TargetMode="External"/><Relationship Id="rId143" Type="http://schemas.openxmlformats.org/officeDocument/2006/relationships/hyperlink" Target="https://www.zotero.org/google-docs/?hi4ipk" TargetMode="External"/><Relationship Id="rId142" Type="http://schemas.openxmlformats.org/officeDocument/2006/relationships/hyperlink" Target="https://www.zotero.org/google-docs/?hi4ipk" TargetMode="External"/><Relationship Id="rId141" Type="http://schemas.openxmlformats.org/officeDocument/2006/relationships/hyperlink" Target="https://www.zotero.org/google-docs/?hi4ipk" TargetMode="External"/><Relationship Id="rId140" Type="http://schemas.openxmlformats.org/officeDocument/2006/relationships/hyperlink" Target="https://www.zotero.org/google-docs/?hi4ipk" TargetMode="External"/><Relationship Id="rId5" Type="http://schemas.openxmlformats.org/officeDocument/2006/relationships/styles" Target="styles.xml"/><Relationship Id="rId147" Type="http://schemas.openxmlformats.org/officeDocument/2006/relationships/hyperlink" Target="https://www.zotero.org/google-docs/?hi4ipk" TargetMode="External"/><Relationship Id="rId6" Type="http://schemas.openxmlformats.org/officeDocument/2006/relationships/hyperlink" Target="https://www.zotero.org/google-docs/?hSd3OP" TargetMode="External"/><Relationship Id="rId146" Type="http://schemas.openxmlformats.org/officeDocument/2006/relationships/hyperlink" Target="https://www.zotero.org/google-docs/?hi4ipk" TargetMode="External"/><Relationship Id="rId7" Type="http://schemas.openxmlformats.org/officeDocument/2006/relationships/hyperlink" Target="https://www.zotero.org/google-docs/?jDLmrq" TargetMode="External"/><Relationship Id="rId145" Type="http://schemas.openxmlformats.org/officeDocument/2006/relationships/hyperlink" Target="https://www.zotero.org/google-docs/?hi4ipk" TargetMode="External"/><Relationship Id="rId8" Type="http://schemas.openxmlformats.org/officeDocument/2006/relationships/hyperlink" Target="https://www.zotero.org/google-docs/?aj8sf4" TargetMode="External"/><Relationship Id="rId144" Type="http://schemas.openxmlformats.org/officeDocument/2006/relationships/hyperlink" Target="https://www.zotero.org/google-docs/?hi4ipk" TargetMode="External"/><Relationship Id="rId73" Type="http://schemas.openxmlformats.org/officeDocument/2006/relationships/hyperlink" Target="https://www.zotero.org/google-docs/?4V1A8i" TargetMode="External"/><Relationship Id="rId72" Type="http://schemas.openxmlformats.org/officeDocument/2006/relationships/hyperlink" Target="https://www.zotero.org/google-docs/?vuDdcj" TargetMode="External"/><Relationship Id="rId75" Type="http://schemas.openxmlformats.org/officeDocument/2006/relationships/hyperlink" Target="https://www.zotero.org/google-docs/?bl9TmO" TargetMode="External"/><Relationship Id="rId74" Type="http://schemas.openxmlformats.org/officeDocument/2006/relationships/hyperlink" Target="https://www.zotero.org/google-docs/?WTsDEe" TargetMode="External"/><Relationship Id="rId77" Type="http://schemas.openxmlformats.org/officeDocument/2006/relationships/hyperlink" Target="https://www.zotero.org/google-docs/?DtLhY7" TargetMode="External"/><Relationship Id="rId76" Type="http://schemas.openxmlformats.org/officeDocument/2006/relationships/hyperlink" Target="https://www.zotero.org/google-docs/?UyBoDV" TargetMode="External"/><Relationship Id="rId79" Type="http://schemas.openxmlformats.org/officeDocument/2006/relationships/hyperlink" Target="https://www.zotero.org/google-docs/?RyOrSQ" TargetMode="External"/><Relationship Id="rId78" Type="http://schemas.openxmlformats.org/officeDocument/2006/relationships/hyperlink" Target="https://www.zotero.org/google-docs/?7xNGQT" TargetMode="External"/><Relationship Id="rId71" Type="http://schemas.openxmlformats.org/officeDocument/2006/relationships/hyperlink" Target="https://www.zotero.org/google-docs/?bMlxrq" TargetMode="External"/><Relationship Id="rId70" Type="http://schemas.openxmlformats.org/officeDocument/2006/relationships/hyperlink" Target="https://www.zotero.org/google-docs/?AEL1rK" TargetMode="External"/><Relationship Id="rId139" Type="http://schemas.openxmlformats.org/officeDocument/2006/relationships/hyperlink" Target="https://www.zotero.org/google-docs/?hi4ipk" TargetMode="External"/><Relationship Id="rId138" Type="http://schemas.openxmlformats.org/officeDocument/2006/relationships/hyperlink" Target="https://www.zotero.org/google-docs/?hi4ipk" TargetMode="External"/><Relationship Id="rId137" Type="http://schemas.openxmlformats.org/officeDocument/2006/relationships/hyperlink" Target="https://www.zotero.org/google-docs/?hi4ipk" TargetMode="External"/><Relationship Id="rId132" Type="http://schemas.openxmlformats.org/officeDocument/2006/relationships/hyperlink" Target="https://www.zotero.org/google-docs/?hi4ipk" TargetMode="External"/><Relationship Id="rId131" Type="http://schemas.openxmlformats.org/officeDocument/2006/relationships/hyperlink" Target="https://www.zotero.org/google-docs/?hi4ipk" TargetMode="External"/><Relationship Id="rId130" Type="http://schemas.openxmlformats.org/officeDocument/2006/relationships/hyperlink" Target="https://www.zotero.org/google-docs/?hi4ipk" TargetMode="External"/><Relationship Id="rId136" Type="http://schemas.openxmlformats.org/officeDocument/2006/relationships/hyperlink" Target="https://www.zotero.org/google-docs/?hi4ipk" TargetMode="External"/><Relationship Id="rId135" Type="http://schemas.openxmlformats.org/officeDocument/2006/relationships/hyperlink" Target="https://www.zotero.org/google-docs/?hi4ipk" TargetMode="External"/><Relationship Id="rId134" Type="http://schemas.openxmlformats.org/officeDocument/2006/relationships/hyperlink" Target="https://www.zotero.org/google-docs/?hi4ipk" TargetMode="External"/><Relationship Id="rId133" Type="http://schemas.openxmlformats.org/officeDocument/2006/relationships/hyperlink" Target="https://www.zotero.org/google-docs/?hi4ipk" TargetMode="External"/><Relationship Id="rId62" Type="http://schemas.openxmlformats.org/officeDocument/2006/relationships/hyperlink" Target="https://www.zotero.org/google-docs/?9cy5FI" TargetMode="External"/><Relationship Id="rId61" Type="http://schemas.openxmlformats.org/officeDocument/2006/relationships/hyperlink" Target="https://www.zotero.org/google-docs/?Eru88u" TargetMode="External"/><Relationship Id="rId64" Type="http://schemas.openxmlformats.org/officeDocument/2006/relationships/hyperlink" Target="https://www.zotero.org/google-docs/?3LkaJp" TargetMode="External"/><Relationship Id="rId63" Type="http://schemas.openxmlformats.org/officeDocument/2006/relationships/hyperlink" Target="https://www.zotero.org/google-docs/?BRGqWq" TargetMode="External"/><Relationship Id="rId66" Type="http://schemas.openxmlformats.org/officeDocument/2006/relationships/hyperlink" Target="https://www.zotero.org/google-docs/?nzzmbr" TargetMode="External"/><Relationship Id="rId172" Type="http://schemas.openxmlformats.org/officeDocument/2006/relationships/hyperlink" Target="https://www.zotero.org/google-docs/?hi4ipk" TargetMode="External"/><Relationship Id="rId65" Type="http://schemas.openxmlformats.org/officeDocument/2006/relationships/hyperlink" Target="https://www.zotero.org/google-docs/?Tke19t" TargetMode="External"/><Relationship Id="rId171" Type="http://schemas.openxmlformats.org/officeDocument/2006/relationships/hyperlink" Target="https://www.zotero.org/google-docs/?hi4ipk" TargetMode="External"/><Relationship Id="rId68" Type="http://schemas.openxmlformats.org/officeDocument/2006/relationships/hyperlink" Target="https://www.zotero.org/google-docs/?siMlQB" TargetMode="External"/><Relationship Id="rId170" Type="http://schemas.openxmlformats.org/officeDocument/2006/relationships/hyperlink" Target="https://www.zotero.org/google-docs/?hi4ipk" TargetMode="External"/><Relationship Id="rId67" Type="http://schemas.openxmlformats.org/officeDocument/2006/relationships/hyperlink" Target="https://www.zotero.org/google-docs/?Im4ii2" TargetMode="External"/><Relationship Id="rId60" Type="http://schemas.openxmlformats.org/officeDocument/2006/relationships/hyperlink" Target="https://www.zotero.org/google-docs/?VnpiQy" TargetMode="External"/><Relationship Id="rId165" Type="http://schemas.openxmlformats.org/officeDocument/2006/relationships/hyperlink" Target="https://www.zotero.org/google-docs/?hi4ipk" TargetMode="External"/><Relationship Id="rId69" Type="http://schemas.openxmlformats.org/officeDocument/2006/relationships/hyperlink" Target="https://www.zotero.org/google-docs/?s4bMSl" TargetMode="External"/><Relationship Id="rId164" Type="http://schemas.openxmlformats.org/officeDocument/2006/relationships/hyperlink" Target="https://www.zotero.org/google-docs/?hi4ipk" TargetMode="External"/><Relationship Id="rId163" Type="http://schemas.openxmlformats.org/officeDocument/2006/relationships/hyperlink" Target="https://www.zotero.org/google-docs/?hi4ipk" TargetMode="External"/><Relationship Id="rId162" Type="http://schemas.openxmlformats.org/officeDocument/2006/relationships/hyperlink" Target="https://www.zotero.org/google-docs/?hi4ipk" TargetMode="External"/><Relationship Id="rId169" Type="http://schemas.openxmlformats.org/officeDocument/2006/relationships/hyperlink" Target="https://www.zotero.org/google-docs/?hi4ipk" TargetMode="External"/><Relationship Id="rId168" Type="http://schemas.openxmlformats.org/officeDocument/2006/relationships/hyperlink" Target="https://www.zotero.org/google-docs/?hi4ipk" TargetMode="External"/><Relationship Id="rId167" Type="http://schemas.openxmlformats.org/officeDocument/2006/relationships/hyperlink" Target="https://www.zotero.org/google-docs/?hi4ipk" TargetMode="External"/><Relationship Id="rId166" Type="http://schemas.openxmlformats.org/officeDocument/2006/relationships/hyperlink" Target="https://www.zotero.org/google-docs/?hi4ipk" TargetMode="External"/><Relationship Id="rId51" Type="http://schemas.openxmlformats.org/officeDocument/2006/relationships/hyperlink" Target="https://www.zotero.org/google-docs/?6uu5N0" TargetMode="External"/><Relationship Id="rId50" Type="http://schemas.openxmlformats.org/officeDocument/2006/relationships/hyperlink" Target="https://www.zotero.org/google-docs/?45kq92" TargetMode="External"/><Relationship Id="rId53" Type="http://schemas.openxmlformats.org/officeDocument/2006/relationships/hyperlink" Target="https://www.zotero.org/google-docs/?xyBbFd" TargetMode="External"/><Relationship Id="rId52" Type="http://schemas.openxmlformats.org/officeDocument/2006/relationships/hyperlink" Target="https://www.zotero.org/google-docs/?MYebvx" TargetMode="External"/><Relationship Id="rId55" Type="http://schemas.openxmlformats.org/officeDocument/2006/relationships/hyperlink" Target="https://www.zotero.org/google-docs/?dT5T1Z" TargetMode="External"/><Relationship Id="rId161" Type="http://schemas.openxmlformats.org/officeDocument/2006/relationships/hyperlink" Target="https://www.zotero.org/google-docs/?hi4ipk" TargetMode="External"/><Relationship Id="rId54" Type="http://schemas.openxmlformats.org/officeDocument/2006/relationships/hyperlink" Target="https://www.zotero.org/google-docs/?YkjNa6" TargetMode="External"/><Relationship Id="rId160" Type="http://schemas.openxmlformats.org/officeDocument/2006/relationships/hyperlink" Target="https://www.zotero.org/google-docs/?hi4ipk" TargetMode="External"/><Relationship Id="rId57" Type="http://schemas.openxmlformats.org/officeDocument/2006/relationships/hyperlink" Target="https://www.zotero.org/google-docs/?OtX6DT" TargetMode="External"/><Relationship Id="rId56" Type="http://schemas.openxmlformats.org/officeDocument/2006/relationships/hyperlink" Target="https://www.zotero.org/google-docs/?LtCTSF" TargetMode="External"/><Relationship Id="rId159" Type="http://schemas.openxmlformats.org/officeDocument/2006/relationships/hyperlink" Target="https://www.zotero.org/google-docs/?hi4ipk" TargetMode="External"/><Relationship Id="rId59" Type="http://schemas.openxmlformats.org/officeDocument/2006/relationships/hyperlink" Target="https://www.zotero.org/google-docs/?jnJzqk" TargetMode="External"/><Relationship Id="rId154" Type="http://schemas.openxmlformats.org/officeDocument/2006/relationships/hyperlink" Target="https://www.zotero.org/google-docs/?hi4ipk" TargetMode="External"/><Relationship Id="rId58" Type="http://schemas.openxmlformats.org/officeDocument/2006/relationships/hyperlink" Target="https://www.zotero.org/google-docs/?X7qyMG" TargetMode="External"/><Relationship Id="rId153" Type="http://schemas.openxmlformats.org/officeDocument/2006/relationships/hyperlink" Target="https://www.zotero.org/google-docs/?hi4ipk" TargetMode="External"/><Relationship Id="rId152" Type="http://schemas.openxmlformats.org/officeDocument/2006/relationships/hyperlink" Target="https://www.zotero.org/google-docs/?hi4ipk" TargetMode="External"/><Relationship Id="rId151" Type="http://schemas.openxmlformats.org/officeDocument/2006/relationships/hyperlink" Target="https://www.zotero.org/google-docs/?hi4ipk" TargetMode="External"/><Relationship Id="rId158" Type="http://schemas.openxmlformats.org/officeDocument/2006/relationships/hyperlink" Target="https://www.zotero.org/google-docs/?hi4ipk" TargetMode="External"/><Relationship Id="rId157" Type="http://schemas.openxmlformats.org/officeDocument/2006/relationships/hyperlink" Target="https://www.zotero.org/google-docs/?hi4ipk" TargetMode="External"/><Relationship Id="rId156" Type="http://schemas.openxmlformats.org/officeDocument/2006/relationships/hyperlink" Target="https://www.zotero.org/google-docs/?hi4ipk" TargetMode="External"/><Relationship Id="rId155" Type="http://schemas.openxmlformats.org/officeDocument/2006/relationships/hyperlink" Target="https://www.zotero.org/google-docs/?hi4ipk" TargetMode="External"/><Relationship Id="rId107" Type="http://schemas.openxmlformats.org/officeDocument/2006/relationships/hyperlink" Target="https://www.zotero.org/google-docs/?hi4ipk" TargetMode="External"/><Relationship Id="rId106" Type="http://schemas.openxmlformats.org/officeDocument/2006/relationships/hyperlink" Target="https://www.zotero.org/google-docs/?hi4ipk" TargetMode="External"/><Relationship Id="rId105" Type="http://schemas.openxmlformats.org/officeDocument/2006/relationships/hyperlink" Target="https://www.zotero.org/google-docs/?hi4ipk" TargetMode="External"/><Relationship Id="rId104" Type="http://schemas.openxmlformats.org/officeDocument/2006/relationships/hyperlink" Target="https://www.zotero.org/google-docs/?hi4ipk" TargetMode="External"/><Relationship Id="rId109" Type="http://schemas.openxmlformats.org/officeDocument/2006/relationships/hyperlink" Target="https://www.zotero.org/google-docs/?hi4ipk" TargetMode="External"/><Relationship Id="rId108" Type="http://schemas.openxmlformats.org/officeDocument/2006/relationships/hyperlink" Target="https://www.zotero.org/google-docs/?hi4ipk" TargetMode="External"/><Relationship Id="rId103" Type="http://schemas.openxmlformats.org/officeDocument/2006/relationships/hyperlink" Target="https://www.zotero.org/google-docs/?hi4ipk" TargetMode="External"/><Relationship Id="rId102" Type="http://schemas.openxmlformats.org/officeDocument/2006/relationships/hyperlink" Target="https://www.zotero.org/google-docs/?hi4ipk" TargetMode="External"/><Relationship Id="rId101" Type="http://schemas.openxmlformats.org/officeDocument/2006/relationships/hyperlink" Target="https://www.zotero.org/google-docs/?hi4ipk" TargetMode="External"/><Relationship Id="rId100" Type="http://schemas.openxmlformats.org/officeDocument/2006/relationships/hyperlink" Target="https://www.zotero.org/google-docs/?hi4ipk" TargetMode="External"/><Relationship Id="rId129" Type="http://schemas.openxmlformats.org/officeDocument/2006/relationships/hyperlink" Target="https://www.zotero.org/google-docs/?hi4ipk" TargetMode="External"/><Relationship Id="rId128" Type="http://schemas.openxmlformats.org/officeDocument/2006/relationships/hyperlink" Target="https://www.zotero.org/google-docs/?hi4ipk" TargetMode="External"/><Relationship Id="rId127" Type="http://schemas.openxmlformats.org/officeDocument/2006/relationships/hyperlink" Target="https://www.zotero.org/google-docs/?hi4ipk" TargetMode="External"/><Relationship Id="rId126" Type="http://schemas.openxmlformats.org/officeDocument/2006/relationships/hyperlink" Target="https://www.zotero.org/google-docs/?hi4ipk" TargetMode="External"/><Relationship Id="rId121" Type="http://schemas.openxmlformats.org/officeDocument/2006/relationships/hyperlink" Target="https://www.zotero.org/google-docs/?hi4ipk" TargetMode="External"/><Relationship Id="rId120" Type="http://schemas.openxmlformats.org/officeDocument/2006/relationships/hyperlink" Target="https://www.zotero.org/google-docs/?hi4ipk" TargetMode="External"/><Relationship Id="rId125" Type="http://schemas.openxmlformats.org/officeDocument/2006/relationships/hyperlink" Target="https://www.zotero.org/google-docs/?hi4ipk" TargetMode="External"/><Relationship Id="rId124" Type="http://schemas.openxmlformats.org/officeDocument/2006/relationships/hyperlink" Target="https://www.zotero.org/google-docs/?hi4ipk" TargetMode="External"/><Relationship Id="rId123" Type="http://schemas.openxmlformats.org/officeDocument/2006/relationships/hyperlink" Target="https://www.zotero.org/google-docs/?hi4ipk" TargetMode="External"/><Relationship Id="rId122" Type="http://schemas.openxmlformats.org/officeDocument/2006/relationships/hyperlink" Target="https://www.zotero.org/google-docs/?hi4ipk" TargetMode="External"/><Relationship Id="rId95" Type="http://schemas.openxmlformats.org/officeDocument/2006/relationships/hyperlink" Target="https://www.zotero.org/google-docs/?hi4ipk" TargetMode="External"/><Relationship Id="rId94" Type="http://schemas.openxmlformats.org/officeDocument/2006/relationships/hyperlink" Target="https://www.zotero.org/google-docs/?hi4ipk" TargetMode="External"/><Relationship Id="rId97" Type="http://schemas.openxmlformats.org/officeDocument/2006/relationships/hyperlink" Target="https://www.zotero.org/google-docs/?hi4ipk" TargetMode="External"/><Relationship Id="rId96" Type="http://schemas.openxmlformats.org/officeDocument/2006/relationships/hyperlink" Target="https://www.zotero.org/google-docs/?hi4ipk" TargetMode="External"/><Relationship Id="rId99" Type="http://schemas.openxmlformats.org/officeDocument/2006/relationships/hyperlink" Target="https://www.zotero.org/google-docs/?hi4ipk" TargetMode="External"/><Relationship Id="rId98" Type="http://schemas.openxmlformats.org/officeDocument/2006/relationships/hyperlink" Target="https://www.zotero.org/google-docs/?hi4ipk" TargetMode="External"/><Relationship Id="rId91" Type="http://schemas.openxmlformats.org/officeDocument/2006/relationships/hyperlink" Target="https://www.zotero.org/google-docs/?YBLHw4" TargetMode="External"/><Relationship Id="rId90" Type="http://schemas.openxmlformats.org/officeDocument/2006/relationships/hyperlink" Target="https://www.zotero.org/google-docs/?dP5ifP" TargetMode="External"/><Relationship Id="rId93" Type="http://schemas.openxmlformats.org/officeDocument/2006/relationships/hyperlink" Target="https://www.zotero.org/google-docs/?Ykd0hl" TargetMode="External"/><Relationship Id="rId92" Type="http://schemas.openxmlformats.org/officeDocument/2006/relationships/hyperlink" Target="https://www.zotero.org/google-docs/?T6DtNq" TargetMode="External"/><Relationship Id="rId118" Type="http://schemas.openxmlformats.org/officeDocument/2006/relationships/hyperlink" Target="https://www.zotero.org/google-docs/?hi4ipk" TargetMode="External"/><Relationship Id="rId117" Type="http://schemas.openxmlformats.org/officeDocument/2006/relationships/hyperlink" Target="https://www.zotero.org/google-docs/?hi4ipk" TargetMode="External"/><Relationship Id="rId116" Type="http://schemas.openxmlformats.org/officeDocument/2006/relationships/hyperlink" Target="https://www.zotero.org/google-docs/?hi4ipk" TargetMode="External"/><Relationship Id="rId115" Type="http://schemas.openxmlformats.org/officeDocument/2006/relationships/hyperlink" Target="https://www.zotero.org/google-docs/?hi4ipk" TargetMode="External"/><Relationship Id="rId119" Type="http://schemas.openxmlformats.org/officeDocument/2006/relationships/hyperlink" Target="https://www.zotero.org/google-docs/?hi4ipk" TargetMode="External"/><Relationship Id="rId110" Type="http://schemas.openxmlformats.org/officeDocument/2006/relationships/hyperlink" Target="https://www.zotero.org/google-docs/?hi4ipk" TargetMode="External"/><Relationship Id="rId114" Type="http://schemas.openxmlformats.org/officeDocument/2006/relationships/hyperlink" Target="https://www.zotero.org/google-docs/?hi4ipk" TargetMode="External"/><Relationship Id="rId113" Type="http://schemas.openxmlformats.org/officeDocument/2006/relationships/hyperlink" Target="https://www.zotero.org/google-docs/?hi4ipk" TargetMode="External"/><Relationship Id="rId112" Type="http://schemas.openxmlformats.org/officeDocument/2006/relationships/hyperlink" Target="https://www.zotero.org/google-docs/?hi4ipk" TargetMode="External"/><Relationship Id="rId111" Type="http://schemas.openxmlformats.org/officeDocument/2006/relationships/hyperlink" Target="https://www.zotero.org/google-docs/?hi4ipk" TargetMode="External"/><Relationship Id="rId206" Type="http://schemas.openxmlformats.org/officeDocument/2006/relationships/hyperlink" Target="https://www.zotero.org/google-docs/?hi4ipk" TargetMode="External"/><Relationship Id="rId205" Type="http://schemas.openxmlformats.org/officeDocument/2006/relationships/hyperlink" Target="https://www.zotero.org/google-docs/?hi4ipk" TargetMode="External"/><Relationship Id="rId204" Type="http://schemas.openxmlformats.org/officeDocument/2006/relationships/hyperlink" Target="https://www.zotero.org/google-docs/?hi4ipk" TargetMode="External"/><Relationship Id="rId203" Type="http://schemas.openxmlformats.org/officeDocument/2006/relationships/hyperlink" Target="https://www.zotero.org/google-docs/?hi4ipk" TargetMode="External"/><Relationship Id="rId209" Type="http://schemas.openxmlformats.org/officeDocument/2006/relationships/footer" Target="footer1.xml"/><Relationship Id="rId208" Type="http://schemas.openxmlformats.org/officeDocument/2006/relationships/header" Target="header1.xml"/><Relationship Id="rId207" Type="http://schemas.openxmlformats.org/officeDocument/2006/relationships/hyperlink" Target="https://www.zotero.org/google-docs/?hi4ipk" TargetMode="External"/><Relationship Id="rId202" Type="http://schemas.openxmlformats.org/officeDocument/2006/relationships/hyperlink" Target="https://www.zotero.org/google-docs/?hi4ipk" TargetMode="External"/><Relationship Id="rId201" Type="http://schemas.openxmlformats.org/officeDocument/2006/relationships/hyperlink" Target="https://www.zotero.org/google-docs/?hi4ipk" TargetMode="External"/><Relationship Id="rId200" Type="http://schemas.openxmlformats.org/officeDocument/2006/relationships/hyperlink" Target="https://www.zotero.org/google-docs/?hi4ip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