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EFE" w:rsidRPr="00D15331" w:rsidRDefault="005F0520" w:rsidP="00053C58">
      <w:pPr>
        <w:pStyle w:val="NoSpacing"/>
        <w:spacing w:line="360" w:lineRule="auto"/>
        <w:rPr>
          <w:rFonts w:cs="Times New Roman"/>
          <w:b/>
          <w:color w:val="000000" w:themeColor="text1"/>
          <w:sz w:val="24"/>
        </w:rPr>
      </w:pPr>
      <w:bookmarkStart w:id="0" w:name="_GoBack"/>
      <w:bookmarkEnd w:id="0"/>
      <w:r w:rsidRPr="00D15331">
        <w:rPr>
          <w:rFonts w:cs="Times New Roman"/>
          <w:b/>
          <w:color w:val="000000" w:themeColor="text1"/>
          <w:sz w:val="24"/>
        </w:rPr>
        <w:t>Additional file 1</w:t>
      </w:r>
    </w:p>
    <w:p w:rsidR="00374EFE" w:rsidRPr="00D15331" w:rsidRDefault="00374EFE" w:rsidP="00053C58">
      <w:pPr>
        <w:pStyle w:val="NoSpacing"/>
        <w:spacing w:line="360" w:lineRule="auto"/>
        <w:rPr>
          <w:rFonts w:cs="Times New Roman"/>
          <w:b/>
          <w:color w:val="000000" w:themeColor="text1"/>
        </w:rPr>
      </w:pPr>
    </w:p>
    <w:p w:rsidR="00761184" w:rsidRPr="00D15331" w:rsidRDefault="00761184" w:rsidP="00761184">
      <w:pPr>
        <w:spacing w:line="360" w:lineRule="auto"/>
        <w:rPr>
          <w:sz w:val="28"/>
          <w:szCs w:val="28"/>
        </w:rPr>
      </w:pPr>
      <w:r w:rsidRPr="00D15331">
        <w:rPr>
          <w:sz w:val="28"/>
          <w:szCs w:val="28"/>
        </w:rPr>
        <w:t>Mosaic of plesiomorphic and derived characters in an Eocene myliobatiform batomorp</w:t>
      </w:r>
      <w:r w:rsidR="00062273">
        <w:rPr>
          <w:sz w:val="28"/>
          <w:szCs w:val="28"/>
        </w:rPr>
        <w:t>h (Chondrichthyes, Elasmobranchii</w:t>
      </w:r>
      <w:r w:rsidRPr="00D15331">
        <w:rPr>
          <w:sz w:val="28"/>
          <w:szCs w:val="28"/>
        </w:rPr>
        <w:t>) from Italy defines a new, basal body plan in pelagic stingrays</w:t>
      </w:r>
    </w:p>
    <w:p w:rsidR="00761184" w:rsidRPr="00D15331" w:rsidRDefault="00761184" w:rsidP="00761184">
      <w:pPr>
        <w:spacing w:line="360" w:lineRule="auto"/>
      </w:pPr>
    </w:p>
    <w:p w:rsidR="00761184" w:rsidRPr="00D15331" w:rsidRDefault="00FE3CED" w:rsidP="00761184">
      <w:pPr>
        <w:spacing w:line="360" w:lineRule="auto"/>
      </w:pPr>
      <w:r w:rsidRPr="00D15331">
        <w:t>Giuseppe Marramà</w:t>
      </w:r>
      <w:r w:rsidRPr="00D15331">
        <w:rPr>
          <w:vertAlign w:val="superscript"/>
        </w:rPr>
        <w:t>1</w:t>
      </w:r>
      <w:r w:rsidRPr="00D15331">
        <w:t>*, Giorgio Carnevale</w:t>
      </w:r>
      <w:r w:rsidRPr="00D15331">
        <w:rPr>
          <w:vertAlign w:val="superscript"/>
        </w:rPr>
        <w:t>2</w:t>
      </w:r>
      <w:r w:rsidRPr="00D15331">
        <w:t>, Gavin J. P. Naylor</w:t>
      </w:r>
      <w:r w:rsidRPr="00D15331">
        <w:rPr>
          <w:vertAlign w:val="superscript"/>
        </w:rPr>
        <w:t>3</w:t>
      </w:r>
      <w:r w:rsidRPr="00D15331">
        <w:t xml:space="preserve"> </w:t>
      </w:r>
      <w:r w:rsidR="00761184" w:rsidRPr="00D15331">
        <w:t xml:space="preserve">and </w:t>
      </w:r>
      <w:r w:rsidRPr="00D15331">
        <w:t>Jürgen Kriwet</w:t>
      </w:r>
      <w:r w:rsidRPr="00D15331">
        <w:rPr>
          <w:vertAlign w:val="superscript"/>
        </w:rPr>
        <w:t>1</w:t>
      </w:r>
    </w:p>
    <w:p w:rsidR="00761184" w:rsidRPr="00D15331" w:rsidRDefault="00761184" w:rsidP="00761184">
      <w:pPr>
        <w:spacing w:line="360" w:lineRule="auto"/>
      </w:pPr>
    </w:p>
    <w:p w:rsidR="00761184" w:rsidRPr="00D15331" w:rsidRDefault="00761184" w:rsidP="00761184">
      <w:pPr>
        <w:spacing w:line="360" w:lineRule="auto"/>
      </w:pPr>
      <w:r w:rsidRPr="00D15331">
        <w:rPr>
          <w:vertAlign w:val="superscript"/>
        </w:rPr>
        <w:t>1</w:t>
      </w:r>
      <w:r w:rsidRPr="00D15331">
        <w:t>University of Vienna, Department of Palaeontology, Althanstrasse 14, 1090, Vienna, Austria; e-mails: giuseppe.marrama@univie.ac.at; juergen.kriwet@univie.ac.at</w:t>
      </w:r>
    </w:p>
    <w:p w:rsidR="00761184" w:rsidRPr="00D15331" w:rsidRDefault="00761184" w:rsidP="00761184">
      <w:pPr>
        <w:spacing w:line="360" w:lineRule="auto"/>
        <w:rPr>
          <w:lang w:val="it-IT"/>
        </w:rPr>
      </w:pPr>
      <w:r w:rsidRPr="00D15331">
        <w:rPr>
          <w:vertAlign w:val="superscript"/>
          <w:lang w:val="it-IT"/>
        </w:rPr>
        <w:t>2</w:t>
      </w:r>
      <w:r w:rsidRPr="00D15331">
        <w:rPr>
          <w:lang w:val="it-IT"/>
        </w:rPr>
        <w:t xml:space="preserve"> Università degli Studi di Torino, Dipartimento di Scienze della Terra, Via Valperga Caluso 35, 10125 Torino, Italy; e-mail: giorgio.carnevale@unito.it</w:t>
      </w:r>
    </w:p>
    <w:p w:rsidR="00761184" w:rsidRPr="00D15331" w:rsidRDefault="00761184" w:rsidP="00761184">
      <w:pPr>
        <w:spacing w:line="360" w:lineRule="auto"/>
      </w:pPr>
      <w:r w:rsidRPr="00D15331">
        <w:rPr>
          <w:vertAlign w:val="superscript"/>
        </w:rPr>
        <w:t>3</w:t>
      </w:r>
      <w:r w:rsidRPr="00D15331">
        <w:t xml:space="preserve"> University of Florida, Florida Museum of Natural History, 1659 Museum Road, 32611 Gainesville, USA; e-mail: gjpnaylor@gmail.com</w:t>
      </w:r>
    </w:p>
    <w:p w:rsidR="00761184" w:rsidRPr="00D15331" w:rsidRDefault="00761184" w:rsidP="00761184">
      <w:pPr>
        <w:spacing w:line="360" w:lineRule="auto"/>
      </w:pPr>
    </w:p>
    <w:p w:rsidR="00761184" w:rsidRPr="00D15331" w:rsidRDefault="00761184" w:rsidP="00761184">
      <w:pPr>
        <w:spacing w:line="360" w:lineRule="auto"/>
      </w:pPr>
      <w:r w:rsidRPr="00D15331">
        <w:t>*Corresponding author</w:t>
      </w:r>
    </w:p>
    <w:p w:rsidR="00374EFE" w:rsidRPr="00D15331" w:rsidRDefault="00374EFE" w:rsidP="00374EFE">
      <w:pPr>
        <w:pStyle w:val="NoSpacing"/>
        <w:spacing w:line="360" w:lineRule="auto"/>
        <w:rPr>
          <w:rFonts w:ascii="Times New Roman" w:hAnsi="Times New Roman" w:cs="Times New Roman"/>
          <w:color w:val="000000" w:themeColor="text1"/>
          <w:sz w:val="24"/>
          <w:szCs w:val="24"/>
        </w:rPr>
      </w:pPr>
    </w:p>
    <w:p w:rsidR="00374EFE" w:rsidRPr="00D15331" w:rsidRDefault="00374EFE"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374EFE">
      <w:pPr>
        <w:pStyle w:val="NoSpacing"/>
        <w:spacing w:line="360" w:lineRule="auto"/>
        <w:rPr>
          <w:rFonts w:ascii="Times New Roman" w:hAnsi="Times New Roman" w:cs="Times New Roman"/>
          <w:color w:val="000000" w:themeColor="text1"/>
          <w:sz w:val="24"/>
          <w:szCs w:val="24"/>
        </w:rPr>
      </w:pPr>
    </w:p>
    <w:p w:rsidR="00932C42" w:rsidRPr="00D15331" w:rsidRDefault="00932C42" w:rsidP="00932C42">
      <w:pPr>
        <w:pStyle w:val="NoSpacing"/>
        <w:spacing w:line="360" w:lineRule="auto"/>
        <w:rPr>
          <w:rFonts w:cs="Times New Roman"/>
          <w:color w:val="000000" w:themeColor="text1"/>
        </w:rPr>
      </w:pPr>
      <w:r w:rsidRPr="00D15331">
        <w:rPr>
          <w:rFonts w:cs="Times New Roman"/>
          <w:b/>
          <w:color w:val="000000" w:themeColor="text1"/>
        </w:rPr>
        <w:lastRenderedPageBreak/>
        <w:t>Geological setting</w:t>
      </w:r>
    </w:p>
    <w:p w:rsidR="00932C42" w:rsidRPr="00D15331" w:rsidRDefault="00932C42" w:rsidP="00932C42">
      <w:pPr>
        <w:pStyle w:val="NoSpacing"/>
        <w:spacing w:line="360" w:lineRule="auto"/>
        <w:rPr>
          <w:rFonts w:cs="Times New Roman"/>
          <w:color w:val="000000" w:themeColor="text1"/>
        </w:rPr>
      </w:pPr>
      <w:r w:rsidRPr="00D15331">
        <w:rPr>
          <w:rFonts w:cs="Times New Roman"/>
          <w:color w:val="000000" w:themeColor="text1"/>
        </w:rPr>
        <w:t>Lithological and sedimentological features of the slabs suggest that the two specimens forming the object of this study were collected from the fossiliferous layers of the Pesciara site of the Bolca Konservat-Lagerstätte, located in the Lessini Mountains (southern Alps), about 2 km north-east of the village of Bolca, Verona Province, north-eastern Italy (Fig. S1). The stratigraphic sequence of the Pesciara site is traditionally referred to as the ‘Calcari Nummulitici’, an informal unit of Eocene age widely distributed in north-eastern Italy (Papazzoni &amp; Trevisani 2006). The entire succession is formed by a nearly 20-m-thick alternation of finely laminated micritic limestones (containing fishes, plants and invertebrates) and coarse-grained biocalcarenite-biocalcirudite (with a rich benthic fauna). Studies based on the benthic foraminiferan content suggest that the fish-bearing limestones of the Pesciara belong to the †</w:t>
      </w:r>
      <w:r w:rsidRPr="00D15331">
        <w:rPr>
          <w:rFonts w:cs="Times New Roman"/>
          <w:i/>
          <w:color w:val="000000" w:themeColor="text1"/>
        </w:rPr>
        <w:t>Alveolina dainelli</w:t>
      </w:r>
      <w:r w:rsidRPr="00D15331">
        <w:rPr>
          <w:rFonts w:cs="Times New Roman"/>
          <w:color w:val="000000" w:themeColor="text1"/>
        </w:rPr>
        <w:t xml:space="preserve"> Zone or SBZ 11 Biozone (Papazzoni &amp; Trevisani 2006; Papazzoni et al. 2014), corresponding to the late Cuisian (late Ypresian, about 49 Ma). A quantitative palaeoecological a</w:t>
      </w:r>
      <w:r w:rsidR="00203DB1" w:rsidRPr="00D15331">
        <w:rPr>
          <w:rFonts w:cs="Times New Roman"/>
          <w:color w:val="000000" w:themeColor="text1"/>
        </w:rPr>
        <w:t>nalysis by Marramà et al. (2016</w:t>
      </w:r>
      <w:r w:rsidRPr="00D15331">
        <w:rPr>
          <w:rFonts w:cs="Times New Roman"/>
          <w:color w:val="000000" w:themeColor="text1"/>
        </w:rPr>
        <w:t>) revealed that the Pesciara fish assemblage was characterized by a sharp oligarchic structure dominated by zooplanktivorous fishes, especially sardines and allies. The related taphonomic analysis confirmed that the sediments were deposited in an intraplatform basin in which bottom anoxia and the development of a biofilm promoted the high-quality preservation of the fossils (Papazzoni &amp; Trevisani 2006; Marramà et al. 2016).</w:t>
      </w:r>
    </w:p>
    <w:p w:rsidR="00932C42" w:rsidRPr="00D15331" w:rsidRDefault="00932C42" w:rsidP="00932C42">
      <w:pPr>
        <w:pStyle w:val="NoSpacing"/>
        <w:spacing w:line="360" w:lineRule="auto"/>
        <w:jc w:val="center"/>
        <w:rPr>
          <w:rFonts w:ascii="Times New Roman" w:hAnsi="Times New Roman" w:cs="Times New Roman"/>
          <w:color w:val="000000" w:themeColor="text1"/>
          <w:sz w:val="24"/>
          <w:szCs w:val="24"/>
        </w:rPr>
      </w:pPr>
      <w:r w:rsidRPr="00D15331">
        <w:rPr>
          <w:rFonts w:ascii="Times New Roman" w:hAnsi="Times New Roman" w:cs="Times New Roman"/>
          <w:noProof/>
          <w:color w:val="000000" w:themeColor="text1"/>
          <w:sz w:val="24"/>
          <w:szCs w:val="24"/>
          <w:lang w:val="en-US"/>
        </w:rPr>
        <w:drawing>
          <wp:inline distT="0" distB="0" distL="0" distR="0" wp14:anchorId="5C9439F4" wp14:editId="3D80282C">
            <wp:extent cx="3207148" cy="4053385"/>
            <wp:effectExtent l="0" t="0" r="0" b="4445"/>
            <wp:docPr id="4" name="Picture 4" descr="C:\Users\Giuseppe\Desktop\Works in progress\_ELASMOBRANCHS BOLCA\Manuscripts\Myliobatidae\Manuscript\_Fig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seppe\Desktop\Works in progress\_ELASMOBRANCHS BOLCA\Manuscripts\Myliobatidae\Manuscript\_Fig_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9258" cy="4056052"/>
                    </a:xfrm>
                    <a:prstGeom prst="rect">
                      <a:avLst/>
                    </a:prstGeom>
                    <a:noFill/>
                    <a:ln>
                      <a:noFill/>
                    </a:ln>
                  </pic:spPr>
                </pic:pic>
              </a:graphicData>
            </a:graphic>
          </wp:inline>
        </w:drawing>
      </w:r>
    </w:p>
    <w:p w:rsidR="00374EFE" w:rsidRPr="00D15331" w:rsidRDefault="00203DB1" w:rsidP="00374EFE">
      <w:pPr>
        <w:pStyle w:val="NoSpacing"/>
        <w:spacing w:line="360" w:lineRule="auto"/>
        <w:rPr>
          <w:rFonts w:cs="Times New Roman"/>
          <w:color w:val="000000" w:themeColor="text1"/>
        </w:rPr>
      </w:pPr>
      <w:r w:rsidRPr="00D15331">
        <w:rPr>
          <w:rFonts w:cs="Times New Roman"/>
          <w:b/>
          <w:color w:val="000000" w:themeColor="text1"/>
        </w:rPr>
        <w:t>Fig</w:t>
      </w:r>
      <w:r w:rsidR="00932C42" w:rsidRPr="00D15331">
        <w:rPr>
          <w:rFonts w:cs="Times New Roman"/>
          <w:b/>
          <w:color w:val="000000" w:themeColor="text1"/>
        </w:rPr>
        <w:t>. S1</w:t>
      </w:r>
      <w:r w:rsidR="00932C42" w:rsidRPr="00D15331">
        <w:rPr>
          <w:rFonts w:cs="Times New Roman"/>
          <w:color w:val="000000" w:themeColor="text1"/>
        </w:rPr>
        <w:t xml:space="preserve"> </w:t>
      </w:r>
      <w:r w:rsidRPr="00D15331">
        <w:rPr>
          <w:rFonts w:cs="Times New Roman"/>
          <w:b/>
          <w:color w:val="000000" w:themeColor="text1"/>
        </w:rPr>
        <w:t>a</w:t>
      </w:r>
      <w:r w:rsidR="00932C42" w:rsidRPr="00D15331">
        <w:rPr>
          <w:rFonts w:cs="Times New Roman"/>
          <w:color w:val="000000" w:themeColor="text1"/>
        </w:rPr>
        <w:t xml:space="preserve"> </w:t>
      </w:r>
      <w:r w:rsidRPr="00D15331">
        <w:rPr>
          <w:rFonts w:cs="Times New Roman"/>
          <w:color w:val="000000" w:themeColor="text1"/>
        </w:rPr>
        <w:t>L</w:t>
      </w:r>
      <w:r w:rsidR="00932C42" w:rsidRPr="00D15331">
        <w:rPr>
          <w:rFonts w:cs="Times New Roman"/>
          <w:color w:val="000000" w:themeColor="text1"/>
        </w:rPr>
        <w:t>ocation and geological map of the Bolca area</w:t>
      </w:r>
      <w:r w:rsidRPr="00D15331">
        <w:rPr>
          <w:rFonts w:cs="Times New Roman"/>
          <w:color w:val="000000" w:themeColor="text1"/>
        </w:rPr>
        <w:t xml:space="preserve">. </w:t>
      </w:r>
      <w:r w:rsidRPr="00D15331">
        <w:rPr>
          <w:rFonts w:cs="Times New Roman"/>
          <w:b/>
          <w:color w:val="000000" w:themeColor="text1"/>
        </w:rPr>
        <w:t>b</w:t>
      </w:r>
      <w:r w:rsidR="00932C42" w:rsidRPr="00D15331">
        <w:rPr>
          <w:rFonts w:cs="Times New Roman"/>
          <w:color w:val="000000" w:themeColor="text1"/>
        </w:rPr>
        <w:t xml:space="preserve"> </w:t>
      </w:r>
      <w:r w:rsidRPr="00D15331">
        <w:rPr>
          <w:rFonts w:cs="Times New Roman"/>
          <w:color w:val="000000" w:themeColor="text1"/>
        </w:rPr>
        <w:t>S</w:t>
      </w:r>
      <w:r w:rsidR="00932C42" w:rsidRPr="00D15331">
        <w:rPr>
          <w:rFonts w:cs="Times New Roman"/>
          <w:color w:val="000000" w:themeColor="text1"/>
        </w:rPr>
        <w:t xml:space="preserve">tratigraphic section of the Pesciara site. Adapted and modified from Papazzoni </w:t>
      </w:r>
      <w:r w:rsidRPr="00D15331">
        <w:rPr>
          <w:rFonts w:cs="Times New Roman"/>
          <w:color w:val="000000" w:themeColor="text1"/>
        </w:rPr>
        <w:t>and</w:t>
      </w:r>
      <w:r w:rsidR="00932C42" w:rsidRPr="00D15331">
        <w:rPr>
          <w:rFonts w:cs="Times New Roman"/>
          <w:color w:val="000000" w:themeColor="text1"/>
        </w:rPr>
        <w:t xml:space="preserve"> Trevisani (2006) and Trevisani (2015).</w:t>
      </w:r>
    </w:p>
    <w:p w:rsidR="00374EFE" w:rsidRPr="00D15331" w:rsidRDefault="00374EFE" w:rsidP="00374EFE">
      <w:pPr>
        <w:pStyle w:val="NoSpacing"/>
        <w:spacing w:line="360" w:lineRule="auto"/>
        <w:rPr>
          <w:rFonts w:ascii="Times New Roman" w:hAnsi="Times New Roman" w:cs="Times New Roman"/>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r w:rsidRPr="00D15331">
        <w:rPr>
          <w:rFonts w:ascii="Times New Roman" w:hAnsi="Times New Roman" w:cs="Times New Roman"/>
          <w:b/>
          <w:noProof/>
          <w:color w:val="000000" w:themeColor="text1"/>
          <w:sz w:val="24"/>
          <w:szCs w:val="24"/>
          <w:lang w:val="en-US"/>
        </w:rPr>
        <w:lastRenderedPageBreak/>
        <w:drawing>
          <wp:inline distT="0" distB="0" distL="0" distR="0" wp14:anchorId="7891F45A" wp14:editId="12580EC5">
            <wp:extent cx="6120130" cy="3433448"/>
            <wp:effectExtent l="0" t="0" r="0" b="0"/>
            <wp:docPr id="1" name="Picture 1" descr="C:\Users\Giuseppe\Desktop\Works in progress\_ELASMOBRANCHS BOLCA\Manuscripts\Myliobatidae\Manuscript\SUPPL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seppe\Desktop\Works in progress\_ELASMOBRANCHS BOLCA\Manuscripts\Myliobatidae\Manuscript\SUPPL S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433448"/>
                    </a:xfrm>
                    <a:prstGeom prst="rect">
                      <a:avLst/>
                    </a:prstGeom>
                    <a:noFill/>
                    <a:ln>
                      <a:noFill/>
                    </a:ln>
                  </pic:spPr>
                </pic:pic>
              </a:graphicData>
            </a:graphic>
          </wp:inline>
        </w:drawing>
      </w:r>
    </w:p>
    <w:p w:rsidR="00520797" w:rsidRPr="00D15331" w:rsidRDefault="00932C42" w:rsidP="00520797">
      <w:pPr>
        <w:pStyle w:val="NoSpacing"/>
        <w:spacing w:line="360" w:lineRule="auto"/>
        <w:rPr>
          <w:rFonts w:cs="Times New Roman"/>
          <w:b/>
          <w:color w:val="000000" w:themeColor="text1"/>
        </w:rPr>
      </w:pPr>
      <w:r w:rsidRPr="00D15331">
        <w:rPr>
          <w:rFonts w:cs="Times New Roman"/>
          <w:b/>
          <w:color w:val="000000" w:themeColor="text1"/>
        </w:rPr>
        <w:t>Fig</w:t>
      </w:r>
      <w:r w:rsidR="00203DB1" w:rsidRPr="00D15331">
        <w:rPr>
          <w:rFonts w:cs="Times New Roman"/>
          <w:b/>
          <w:color w:val="000000" w:themeColor="text1"/>
        </w:rPr>
        <w:t>.</w:t>
      </w:r>
      <w:r w:rsidRPr="00D15331">
        <w:rPr>
          <w:rFonts w:cs="Times New Roman"/>
          <w:b/>
          <w:color w:val="000000" w:themeColor="text1"/>
        </w:rPr>
        <w:t xml:space="preserve"> S2</w:t>
      </w:r>
      <w:r w:rsidR="00520797" w:rsidRPr="00D15331">
        <w:rPr>
          <w:rFonts w:cs="Times New Roman"/>
          <w:b/>
          <w:color w:val="000000" w:themeColor="text1"/>
        </w:rPr>
        <w:t xml:space="preserve"> </w:t>
      </w:r>
      <w:r w:rsidR="00520797" w:rsidRPr="00D15331">
        <w:rPr>
          <w:rFonts w:cs="Times New Roman"/>
          <w:color w:val="000000" w:themeColor="text1"/>
        </w:rPr>
        <w:t>Additional phylogenetic analyses showing the relationships of †</w:t>
      </w:r>
      <w:r w:rsidR="00520797" w:rsidRPr="00D15331">
        <w:rPr>
          <w:rFonts w:cs="Times New Roman"/>
          <w:i/>
          <w:color w:val="000000" w:themeColor="text1"/>
        </w:rPr>
        <w:t>Promyliobatis gazolai</w:t>
      </w:r>
      <w:r w:rsidR="00520797" w:rsidRPr="00D15331">
        <w:rPr>
          <w:rFonts w:cs="Times New Roman"/>
          <w:color w:val="000000" w:themeColor="text1"/>
        </w:rPr>
        <w:t xml:space="preserve"> (de Zigno, 1882) within the Myliobatiformes using living and fossil taxa based on holomorphic specimens. Numbers indicate the bootstrap values.</w:t>
      </w: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4E288F" w:rsidP="004E288F">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n-US"/>
        </w:rPr>
        <w:lastRenderedPageBreak/>
        <w:drawing>
          <wp:inline distT="0" distB="0" distL="0" distR="0">
            <wp:extent cx="6032500" cy="6196330"/>
            <wp:effectExtent l="0" t="0" r="6350" b="0"/>
            <wp:docPr id="5" name="Picture 5" descr="C:\Users\Giuseppe\Desktop\Works in progress\_ELASMOBRANCHS BOLCA\Manuscripts\Myliobatidae\Manuscript\_Fig_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seppe\Desktop\Works in progress\_ELASMOBRANCHS BOLCA\Manuscripts\Myliobatidae\Manuscript\_Fig_S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2500" cy="6196330"/>
                    </a:xfrm>
                    <a:prstGeom prst="rect">
                      <a:avLst/>
                    </a:prstGeom>
                    <a:noFill/>
                    <a:ln>
                      <a:noFill/>
                    </a:ln>
                  </pic:spPr>
                </pic:pic>
              </a:graphicData>
            </a:graphic>
          </wp:inline>
        </w:drawing>
      </w:r>
    </w:p>
    <w:p w:rsidR="00520797" w:rsidRPr="00D15331" w:rsidRDefault="00203DB1" w:rsidP="00520797">
      <w:pPr>
        <w:pStyle w:val="NoSpacing"/>
        <w:spacing w:line="360" w:lineRule="auto"/>
        <w:rPr>
          <w:rFonts w:cs="Times New Roman"/>
          <w:b/>
          <w:color w:val="000000" w:themeColor="text1"/>
        </w:rPr>
      </w:pPr>
      <w:r w:rsidRPr="00D15331">
        <w:rPr>
          <w:rFonts w:cs="Times New Roman"/>
          <w:b/>
          <w:color w:val="000000" w:themeColor="text1"/>
        </w:rPr>
        <w:t>Fig.</w:t>
      </w:r>
      <w:r w:rsidR="00932C42" w:rsidRPr="00D15331">
        <w:rPr>
          <w:rFonts w:cs="Times New Roman"/>
          <w:b/>
          <w:color w:val="000000" w:themeColor="text1"/>
        </w:rPr>
        <w:t xml:space="preserve"> S3</w:t>
      </w:r>
      <w:r w:rsidR="00520797" w:rsidRPr="00D15331">
        <w:rPr>
          <w:rFonts w:cs="Times New Roman"/>
          <w:b/>
          <w:color w:val="000000" w:themeColor="text1"/>
        </w:rPr>
        <w:t xml:space="preserve"> </w:t>
      </w:r>
      <w:r w:rsidR="00520797" w:rsidRPr="00D15331">
        <w:rPr>
          <w:rFonts w:cs="Times New Roman"/>
          <w:color w:val="000000" w:themeColor="text1"/>
        </w:rPr>
        <w:t>Phylogenetic hypotheses showing the relationships of †</w:t>
      </w:r>
      <w:r w:rsidR="00520797" w:rsidRPr="00D15331">
        <w:rPr>
          <w:rFonts w:cs="Times New Roman"/>
          <w:i/>
          <w:color w:val="000000" w:themeColor="text1"/>
        </w:rPr>
        <w:t>Promyliobatis gazolai</w:t>
      </w:r>
      <w:r w:rsidR="00520797" w:rsidRPr="00D15331">
        <w:rPr>
          <w:rFonts w:cs="Times New Roman"/>
          <w:color w:val="000000" w:themeColor="text1"/>
        </w:rPr>
        <w:t xml:space="preserve"> (de Zigno, 1882) within the Myliobatiformes also including fossil taxa based on isolated teeth or dental plates previously used by Claeson et al. (2010). The trees are from analyses including all taxa, with benthic stingrays (Dasyatoidea) condensed as a single outgroup taxon. ‘</w:t>
      </w:r>
      <w:r w:rsidR="00520797" w:rsidRPr="00D15331">
        <w:rPr>
          <w:rFonts w:cs="Times New Roman"/>
          <w:i/>
          <w:color w:val="000000" w:themeColor="text1"/>
        </w:rPr>
        <w:t>A</w:t>
      </w:r>
      <w:r w:rsidR="00520797" w:rsidRPr="00D15331">
        <w:rPr>
          <w:rFonts w:cs="Times New Roman"/>
          <w:color w:val="000000" w:themeColor="text1"/>
        </w:rPr>
        <w:t xml:space="preserve">.’ stands for the </w:t>
      </w:r>
      <w:r w:rsidR="00520797" w:rsidRPr="00D15331">
        <w:rPr>
          <w:rFonts w:cs="Times New Roman"/>
          <w:i/>
          <w:color w:val="000000" w:themeColor="text1"/>
        </w:rPr>
        <w:t>Aetobatus</w:t>
      </w:r>
      <w:r w:rsidR="00520797" w:rsidRPr="00D15331">
        <w:rPr>
          <w:rFonts w:cs="Times New Roman"/>
          <w:color w:val="000000" w:themeColor="text1"/>
        </w:rPr>
        <w:t xml:space="preserve"> species, ‘</w:t>
      </w:r>
      <w:r w:rsidR="00520797" w:rsidRPr="00D15331">
        <w:rPr>
          <w:rFonts w:cs="Times New Roman"/>
          <w:i/>
          <w:color w:val="000000" w:themeColor="text1"/>
        </w:rPr>
        <w:t>M</w:t>
      </w:r>
      <w:r w:rsidR="00520797" w:rsidRPr="00D15331">
        <w:rPr>
          <w:rFonts w:cs="Times New Roman"/>
          <w:color w:val="000000" w:themeColor="text1"/>
        </w:rPr>
        <w:t xml:space="preserve">.’ indicates </w:t>
      </w:r>
      <w:r w:rsidR="00520797" w:rsidRPr="00D15331">
        <w:rPr>
          <w:rFonts w:cs="Times New Roman"/>
          <w:i/>
          <w:color w:val="000000" w:themeColor="text1"/>
        </w:rPr>
        <w:t>Myliobatis</w:t>
      </w:r>
      <w:r w:rsidR="00520797" w:rsidRPr="00D15331">
        <w:rPr>
          <w:rFonts w:cs="Times New Roman"/>
          <w:color w:val="000000" w:themeColor="text1"/>
        </w:rPr>
        <w:t xml:space="preserve"> species.</w:t>
      </w: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374EFE">
      <w:pPr>
        <w:pStyle w:val="NoSpacing"/>
        <w:spacing w:line="360" w:lineRule="auto"/>
        <w:jc w:val="center"/>
        <w:rPr>
          <w:rFonts w:ascii="Times New Roman" w:hAnsi="Times New Roman" w:cs="Times New Roman"/>
          <w:b/>
          <w:color w:val="000000" w:themeColor="text1"/>
          <w:sz w:val="24"/>
          <w:szCs w:val="24"/>
        </w:rPr>
      </w:pPr>
      <w:r w:rsidRPr="00D15331">
        <w:rPr>
          <w:rFonts w:ascii="Times New Roman" w:hAnsi="Times New Roman" w:cs="Times New Roman"/>
          <w:b/>
          <w:noProof/>
          <w:color w:val="000000" w:themeColor="text1"/>
          <w:sz w:val="24"/>
          <w:szCs w:val="24"/>
          <w:lang w:val="en-US"/>
        </w:rPr>
        <w:lastRenderedPageBreak/>
        <w:drawing>
          <wp:inline distT="0" distB="0" distL="0" distR="0" wp14:anchorId="414E28EA" wp14:editId="6E846D60">
            <wp:extent cx="5203717" cy="7199194"/>
            <wp:effectExtent l="0" t="0" r="0" b="1905"/>
            <wp:docPr id="3" name="Picture 3" descr="C:\Users\Giuseppe\Desktop\Works in progress\_ELASMOBRANCHS BOLCA\Manuscripts\Myliobatidae\Manuscript\_Fig_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useppe\Desktop\Works in progress\_ELASMOBRANCHS BOLCA\Manuscripts\Myliobatidae\Manuscript\_Fig_11.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3865" cy="7199399"/>
                    </a:xfrm>
                    <a:prstGeom prst="rect">
                      <a:avLst/>
                    </a:prstGeom>
                    <a:noFill/>
                    <a:ln>
                      <a:noFill/>
                    </a:ln>
                  </pic:spPr>
                </pic:pic>
              </a:graphicData>
            </a:graphic>
          </wp:inline>
        </w:drawing>
      </w:r>
    </w:p>
    <w:p w:rsidR="00520797" w:rsidRPr="00D15331" w:rsidRDefault="00932C42" w:rsidP="00520797">
      <w:pPr>
        <w:pStyle w:val="NoSpacing"/>
        <w:spacing w:line="360" w:lineRule="auto"/>
        <w:rPr>
          <w:rFonts w:cs="Times New Roman"/>
          <w:b/>
          <w:color w:val="000000" w:themeColor="text1"/>
        </w:rPr>
      </w:pPr>
      <w:r w:rsidRPr="00D15331">
        <w:rPr>
          <w:rFonts w:cs="Times New Roman"/>
          <w:b/>
          <w:color w:val="000000" w:themeColor="text1"/>
        </w:rPr>
        <w:t>Figure S4</w:t>
      </w:r>
      <w:r w:rsidR="00520797" w:rsidRPr="00D15331">
        <w:rPr>
          <w:rFonts w:cs="Times New Roman"/>
          <w:b/>
          <w:color w:val="000000" w:themeColor="text1"/>
        </w:rPr>
        <w:t xml:space="preserve">. </w:t>
      </w:r>
      <w:r w:rsidR="00520797" w:rsidRPr="00D15331">
        <w:rPr>
          <w:rFonts w:cs="Times New Roman"/>
          <w:color w:val="000000" w:themeColor="text1"/>
        </w:rPr>
        <w:t xml:space="preserve">Upper and lower dental plates of extant pelagic durophagous stingray genera used for comparisons. </w:t>
      </w:r>
      <w:r w:rsidR="00203DB1" w:rsidRPr="00D15331">
        <w:rPr>
          <w:rFonts w:cs="Times New Roman"/>
          <w:b/>
          <w:color w:val="000000" w:themeColor="text1"/>
        </w:rPr>
        <w:t>a</w:t>
      </w:r>
      <w:r w:rsidR="00520797" w:rsidRPr="00D15331">
        <w:rPr>
          <w:rFonts w:cs="Times New Roman"/>
          <w:color w:val="000000" w:themeColor="text1"/>
        </w:rPr>
        <w:t xml:space="preserve"> </w:t>
      </w:r>
      <w:r w:rsidR="00520797" w:rsidRPr="00D15331">
        <w:rPr>
          <w:rFonts w:cs="Times New Roman"/>
          <w:i/>
          <w:color w:val="000000" w:themeColor="text1"/>
        </w:rPr>
        <w:t>Myliobatis aquila</w:t>
      </w:r>
      <w:r w:rsidR="00520797" w:rsidRPr="00D15331">
        <w:rPr>
          <w:rFonts w:cs="Times New Roman"/>
          <w:color w:val="000000" w:themeColor="text1"/>
        </w:rPr>
        <w:t>; photo:</w:t>
      </w:r>
      <w:r w:rsidR="00203DB1" w:rsidRPr="00D15331">
        <w:rPr>
          <w:rFonts w:cs="Times New Roman"/>
          <w:color w:val="000000" w:themeColor="text1"/>
        </w:rPr>
        <w:t xml:space="preserve"> courtesy of Dr. D. Hovestadt. </w:t>
      </w:r>
      <w:r w:rsidR="00203DB1" w:rsidRPr="00D15331">
        <w:rPr>
          <w:rFonts w:cs="Times New Roman"/>
          <w:b/>
          <w:color w:val="000000" w:themeColor="text1"/>
        </w:rPr>
        <w:t>b</w:t>
      </w:r>
      <w:r w:rsidR="00520797" w:rsidRPr="00D15331">
        <w:rPr>
          <w:rFonts w:cs="Times New Roman"/>
          <w:color w:val="000000" w:themeColor="text1"/>
        </w:rPr>
        <w:t xml:space="preserve"> </w:t>
      </w:r>
      <w:r w:rsidR="00520797" w:rsidRPr="00D15331">
        <w:rPr>
          <w:rFonts w:cs="Times New Roman"/>
          <w:i/>
          <w:color w:val="000000" w:themeColor="text1"/>
        </w:rPr>
        <w:t>Aetomylaeus</w:t>
      </w:r>
      <w:r w:rsidR="00520797" w:rsidRPr="00D15331">
        <w:rPr>
          <w:rFonts w:cs="Times New Roman"/>
          <w:color w:val="000000" w:themeColor="text1"/>
        </w:rPr>
        <w:t xml:space="preserve"> sp., </w:t>
      </w:r>
      <w:r w:rsidR="00FE3CED" w:rsidRPr="00D15331">
        <w:rPr>
          <w:rFonts w:cs="Times New Roman"/>
          <w:color w:val="000000" w:themeColor="text1"/>
        </w:rPr>
        <w:t>EMRG-Chond-T-58</w:t>
      </w:r>
      <w:r w:rsidR="00203DB1" w:rsidRPr="00D15331">
        <w:rPr>
          <w:rFonts w:cs="Times New Roman"/>
          <w:color w:val="000000" w:themeColor="text1"/>
        </w:rPr>
        <w:t xml:space="preserve">. </w:t>
      </w:r>
      <w:r w:rsidR="00203DB1" w:rsidRPr="00D15331">
        <w:rPr>
          <w:rFonts w:cs="Times New Roman"/>
          <w:b/>
          <w:color w:val="000000" w:themeColor="text1"/>
        </w:rPr>
        <w:t xml:space="preserve">c </w:t>
      </w:r>
      <w:r w:rsidR="00520797" w:rsidRPr="00D15331">
        <w:rPr>
          <w:rFonts w:cs="Times New Roman"/>
          <w:i/>
          <w:color w:val="000000" w:themeColor="text1"/>
        </w:rPr>
        <w:t>Aetobatus</w:t>
      </w:r>
      <w:r w:rsidR="00520797" w:rsidRPr="00D15331">
        <w:rPr>
          <w:rFonts w:cs="Times New Roman"/>
          <w:color w:val="000000" w:themeColor="text1"/>
        </w:rPr>
        <w:t xml:space="preserve"> sp., </w:t>
      </w:r>
      <w:r w:rsidR="00FE3CED" w:rsidRPr="00D15331">
        <w:rPr>
          <w:rFonts w:cs="Times New Roman"/>
          <w:color w:val="000000" w:themeColor="text1"/>
        </w:rPr>
        <w:t>EMRG-Chond-T-60</w:t>
      </w:r>
      <w:r w:rsidR="00203DB1" w:rsidRPr="00D15331">
        <w:rPr>
          <w:rFonts w:cs="Times New Roman"/>
          <w:color w:val="000000" w:themeColor="text1"/>
        </w:rPr>
        <w:t xml:space="preserve">. </w:t>
      </w:r>
      <w:r w:rsidR="00203DB1" w:rsidRPr="00D15331">
        <w:rPr>
          <w:rFonts w:cs="Times New Roman"/>
          <w:b/>
          <w:color w:val="000000" w:themeColor="text1"/>
        </w:rPr>
        <w:t>d</w:t>
      </w:r>
      <w:r w:rsidR="00520797" w:rsidRPr="00D15331">
        <w:rPr>
          <w:rFonts w:cs="Times New Roman"/>
          <w:color w:val="000000" w:themeColor="text1"/>
        </w:rPr>
        <w:t xml:space="preserve"> </w:t>
      </w:r>
      <w:r w:rsidR="00520797" w:rsidRPr="00D15331">
        <w:rPr>
          <w:rFonts w:cs="Times New Roman"/>
          <w:i/>
          <w:color w:val="000000" w:themeColor="text1"/>
        </w:rPr>
        <w:t>Rhinoptera</w:t>
      </w:r>
      <w:r w:rsidR="00520797" w:rsidRPr="00D15331">
        <w:rPr>
          <w:rFonts w:cs="Times New Roman"/>
          <w:color w:val="000000" w:themeColor="text1"/>
        </w:rPr>
        <w:t xml:space="preserve"> sp., </w:t>
      </w:r>
      <w:r w:rsidR="00FE3CED" w:rsidRPr="00D15331">
        <w:rPr>
          <w:rFonts w:cs="Times New Roman"/>
          <w:color w:val="000000" w:themeColor="text1"/>
        </w:rPr>
        <w:t>EMRG-Chond-T-59</w:t>
      </w:r>
      <w:r w:rsidR="00520797" w:rsidRPr="00D15331">
        <w:rPr>
          <w:rFonts w:cs="Times New Roman"/>
          <w:color w:val="000000" w:themeColor="text1"/>
        </w:rPr>
        <w:t xml:space="preserve">. Scale bars </w:t>
      </w:r>
      <w:r w:rsidR="00203DB1" w:rsidRPr="00D15331">
        <w:rPr>
          <w:rFonts w:cs="Times New Roman"/>
          <w:color w:val="000000" w:themeColor="text1"/>
        </w:rPr>
        <w:t xml:space="preserve">= </w:t>
      </w:r>
      <w:r w:rsidR="00520797" w:rsidRPr="00D15331">
        <w:rPr>
          <w:rFonts w:cs="Times New Roman"/>
          <w:color w:val="000000" w:themeColor="text1"/>
        </w:rPr>
        <w:t>10 mm.</w:t>
      </w: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374EFE" w:rsidRPr="00D15331" w:rsidRDefault="00374EFE" w:rsidP="00053C58">
      <w:pPr>
        <w:pStyle w:val="NoSpacing"/>
        <w:spacing w:line="360" w:lineRule="auto"/>
        <w:rPr>
          <w:rFonts w:ascii="Times New Roman" w:hAnsi="Times New Roman" w:cs="Times New Roman"/>
          <w:b/>
          <w:color w:val="000000" w:themeColor="text1"/>
          <w:sz w:val="24"/>
          <w:szCs w:val="24"/>
        </w:rPr>
      </w:pPr>
    </w:p>
    <w:p w:rsidR="00053C58" w:rsidRPr="00D15331" w:rsidRDefault="00053C58" w:rsidP="00203DB1">
      <w:pPr>
        <w:pStyle w:val="NoSpacing"/>
        <w:spacing w:line="360" w:lineRule="auto"/>
        <w:rPr>
          <w:rFonts w:cs="Times New Roman"/>
          <w:color w:val="000000" w:themeColor="text1"/>
        </w:rPr>
      </w:pPr>
      <w:r w:rsidRPr="00D15331">
        <w:rPr>
          <w:rFonts w:cs="Times New Roman"/>
          <w:b/>
          <w:color w:val="000000" w:themeColor="text1"/>
        </w:rPr>
        <w:lastRenderedPageBreak/>
        <w:t>Appendix A.</w:t>
      </w:r>
      <w:r w:rsidRPr="00D15331">
        <w:rPr>
          <w:rFonts w:cs="Times New Roman"/>
          <w:color w:val="000000" w:themeColor="text1"/>
        </w:rPr>
        <w:t xml:space="preserve"> List of morphological characters used for the phylogenetic analysis</w:t>
      </w:r>
      <w:r w:rsidR="004319E3" w:rsidRPr="00D15331">
        <w:rPr>
          <w:rFonts w:cs="Times New Roman"/>
          <w:color w:val="000000" w:themeColor="text1"/>
        </w:rPr>
        <w:t xml:space="preserve">, based on Marramà </w:t>
      </w:r>
      <w:r w:rsidR="004319E3" w:rsidRPr="00047A04">
        <w:rPr>
          <w:rFonts w:cs="Times New Roman"/>
          <w:color w:val="000000" w:themeColor="text1"/>
        </w:rPr>
        <w:t>et al.</w:t>
      </w:r>
      <w:r w:rsidR="004319E3" w:rsidRPr="00D15331">
        <w:rPr>
          <w:rFonts w:cs="Times New Roman"/>
          <w:color w:val="000000" w:themeColor="text1"/>
        </w:rPr>
        <w:t xml:space="preserve"> (2018</w:t>
      </w:r>
      <w:r w:rsidR="00203DB1" w:rsidRPr="00D15331">
        <w:rPr>
          <w:rFonts w:cs="Times New Roman"/>
          <w:color w:val="000000" w:themeColor="text1"/>
        </w:rPr>
        <w:t>a</w:t>
      </w:r>
      <w:r w:rsidR="00A53480" w:rsidRPr="00D15331">
        <w:rPr>
          <w:rFonts w:cs="Times New Roman"/>
          <w:i/>
          <w:color w:val="000000" w:themeColor="text1"/>
        </w:rPr>
        <w:t xml:space="preserve">, </w:t>
      </w:r>
      <w:r w:rsidR="00A53480" w:rsidRPr="00D15331">
        <w:rPr>
          <w:rFonts w:cs="Times New Roman"/>
          <w:color w:val="000000" w:themeColor="text1"/>
        </w:rPr>
        <w:t>2018</w:t>
      </w:r>
      <w:r w:rsidR="00203DB1" w:rsidRPr="00D15331">
        <w:rPr>
          <w:rFonts w:cs="Times New Roman"/>
          <w:color w:val="000000" w:themeColor="text1"/>
        </w:rPr>
        <w:t>b</w:t>
      </w:r>
      <w:r w:rsidRPr="00D15331">
        <w:rPr>
          <w:rFonts w:cs="Times New Roman"/>
          <w:color w:val="000000" w:themeColor="text1"/>
        </w:rPr>
        <w:t xml:space="preserve">). </w:t>
      </w:r>
    </w:p>
    <w:p w:rsidR="00053C58" w:rsidRPr="00D15331" w:rsidRDefault="00053C58" w:rsidP="00053C58">
      <w:pPr>
        <w:pStyle w:val="NoSpacing"/>
        <w:spacing w:line="360" w:lineRule="auto"/>
        <w:rPr>
          <w:rFonts w:cs="Times New Roman"/>
          <w:color w:val="000000" w:themeColor="text1"/>
        </w:rPr>
      </w:pPr>
      <w:r w:rsidRPr="00D15331">
        <w:rPr>
          <w:rFonts w:cs="Times New Roman"/>
          <w:color w:val="000000" w:themeColor="text1"/>
        </w:rPr>
        <w:t xml:space="preserve">  </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 </w:t>
      </w:r>
      <w:r w:rsidR="00053C58" w:rsidRPr="00D15331">
        <w:rPr>
          <w:rFonts w:cs="Times New Roman"/>
          <w:color w:val="000000" w:themeColor="text1"/>
        </w:rPr>
        <w:t>Tubules of subpleural components of hyomandibular lateral line canals: (0) not branched at extremities; (1) extremities dichotomously branched</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2. Subpleural components of the hyomandibular lateral line canals: (0) posterior branch extends caudally more or less parallel to longitudinal body axis; (1) posterior branch inflects towards midline to form a lateral hook; (2) posterior branch inflects to continue anteriorly almost parallel to anterior branch, forming a large indentation</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3. Suborbital components of infraorbital lateral line canals: (0) projecting posteriorly lateral to mouth; (1) projecting posteriorly lateral to mouth and anteriorly lateral to nasal openings; (2) forming a complex web−like pattern on lateral aspects of the anteroventral disc region</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 4. (04 of CMG) Scapular loops formed by scapular components of trunk lateral line canals: (0) absence of loops; (1) presence of scapular loops</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5. </w:t>
      </w:r>
      <w:r w:rsidR="00053C58" w:rsidRPr="00D15331">
        <w:rPr>
          <w:rFonts w:cs="Times New Roman"/>
          <w:color w:val="000000" w:themeColor="text1"/>
        </w:rPr>
        <w:t>Anterior process of neurocranium: (0) absent; (1) present</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6. </w:t>
      </w:r>
      <w:r w:rsidR="00053C58" w:rsidRPr="00D15331">
        <w:rPr>
          <w:rFonts w:cs="Times New Roman"/>
          <w:color w:val="000000" w:themeColor="text1"/>
        </w:rPr>
        <w:t>Preorbital process: (0) present; (1) absent</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7. </w:t>
      </w:r>
      <w:r w:rsidR="00053C58" w:rsidRPr="00D15331">
        <w:rPr>
          <w:rFonts w:cs="Times New Roman"/>
          <w:color w:val="000000" w:themeColor="text1"/>
        </w:rPr>
        <w:t>Preorbital canal for passage of superficial ophthalmic nerve: (0) dorsally located; (1) anteriorly located</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 </w:t>
      </w:r>
      <w:r w:rsidR="00053C58" w:rsidRPr="00D15331">
        <w:rPr>
          <w:rFonts w:cs="Times New Roman"/>
          <w:color w:val="000000" w:themeColor="text1"/>
        </w:rPr>
        <w:t>Foramen for the optic (II) nerve: (0) moderately sized; (1) very enlarged</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9. </w:t>
      </w:r>
      <w:r w:rsidR="00053C58" w:rsidRPr="00D15331">
        <w:rPr>
          <w:rFonts w:cs="Times New Roman"/>
          <w:color w:val="000000" w:themeColor="text1"/>
        </w:rPr>
        <w:t>Postorbital process of neurocranium: (0) infraorbital lateral line canal separates postorbital process from small, anterior triangular outgrowth (supraorbital process) of the supraorbital crest; (1) postorbital process with small foramen for passage of infraorbital lateral line canal</w:t>
      </w:r>
      <w:r w:rsidR="004319E3" w:rsidRPr="00D15331">
        <w:rPr>
          <w:rFonts w:cs="Times New Roman"/>
          <w:color w:val="000000" w:themeColor="text1"/>
        </w:rPr>
        <w:t xml:space="preserve">. </w:t>
      </w:r>
      <w:r w:rsidR="004319E3" w:rsidRPr="00D15331">
        <w:rPr>
          <w:rFonts w:cs="Times New Roman"/>
          <w:b/>
          <w:color w:val="000000" w:themeColor="text1"/>
        </w:rPr>
        <w:t>Remarks</w:t>
      </w:r>
      <w:r w:rsidR="004319E3" w:rsidRPr="00D15331">
        <w:rPr>
          <w:rFonts w:cs="Times New Roman"/>
          <w:color w:val="000000" w:themeColor="text1"/>
        </w:rPr>
        <w:t xml:space="preserve">: this character has been changed to polymorphic (0/1) for </w:t>
      </w:r>
      <w:r w:rsidR="004319E3" w:rsidRPr="00D15331">
        <w:rPr>
          <w:rFonts w:cs="Times New Roman"/>
          <w:i/>
          <w:color w:val="000000" w:themeColor="text1"/>
        </w:rPr>
        <w:t>Aetomylaeus</w:t>
      </w:r>
      <w:r w:rsidR="004319E3" w:rsidRPr="00D15331">
        <w:rPr>
          <w:rFonts w:cs="Times New Roman"/>
          <w:color w:val="000000" w:themeColor="text1"/>
        </w:rPr>
        <w:t xml:space="preserve"> following Aschliman (2014).</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10. </w:t>
      </w:r>
      <w:r w:rsidR="00053C58" w:rsidRPr="00D15331">
        <w:rPr>
          <w:rFonts w:cs="Times New Roman"/>
          <w:color w:val="000000" w:themeColor="text1"/>
        </w:rPr>
        <w:t>Extent of orbital region: (0) orbital region of neurocranium long; (1) shortened orbital region with more anteriorly placed supraorbital and postorbital process</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11. </w:t>
      </w:r>
      <w:r w:rsidR="00053C58" w:rsidRPr="00D15331">
        <w:rPr>
          <w:rFonts w:cs="Times New Roman"/>
          <w:color w:val="000000" w:themeColor="text1"/>
        </w:rPr>
        <w:t>Postorbital process: (0) without ventrolateral projection; (1) continuing ventrolaterally to form a cylindrical projection</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12. </w:t>
      </w:r>
      <w:r w:rsidR="00053C58" w:rsidRPr="00D15331">
        <w:rPr>
          <w:rFonts w:cs="Times New Roman"/>
          <w:color w:val="000000" w:themeColor="text1"/>
        </w:rPr>
        <w:t>Ventrolateral expansion of nasal capsules: (0) nasal capsules laterally expanded; (1) nasal capsules ventrolaterally expanded</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13. Articulation between hyomandibula and Meckel’s cartilage: (0) hyomandibulae directly attached to lower jaws; (1) hyomandibulae articulating with lower jaws through strong, stout ligament (hyomandibular−Meckelian ligament) at distal tip</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14. Angular cartilages: (0) absence of angular cartilages within hyomandibular−Meckelian ligament; (1) presence of angular cartilages within ligament</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15. </w:t>
      </w:r>
      <w:r w:rsidR="00053C58" w:rsidRPr="00D15331">
        <w:rPr>
          <w:rFonts w:cs="Times New Roman"/>
          <w:color w:val="000000" w:themeColor="text1"/>
        </w:rPr>
        <w:t>Secondary hyomandibular cartilages: (0) absent; (1) present</w:t>
      </w:r>
    </w:p>
    <w:p w:rsidR="00053C58" w:rsidRPr="00D15331" w:rsidRDefault="00203DB1" w:rsidP="00053C58">
      <w:pPr>
        <w:pStyle w:val="NoSpacing"/>
        <w:spacing w:line="360" w:lineRule="auto"/>
        <w:ind w:left="720" w:hanging="720"/>
        <w:rPr>
          <w:rFonts w:cs="Times New Roman"/>
          <w:color w:val="000000" w:themeColor="text1"/>
        </w:rPr>
      </w:pPr>
      <w:r w:rsidRPr="00D15331">
        <w:rPr>
          <w:rFonts w:cs="Times New Roman"/>
          <w:color w:val="000000" w:themeColor="text1"/>
        </w:rPr>
        <w:lastRenderedPageBreak/>
        <w:t xml:space="preserve">16. </w:t>
      </w:r>
      <w:r w:rsidR="00053C58" w:rsidRPr="00D15331">
        <w:rPr>
          <w:rFonts w:cs="Times New Roman"/>
          <w:color w:val="000000" w:themeColor="text1"/>
        </w:rPr>
        <w:t>Symphysial fusion of upper and lower jaws: (0) antimeres separate at symphysis; (1) both antimeres of jaws symphysially fused</w:t>
      </w:r>
      <w:r w:rsidR="004319E3" w:rsidRPr="00D15331">
        <w:rPr>
          <w:rFonts w:cs="Times New Roman"/>
          <w:color w:val="000000" w:themeColor="text1"/>
        </w:rPr>
        <w:t xml:space="preserve">. </w:t>
      </w:r>
      <w:r w:rsidR="004319E3" w:rsidRPr="00D15331">
        <w:rPr>
          <w:rFonts w:cs="Times New Roman"/>
          <w:b/>
          <w:color w:val="000000" w:themeColor="text1"/>
        </w:rPr>
        <w:t>Remarks</w:t>
      </w:r>
      <w:r w:rsidR="004319E3" w:rsidRPr="00D15331">
        <w:rPr>
          <w:rFonts w:cs="Times New Roman"/>
          <w:color w:val="000000" w:themeColor="text1"/>
        </w:rPr>
        <w:t xml:space="preserve">: Following Aschliman (2014) the character has been recoded as polymorphic for </w:t>
      </w:r>
      <w:r w:rsidR="004319E3" w:rsidRPr="00D15331">
        <w:rPr>
          <w:rFonts w:cs="Times New Roman"/>
          <w:i/>
          <w:color w:val="000000" w:themeColor="text1"/>
        </w:rPr>
        <w:t>Myliobatis</w:t>
      </w:r>
      <w:r w:rsidR="004319E3" w:rsidRPr="00D15331">
        <w:rPr>
          <w:rFonts w:cs="Times New Roman"/>
          <w:color w:val="000000" w:themeColor="text1"/>
        </w:rPr>
        <w:t xml:space="preserve">, since </w:t>
      </w:r>
      <w:r w:rsidR="004319E3" w:rsidRPr="00D15331">
        <w:rPr>
          <w:rFonts w:cs="Times New Roman"/>
          <w:i/>
          <w:color w:val="000000" w:themeColor="text1"/>
        </w:rPr>
        <w:t>M. freminvillei</w:t>
      </w:r>
      <w:r w:rsidR="004319E3" w:rsidRPr="00D15331">
        <w:rPr>
          <w:rFonts w:cs="Times New Roman"/>
          <w:color w:val="000000" w:themeColor="text1"/>
        </w:rPr>
        <w:t xml:space="preserve"> exhibits the plesiomorphic condition (antimeres unfused).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17. </w:t>
      </w:r>
      <w:r w:rsidR="00053C58" w:rsidRPr="00D15331">
        <w:rPr>
          <w:rFonts w:cs="Times New Roman"/>
          <w:color w:val="000000" w:themeColor="text1"/>
        </w:rPr>
        <w:t>Mandibular width at symphysis: (0) lower jaws slender at symphysis; (1) lower jaws symphysially thickened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18. </w:t>
      </w:r>
      <w:r w:rsidR="00053C58" w:rsidRPr="00D15331">
        <w:rPr>
          <w:rFonts w:cs="Times New Roman"/>
          <w:color w:val="000000" w:themeColor="text1"/>
        </w:rPr>
        <w:t>Lateral projections of lower jaws: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19. </w:t>
      </w:r>
      <w:r w:rsidR="00053C58" w:rsidRPr="00D15331">
        <w:rPr>
          <w:rFonts w:cs="Times New Roman"/>
          <w:color w:val="000000" w:themeColor="text1"/>
        </w:rPr>
        <w:t>Basihyal cartilage: (0) basihyal laterally elongated, fused to first hypobranchialis; (1) basihyal a single element, but separate from first hypobranchials; (2) basihyal separate from first hypobranchials but fragmented into more than one component; (3) basihyal absent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20. </w:t>
      </w:r>
      <w:r w:rsidR="00053C58" w:rsidRPr="00D15331">
        <w:rPr>
          <w:rFonts w:cs="Times New Roman"/>
          <w:color w:val="000000" w:themeColor="text1"/>
        </w:rPr>
        <w:t>Fusion of ventral pseudohyoid and first ceratobranchial: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21. </w:t>
      </w:r>
      <w:r w:rsidR="00053C58" w:rsidRPr="00D15331">
        <w:rPr>
          <w:rFonts w:cs="Times New Roman"/>
          <w:color w:val="000000" w:themeColor="text1"/>
        </w:rPr>
        <w:t>Arrangement of posterior ceratobranchials: (0) separate from each other; (1) ankylosis between fourth and fifth ceratobranchials; (2) fourth and fifth ceratobranchials fused to each other.</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22. </w:t>
      </w:r>
      <w:r w:rsidR="00053C58" w:rsidRPr="00D15331">
        <w:rPr>
          <w:rFonts w:cs="Times New Roman"/>
          <w:color w:val="000000" w:themeColor="text1"/>
        </w:rPr>
        <w:t>Median projection of the basibranchial medial plate: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23. </w:t>
      </w:r>
      <w:r w:rsidR="00053C58" w:rsidRPr="00D15331">
        <w:rPr>
          <w:rFonts w:cs="Times New Roman"/>
          <w:color w:val="000000" w:themeColor="text1"/>
        </w:rPr>
        <w:t>Articulation between fifth epi− and ceratobranchial elements to scapulocoracoid: (0) close together; (1) widely separated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24. </w:t>
      </w:r>
      <w:r w:rsidR="00053C58" w:rsidRPr="00D15331">
        <w:rPr>
          <w:rFonts w:cs="Times New Roman"/>
          <w:color w:val="000000" w:themeColor="text1"/>
        </w:rPr>
        <w:t>Lateral stay of synarcual: (0) originates ventral to spinal nerve foramina; (1) originates dorsal to spinal nerve foramina; (2) contacting synarcual both dorsally and ventrally to foramina</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25. </w:t>
      </w:r>
      <w:r w:rsidR="00053C58" w:rsidRPr="00D15331">
        <w:rPr>
          <w:rFonts w:cs="Times New Roman"/>
          <w:color w:val="000000" w:themeColor="text1"/>
        </w:rPr>
        <w:t>Fossa on dorsal scapular region: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26. </w:t>
      </w:r>
      <w:r w:rsidR="00053C58" w:rsidRPr="00D15331">
        <w:rPr>
          <w:rFonts w:cs="Times New Roman"/>
          <w:color w:val="000000" w:themeColor="text1"/>
        </w:rPr>
        <w:t xml:space="preserve">Contact between pro- and mesopterygium in the pectoral fin: (0) present; (1) absent.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27. </w:t>
      </w:r>
      <w:r w:rsidR="00053C58" w:rsidRPr="00D15331">
        <w:rPr>
          <w:rFonts w:cs="Times New Roman"/>
          <w:color w:val="000000" w:themeColor="text1"/>
        </w:rPr>
        <w:t>Distinct components of the mesopterygium: (0) mesopterygium single element; (1) fragmented; (2) missing altogether</w:t>
      </w:r>
      <w:r w:rsidR="004319E3" w:rsidRPr="00D15331">
        <w:rPr>
          <w:rFonts w:cs="Times New Roman"/>
          <w:color w:val="000000" w:themeColor="text1"/>
        </w:rPr>
        <w:t xml:space="preserve">. </w:t>
      </w:r>
      <w:r w:rsidR="004319E3" w:rsidRPr="00D15331">
        <w:rPr>
          <w:rFonts w:cs="Times New Roman"/>
          <w:b/>
          <w:color w:val="000000" w:themeColor="text1"/>
        </w:rPr>
        <w:t>Remarks</w:t>
      </w:r>
      <w:r w:rsidR="004319E3" w:rsidRPr="00D15331">
        <w:rPr>
          <w:rFonts w:cs="Times New Roman"/>
          <w:color w:val="000000" w:themeColor="text1"/>
        </w:rPr>
        <w:t xml:space="preserve">: since the mesopterygium is absent (possibly fused to scapulocoracoid) in </w:t>
      </w:r>
      <w:r w:rsidR="004319E3" w:rsidRPr="00D15331">
        <w:rPr>
          <w:rFonts w:cs="Times New Roman"/>
          <w:i/>
          <w:color w:val="000000" w:themeColor="text1"/>
        </w:rPr>
        <w:t>Aetomylaeus</w:t>
      </w:r>
      <w:r w:rsidR="004319E3" w:rsidRPr="00D15331">
        <w:rPr>
          <w:rFonts w:cs="Times New Roman"/>
          <w:color w:val="000000" w:themeColor="text1"/>
        </w:rPr>
        <w:t xml:space="preserve">, the state has been changed from (1) to (2) following White (2014), whereas it has been coded (1, fragmented) in </w:t>
      </w:r>
      <w:r w:rsidR="004319E3" w:rsidRPr="00D15331">
        <w:rPr>
          <w:rFonts w:cs="Times New Roman"/>
          <w:i/>
          <w:color w:val="000000" w:themeColor="text1"/>
        </w:rPr>
        <w:t>Weissobatis</w:t>
      </w:r>
      <w:r w:rsidR="004319E3" w:rsidRPr="00D15331">
        <w:rPr>
          <w:rFonts w:cs="Times New Roman"/>
          <w:color w:val="000000" w:themeColor="text1"/>
        </w:rPr>
        <w:t xml:space="preserve"> following the drawing in Hovestadt &amp; Hovestadt-Euler (1999, fig. 3).</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28. </w:t>
      </w:r>
      <w:r w:rsidR="00053C58" w:rsidRPr="00D15331">
        <w:rPr>
          <w:rFonts w:cs="Times New Roman"/>
          <w:color w:val="000000" w:themeColor="text1"/>
        </w:rPr>
        <w:t>Lateral expansion of radials in pectoral region: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29. </w:t>
      </w:r>
      <w:r w:rsidR="00053C58" w:rsidRPr="00D15331">
        <w:rPr>
          <w:rFonts w:cs="Times New Roman"/>
          <w:color w:val="000000" w:themeColor="text1"/>
        </w:rPr>
        <w:t>External margin of mesopterygium: (0) more or less straight, not fused to radials; (1) undulated, not fused to radials; (2) highly sinuous, appearing to be fused with articulating radial elements</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30. </w:t>
      </w:r>
      <w:r w:rsidR="00053C58" w:rsidRPr="00D15331">
        <w:rPr>
          <w:rFonts w:cs="Times New Roman"/>
          <w:color w:val="000000" w:themeColor="text1"/>
        </w:rPr>
        <w:t>Median prepelvic process: (0) absent or weakly developed; (1) very elongated</w:t>
      </w:r>
      <w:r w:rsidR="004319E3" w:rsidRPr="00D15331">
        <w:rPr>
          <w:rFonts w:cs="Times New Roman"/>
          <w:color w:val="000000" w:themeColor="text1"/>
        </w:rPr>
        <w:t xml:space="preserve">. </w:t>
      </w:r>
      <w:r w:rsidR="004319E3" w:rsidRPr="00D15331">
        <w:rPr>
          <w:rFonts w:cs="Times New Roman"/>
          <w:b/>
          <w:color w:val="000000" w:themeColor="text1"/>
        </w:rPr>
        <w:t>Remarks</w:t>
      </w:r>
      <w:r w:rsidR="004319E3" w:rsidRPr="00D15331">
        <w:rPr>
          <w:rFonts w:cs="Times New Roman"/>
          <w:color w:val="000000" w:themeColor="text1"/>
        </w:rPr>
        <w:t xml:space="preserve">: the presence of a greatly elongated median prepelvic process of the puboischiadic bar has been reported also for </w:t>
      </w:r>
      <w:r w:rsidR="004319E3" w:rsidRPr="00D15331">
        <w:rPr>
          <w:rFonts w:cs="Times New Roman"/>
          <w:i/>
          <w:color w:val="000000" w:themeColor="text1"/>
        </w:rPr>
        <w:t>Rhinoptera</w:t>
      </w:r>
      <w:r w:rsidR="004319E3" w:rsidRPr="00D15331">
        <w:rPr>
          <w:rFonts w:cs="Times New Roman"/>
          <w:color w:val="000000" w:themeColor="text1"/>
        </w:rPr>
        <w:t xml:space="preserve"> and </w:t>
      </w:r>
      <w:r w:rsidR="004319E3" w:rsidRPr="00D15331">
        <w:rPr>
          <w:rFonts w:cs="Times New Roman"/>
          <w:i/>
          <w:color w:val="000000" w:themeColor="text1"/>
        </w:rPr>
        <w:t>Mobula</w:t>
      </w:r>
      <w:r w:rsidR="004319E3" w:rsidRPr="00D15331">
        <w:rPr>
          <w:rFonts w:cs="Times New Roman"/>
          <w:color w:val="000000" w:themeColor="text1"/>
        </w:rPr>
        <w:t xml:space="preserve"> (see Aschliman 2014) and their state recoded consequently.</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31. </w:t>
      </w:r>
      <w:r w:rsidR="00053C58" w:rsidRPr="00D15331">
        <w:rPr>
          <w:rFonts w:cs="Times New Roman"/>
          <w:color w:val="000000" w:themeColor="text1"/>
        </w:rPr>
        <w:t>Pelvic girdle shape: (0) not arched or only moderately so; (1) greatly arched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32. </w:t>
      </w:r>
      <w:r w:rsidR="00053C58" w:rsidRPr="00D15331">
        <w:rPr>
          <w:rFonts w:cs="Times New Roman"/>
          <w:color w:val="000000" w:themeColor="text1"/>
        </w:rPr>
        <w:t>Dorsal fin: (0) present; (1) absent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33. </w:t>
      </w:r>
      <w:r w:rsidR="00053C58" w:rsidRPr="00D15331">
        <w:rPr>
          <w:rFonts w:cs="Times New Roman"/>
          <w:color w:val="000000" w:themeColor="text1"/>
        </w:rPr>
        <w:t>Cartilaginous rod in tail: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34. </w:t>
      </w:r>
      <w:r w:rsidR="00053C58" w:rsidRPr="00D15331">
        <w:rPr>
          <w:rFonts w:cs="Times New Roman"/>
          <w:color w:val="000000" w:themeColor="text1"/>
        </w:rPr>
        <w:t>Caudal fin: (0) present; (1) reduced to tail−folds; (2) absent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lastRenderedPageBreak/>
        <w:t xml:space="preserve">35. </w:t>
      </w:r>
      <w:r w:rsidR="00053C58" w:rsidRPr="00D15331">
        <w:rPr>
          <w:rFonts w:cs="Times New Roman"/>
          <w:color w:val="000000" w:themeColor="text1"/>
        </w:rPr>
        <w:t>Adductor mandibulae complex: (0) without posteromedial extension; (1) posteromedial extension present</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36. Spiracularis muscle: (0) projecting ventrally to insert on either palatoquadrate, Meckel’s cartilage, and or hyomandibula; (1) projecting ventrally and posteriorly beyond hyomandibulae and both sets of jaws to insert dorsal to coracomandibularis; (2) projecting ventrally and posteriorly beyond hyomandibulae and both sets of jaws to insert ventral to coracomandibularis</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37. Depressor mandibularis muscle: (0) present; (1) absent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38. </w:t>
      </w:r>
      <w:r w:rsidR="00053C58" w:rsidRPr="00D15331">
        <w:rPr>
          <w:rFonts w:cs="Times New Roman"/>
          <w:color w:val="000000" w:themeColor="text1"/>
        </w:rPr>
        <w:t>Coracohyoideus muscle: (0) not connected at midline; (1) connected at midline</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39. </w:t>
      </w:r>
      <w:r w:rsidR="00053C58" w:rsidRPr="00D15331">
        <w:rPr>
          <w:rFonts w:cs="Times New Roman"/>
          <w:color w:val="000000" w:themeColor="text1"/>
        </w:rPr>
        <w:t>Urea retention: (0) urea retained in blood; (1) urea excreted in urine</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40. </w:t>
      </w:r>
      <w:r w:rsidR="00053C58" w:rsidRPr="00D15331">
        <w:rPr>
          <w:rFonts w:cs="Times New Roman"/>
          <w:color w:val="000000" w:themeColor="text1"/>
        </w:rPr>
        <w:t>Rectal gland: (0) present; (1) reduced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41. </w:t>
      </w:r>
      <w:r w:rsidR="00053C58" w:rsidRPr="00D15331">
        <w:rPr>
          <w:rFonts w:cs="Times New Roman"/>
          <w:color w:val="000000" w:themeColor="text1"/>
        </w:rPr>
        <w:t>Spiracular tentacle: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42. </w:t>
      </w:r>
      <w:r w:rsidR="00053C58" w:rsidRPr="00D15331">
        <w:rPr>
          <w:rFonts w:cs="Times New Roman"/>
          <w:color w:val="000000" w:themeColor="text1"/>
        </w:rPr>
        <w:t>Cephalic lobes: (0) absent; (1) single and continuous; (2) single with an indentation; (3) paired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43. </w:t>
      </w:r>
      <w:r w:rsidR="00053C58" w:rsidRPr="00D15331">
        <w:rPr>
          <w:rFonts w:cs="Times New Roman"/>
          <w:color w:val="000000" w:themeColor="text1"/>
        </w:rPr>
        <w:t>Nasal curtain: (0) not reaching mouth region; (1) extending posteriorly as far as mouth opening</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44. </w:t>
      </w:r>
      <w:r w:rsidR="00053C58" w:rsidRPr="00D15331">
        <w:rPr>
          <w:rFonts w:cs="Times New Roman"/>
          <w:color w:val="000000" w:themeColor="text1"/>
        </w:rPr>
        <w:t>Tooth type in both upper and lower jaws: (0) minute; (1) broad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45. </w:t>
      </w:r>
      <w:r w:rsidR="00053C58" w:rsidRPr="00D15331">
        <w:rPr>
          <w:rFonts w:cs="Times New Roman"/>
          <w:color w:val="000000" w:themeColor="text1"/>
        </w:rPr>
        <w:t>Arrangement of teeth in both upper and lower jaws: (0) arranged in separate diagonal rows or ribbons; (1) horizontal conveyor or pavement−like arrangement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46. </w:t>
      </w:r>
      <w:r w:rsidR="00053C58" w:rsidRPr="00D15331">
        <w:rPr>
          <w:rFonts w:cs="Times New Roman"/>
          <w:color w:val="000000" w:themeColor="text1"/>
        </w:rPr>
        <w:t xml:space="preserve">Tooth shape: (0) square to rounded; (1) hexagonal, six distinct sides; (2) rectangular with posteriorly deflected lateral margins. </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47. Lateral teeth: (0) present; (1) absent</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48. Differentiation of median teeth from lateral teeth: (0) median and lateral teeth are similar; (1) median teeth relatively expanded</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49. Differentiation among lateral teeth: (0) lateral teeth unexpanded; (1) some lateral teeth expanded</w:t>
      </w:r>
    </w:p>
    <w:p w:rsidR="004319E3"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50. Relative amount of curvature in expanded lower teeth: (0) straight and uncurved; (1) moderately curved; (2) strongly curved</w:t>
      </w:r>
      <w:r w:rsidR="004319E3" w:rsidRPr="00D15331">
        <w:rPr>
          <w:rFonts w:cs="Times New Roman"/>
          <w:color w:val="000000" w:themeColor="text1"/>
        </w:rPr>
        <w:t xml:space="preserve">. </w:t>
      </w:r>
      <w:r w:rsidR="004319E3" w:rsidRPr="00D15331">
        <w:rPr>
          <w:rFonts w:cs="Times New Roman"/>
          <w:b/>
          <w:color w:val="000000" w:themeColor="text1"/>
        </w:rPr>
        <w:t>Remarks</w:t>
      </w:r>
      <w:r w:rsidR="004319E3" w:rsidRPr="00D15331">
        <w:rPr>
          <w:rFonts w:cs="Times New Roman"/>
          <w:color w:val="000000" w:themeColor="text1"/>
        </w:rPr>
        <w:t xml:space="preserve">: because of the extremely high ontogenetic, inter- and intraspecific variation in tooth morphologies in </w:t>
      </w:r>
      <w:r w:rsidR="004319E3" w:rsidRPr="00D15331">
        <w:rPr>
          <w:rFonts w:cs="Times New Roman"/>
          <w:i/>
          <w:color w:val="000000" w:themeColor="text1"/>
        </w:rPr>
        <w:t>Myliobatis</w:t>
      </w:r>
      <w:r w:rsidR="004319E3" w:rsidRPr="00D15331">
        <w:rPr>
          <w:rFonts w:cs="Times New Roman"/>
          <w:color w:val="000000" w:themeColor="text1"/>
        </w:rPr>
        <w:t xml:space="preserve"> and </w:t>
      </w:r>
      <w:r w:rsidR="004319E3" w:rsidRPr="00D15331">
        <w:rPr>
          <w:rFonts w:cs="Times New Roman"/>
          <w:i/>
          <w:color w:val="000000" w:themeColor="text1"/>
        </w:rPr>
        <w:t>Aetomylaeus</w:t>
      </w:r>
      <w:r w:rsidR="004319E3" w:rsidRPr="00D15331">
        <w:rPr>
          <w:rFonts w:cs="Times New Roman"/>
          <w:color w:val="000000" w:themeColor="text1"/>
        </w:rPr>
        <w:t xml:space="preserve"> (see Hovestadt &amp; Hovestadt-Euler 2013</w:t>
      </w:r>
      <w:r w:rsidR="0099083A" w:rsidRPr="00D15331">
        <w:rPr>
          <w:rFonts w:cs="Times New Roman"/>
          <w:color w:val="000000" w:themeColor="text1"/>
        </w:rPr>
        <w:t>) the coding for chs. 50 to 53</w:t>
      </w:r>
      <w:r w:rsidR="004319E3" w:rsidRPr="00D15331">
        <w:rPr>
          <w:rFonts w:cs="Times New Roman"/>
          <w:color w:val="000000" w:themeColor="text1"/>
        </w:rPr>
        <w:t xml:space="preserve"> cannot be restricted to one single state for these taxa, so we prefer to consider polymorphic ([0&amp;1] in chs </w:t>
      </w:r>
      <w:r w:rsidR="0099083A" w:rsidRPr="00D15331">
        <w:rPr>
          <w:rFonts w:cs="Times New Roman"/>
          <w:color w:val="000000" w:themeColor="text1"/>
        </w:rPr>
        <w:t xml:space="preserve">50, </w:t>
      </w:r>
      <w:r w:rsidR="004319E3" w:rsidRPr="00D15331">
        <w:rPr>
          <w:rFonts w:cs="Times New Roman"/>
          <w:color w:val="000000" w:themeColor="text1"/>
        </w:rPr>
        <w:t>51</w:t>
      </w:r>
      <w:r w:rsidR="0099083A" w:rsidRPr="00D15331">
        <w:rPr>
          <w:rFonts w:cs="Times New Roman"/>
          <w:color w:val="000000" w:themeColor="text1"/>
        </w:rPr>
        <w:t>, 53</w:t>
      </w:r>
      <w:r w:rsidR="004319E3" w:rsidRPr="00D15331">
        <w:rPr>
          <w:rFonts w:cs="Times New Roman"/>
          <w:color w:val="000000" w:themeColor="text1"/>
        </w:rPr>
        <w:t>;</w:t>
      </w:r>
      <w:r w:rsidR="0099083A" w:rsidRPr="00D15331">
        <w:rPr>
          <w:rFonts w:cs="Times New Roman"/>
          <w:color w:val="000000" w:themeColor="text1"/>
        </w:rPr>
        <w:t xml:space="preserve"> and</w:t>
      </w:r>
      <w:r w:rsidR="004319E3" w:rsidRPr="00D15331">
        <w:rPr>
          <w:rFonts w:cs="Times New Roman"/>
          <w:color w:val="000000" w:themeColor="text1"/>
        </w:rPr>
        <w:t xml:space="preserve"> [1&amp;2] in ch. 52) their condition.  </w:t>
      </w:r>
      <w:r w:rsidR="0099083A" w:rsidRPr="00D15331">
        <w:rPr>
          <w:rFonts w:cs="Times New Roman"/>
          <w:color w:val="000000" w:themeColor="text1"/>
        </w:rPr>
        <w:t xml:space="preserve">Moreover, following the description of Claeson </w:t>
      </w:r>
      <w:r w:rsidR="0099083A" w:rsidRPr="00047A04">
        <w:rPr>
          <w:rFonts w:cs="Times New Roman"/>
          <w:color w:val="000000" w:themeColor="text1"/>
        </w:rPr>
        <w:t>et al</w:t>
      </w:r>
      <w:r w:rsidR="0099083A" w:rsidRPr="00D15331">
        <w:rPr>
          <w:rFonts w:cs="Times New Roman"/>
          <w:i/>
          <w:color w:val="000000" w:themeColor="text1"/>
        </w:rPr>
        <w:t>.</w:t>
      </w:r>
      <w:r w:rsidR="0099083A" w:rsidRPr="00D15331">
        <w:rPr>
          <w:rFonts w:cs="Times New Roman"/>
          <w:color w:val="000000" w:themeColor="text1"/>
        </w:rPr>
        <w:t xml:space="preserve"> (2010) the state of ch. 50 for </w:t>
      </w:r>
      <w:r w:rsidR="0099083A" w:rsidRPr="00D15331">
        <w:rPr>
          <w:rFonts w:cs="Times New Roman"/>
          <w:i/>
          <w:color w:val="000000" w:themeColor="text1"/>
        </w:rPr>
        <w:t>Rhinoptera</w:t>
      </w:r>
      <w:r w:rsidR="0099083A" w:rsidRPr="00D15331">
        <w:rPr>
          <w:rFonts w:cs="Times New Roman"/>
          <w:color w:val="000000" w:themeColor="text1"/>
        </w:rPr>
        <w:t xml:space="preserve"> has been changed from (1) to (0).</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51. Upper tooth curvature: (0) uncurved; (1) curved</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52. Direction of tooth curvature: (0) concave; (1) flat/horizontal; (2) convex</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53. Tooth association: (0) loosely interlocking; (1) sometimes loosely interlocking or tightly interlocking; (2) tightly interlocking</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54. Tooth Interlocking mechanism: (0) overlapping; (1) tongue and groove; (2) no direct contact</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lastRenderedPageBreak/>
        <w:t xml:space="preserve">55. Shape of interlocking tongue: (0) bulbous; (1) short shelf; (2) long shelf. </w:t>
      </w:r>
      <w:r w:rsidRPr="00D15331">
        <w:rPr>
          <w:rFonts w:cs="Times New Roman"/>
          <w:b/>
          <w:color w:val="000000" w:themeColor="text1"/>
        </w:rPr>
        <w:t>Remarks</w:t>
      </w:r>
      <w:r w:rsidRPr="00D15331">
        <w:rPr>
          <w:rFonts w:cs="Times New Roman"/>
          <w:color w:val="000000" w:themeColor="text1"/>
        </w:rPr>
        <w:t xml:space="preserve">: this character has been recoded has unknown for </w:t>
      </w:r>
      <w:r w:rsidRPr="00D15331">
        <w:rPr>
          <w:rFonts w:cs="Times New Roman"/>
          <w:i/>
          <w:color w:val="000000" w:themeColor="text1"/>
        </w:rPr>
        <w:t>Protohimantura</w:t>
      </w:r>
      <w:r w:rsidRPr="00D15331">
        <w:rPr>
          <w:rFonts w:cs="Times New Roman"/>
          <w:color w:val="000000" w:themeColor="text1"/>
        </w:rPr>
        <w:t>, due to an erroneous coding in the previou</w:t>
      </w:r>
      <w:r w:rsidR="00912420" w:rsidRPr="00D15331">
        <w:rPr>
          <w:rFonts w:cs="Times New Roman"/>
          <w:color w:val="000000" w:themeColor="text1"/>
        </w:rPr>
        <w:t xml:space="preserve">s analysis (Marramà </w:t>
      </w:r>
      <w:r w:rsidR="00912420" w:rsidRPr="00047A04">
        <w:rPr>
          <w:rFonts w:cs="Times New Roman"/>
          <w:color w:val="000000" w:themeColor="text1"/>
        </w:rPr>
        <w:t>et al.</w:t>
      </w:r>
      <w:r w:rsidR="00912420" w:rsidRPr="00D15331">
        <w:rPr>
          <w:rFonts w:cs="Times New Roman"/>
          <w:color w:val="000000" w:themeColor="text1"/>
        </w:rPr>
        <w:t xml:space="preserve"> 2018</w:t>
      </w:r>
      <w:r w:rsidR="00D15331" w:rsidRPr="00D15331">
        <w:rPr>
          <w:rFonts w:cs="Times New Roman"/>
          <w:color w:val="000000" w:themeColor="text1"/>
        </w:rPr>
        <w:t>a</w:t>
      </w:r>
      <w:r w:rsidR="00A53480" w:rsidRPr="00D15331">
        <w:rPr>
          <w:rFonts w:cs="Times New Roman"/>
          <w:color w:val="000000" w:themeColor="text1"/>
        </w:rPr>
        <w:t>, 2018</w:t>
      </w:r>
      <w:r w:rsidR="00D15331" w:rsidRPr="00D15331">
        <w:rPr>
          <w:rFonts w:cs="Times New Roman"/>
          <w:color w:val="000000" w:themeColor="text1"/>
        </w:rPr>
        <w:t>b</w:t>
      </w:r>
      <w:r w:rsidRPr="00D15331">
        <w:rPr>
          <w:rFonts w:cs="Times New Roman"/>
          <w:color w:val="000000" w:themeColor="text1"/>
        </w:rPr>
        <w:t>).</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56. Crown height: (0) high, the crown height exceeds root depth on unworn teeth; (1) low crown</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57. Occlusal surface: (0) cusped; (1) smooth; (2) depressed</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58. Crown shape in anterior or posterior view: (0) straight; (1) domed; (2) deep</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59. Lateral margins: (0) not pinched; (1) pinched</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60. Root type: (0) holaulacorhizous; (1) polyaulacorhizous</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61. Number of roots: (0) 2 roots; (1) more than 2 roots. </w:t>
      </w:r>
      <w:r w:rsidRPr="00D15331">
        <w:rPr>
          <w:rFonts w:cs="Times New Roman"/>
          <w:b/>
          <w:color w:val="000000" w:themeColor="text1"/>
        </w:rPr>
        <w:t>Remarks</w:t>
      </w:r>
      <w:r w:rsidRPr="00D15331">
        <w:rPr>
          <w:rFonts w:cs="Times New Roman"/>
          <w:color w:val="000000" w:themeColor="text1"/>
        </w:rPr>
        <w:t xml:space="preserve">: we only included two states instead of the original three of Claeson </w:t>
      </w:r>
      <w:r w:rsidRPr="00047A04">
        <w:rPr>
          <w:rFonts w:cs="Times New Roman"/>
          <w:color w:val="000000" w:themeColor="text1"/>
        </w:rPr>
        <w:t>et al.</w:t>
      </w:r>
      <w:r w:rsidRPr="00D15331">
        <w:rPr>
          <w:rFonts w:cs="Times New Roman"/>
          <w:color w:val="000000" w:themeColor="text1"/>
        </w:rPr>
        <w:t xml:space="preserve"> (2010) since their state (1) (3 to 4 roots) is only characteristic of </w:t>
      </w:r>
      <w:r w:rsidRPr="00D15331">
        <w:rPr>
          <w:rFonts w:cs="Times New Roman"/>
          <w:i/>
          <w:color w:val="000000" w:themeColor="text1"/>
        </w:rPr>
        <w:t>Brachyrhizodus</w:t>
      </w:r>
      <w:r w:rsidRPr="00D15331">
        <w:rPr>
          <w:rFonts w:cs="Times New Roman"/>
          <w:color w:val="000000" w:themeColor="text1"/>
        </w:rPr>
        <w:t xml:space="preserve">, which is not included here. States are therefore re-coded consequently. </w:t>
      </w:r>
      <w:r w:rsidR="0099083A" w:rsidRPr="00D15331">
        <w:rPr>
          <w:rFonts w:cs="Times New Roman"/>
          <w:color w:val="000000" w:themeColor="text1"/>
        </w:rPr>
        <w:t xml:space="preserve">In the second analysis with all extinct taxa we used the original three states of Claeson </w:t>
      </w:r>
      <w:r w:rsidR="0099083A" w:rsidRPr="00047A04">
        <w:rPr>
          <w:rFonts w:cs="Times New Roman"/>
          <w:color w:val="000000" w:themeColor="text1"/>
        </w:rPr>
        <w:t>et al</w:t>
      </w:r>
      <w:r w:rsidR="0099083A" w:rsidRPr="00D15331">
        <w:rPr>
          <w:rFonts w:cs="Times New Roman"/>
          <w:i/>
          <w:color w:val="000000" w:themeColor="text1"/>
        </w:rPr>
        <w:t>.</w:t>
      </w:r>
      <w:r w:rsidR="0099083A" w:rsidRPr="00D15331">
        <w:rPr>
          <w:rFonts w:cs="Times New Roman"/>
          <w:color w:val="000000" w:themeColor="text1"/>
        </w:rPr>
        <w:t xml:space="preserve"> (2010).</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62. Roots in basal view: (0) triangles; (1) narrow blocks; (2) fine edges. </w:t>
      </w:r>
      <w:r w:rsidRPr="00D15331">
        <w:rPr>
          <w:rFonts w:cs="Times New Roman"/>
          <w:b/>
          <w:color w:val="000000" w:themeColor="text1"/>
        </w:rPr>
        <w:t>Remarks:</w:t>
      </w:r>
      <w:r w:rsidRPr="00D15331">
        <w:rPr>
          <w:rFonts w:cs="Times New Roman"/>
          <w:color w:val="000000" w:themeColor="text1"/>
        </w:rPr>
        <w:t xml:space="preserve"> we only included three states instead of the original four of Claeson </w:t>
      </w:r>
      <w:r w:rsidRPr="00047A04">
        <w:rPr>
          <w:rFonts w:cs="Times New Roman"/>
          <w:color w:val="000000" w:themeColor="text1"/>
        </w:rPr>
        <w:t>et al</w:t>
      </w:r>
      <w:r w:rsidRPr="00D15331">
        <w:rPr>
          <w:rFonts w:cs="Times New Roman"/>
          <w:i/>
          <w:color w:val="000000" w:themeColor="text1"/>
        </w:rPr>
        <w:t>.</w:t>
      </w:r>
      <w:r w:rsidRPr="00D15331">
        <w:rPr>
          <w:rFonts w:cs="Times New Roman"/>
          <w:color w:val="000000" w:themeColor="text1"/>
        </w:rPr>
        <w:t xml:space="preserve"> (2010) since the state (1) of Claeson </w:t>
      </w:r>
      <w:r w:rsidRPr="00047A04">
        <w:rPr>
          <w:rFonts w:cs="Times New Roman"/>
          <w:color w:val="000000" w:themeColor="text1"/>
        </w:rPr>
        <w:t>et al.</w:t>
      </w:r>
      <w:r w:rsidRPr="00D15331">
        <w:rPr>
          <w:rFonts w:cs="Times New Roman"/>
          <w:color w:val="000000" w:themeColor="text1"/>
        </w:rPr>
        <w:t xml:space="preserve"> (2010) (wide blocks) is only characteristic of extinct myliobatids, which are not included here. States are therefore re-coded consequently. </w:t>
      </w:r>
      <w:r w:rsidR="0099083A" w:rsidRPr="00D15331">
        <w:rPr>
          <w:rFonts w:cs="Times New Roman"/>
          <w:color w:val="000000" w:themeColor="text1"/>
        </w:rPr>
        <w:t xml:space="preserve">In the second analysis with all extinct taxa we used the original four states of Claeson </w:t>
      </w:r>
      <w:r w:rsidR="0099083A" w:rsidRPr="00047A04">
        <w:rPr>
          <w:rFonts w:cs="Times New Roman"/>
          <w:color w:val="000000" w:themeColor="text1"/>
        </w:rPr>
        <w:t>et al.</w:t>
      </w:r>
      <w:r w:rsidR="0099083A" w:rsidRPr="00D15331">
        <w:rPr>
          <w:rFonts w:cs="Times New Roman"/>
          <w:color w:val="000000" w:themeColor="text1"/>
        </w:rPr>
        <w:t xml:space="preserve"> (2010).</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63. Distance between roots: (0) narrower than root laminae; (1) broad, groove wider than root laminae. </w:t>
      </w:r>
      <w:r w:rsidRPr="00D15331">
        <w:rPr>
          <w:rFonts w:cs="Times New Roman"/>
          <w:b/>
          <w:color w:val="000000" w:themeColor="text1"/>
        </w:rPr>
        <w:t xml:space="preserve">Remarks: </w:t>
      </w:r>
      <w:r w:rsidRPr="00D15331">
        <w:rPr>
          <w:rFonts w:cs="Times New Roman"/>
          <w:color w:val="000000" w:themeColor="text1"/>
        </w:rPr>
        <w:t xml:space="preserve">the polarity of the states follows here Claeson </w:t>
      </w:r>
      <w:r w:rsidRPr="00047A04">
        <w:rPr>
          <w:rFonts w:cs="Times New Roman"/>
          <w:color w:val="000000" w:themeColor="text1"/>
        </w:rPr>
        <w:t>et al.</w:t>
      </w:r>
      <w:r w:rsidRPr="00D15331">
        <w:rPr>
          <w:rFonts w:cs="Times New Roman"/>
          <w:color w:val="000000" w:themeColor="text1"/>
        </w:rPr>
        <w:t xml:space="preserve"> (2010) at pag. 666, contrary to Claeson </w:t>
      </w:r>
      <w:r w:rsidRPr="00047A04">
        <w:rPr>
          <w:rFonts w:cs="Times New Roman"/>
          <w:color w:val="000000" w:themeColor="text1"/>
        </w:rPr>
        <w:t>et al.</w:t>
      </w:r>
      <w:r w:rsidRPr="00D15331">
        <w:rPr>
          <w:rFonts w:cs="Times New Roman"/>
          <w:color w:val="000000" w:themeColor="text1"/>
        </w:rPr>
        <w:t xml:space="preserve"> (2010) at pag. 674, and co</w:t>
      </w:r>
      <w:r w:rsidR="0099083A" w:rsidRPr="00D15331">
        <w:rPr>
          <w:rFonts w:cs="Times New Roman"/>
          <w:color w:val="000000" w:themeColor="text1"/>
        </w:rPr>
        <w:t xml:space="preserve">nsequently Marramà </w:t>
      </w:r>
      <w:r w:rsidR="0099083A" w:rsidRPr="00047A04">
        <w:rPr>
          <w:rFonts w:cs="Times New Roman"/>
          <w:color w:val="000000" w:themeColor="text1"/>
        </w:rPr>
        <w:t>et al.</w:t>
      </w:r>
      <w:r w:rsidR="0099083A" w:rsidRPr="00D15331">
        <w:rPr>
          <w:rFonts w:cs="Times New Roman"/>
          <w:color w:val="000000" w:themeColor="text1"/>
        </w:rPr>
        <w:t xml:space="preserve"> (2018</w:t>
      </w:r>
      <w:r w:rsidR="00D15331" w:rsidRPr="00D15331">
        <w:rPr>
          <w:rFonts w:cs="Times New Roman"/>
          <w:color w:val="000000" w:themeColor="text1"/>
        </w:rPr>
        <w:t>a</w:t>
      </w:r>
      <w:r w:rsidR="00A53480" w:rsidRPr="00D15331">
        <w:rPr>
          <w:rFonts w:cs="Times New Roman"/>
          <w:color w:val="000000" w:themeColor="text1"/>
        </w:rPr>
        <w:t>, 2018</w:t>
      </w:r>
      <w:r w:rsidR="00D15331" w:rsidRPr="00D15331">
        <w:rPr>
          <w:rFonts w:cs="Times New Roman"/>
          <w:color w:val="000000" w:themeColor="text1"/>
        </w:rPr>
        <w:t>b</w:t>
      </w:r>
      <w:r w:rsidRPr="00D15331">
        <w:rPr>
          <w:rFonts w:cs="Times New Roman"/>
          <w:color w:val="000000" w:themeColor="text1"/>
        </w:rPr>
        <w:t>), in which the polarity was accidentally inverted.</w:t>
      </w:r>
      <w:r w:rsidR="004319E3" w:rsidRPr="00D15331">
        <w:rPr>
          <w:rFonts w:cs="Times New Roman"/>
          <w:color w:val="000000" w:themeColor="text1"/>
        </w:rPr>
        <w:t xml:space="preserve"> </w:t>
      </w:r>
      <w:r w:rsidR="0099083A" w:rsidRPr="00D15331">
        <w:rPr>
          <w:rFonts w:cs="Times New Roman"/>
          <w:color w:val="000000" w:themeColor="text1"/>
        </w:rPr>
        <w:t>The character is polymorphic in</w:t>
      </w:r>
      <w:r w:rsidR="004319E3" w:rsidRPr="00D15331">
        <w:rPr>
          <w:rFonts w:cs="Times New Roman"/>
          <w:color w:val="000000" w:themeColor="text1"/>
        </w:rPr>
        <w:t xml:space="preserve"> </w:t>
      </w:r>
      <w:r w:rsidR="004319E3" w:rsidRPr="00D15331">
        <w:rPr>
          <w:rFonts w:cs="Times New Roman"/>
          <w:i/>
          <w:color w:val="000000" w:themeColor="text1"/>
        </w:rPr>
        <w:t>Myliobatis</w:t>
      </w:r>
      <w:r w:rsidR="004319E3" w:rsidRPr="00D15331">
        <w:rPr>
          <w:rFonts w:cs="Times New Roman"/>
          <w:color w:val="000000" w:themeColor="text1"/>
        </w:rPr>
        <w:t xml:space="preserve"> (see Claeson </w:t>
      </w:r>
      <w:r w:rsidR="004319E3" w:rsidRPr="00047A04">
        <w:rPr>
          <w:rFonts w:cs="Times New Roman"/>
          <w:color w:val="000000" w:themeColor="text1"/>
        </w:rPr>
        <w:t>et al.</w:t>
      </w:r>
      <w:r w:rsidR="004319E3" w:rsidRPr="00D15331">
        <w:rPr>
          <w:rFonts w:cs="Times New Roman"/>
          <w:color w:val="000000" w:themeColor="text1"/>
        </w:rPr>
        <w:t xml:space="preserve"> 2010).</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64. Inclination of roots: (0) no inclination; (1) offset and step−like; (2) long and strongly inclined</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65. Root groove position: (0) regularly spaced between laminae; (1) irregularly spaced between laminae</w:t>
      </w:r>
    </w:p>
    <w:p w:rsidR="00053C58" w:rsidRPr="00D15331" w:rsidRDefault="00D15331" w:rsidP="00D15331">
      <w:pPr>
        <w:pStyle w:val="NoSpacing"/>
        <w:spacing w:line="360" w:lineRule="auto"/>
        <w:rPr>
          <w:rFonts w:cs="Times New Roman"/>
          <w:color w:val="000000" w:themeColor="text1"/>
        </w:rPr>
      </w:pPr>
      <w:r w:rsidRPr="00D15331">
        <w:rPr>
          <w:rFonts w:cs="Times New Roman"/>
          <w:color w:val="000000" w:themeColor="text1"/>
        </w:rPr>
        <w:t xml:space="preserve">66. </w:t>
      </w:r>
      <w:r w:rsidR="00053C58" w:rsidRPr="00D15331">
        <w:rPr>
          <w:rFonts w:cs="Times New Roman"/>
          <w:color w:val="000000" w:themeColor="text1"/>
        </w:rPr>
        <w:t>Levator and depressor rostri muscles: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67. </w:t>
      </w:r>
      <w:r w:rsidR="00053C58" w:rsidRPr="00D15331">
        <w:rPr>
          <w:rFonts w:cs="Times New Roman"/>
          <w:color w:val="000000" w:themeColor="text1"/>
        </w:rPr>
        <w:t xml:space="preserve">Serrated tail stings: (0) absent; (1) present.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68. </w:t>
      </w:r>
      <w:r w:rsidR="00053C58" w:rsidRPr="00D15331">
        <w:rPr>
          <w:rFonts w:cs="Times New Roman"/>
          <w:color w:val="000000" w:themeColor="text1"/>
        </w:rPr>
        <w:t xml:space="preserve">Placoid scales: (0) uniformly present; (1) limited; (2) absent. </w:t>
      </w:r>
    </w:p>
    <w:p w:rsidR="00912420"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69. </w:t>
      </w:r>
      <w:r w:rsidR="00053C58" w:rsidRPr="00D15331">
        <w:rPr>
          <w:rFonts w:cs="Times New Roman"/>
          <w:color w:val="000000" w:themeColor="text1"/>
        </w:rPr>
        <w:t xml:space="preserve">Thorns: (0) present; (1) absent.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70. </w:t>
      </w:r>
      <w:r w:rsidR="00053C58" w:rsidRPr="00D15331">
        <w:rPr>
          <w:rFonts w:cs="Times New Roman"/>
          <w:color w:val="000000" w:themeColor="text1"/>
        </w:rPr>
        <w:t>Pulp cavities in tooth roots: (0) large; (1) broad and elongated; (2) small; (3) absent</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71. (Tooth vascularization: (0) orthodont; (1) osteodont; (2) modified osteodont. </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72. (21 of ASC) Infraorbital loop of suborbital and infraorbital canals: (0) absent; (1) present and forming a simple posterolaterally directed loop; (2) present and forming a complex reticular pattern or a number of loops; (3) the loop is directed to the anterior</w:t>
      </w:r>
    </w:p>
    <w:p w:rsidR="00D15331"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73. (26 of ASC, modified) Rostral cartilage: (0) complete; (1) vestigial or absent.</w:t>
      </w:r>
    </w:p>
    <w:p w:rsidR="00D15331" w:rsidRPr="00D15331" w:rsidRDefault="00D15331" w:rsidP="00D15331">
      <w:pPr>
        <w:pStyle w:val="NoSpacing"/>
        <w:spacing w:line="360" w:lineRule="auto"/>
        <w:ind w:left="720" w:hanging="720"/>
        <w:rPr>
          <w:rFonts w:cs="Times New Roman"/>
          <w:color w:val="000000" w:themeColor="text1"/>
        </w:rPr>
      </w:pPr>
      <w:r w:rsidRPr="00D15331">
        <w:rPr>
          <w:rFonts w:cs="Times New Roman"/>
          <w:color w:val="000000" w:themeColor="text1"/>
        </w:rPr>
        <w:t xml:space="preserve">74. </w:t>
      </w:r>
      <w:r w:rsidR="00053C58" w:rsidRPr="00D15331">
        <w:rPr>
          <w:rFonts w:cs="Times New Roman"/>
          <w:color w:val="000000" w:themeColor="text1"/>
        </w:rPr>
        <w:t xml:space="preserve">Postorbital process: (0) narrow; (1) very broad and shelf-like. </w:t>
      </w:r>
    </w:p>
    <w:p w:rsidR="00912420"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lastRenderedPageBreak/>
        <w:t xml:space="preserve">75. </w:t>
      </w:r>
      <w:r w:rsidR="00053C58" w:rsidRPr="00D15331">
        <w:rPr>
          <w:rFonts w:cs="Times New Roman"/>
          <w:color w:val="000000" w:themeColor="text1"/>
        </w:rPr>
        <w:t xml:space="preserve">Jugal arch: (0) present; (1) absent.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76. </w:t>
      </w:r>
      <w:r w:rsidR="00053C58" w:rsidRPr="00D15331">
        <w:rPr>
          <w:rFonts w:cs="Times New Roman"/>
          <w:color w:val="000000" w:themeColor="text1"/>
        </w:rPr>
        <w:t>Basihyal and first hypobranchial: (0) both present and unsegmented; (1) basihyal is segmented; (2) basihyal is absent; (3) basihyal and first hypobranchial cartilages absent</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77. Suprascapulae: (0) articulates with vertebral column; (1) fused medially to synarcual (= pectoral arch); (2) fused medially and laterally to synarcual.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78. </w:t>
      </w:r>
      <w:r w:rsidR="00053C58" w:rsidRPr="00D15331">
        <w:rPr>
          <w:rFonts w:cs="Times New Roman"/>
          <w:color w:val="000000" w:themeColor="text1"/>
        </w:rPr>
        <w:t>Ball and socket articulation between scapular process and synarcual: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79. </w:t>
      </w:r>
      <w:r w:rsidR="00053C58" w:rsidRPr="00D15331">
        <w:rPr>
          <w:rFonts w:cs="Times New Roman"/>
          <w:color w:val="000000" w:themeColor="text1"/>
        </w:rPr>
        <w:t>Second (thoracolumbar) synarcual: (0) absent; (1) present.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80. </w:t>
      </w:r>
      <w:r w:rsidR="00053C58" w:rsidRPr="00D15331">
        <w:rPr>
          <w:rFonts w:cs="Times New Roman"/>
          <w:color w:val="000000" w:themeColor="text1"/>
        </w:rPr>
        <w:t xml:space="preserve">Ribs: (0) present; (1) absent.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81. </w:t>
      </w:r>
      <w:r w:rsidR="00053C58" w:rsidRPr="00D15331">
        <w:rPr>
          <w:rFonts w:cs="Times New Roman"/>
          <w:color w:val="000000" w:themeColor="text1"/>
        </w:rPr>
        <w:t>Segmentation of propterygium: (0) posterior to mouth, (1) proximal segment of propterygium of pectoral girdle is between mouth and antorbital cartilage; (2) the first segment is adjacent to the nasal capsule; (3) the first segment is adjacent to anterior margin of antorbital cartilage or anterior to margin of nasal capsule</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82. </w:t>
      </w:r>
      <w:r w:rsidR="00053C58" w:rsidRPr="00D15331">
        <w:rPr>
          <w:rFonts w:cs="Times New Roman"/>
          <w:color w:val="000000" w:themeColor="text1"/>
        </w:rPr>
        <w:t>Pseudosiphon: (0) present; (1) absent</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83. </w:t>
      </w:r>
      <w:r w:rsidR="00053C58" w:rsidRPr="00D15331">
        <w:rPr>
          <w:rFonts w:cs="Times New Roman"/>
          <w:color w:val="000000" w:themeColor="text1"/>
        </w:rPr>
        <w:t>Dorsal marginal clasper cartilage: (0) lacks medial flange; (1) possesses medial flange</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84. </w:t>
      </w:r>
      <w:r w:rsidR="00053C58" w:rsidRPr="00D15331">
        <w:rPr>
          <w:rFonts w:cs="Times New Roman"/>
          <w:color w:val="000000" w:themeColor="text1"/>
        </w:rPr>
        <w:t>Dorsal terminal cartilage: (0) smooth margin; (1) crenate margin</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85. </w:t>
      </w:r>
      <w:r w:rsidR="00053C58" w:rsidRPr="00D15331">
        <w:rPr>
          <w:rFonts w:cs="Times New Roman"/>
          <w:color w:val="000000" w:themeColor="text1"/>
        </w:rPr>
        <w:t>Cartilage forming component claw: (0) present; (1) absent; (2) cartilage embedded in integument and is not visible externally; (3) cartilage lines the inner ventral margin of the clasper glans and often forms the component shield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86. </w:t>
      </w:r>
      <w:r w:rsidR="00053C58" w:rsidRPr="00D15331">
        <w:rPr>
          <w:rFonts w:cs="Times New Roman"/>
          <w:color w:val="000000" w:themeColor="text1"/>
        </w:rPr>
        <w:t>Ventral terminal cartilage (accessory terminal 1 cartilage in rajids): (0) simple; (1) free distally and forms component sentinel or is fused with ventral marginal cartilage and forms component projection; (2) folded ventrally along its long axis to form a convex flange</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87. </w:t>
      </w:r>
      <w:r w:rsidR="00053C58" w:rsidRPr="00D15331">
        <w:rPr>
          <w:rFonts w:cs="Times New Roman"/>
          <w:color w:val="000000" w:themeColor="text1"/>
        </w:rPr>
        <w:t>Ventral terminal cartilage (accessory terminal 1 cartilage in rajids): (0) attached over length to axial cartilage; (1) free of axial cartilage</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88. </w:t>
      </w:r>
      <w:r w:rsidR="00053C58" w:rsidRPr="00D15331">
        <w:rPr>
          <w:rFonts w:cs="Times New Roman"/>
          <w:color w:val="000000" w:themeColor="text1"/>
        </w:rPr>
        <w:t xml:space="preserve">Spiracularis: 0 = undivided; (1) splits into lateral and medial bundles, with the medial bundle inserting onto the posterior surface of Meckel’s cartilage and the lateral bundle inserting onto the dorsal edge of the hyomandibula; (2) extends beyond the hyomandibula and Meckel’s cartilage; (3) subdivided proximally and inserts separately onto the palatoquadrate and the hyomandibula. </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89. Sexual heterodonty: (0) absent; (1) present.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90. </w:t>
      </w:r>
      <w:r w:rsidR="00053C58" w:rsidRPr="00D15331">
        <w:rPr>
          <w:rFonts w:cs="Times New Roman"/>
          <w:color w:val="000000" w:themeColor="text1"/>
        </w:rPr>
        <w:t xml:space="preserve">Medial symphyseal processes of the Meckel’s cartilage: (0) absent; (1) present.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91. </w:t>
      </w:r>
      <w:r w:rsidR="00053C58" w:rsidRPr="00D15331">
        <w:rPr>
          <w:rFonts w:cs="Times New Roman"/>
          <w:color w:val="000000" w:themeColor="text1"/>
        </w:rPr>
        <w:t xml:space="preserve">Lateral processes of the palatoquadrate extending far anteriorly: (0) absent; (1) present. </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92. </w:t>
      </w:r>
      <w:r w:rsidR="00053C58" w:rsidRPr="00D15331">
        <w:rPr>
          <w:rFonts w:cs="Times New Roman"/>
          <w:color w:val="000000" w:themeColor="text1"/>
        </w:rPr>
        <w:t>Anterior processes of the Meckel’s cartilage: (0) absent; (1) present; (2) extending anterior past jaw joint.</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93. Lateral oral diastema alt: (0) diastema width greater than occlusal width; (1) occlusal width greater than diastema width.</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lastRenderedPageBreak/>
        <w:t xml:space="preserve">94. </w:t>
      </w:r>
      <w:r w:rsidR="00053C58" w:rsidRPr="00D15331">
        <w:rPr>
          <w:rFonts w:cs="Times New Roman"/>
          <w:color w:val="000000" w:themeColor="text1"/>
        </w:rPr>
        <w:t>Upper jaw profile: (0) oval in cross-section (most batoids); (1) flat top, convex occlusal surface (myliobatids); (2) strongly flattened (mobulids).</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95. </w:t>
      </w:r>
      <w:r w:rsidR="00053C58" w:rsidRPr="00D15331">
        <w:rPr>
          <w:rFonts w:cs="Times New Roman"/>
          <w:color w:val="000000" w:themeColor="text1"/>
        </w:rPr>
        <w:t>Upper jaw mineralization: (0) all surfaces mineralized; (1) lingual face partly unmineralized (mobulids).</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96. </w:t>
      </w:r>
      <w:r w:rsidR="00053C58" w:rsidRPr="00D15331">
        <w:rPr>
          <w:rFonts w:cs="Times New Roman"/>
          <w:color w:val="000000" w:themeColor="text1"/>
        </w:rPr>
        <w:t>Lower jaw profile: (0) oval in cross-section; (1) strongly linguolabially expanded.</w:t>
      </w:r>
    </w:p>
    <w:p w:rsidR="00053C58" w:rsidRPr="00D15331" w:rsidRDefault="00D15331"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97. </w:t>
      </w:r>
      <w:r w:rsidR="00053C58" w:rsidRPr="00D15331">
        <w:rPr>
          <w:rFonts w:cs="Times New Roman"/>
          <w:color w:val="000000" w:themeColor="text1"/>
        </w:rPr>
        <w:t>Upper and lower jaw trabeculae: (0) absent; (1) weakly developed; (2) strongly developed.</w:t>
      </w:r>
    </w:p>
    <w:p w:rsidR="00D15331" w:rsidRPr="00D15331" w:rsidRDefault="00053C58" w:rsidP="00053C58">
      <w:pPr>
        <w:pStyle w:val="NoSpacing"/>
        <w:spacing w:line="360" w:lineRule="auto"/>
        <w:ind w:left="720" w:hanging="720"/>
        <w:rPr>
          <w:rFonts w:cs="Times New Roman"/>
          <w:b/>
          <w:color w:val="000000" w:themeColor="text1"/>
        </w:rPr>
      </w:pPr>
      <w:r w:rsidRPr="00D15331">
        <w:rPr>
          <w:rFonts w:cs="Times New Roman"/>
          <w:color w:val="000000" w:themeColor="text1"/>
        </w:rPr>
        <w:t xml:space="preserve">98. Mesiodistally enlarged teeth up to one single tooth row: (0) absent; (1) present. </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99. Second transverse keel: (0) absent; (1) present. </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100. Calcification pattern of radials: (0) crustal; (1) catenated. </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101. Body disc shape: (0) rhombus, quadrangular or oval, with pectoral fins not greatly expanded; (1) wing like, with pectoral fins greatly expanded. </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102. Mid-dorsal surface of disc covered by heart-shaped denticles arranged in an antero-posteriorly directed patch having sharply defined outlines: (0) absent; (1) present. </w:t>
      </w:r>
    </w:p>
    <w:p w:rsidR="00053C58" w:rsidRPr="00D15331" w:rsidRDefault="00053C58" w:rsidP="00053C58">
      <w:pPr>
        <w:pStyle w:val="NoSpacing"/>
        <w:spacing w:line="360" w:lineRule="auto"/>
        <w:ind w:left="720" w:hanging="720"/>
        <w:rPr>
          <w:rFonts w:cs="Times New Roman"/>
          <w:color w:val="000000" w:themeColor="text1"/>
        </w:rPr>
      </w:pPr>
      <w:r w:rsidRPr="00D15331">
        <w:rPr>
          <w:rFonts w:cs="Times New Roman"/>
          <w:color w:val="000000" w:themeColor="text1"/>
        </w:rPr>
        <w:t xml:space="preserve">103. File of enlarged ‘caniniform’ teeth in the upper jaw: (0) absent; (1) present. </w:t>
      </w:r>
    </w:p>
    <w:p w:rsidR="0072028B" w:rsidRPr="00D15331" w:rsidRDefault="0072028B">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FD68E1" w:rsidRPr="00D15331" w:rsidRDefault="00FD68E1">
      <w:pPr>
        <w:rPr>
          <w:color w:val="000000" w:themeColor="text1"/>
        </w:rPr>
      </w:pPr>
    </w:p>
    <w:p w:rsidR="0072028B" w:rsidRPr="00D15331" w:rsidRDefault="0072028B">
      <w:pPr>
        <w:rPr>
          <w:rFonts w:ascii="Times New Roman" w:hAnsi="Times New Roman" w:cs="Times New Roman"/>
          <w:b/>
          <w:color w:val="000000" w:themeColor="text1"/>
          <w:sz w:val="24"/>
          <w:szCs w:val="24"/>
        </w:rPr>
        <w:sectPr w:rsidR="0072028B" w:rsidRPr="00D15331" w:rsidSect="004E288F">
          <w:footerReference w:type="default" r:id="rId12"/>
          <w:pgSz w:w="11906" w:h="16838"/>
          <w:pgMar w:top="1417" w:right="1134" w:bottom="1134" w:left="1134" w:header="708" w:footer="708" w:gutter="0"/>
          <w:cols w:space="708"/>
          <w:docGrid w:linePitch="360"/>
        </w:sectPr>
      </w:pPr>
    </w:p>
    <w:p w:rsidR="00FD68E1" w:rsidRPr="00D15331" w:rsidRDefault="0072028B">
      <w:pPr>
        <w:rPr>
          <w:color w:val="000000" w:themeColor="text1"/>
        </w:rPr>
      </w:pPr>
      <w:r w:rsidRPr="00D15331">
        <w:rPr>
          <w:rFonts w:cs="Times New Roman"/>
          <w:b/>
          <w:color w:val="000000" w:themeColor="text1"/>
        </w:rPr>
        <w:lastRenderedPageBreak/>
        <w:t>Appendix B.</w:t>
      </w:r>
      <w:r w:rsidRPr="00D15331">
        <w:rPr>
          <w:rFonts w:cs="Times New Roman"/>
          <w:color w:val="000000" w:themeColor="text1"/>
        </w:rPr>
        <w:t xml:space="preserve"> Character matrix.</w:t>
      </w:r>
    </w:p>
    <w:tbl>
      <w:tblPr>
        <w:tblW w:w="15370" w:type="dxa"/>
        <w:jc w:val="center"/>
        <w:tblLook w:val="04A0" w:firstRow="1" w:lastRow="0" w:firstColumn="1" w:lastColumn="0" w:noHBand="0" w:noVBand="1"/>
      </w:tblPr>
      <w:tblGrid>
        <w:gridCol w:w="1402"/>
        <w:gridCol w:w="398"/>
        <w:gridCol w:w="498"/>
        <w:gridCol w:w="498"/>
        <w:gridCol w:w="398"/>
        <w:gridCol w:w="498"/>
        <w:gridCol w:w="398"/>
        <w:gridCol w:w="498"/>
        <w:gridCol w:w="498"/>
        <w:gridCol w:w="498"/>
        <w:gridCol w:w="480"/>
        <w:gridCol w:w="497"/>
        <w:gridCol w:w="497"/>
        <w:gridCol w:w="480"/>
        <w:gridCol w:w="397"/>
        <w:gridCol w:w="397"/>
        <w:gridCol w:w="497"/>
        <w:gridCol w:w="397"/>
        <w:gridCol w:w="497"/>
        <w:gridCol w:w="497"/>
        <w:gridCol w:w="497"/>
        <w:gridCol w:w="497"/>
        <w:gridCol w:w="497"/>
        <w:gridCol w:w="497"/>
        <w:gridCol w:w="497"/>
        <w:gridCol w:w="397"/>
        <w:gridCol w:w="397"/>
        <w:gridCol w:w="580"/>
        <w:gridCol w:w="397"/>
        <w:gridCol w:w="497"/>
        <w:gridCol w:w="397"/>
      </w:tblGrid>
      <w:tr w:rsidR="00700E74" w:rsidRPr="00D15331" w:rsidTr="00700E74">
        <w:trPr>
          <w:trHeight w:val="205"/>
          <w:jc w:val="center"/>
        </w:trPr>
        <w:tc>
          <w:tcPr>
            <w:tcW w:w="1402"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b/>
                <w:bCs/>
                <w:i/>
                <w:iCs/>
                <w:color w:val="000000"/>
                <w:sz w:val="16"/>
                <w:szCs w:val="16"/>
                <w:lang w:eastAsia="en-GB"/>
              </w:rPr>
            </w:pP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w:t>
            </w: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w:t>
            </w: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w:t>
            </w:r>
          </w:p>
        </w:tc>
        <w:tc>
          <w:tcPr>
            <w:tcW w:w="4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10</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11</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12</w:t>
            </w:r>
          </w:p>
        </w:tc>
        <w:tc>
          <w:tcPr>
            <w:tcW w:w="4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13</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14</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15</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16</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17</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18</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19</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20</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21</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22</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23</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24</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25</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26</w:t>
            </w:r>
          </w:p>
        </w:tc>
        <w:tc>
          <w:tcPr>
            <w:tcW w:w="5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27</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28</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29</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30</w:t>
            </w:r>
          </w:p>
        </w:tc>
      </w:tr>
      <w:tr w:rsidR="00700E74" w:rsidRPr="00D15331" w:rsidTr="00700E74">
        <w:trPr>
          <w:trHeight w:val="205"/>
          <w:jc w:val="center"/>
        </w:trPr>
        <w:tc>
          <w:tcPr>
            <w:tcW w:w="1402"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Rhinobatos</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Raja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Aetobatus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Aetomyleus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Asterotrygon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Dasyatis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Gymnura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Heliotrygon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Hexatrygon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Himantura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Mobula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Myliobatis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Neotrygon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Paratrygon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Pastinachus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Plesiobatis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Plesiotrygon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Potamotrygon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Promyliobatis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Protohimantura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Pteroplatytrygon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Rhinoptera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Styracura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Taeniura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Trygonoptera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Urolophus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Urotrygon</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Weissobatis</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31</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32</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33</w:t>
            </w: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34</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35</w:t>
            </w: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36</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37</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38</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39</w:t>
            </w:r>
          </w:p>
        </w:tc>
        <w:tc>
          <w:tcPr>
            <w:tcW w:w="4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40</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41</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42</w:t>
            </w:r>
          </w:p>
        </w:tc>
        <w:tc>
          <w:tcPr>
            <w:tcW w:w="4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43</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44</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45</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46</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47</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48</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49</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50</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51</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52</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53</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54</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55</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56</w:t>
            </w:r>
          </w:p>
        </w:tc>
        <w:tc>
          <w:tcPr>
            <w:tcW w:w="5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57</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58</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59</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60</w:t>
            </w:r>
          </w:p>
        </w:tc>
      </w:tr>
      <w:tr w:rsidR="00700E74" w:rsidRPr="00D15331" w:rsidTr="00700E74">
        <w:trPr>
          <w:trHeight w:val="205"/>
          <w:jc w:val="center"/>
        </w:trPr>
        <w:tc>
          <w:tcPr>
            <w:tcW w:w="1402"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Rhinobatos</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Raja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Aetobatus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Aetomyleus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Asterotrygon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Dasyatis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Gymnura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Heliotrygon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Hexatrygon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Himantura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Mobula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Myliobatis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Neotrygon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Paratrygon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Pastinachus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Plesiobatis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Plesiotrygon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Potamotrygon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Promyliobatis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Protohimantura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Pteroplatytrygon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Rhinoptera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Styracura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Taeniura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Trygonoptera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Urolophus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Urotrygon</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Weissobatis</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61</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62</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63</w:t>
            </w: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64</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65</w:t>
            </w: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66</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67</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68</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69</w:t>
            </w:r>
          </w:p>
        </w:tc>
        <w:tc>
          <w:tcPr>
            <w:tcW w:w="4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70</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71</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72</w:t>
            </w:r>
          </w:p>
        </w:tc>
        <w:tc>
          <w:tcPr>
            <w:tcW w:w="4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73</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74</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75</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76</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77</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78</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79</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80</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81</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82</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83</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84</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85</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86</w:t>
            </w:r>
          </w:p>
        </w:tc>
        <w:tc>
          <w:tcPr>
            <w:tcW w:w="5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87</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88</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89</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90</w:t>
            </w:r>
          </w:p>
        </w:tc>
      </w:tr>
      <w:tr w:rsidR="00700E74" w:rsidRPr="00D15331" w:rsidTr="00700E74">
        <w:trPr>
          <w:trHeight w:val="205"/>
          <w:jc w:val="center"/>
        </w:trPr>
        <w:tc>
          <w:tcPr>
            <w:tcW w:w="1402"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Rhinobatos</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5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Raja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Aetobatus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Aetomyleus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Asterotrygon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Dasyatis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Gymnura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Heliotrygon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Hexatrygon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Himantura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Mobula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Myliobatis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Neotrygon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Paratrygon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Pastinachus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Plesiobatis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Plesiotrygon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Potamotrygon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Promyliobatis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Protohimantura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Pteroplatytrygon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Rhinoptera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Styracura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Taeniura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3</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Trygonoptera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Urolophus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Urotrygon</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[12]</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5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r>
      <w:tr w:rsidR="00700E74" w:rsidRPr="00D15331" w:rsidTr="00700E74">
        <w:trPr>
          <w:trHeight w:val="205"/>
          <w:jc w:val="center"/>
        </w:trPr>
        <w:tc>
          <w:tcPr>
            <w:tcW w:w="1402"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Weissobatis</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5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r>
      <w:tr w:rsidR="00700E74" w:rsidRPr="00D15331" w:rsidTr="00700E74">
        <w:trPr>
          <w:trHeight w:val="205"/>
          <w:jc w:val="center"/>
        </w:trPr>
        <w:tc>
          <w:tcPr>
            <w:tcW w:w="1402"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91</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92</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93</w:t>
            </w: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94</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95</w:t>
            </w:r>
          </w:p>
        </w:tc>
        <w:tc>
          <w:tcPr>
            <w:tcW w:w="3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96</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97</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98</w:t>
            </w:r>
          </w:p>
        </w:tc>
        <w:tc>
          <w:tcPr>
            <w:tcW w:w="498"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99</w:t>
            </w:r>
          </w:p>
        </w:tc>
        <w:tc>
          <w:tcPr>
            <w:tcW w:w="4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100</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101</w:t>
            </w: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102</w:t>
            </w:r>
          </w:p>
        </w:tc>
        <w:tc>
          <w:tcPr>
            <w:tcW w:w="4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b/>
                <w:bCs/>
                <w:color w:val="000000"/>
                <w:sz w:val="16"/>
                <w:szCs w:val="16"/>
                <w:lang w:eastAsia="en-GB"/>
              </w:rPr>
            </w:pPr>
            <w:r w:rsidRPr="00D15331">
              <w:rPr>
                <w:rFonts w:ascii="Calibri" w:eastAsia="Times New Roman" w:hAnsi="Calibri" w:cs="Times New Roman"/>
                <w:b/>
                <w:bCs/>
                <w:color w:val="000000"/>
                <w:sz w:val="16"/>
                <w:szCs w:val="16"/>
                <w:lang w:eastAsia="en-GB"/>
              </w:rPr>
              <w:t>103</w:t>
            </w: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Rhinobatos</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single" w:sz="4" w:space="0" w:color="auto"/>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Raja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Aetobatus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Aetomyleus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Asterotrygon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Dasyatis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Gymnura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Heliotrygon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Hexatrygon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Himantura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Mobula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Myliobatis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2</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Neotrygon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Paratrygon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Pastinachus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Plesiobatis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Plesiotrygon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Potamotrygon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Promyliobatis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Protohimantura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Pteroplatytrygon</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Rhinoptera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Styracura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Taeniura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Trygonoptera</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Urobatis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Urolophus</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Urotrygon</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8"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r w:rsidR="00700E74" w:rsidRPr="00D15331" w:rsidTr="00700E74">
        <w:trPr>
          <w:trHeight w:val="205"/>
          <w:jc w:val="center"/>
        </w:trPr>
        <w:tc>
          <w:tcPr>
            <w:tcW w:w="1402"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rPr>
                <w:rFonts w:ascii="Calibri" w:eastAsia="Times New Roman" w:hAnsi="Calibri" w:cs="Times New Roman"/>
                <w:i/>
                <w:iCs/>
                <w:color w:val="000000"/>
                <w:sz w:val="16"/>
                <w:szCs w:val="16"/>
                <w:lang w:eastAsia="en-GB"/>
              </w:rPr>
            </w:pPr>
            <w:r w:rsidRPr="00D15331">
              <w:rPr>
                <w:rFonts w:ascii="Calibri" w:eastAsia="Times New Roman" w:hAnsi="Calibri" w:cs="Times New Roman"/>
                <w:i/>
                <w:iCs/>
                <w:color w:val="000000"/>
                <w:sz w:val="16"/>
                <w:szCs w:val="16"/>
                <w:lang w:eastAsia="en-GB"/>
              </w:rPr>
              <w:t>Weissobatis</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3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8"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1</w:t>
            </w: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4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r w:rsidRPr="00D15331">
              <w:rPr>
                <w:rFonts w:ascii="Calibri" w:eastAsia="Times New Roman" w:hAnsi="Calibri" w:cs="Times New Roman"/>
                <w:color w:val="000000"/>
                <w:sz w:val="16"/>
                <w:szCs w:val="16"/>
                <w:lang w:eastAsia="en-GB"/>
              </w:rPr>
              <w:t>0</w:t>
            </w: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580"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4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c>
          <w:tcPr>
            <w:tcW w:w="397" w:type="dxa"/>
            <w:tcBorders>
              <w:top w:val="nil"/>
              <w:left w:val="nil"/>
              <w:bottom w:val="single" w:sz="4" w:space="0" w:color="auto"/>
              <w:right w:val="nil"/>
            </w:tcBorders>
            <w:shd w:val="clear" w:color="auto" w:fill="auto"/>
            <w:noWrap/>
            <w:hideMark/>
          </w:tcPr>
          <w:p w:rsidR="00700E74" w:rsidRPr="00D15331" w:rsidRDefault="00700E74" w:rsidP="00700E74">
            <w:pPr>
              <w:spacing w:after="0" w:line="240" w:lineRule="auto"/>
              <w:jc w:val="center"/>
              <w:rPr>
                <w:rFonts w:ascii="Calibri" w:eastAsia="Times New Roman" w:hAnsi="Calibri" w:cs="Times New Roman"/>
                <w:color w:val="000000"/>
                <w:sz w:val="16"/>
                <w:szCs w:val="16"/>
                <w:lang w:eastAsia="en-GB"/>
              </w:rPr>
            </w:pPr>
          </w:p>
        </w:tc>
      </w:tr>
    </w:tbl>
    <w:p w:rsidR="001743F7" w:rsidRPr="00D15331" w:rsidRDefault="001743F7">
      <w:pPr>
        <w:rPr>
          <w:color w:val="000000" w:themeColor="text1"/>
        </w:rPr>
      </w:pPr>
    </w:p>
    <w:p w:rsidR="001743F7" w:rsidRPr="00D15331" w:rsidRDefault="001743F7">
      <w:pPr>
        <w:rPr>
          <w:color w:val="000000" w:themeColor="text1"/>
        </w:rPr>
        <w:sectPr w:rsidR="001743F7" w:rsidRPr="00D15331" w:rsidSect="0072028B">
          <w:pgSz w:w="16838" w:h="11906" w:orient="landscape"/>
          <w:pgMar w:top="1134" w:right="1418" w:bottom="1134" w:left="1134" w:header="709" w:footer="709" w:gutter="0"/>
          <w:cols w:space="708"/>
          <w:docGrid w:linePitch="360"/>
        </w:sectPr>
      </w:pPr>
    </w:p>
    <w:p w:rsidR="001743F7" w:rsidRDefault="001743F7" w:rsidP="00047A04">
      <w:pPr>
        <w:pStyle w:val="NoSpacing"/>
        <w:spacing w:line="480" w:lineRule="auto"/>
        <w:ind w:left="720" w:hanging="720"/>
        <w:rPr>
          <w:b/>
        </w:rPr>
      </w:pPr>
      <w:r w:rsidRPr="00047A04">
        <w:rPr>
          <w:b/>
        </w:rPr>
        <w:t>Supplementary References</w:t>
      </w:r>
    </w:p>
    <w:p w:rsidR="00047A04" w:rsidRPr="00047A04" w:rsidRDefault="00047A04" w:rsidP="00047A04">
      <w:pPr>
        <w:pStyle w:val="NoSpacing"/>
        <w:spacing w:line="480" w:lineRule="auto"/>
        <w:ind w:left="720" w:hanging="720"/>
        <w:rPr>
          <w:b/>
        </w:rPr>
      </w:pPr>
    </w:p>
    <w:p w:rsidR="00047A04" w:rsidRPr="00047A04" w:rsidRDefault="00047A04" w:rsidP="00047A04">
      <w:pPr>
        <w:pStyle w:val="NoSpacing"/>
        <w:spacing w:line="480" w:lineRule="auto"/>
        <w:ind w:left="720" w:hanging="720"/>
      </w:pPr>
      <w:r w:rsidRPr="00047A04">
        <w:t xml:space="preserve">Aschliman NC. Interrelationships of the durophagous stingrays (Batoidea: Myliobatidae). Environ Biol Fishes. 2014; 97: 967-979. </w:t>
      </w:r>
    </w:p>
    <w:p w:rsidR="00047A04" w:rsidRPr="00047A04" w:rsidRDefault="00047A04" w:rsidP="00047A04">
      <w:pPr>
        <w:pStyle w:val="NoSpacing"/>
        <w:spacing w:line="480" w:lineRule="auto"/>
        <w:ind w:left="720" w:hanging="720"/>
      </w:pPr>
      <w:r w:rsidRPr="00047A04">
        <w:t xml:space="preserve">Claeson KM, O’Leary MA, Roberts EM, Sissoko F, Bouaré M, Tapanila L, Goodwin D, Gottfried MD. First Mesozoic record of the stingray </w:t>
      </w:r>
      <w:r w:rsidRPr="00047A04">
        <w:rPr>
          <w:i/>
        </w:rPr>
        <w:t>Myliobatis wurnoensis</w:t>
      </w:r>
      <w:r w:rsidRPr="00047A04">
        <w:t xml:space="preserve"> from Mali and a phylogenetic analysis of Myliobatidae incorporating dental characters. Acta Palaeontol Pol. 2010; 55:655-674.</w:t>
      </w:r>
    </w:p>
    <w:p w:rsidR="00047A04" w:rsidRPr="00047A04" w:rsidRDefault="00047A04" w:rsidP="00047A04">
      <w:pPr>
        <w:pStyle w:val="NoSpacing"/>
        <w:spacing w:line="480" w:lineRule="auto"/>
        <w:ind w:left="720" w:hanging="720"/>
      </w:pPr>
      <w:r w:rsidRPr="00047A04">
        <w:t xml:space="preserve">Hovestadt DC, Hovestadt-Euler M. </w:t>
      </w:r>
      <w:r w:rsidRPr="00047A04">
        <w:rPr>
          <w:i/>
        </w:rPr>
        <w:t>Weissobatis micklichi</w:t>
      </w:r>
      <w:r w:rsidRPr="00047A04">
        <w:t xml:space="preserve"> n. gen., n. sp., an eagle ray (Myliobatiformes, Myliobatidae) from the Oligocene of Frauenweiler (Baden-Württemberg, Germany). Paläont Z. 1999; 73:337-349.</w:t>
      </w:r>
    </w:p>
    <w:p w:rsidR="00047A04" w:rsidRPr="00047A04" w:rsidRDefault="00047A04" w:rsidP="00047A04">
      <w:pPr>
        <w:pStyle w:val="NoSpacing"/>
        <w:spacing w:line="480" w:lineRule="auto"/>
        <w:ind w:left="720" w:hanging="720"/>
      </w:pPr>
      <w:r w:rsidRPr="00047A04">
        <w:t>Hovestadt DC, Hovestadt-Euler M. Generic assessment and reallocation of Cenozoic myliobatins based on new information of tooth, tooth plate and caudal spine morphology of extant taxa. Palaeontos. 2013; 24:1-66.</w:t>
      </w:r>
    </w:p>
    <w:p w:rsidR="00203DB1" w:rsidRPr="00047A04" w:rsidRDefault="00203DB1" w:rsidP="00047A04">
      <w:pPr>
        <w:pStyle w:val="NoSpacing"/>
        <w:spacing w:line="480" w:lineRule="auto"/>
        <w:ind w:left="720" w:hanging="720"/>
      </w:pPr>
      <w:r w:rsidRPr="00047A04">
        <w:t>Marramà G,</w:t>
      </w:r>
      <w:r w:rsidR="001743F7" w:rsidRPr="00047A04">
        <w:t xml:space="preserve"> </w:t>
      </w:r>
      <w:r w:rsidR="00047A04" w:rsidRPr="00047A04">
        <w:t xml:space="preserve">Bannikov AF, Tyler JC, Zorzin R, Carnevale </w:t>
      </w:r>
      <w:r w:rsidR="001743F7" w:rsidRPr="00047A04">
        <w:t>G.</w:t>
      </w:r>
      <w:r w:rsidR="00047A04" w:rsidRPr="00047A04">
        <w:t xml:space="preserve"> </w:t>
      </w:r>
      <w:r w:rsidR="001743F7" w:rsidRPr="00047A04">
        <w:t>Controlled excavations in the Pesciara and Monte Postale sites provide new insights about the paleoecology and taphonomy of the fish assemblages of the Eocene Bolca Konservat-Lagerstätte, Italy. Palaeogeogr P</w:t>
      </w:r>
      <w:r w:rsidR="00047A04" w:rsidRPr="00047A04">
        <w:t>alaeoclimat Palaeoecol. 2016;</w:t>
      </w:r>
      <w:r w:rsidR="001743F7" w:rsidRPr="00047A04">
        <w:t xml:space="preserve"> 454</w:t>
      </w:r>
      <w:r w:rsidR="00047A04" w:rsidRPr="00047A04">
        <w:t>:</w:t>
      </w:r>
      <w:r w:rsidR="001743F7" w:rsidRPr="00047A04">
        <w:t>228</w:t>
      </w:r>
      <w:r w:rsidR="00047A04" w:rsidRPr="00047A04">
        <w:t>-</w:t>
      </w:r>
      <w:r w:rsidR="001743F7" w:rsidRPr="00047A04">
        <w:t>245.</w:t>
      </w:r>
    </w:p>
    <w:p w:rsidR="00203DB1" w:rsidRPr="00047A04" w:rsidRDefault="00203DB1" w:rsidP="00047A04">
      <w:pPr>
        <w:pStyle w:val="NoSpacing"/>
        <w:spacing w:line="480" w:lineRule="auto"/>
        <w:ind w:left="720" w:hanging="720"/>
      </w:pPr>
      <w:r w:rsidRPr="00047A04">
        <w:t xml:space="preserve">Marramà G, </w:t>
      </w:r>
      <w:r w:rsidR="00047A04" w:rsidRPr="00047A04">
        <w:t>Carnevale G, Naylor JP, Kriwet</w:t>
      </w:r>
      <w:r w:rsidRPr="00047A04">
        <w:t xml:space="preserve"> J. Reappraisal of the Eocene whiptail stingrays (Myliobatiformes, Dasyatidae) of the</w:t>
      </w:r>
      <w:r w:rsidR="00047A04" w:rsidRPr="00047A04">
        <w:t xml:space="preserve"> Bolca Lagerstätte, Italy. Zool</w:t>
      </w:r>
      <w:r w:rsidRPr="00047A04">
        <w:t xml:space="preserve"> Sc</w:t>
      </w:r>
      <w:r w:rsidR="00047A04" w:rsidRPr="00047A04">
        <w:t>r.</w:t>
      </w:r>
      <w:r w:rsidRPr="00047A04">
        <w:t xml:space="preserve"> </w:t>
      </w:r>
      <w:r w:rsidR="00047A04" w:rsidRPr="00047A04">
        <w:t>2018a</w:t>
      </w:r>
      <w:r w:rsidRPr="00047A04">
        <w:t>. doi:10.1111/zsc.12330</w:t>
      </w:r>
      <w:r w:rsidR="00047A04" w:rsidRPr="00047A04">
        <w:t>.</w:t>
      </w:r>
    </w:p>
    <w:p w:rsidR="00203DB1" w:rsidRPr="00047A04" w:rsidRDefault="00203DB1" w:rsidP="00047A04">
      <w:pPr>
        <w:pStyle w:val="NoSpacing"/>
        <w:spacing w:line="480" w:lineRule="auto"/>
        <w:ind w:left="720" w:hanging="720"/>
      </w:pPr>
      <w:r w:rsidRPr="00047A04">
        <w:t xml:space="preserve">Marramà G, </w:t>
      </w:r>
      <w:r w:rsidR="00047A04" w:rsidRPr="00047A04">
        <w:t xml:space="preserve">Klug S, De Vos J, Kriwet J. </w:t>
      </w:r>
      <w:r w:rsidRPr="00047A04">
        <w:t>Anatomy, relationships and palaeobiogeographic implications of the first Neogene holomorphic stingray (Myliobatiformes: Dasyatidae) from the early Miocene of Sulawesi, Indonesia, SE Asia. Zool J Linn Soc</w:t>
      </w:r>
      <w:r w:rsidR="00047A04" w:rsidRPr="00047A04">
        <w:t>.</w:t>
      </w:r>
      <w:r w:rsidRPr="00047A04">
        <w:t xml:space="preserve"> </w:t>
      </w:r>
      <w:r w:rsidR="00047A04" w:rsidRPr="00047A04">
        <w:t>2018b</w:t>
      </w:r>
      <w:r w:rsidRPr="00047A04">
        <w:t>. doi:10.1093/zoolinnean/zly020</w:t>
      </w:r>
      <w:r w:rsidR="00047A04" w:rsidRPr="00047A04">
        <w:t>.</w:t>
      </w:r>
    </w:p>
    <w:p w:rsidR="001743F7" w:rsidRPr="00047A04" w:rsidRDefault="00047A04" w:rsidP="00047A04">
      <w:pPr>
        <w:pStyle w:val="NoSpacing"/>
        <w:spacing w:line="480" w:lineRule="auto"/>
        <w:ind w:left="720" w:hanging="720"/>
        <w:rPr>
          <w:lang w:val="it-IT"/>
        </w:rPr>
      </w:pPr>
      <w:r w:rsidRPr="00047A04">
        <w:t>Papazzoni CA, Trevisani</w:t>
      </w:r>
      <w:r w:rsidR="001743F7" w:rsidRPr="00047A04">
        <w:t xml:space="preserve"> E. Facies analysis, palaeoenvironmental reconstruction, and biostratigraphy of the “Pesciara di Bolca” (Verona, northern Italy): An early Eocene Fossil- Lagerstätte. </w:t>
      </w:r>
      <w:r w:rsidR="001743F7" w:rsidRPr="00047A04">
        <w:rPr>
          <w:lang w:val="it-IT"/>
        </w:rPr>
        <w:t>Palaeogeogr</w:t>
      </w:r>
      <w:r w:rsidRPr="00047A04">
        <w:rPr>
          <w:lang w:val="it-IT"/>
        </w:rPr>
        <w:t xml:space="preserve"> </w:t>
      </w:r>
      <w:r w:rsidR="001743F7" w:rsidRPr="00047A04">
        <w:rPr>
          <w:lang w:val="it-IT"/>
        </w:rPr>
        <w:t>Palaeoclimatol Palaeoecol</w:t>
      </w:r>
      <w:r w:rsidRPr="00047A04">
        <w:rPr>
          <w:lang w:val="it-IT"/>
        </w:rPr>
        <w:t>.</w:t>
      </w:r>
      <w:r w:rsidR="001743F7" w:rsidRPr="00047A04">
        <w:rPr>
          <w:lang w:val="it-IT"/>
        </w:rPr>
        <w:t xml:space="preserve"> </w:t>
      </w:r>
      <w:r w:rsidRPr="00047A04">
        <w:rPr>
          <w:lang w:val="it-IT"/>
        </w:rPr>
        <w:t xml:space="preserve">2006; </w:t>
      </w:r>
      <w:r w:rsidR="001743F7" w:rsidRPr="00047A04">
        <w:rPr>
          <w:lang w:val="it-IT"/>
        </w:rPr>
        <w:t>242</w:t>
      </w:r>
      <w:r w:rsidRPr="00047A04">
        <w:rPr>
          <w:lang w:val="it-IT"/>
        </w:rPr>
        <w:t>:</w:t>
      </w:r>
      <w:r w:rsidR="001743F7" w:rsidRPr="00047A04">
        <w:rPr>
          <w:lang w:val="it-IT"/>
        </w:rPr>
        <w:t>21</w:t>
      </w:r>
      <w:r w:rsidRPr="00047A04">
        <w:rPr>
          <w:lang w:val="it-IT"/>
        </w:rPr>
        <w:t>-</w:t>
      </w:r>
      <w:r w:rsidR="001743F7" w:rsidRPr="00047A04">
        <w:rPr>
          <w:lang w:val="it-IT"/>
        </w:rPr>
        <w:t>35.</w:t>
      </w:r>
    </w:p>
    <w:p w:rsidR="00047A04" w:rsidRPr="004E288F" w:rsidRDefault="00047A04" w:rsidP="00047A04">
      <w:pPr>
        <w:pStyle w:val="NoSpacing"/>
        <w:spacing w:line="480" w:lineRule="auto"/>
        <w:ind w:left="720" w:hanging="720"/>
      </w:pPr>
      <w:r w:rsidRPr="00047A04">
        <w:rPr>
          <w:lang w:val="it-IT"/>
        </w:rPr>
        <w:t xml:space="preserve">Papazzoni CA, Carnevale G, Fornaciari E, Giusberti L, Trevisani E. The Pesciara-Monte Postale Fossil-Lagerstätte: 1. Biostratigraphy, sedimentology and depositional model. In: Papazzoni CA, Giusberti L, Carnevale G, Roghi G, Bassi D, Zorzin R, editors. </w:t>
      </w:r>
      <w:r w:rsidRPr="00047A04">
        <w:t xml:space="preserve">The Bolca Fossil-Lagerstätte: A window into the Eocene World. </w:t>
      </w:r>
      <w:r w:rsidRPr="004E288F">
        <w:t xml:space="preserve">Modena: Società Paleontologica Italiana; 2014. p. 29-36. </w:t>
      </w:r>
    </w:p>
    <w:p w:rsidR="001743F7" w:rsidRPr="00047A04" w:rsidRDefault="00047A04" w:rsidP="00047A04">
      <w:pPr>
        <w:pStyle w:val="NoSpacing"/>
        <w:spacing w:line="480" w:lineRule="auto"/>
        <w:ind w:left="720" w:hanging="720"/>
      </w:pPr>
      <w:r w:rsidRPr="00047A04">
        <w:t>Trevisani</w:t>
      </w:r>
      <w:r w:rsidR="001743F7" w:rsidRPr="00047A04">
        <w:t xml:space="preserve"> E. Upper Cretaceous</w:t>
      </w:r>
      <w:r w:rsidR="001743F7" w:rsidRPr="00047A04">
        <w:rPr>
          <w:rFonts w:ascii="Cambria Math" w:hAnsi="Cambria Math" w:cs="Cambria Math"/>
        </w:rPr>
        <w:t>‑</w:t>
      </w:r>
      <w:r w:rsidR="001743F7" w:rsidRPr="00047A04">
        <w:t>Lower Eocene succession of the Monte Postale and its relationship with the “Pesciara di Bolca” (Lessini Mountains, northern Italy): deposition of a fossil</w:t>
      </w:r>
      <w:r w:rsidR="001743F7" w:rsidRPr="00047A04">
        <w:rPr>
          <w:rFonts w:ascii="Cambria Math" w:hAnsi="Cambria Math" w:cs="Cambria Math"/>
        </w:rPr>
        <w:t>‑</w:t>
      </w:r>
      <w:r w:rsidR="001743F7" w:rsidRPr="00047A04">
        <w:t>fish Lagerst</w:t>
      </w:r>
      <w:r w:rsidR="001743F7" w:rsidRPr="00047A04">
        <w:rPr>
          <w:rFonts w:cs="Calibri"/>
        </w:rPr>
        <w:t>ä</w:t>
      </w:r>
      <w:r w:rsidR="001743F7" w:rsidRPr="00047A04">
        <w:t>tte. Facies</w:t>
      </w:r>
      <w:r w:rsidRPr="00047A04">
        <w:t>. 2015;</w:t>
      </w:r>
      <w:r w:rsidR="001743F7" w:rsidRPr="00047A04">
        <w:t xml:space="preserve"> 61</w:t>
      </w:r>
      <w:r w:rsidRPr="00047A04">
        <w:t>:</w:t>
      </w:r>
      <w:r w:rsidR="001743F7" w:rsidRPr="00047A04">
        <w:t>1</w:t>
      </w:r>
      <w:r w:rsidRPr="00047A04">
        <w:t>-</w:t>
      </w:r>
      <w:r w:rsidR="001743F7" w:rsidRPr="00047A04">
        <w:t>17.</w:t>
      </w:r>
    </w:p>
    <w:p w:rsidR="00D15331" w:rsidRPr="00047A04" w:rsidRDefault="00047A04" w:rsidP="00047A04">
      <w:pPr>
        <w:pStyle w:val="NoSpacing"/>
        <w:spacing w:line="480" w:lineRule="auto"/>
        <w:ind w:left="720" w:hanging="720"/>
      </w:pPr>
      <w:r w:rsidRPr="00047A04">
        <w:t xml:space="preserve">White </w:t>
      </w:r>
      <w:r w:rsidR="00D15331" w:rsidRPr="00047A04">
        <w:t>WT. A revised generic arrangement for the eagle ray family Myliobatidae, with definition</w:t>
      </w:r>
      <w:r w:rsidRPr="00047A04">
        <w:t>s for the valid genera. Zootaxa. 2014;</w:t>
      </w:r>
      <w:r w:rsidR="00D15331" w:rsidRPr="00047A04">
        <w:t xml:space="preserve"> 3860</w:t>
      </w:r>
      <w:r w:rsidRPr="00047A04">
        <w:t>:</w:t>
      </w:r>
      <w:r w:rsidR="00D15331" w:rsidRPr="00047A04">
        <w:t>149</w:t>
      </w:r>
      <w:r w:rsidRPr="00047A04">
        <w:t>-</w:t>
      </w:r>
      <w:r w:rsidR="00D15331" w:rsidRPr="00047A04">
        <w:t>166.</w:t>
      </w:r>
    </w:p>
    <w:p w:rsidR="001743F7" w:rsidRPr="00047A04" w:rsidRDefault="001743F7" w:rsidP="00047A04">
      <w:pPr>
        <w:pStyle w:val="NoSpacing"/>
      </w:pPr>
    </w:p>
    <w:sectPr w:rsidR="001743F7" w:rsidRPr="00047A04" w:rsidSect="00FA4C0F">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A5C" w:rsidRDefault="00E73A5C" w:rsidP="00047A04">
      <w:pPr>
        <w:spacing w:after="0" w:line="240" w:lineRule="auto"/>
      </w:pPr>
      <w:r>
        <w:separator/>
      </w:r>
    </w:p>
  </w:endnote>
  <w:endnote w:type="continuationSeparator" w:id="0">
    <w:p w:rsidR="00E73A5C" w:rsidRDefault="00E73A5C" w:rsidP="00047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7430984"/>
      <w:docPartObj>
        <w:docPartGallery w:val="Page Numbers (Bottom of Page)"/>
        <w:docPartUnique/>
      </w:docPartObj>
    </w:sdtPr>
    <w:sdtEndPr>
      <w:rPr>
        <w:noProof/>
      </w:rPr>
    </w:sdtEndPr>
    <w:sdtContent>
      <w:p w:rsidR="004E288F" w:rsidRDefault="004E288F">
        <w:pPr>
          <w:pStyle w:val="Footer"/>
          <w:jc w:val="center"/>
        </w:pPr>
        <w:r>
          <w:fldChar w:fldCharType="begin"/>
        </w:r>
        <w:r>
          <w:instrText xml:space="preserve"> PAGE   \* MERGEFORMAT </w:instrText>
        </w:r>
        <w:r>
          <w:fldChar w:fldCharType="separate"/>
        </w:r>
        <w:r w:rsidR="00AE65AA">
          <w:rPr>
            <w:noProof/>
          </w:rPr>
          <w:t>1</w:t>
        </w:r>
        <w:r>
          <w:rPr>
            <w:noProof/>
          </w:rPr>
          <w:fldChar w:fldCharType="end"/>
        </w:r>
      </w:p>
    </w:sdtContent>
  </w:sdt>
  <w:p w:rsidR="004E288F" w:rsidRDefault="004E28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A5C" w:rsidRDefault="00E73A5C" w:rsidP="00047A04">
      <w:pPr>
        <w:spacing w:after="0" w:line="240" w:lineRule="auto"/>
      </w:pPr>
      <w:r>
        <w:separator/>
      </w:r>
    </w:p>
  </w:footnote>
  <w:footnote w:type="continuationSeparator" w:id="0">
    <w:p w:rsidR="00E73A5C" w:rsidRDefault="00E73A5C" w:rsidP="00047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D55ED"/>
    <w:multiLevelType w:val="hybridMultilevel"/>
    <w:tmpl w:val="5C0EF9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2D96780"/>
    <w:multiLevelType w:val="hybridMultilevel"/>
    <w:tmpl w:val="EAAA1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62F1B1A"/>
    <w:multiLevelType w:val="hybridMultilevel"/>
    <w:tmpl w:val="B8646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C58"/>
    <w:rsid w:val="00027DFF"/>
    <w:rsid w:val="00047A04"/>
    <w:rsid w:val="00053C58"/>
    <w:rsid w:val="00062273"/>
    <w:rsid w:val="00073CE0"/>
    <w:rsid w:val="000C653E"/>
    <w:rsid w:val="00147042"/>
    <w:rsid w:val="001743F7"/>
    <w:rsid w:val="00203DB1"/>
    <w:rsid w:val="002A3C5B"/>
    <w:rsid w:val="00374EFE"/>
    <w:rsid w:val="004319E3"/>
    <w:rsid w:val="004E288F"/>
    <w:rsid w:val="005201B4"/>
    <w:rsid w:val="00520797"/>
    <w:rsid w:val="005E5942"/>
    <w:rsid w:val="005F0520"/>
    <w:rsid w:val="006B197E"/>
    <w:rsid w:val="00700E74"/>
    <w:rsid w:val="0072028B"/>
    <w:rsid w:val="00740143"/>
    <w:rsid w:val="00761184"/>
    <w:rsid w:val="00797CF9"/>
    <w:rsid w:val="007A5D50"/>
    <w:rsid w:val="00912420"/>
    <w:rsid w:val="00932C42"/>
    <w:rsid w:val="00945459"/>
    <w:rsid w:val="0099083A"/>
    <w:rsid w:val="00A53480"/>
    <w:rsid w:val="00AE65AA"/>
    <w:rsid w:val="00C15F62"/>
    <w:rsid w:val="00C257CC"/>
    <w:rsid w:val="00C36342"/>
    <w:rsid w:val="00C401B3"/>
    <w:rsid w:val="00D15331"/>
    <w:rsid w:val="00E25B18"/>
    <w:rsid w:val="00E73A5C"/>
    <w:rsid w:val="00FA4C0F"/>
    <w:rsid w:val="00FC3490"/>
    <w:rsid w:val="00FD68E1"/>
    <w:rsid w:val="00FE3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2D9ED8-EE30-45FF-86DD-5489AAC3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3C58"/>
    <w:pPr>
      <w:spacing w:after="0" w:line="240" w:lineRule="auto"/>
    </w:pPr>
  </w:style>
  <w:style w:type="character" w:styleId="Hyperlink">
    <w:name w:val="Hyperlink"/>
    <w:basedOn w:val="DefaultParagraphFont"/>
    <w:uiPriority w:val="99"/>
    <w:semiHidden/>
    <w:unhideWhenUsed/>
    <w:rsid w:val="000C653E"/>
    <w:rPr>
      <w:color w:val="0000FF"/>
      <w:u w:val="single"/>
    </w:rPr>
  </w:style>
  <w:style w:type="character" w:styleId="FollowedHyperlink">
    <w:name w:val="FollowedHyperlink"/>
    <w:basedOn w:val="DefaultParagraphFont"/>
    <w:uiPriority w:val="99"/>
    <w:semiHidden/>
    <w:unhideWhenUsed/>
    <w:rsid w:val="000C653E"/>
    <w:rPr>
      <w:color w:val="800080"/>
      <w:u w:val="single"/>
    </w:rPr>
  </w:style>
  <w:style w:type="paragraph" w:customStyle="1" w:styleId="font5">
    <w:name w:val="font5"/>
    <w:basedOn w:val="Normal"/>
    <w:rsid w:val="000C653E"/>
    <w:pPr>
      <w:spacing w:before="100" w:beforeAutospacing="1" w:after="100" w:afterAutospacing="1" w:line="240" w:lineRule="auto"/>
    </w:pPr>
    <w:rPr>
      <w:rFonts w:ascii="Calibri" w:eastAsia="Times New Roman" w:hAnsi="Calibri" w:cs="Times New Roman"/>
      <w:b/>
      <w:bCs/>
      <w:color w:val="000000"/>
      <w:sz w:val="14"/>
      <w:szCs w:val="14"/>
      <w:lang w:eastAsia="en-GB"/>
    </w:rPr>
  </w:style>
  <w:style w:type="paragraph" w:customStyle="1" w:styleId="xl65">
    <w:name w:val="xl65"/>
    <w:basedOn w:val="Normal"/>
    <w:rsid w:val="000C653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0C653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7">
    <w:name w:val="xl67"/>
    <w:basedOn w:val="Normal"/>
    <w:rsid w:val="000C653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4"/>
      <w:szCs w:val="14"/>
      <w:lang w:eastAsia="en-GB"/>
    </w:rPr>
  </w:style>
  <w:style w:type="paragraph" w:customStyle="1" w:styleId="xl68">
    <w:name w:val="xl68"/>
    <w:basedOn w:val="Normal"/>
    <w:rsid w:val="000C653E"/>
    <w:pPr>
      <w:spacing w:before="100" w:beforeAutospacing="1" w:after="100" w:afterAutospacing="1" w:line="240" w:lineRule="auto"/>
      <w:jc w:val="center"/>
    </w:pPr>
    <w:rPr>
      <w:rFonts w:ascii="Times New Roman" w:eastAsia="Times New Roman" w:hAnsi="Times New Roman" w:cs="Times New Roman"/>
      <w:sz w:val="14"/>
      <w:szCs w:val="14"/>
      <w:lang w:eastAsia="en-GB"/>
    </w:rPr>
  </w:style>
  <w:style w:type="paragraph" w:customStyle="1" w:styleId="xl69">
    <w:name w:val="xl69"/>
    <w:basedOn w:val="Normal"/>
    <w:rsid w:val="000C653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en-GB"/>
    </w:rPr>
  </w:style>
  <w:style w:type="paragraph" w:customStyle="1" w:styleId="xl70">
    <w:name w:val="xl70"/>
    <w:basedOn w:val="Normal"/>
    <w:rsid w:val="000C653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en-GB"/>
    </w:rPr>
  </w:style>
  <w:style w:type="paragraph" w:customStyle="1" w:styleId="xl71">
    <w:name w:val="xl71"/>
    <w:basedOn w:val="Normal"/>
    <w:rsid w:val="000C653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en-GB"/>
    </w:rPr>
  </w:style>
  <w:style w:type="paragraph" w:customStyle="1" w:styleId="xl72">
    <w:name w:val="xl72"/>
    <w:basedOn w:val="Normal"/>
    <w:rsid w:val="000C653E"/>
    <w:pPr>
      <w:spacing w:before="100" w:beforeAutospacing="1" w:after="100" w:afterAutospacing="1" w:line="240" w:lineRule="auto"/>
    </w:pPr>
    <w:rPr>
      <w:rFonts w:ascii="Times New Roman" w:eastAsia="Times New Roman" w:hAnsi="Times New Roman" w:cs="Times New Roman"/>
      <w:i/>
      <w:iCs/>
      <w:sz w:val="14"/>
      <w:szCs w:val="14"/>
      <w:lang w:eastAsia="en-GB"/>
    </w:rPr>
  </w:style>
  <w:style w:type="paragraph" w:customStyle="1" w:styleId="xl73">
    <w:name w:val="xl73"/>
    <w:basedOn w:val="Normal"/>
    <w:rsid w:val="000C653E"/>
    <w:pPr>
      <w:spacing w:before="100" w:beforeAutospacing="1" w:after="100" w:afterAutospacing="1" w:line="240" w:lineRule="auto"/>
    </w:pPr>
    <w:rPr>
      <w:rFonts w:ascii="Times New Roman" w:eastAsia="Times New Roman" w:hAnsi="Times New Roman" w:cs="Times New Roman"/>
      <w:b/>
      <w:bCs/>
      <w:i/>
      <w:iCs/>
      <w:sz w:val="14"/>
      <w:szCs w:val="14"/>
      <w:lang w:eastAsia="en-GB"/>
    </w:rPr>
  </w:style>
  <w:style w:type="paragraph" w:customStyle="1" w:styleId="xl74">
    <w:name w:val="xl74"/>
    <w:basedOn w:val="Normal"/>
    <w:rsid w:val="000C653E"/>
    <w:pPr>
      <w:pBdr>
        <w:bottom w:val="single" w:sz="4" w:space="0" w:color="auto"/>
      </w:pBdr>
      <w:spacing w:before="100" w:beforeAutospacing="1" w:after="100" w:afterAutospacing="1" w:line="240" w:lineRule="auto"/>
    </w:pPr>
    <w:rPr>
      <w:rFonts w:ascii="Times New Roman" w:eastAsia="Times New Roman" w:hAnsi="Times New Roman" w:cs="Times New Roman"/>
      <w:i/>
      <w:iCs/>
      <w:sz w:val="14"/>
      <w:szCs w:val="14"/>
      <w:lang w:eastAsia="en-GB"/>
    </w:rPr>
  </w:style>
  <w:style w:type="paragraph" w:customStyle="1" w:styleId="xl75">
    <w:name w:val="xl75"/>
    <w:basedOn w:val="Normal"/>
    <w:rsid w:val="000C653E"/>
    <w:pPr>
      <w:spacing w:before="100" w:beforeAutospacing="1" w:after="100" w:afterAutospacing="1" w:line="240" w:lineRule="auto"/>
    </w:pPr>
    <w:rPr>
      <w:rFonts w:ascii="Times New Roman" w:eastAsia="Times New Roman" w:hAnsi="Times New Roman" w:cs="Times New Roman"/>
      <w:sz w:val="14"/>
      <w:szCs w:val="14"/>
      <w:lang w:eastAsia="en-GB"/>
    </w:rPr>
  </w:style>
  <w:style w:type="paragraph" w:customStyle="1" w:styleId="xl76">
    <w:name w:val="xl76"/>
    <w:basedOn w:val="Normal"/>
    <w:rsid w:val="000C653E"/>
    <w:pPr>
      <w:pBdr>
        <w:top w:val="single" w:sz="4" w:space="0" w:color="auto"/>
      </w:pBdr>
      <w:spacing w:before="100" w:beforeAutospacing="1" w:after="100" w:afterAutospacing="1" w:line="240" w:lineRule="auto"/>
    </w:pPr>
    <w:rPr>
      <w:rFonts w:ascii="Times New Roman" w:eastAsia="Times New Roman" w:hAnsi="Times New Roman" w:cs="Times New Roman"/>
      <w:i/>
      <w:iCs/>
      <w:sz w:val="14"/>
      <w:szCs w:val="14"/>
      <w:lang w:eastAsia="en-GB"/>
    </w:rPr>
  </w:style>
  <w:style w:type="paragraph" w:customStyle="1" w:styleId="xl77">
    <w:name w:val="xl77"/>
    <w:basedOn w:val="Normal"/>
    <w:rsid w:val="000C65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74E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EFE"/>
    <w:rPr>
      <w:rFonts w:ascii="Tahoma" w:hAnsi="Tahoma" w:cs="Tahoma"/>
      <w:sz w:val="16"/>
      <w:szCs w:val="16"/>
    </w:rPr>
  </w:style>
  <w:style w:type="paragraph" w:styleId="ListParagraph">
    <w:name w:val="List Paragraph"/>
    <w:basedOn w:val="Normal"/>
    <w:uiPriority w:val="34"/>
    <w:qFormat/>
    <w:rsid w:val="001743F7"/>
    <w:pPr>
      <w:ind w:left="720"/>
      <w:contextualSpacing/>
    </w:pPr>
  </w:style>
  <w:style w:type="paragraph" w:styleId="Header">
    <w:name w:val="header"/>
    <w:basedOn w:val="Normal"/>
    <w:link w:val="HeaderChar"/>
    <w:uiPriority w:val="99"/>
    <w:unhideWhenUsed/>
    <w:rsid w:val="00047A0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47A04"/>
  </w:style>
  <w:style w:type="paragraph" w:styleId="Footer">
    <w:name w:val="footer"/>
    <w:basedOn w:val="Normal"/>
    <w:link w:val="FooterChar"/>
    <w:uiPriority w:val="99"/>
    <w:unhideWhenUsed/>
    <w:rsid w:val="00047A0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47A04"/>
  </w:style>
  <w:style w:type="character" w:styleId="LineNumber">
    <w:name w:val="line number"/>
    <w:basedOn w:val="DefaultParagraphFont"/>
    <w:uiPriority w:val="99"/>
    <w:semiHidden/>
    <w:unhideWhenUsed/>
    <w:rsid w:val="00520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40792">
      <w:bodyDiv w:val="1"/>
      <w:marLeft w:val="0"/>
      <w:marRight w:val="0"/>
      <w:marTop w:val="0"/>
      <w:marBottom w:val="0"/>
      <w:divBdr>
        <w:top w:val="none" w:sz="0" w:space="0" w:color="auto"/>
        <w:left w:val="none" w:sz="0" w:space="0" w:color="auto"/>
        <w:bottom w:val="none" w:sz="0" w:space="0" w:color="auto"/>
        <w:right w:val="none" w:sz="0" w:space="0" w:color="auto"/>
      </w:divBdr>
    </w:div>
    <w:div w:id="77292224">
      <w:bodyDiv w:val="1"/>
      <w:marLeft w:val="0"/>
      <w:marRight w:val="0"/>
      <w:marTop w:val="0"/>
      <w:marBottom w:val="0"/>
      <w:divBdr>
        <w:top w:val="none" w:sz="0" w:space="0" w:color="auto"/>
        <w:left w:val="none" w:sz="0" w:space="0" w:color="auto"/>
        <w:bottom w:val="none" w:sz="0" w:space="0" w:color="auto"/>
        <w:right w:val="none" w:sz="0" w:space="0" w:color="auto"/>
      </w:divBdr>
    </w:div>
    <w:div w:id="87118978">
      <w:bodyDiv w:val="1"/>
      <w:marLeft w:val="0"/>
      <w:marRight w:val="0"/>
      <w:marTop w:val="0"/>
      <w:marBottom w:val="0"/>
      <w:divBdr>
        <w:top w:val="none" w:sz="0" w:space="0" w:color="auto"/>
        <w:left w:val="none" w:sz="0" w:space="0" w:color="auto"/>
        <w:bottom w:val="none" w:sz="0" w:space="0" w:color="auto"/>
        <w:right w:val="none" w:sz="0" w:space="0" w:color="auto"/>
      </w:divBdr>
    </w:div>
    <w:div w:id="244412454">
      <w:bodyDiv w:val="1"/>
      <w:marLeft w:val="0"/>
      <w:marRight w:val="0"/>
      <w:marTop w:val="0"/>
      <w:marBottom w:val="0"/>
      <w:divBdr>
        <w:top w:val="none" w:sz="0" w:space="0" w:color="auto"/>
        <w:left w:val="none" w:sz="0" w:space="0" w:color="auto"/>
        <w:bottom w:val="none" w:sz="0" w:space="0" w:color="auto"/>
        <w:right w:val="none" w:sz="0" w:space="0" w:color="auto"/>
      </w:divBdr>
    </w:div>
    <w:div w:id="286739861">
      <w:bodyDiv w:val="1"/>
      <w:marLeft w:val="0"/>
      <w:marRight w:val="0"/>
      <w:marTop w:val="0"/>
      <w:marBottom w:val="0"/>
      <w:divBdr>
        <w:top w:val="none" w:sz="0" w:space="0" w:color="auto"/>
        <w:left w:val="none" w:sz="0" w:space="0" w:color="auto"/>
        <w:bottom w:val="none" w:sz="0" w:space="0" w:color="auto"/>
        <w:right w:val="none" w:sz="0" w:space="0" w:color="auto"/>
      </w:divBdr>
    </w:div>
    <w:div w:id="370031582">
      <w:bodyDiv w:val="1"/>
      <w:marLeft w:val="0"/>
      <w:marRight w:val="0"/>
      <w:marTop w:val="0"/>
      <w:marBottom w:val="0"/>
      <w:divBdr>
        <w:top w:val="none" w:sz="0" w:space="0" w:color="auto"/>
        <w:left w:val="none" w:sz="0" w:space="0" w:color="auto"/>
        <w:bottom w:val="none" w:sz="0" w:space="0" w:color="auto"/>
        <w:right w:val="none" w:sz="0" w:space="0" w:color="auto"/>
      </w:divBdr>
    </w:div>
    <w:div w:id="550851591">
      <w:bodyDiv w:val="1"/>
      <w:marLeft w:val="0"/>
      <w:marRight w:val="0"/>
      <w:marTop w:val="0"/>
      <w:marBottom w:val="0"/>
      <w:divBdr>
        <w:top w:val="none" w:sz="0" w:space="0" w:color="auto"/>
        <w:left w:val="none" w:sz="0" w:space="0" w:color="auto"/>
        <w:bottom w:val="none" w:sz="0" w:space="0" w:color="auto"/>
        <w:right w:val="none" w:sz="0" w:space="0" w:color="auto"/>
      </w:divBdr>
    </w:div>
    <w:div w:id="958872901">
      <w:bodyDiv w:val="1"/>
      <w:marLeft w:val="0"/>
      <w:marRight w:val="0"/>
      <w:marTop w:val="0"/>
      <w:marBottom w:val="0"/>
      <w:divBdr>
        <w:top w:val="none" w:sz="0" w:space="0" w:color="auto"/>
        <w:left w:val="none" w:sz="0" w:space="0" w:color="auto"/>
        <w:bottom w:val="none" w:sz="0" w:space="0" w:color="auto"/>
        <w:right w:val="none" w:sz="0" w:space="0" w:color="auto"/>
      </w:divBdr>
    </w:div>
    <w:div w:id="1213419547">
      <w:bodyDiv w:val="1"/>
      <w:marLeft w:val="0"/>
      <w:marRight w:val="0"/>
      <w:marTop w:val="0"/>
      <w:marBottom w:val="0"/>
      <w:divBdr>
        <w:top w:val="none" w:sz="0" w:space="0" w:color="auto"/>
        <w:left w:val="none" w:sz="0" w:space="0" w:color="auto"/>
        <w:bottom w:val="none" w:sz="0" w:space="0" w:color="auto"/>
        <w:right w:val="none" w:sz="0" w:space="0" w:color="auto"/>
      </w:divBdr>
    </w:div>
    <w:div w:id="1439904902">
      <w:bodyDiv w:val="1"/>
      <w:marLeft w:val="0"/>
      <w:marRight w:val="0"/>
      <w:marTop w:val="0"/>
      <w:marBottom w:val="0"/>
      <w:divBdr>
        <w:top w:val="none" w:sz="0" w:space="0" w:color="auto"/>
        <w:left w:val="none" w:sz="0" w:space="0" w:color="auto"/>
        <w:bottom w:val="none" w:sz="0" w:space="0" w:color="auto"/>
        <w:right w:val="none" w:sz="0" w:space="0" w:color="auto"/>
      </w:divBdr>
    </w:div>
    <w:div w:id="209357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52555-A06A-4D38-B405-124337F9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4424</Words>
  <Characters>25222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Marramà</dc:creator>
  <cp:lastModifiedBy>Seron, May</cp:lastModifiedBy>
  <cp:revision>2</cp:revision>
  <dcterms:created xsi:type="dcterms:W3CDTF">2019-03-04T14:37:00Z</dcterms:created>
  <dcterms:modified xsi:type="dcterms:W3CDTF">2019-03-04T14:37:00Z</dcterms:modified>
</cp:coreProperties>
</file>