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60E2" w:rsidRPr="009A4CF0" w:rsidRDefault="00A260E2" w:rsidP="009A4CF0">
      <w:pPr>
        <w:spacing w:line="480" w:lineRule="auto"/>
        <w:rPr>
          <w:rFonts w:ascii="Times New Roman" w:hAnsi="Times New Roman" w:cs="Times New Roman"/>
          <w:b/>
          <w:i/>
          <w:color w:val="222222"/>
          <w:sz w:val="24"/>
          <w:szCs w:val="24"/>
        </w:rPr>
      </w:pPr>
      <w:r w:rsidRPr="009A4CF0">
        <w:rPr>
          <w:rFonts w:ascii="Times New Roman" w:hAnsi="Times New Roman" w:cs="Times New Roman"/>
          <w:b/>
          <w:i/>
          <w:color w:val="222222"/>
          <w:sz w:val="24"/>
          <w:szCs w:val="24"/>
        </w:rPr>
        <w:t>A4: Methodology for matching ICS respondents to recoded nationality laws and procedures</w:t>
      </w:r>
    </w:p>
    <w:p w:rsidR="00A260E2" w:rsidRPr="009A4CF0" w:rsidRDefault="00D57DDE" w:rsidP="009A4CF0">
      <w:pPr>
        <w:spacing w:after="0" w:line="480" w:lineRule="auto"/>
        <w:rPr>
          <w:rFonts w:ascii="Times New Roman" w:hAnsi="Times New Roman" w:cs="Times New Roman"/>
          <w:sz w:val="24"/>
          <w:szCs w:val="24"/>
        </w:rPr>
      </w:pPr>
      <w:r>
        <w:rPr>
          <w:rFonts w:ascii="Times New Roman" w:hAnsi="Times New Roman" w:cs="Times New Roman"/>
          <w:sz w:val="24"/>
          <w:szCs w:val="24"/>
        </w:rPr>
        <w:t>The original EUDO-Citizenship</w:t>
      </w:r>
      <w:r w:rsidR="00A260E2" w:rsidRPr="009A4CF0">
        <w:rPr>
          <w:rFonts w:ascii="Times New Roman" w:hAnsi="Times New Roman" w:cs="Times New Roman"/>
          <w:sz w:val="24"/>
          <w:szCs w:val="24"/>
        </w:rPr>
        <w:t xml:space="preserve"> </w:t>
      </w:r>
      <w:proofErr w:type="spellStart"/>
      <w:r w:rsidR="00A260E2" w:rsidRPr="009A4CF0">
        <w:rPr>
          <w:rFonts w:ascii="Times New Roman" w:hAnsi="Times New Roman" w:cs="Times New Roman"/>
          <w:sz w:val="24"/>
          <w:szCs w:val="24"/>
        </w:rPr>
        <w:t>codings</w:t>
      </w:r>
      <w:proofErr w:type="spellEnd"/>
      <w:r w:rsidR="00A260E2" w:rsidRPr="009A4CF0">
        <w:rPr>
          <w:rFonts w:ascii="Times New Roman" w:hAnsi="Times New Roman" w:cs="Times New Roman"/>
          <w:sz w:val="24"/>
          <w:szCs w:val="24"/>
        </w:rPr>
        <w:t xml:space="preserve"> for both CITLAW and CITIMP were available for ordinary naturalisation.</w:t>
      </w:r>
      <w:r>
        <w:rPr>
          <w:rFonts w:ascii="Times New Roman" w:hAnsi="Times New Roman" w:cs="Times New Roman"/>
          <w:sz w:val="24"/>
          <w:szCs w:val="24"/>
        </w:rPr>
        <w:t xml:space="preserve"> Using the underlying EUDO-Citizenship reports,</w:t>
      </w:r>
      <w:r w:rsidR="00A260E2" w:rsidRPr="009A4CF0">
        <w:rPr>
          <w:rFonts w:ascii="Times New Roman" w:hAnsi="Times New Roman" w:cs="Times New Roman"/>
          <w:sz w:val="24"/>
          <w:szCs w:val="24"/>
        </w:rPr>
        <w:t xml:space="preserve"> historical CITLAW indicators and new CITIMP indicators were coded</w:t>
      </w:r>
      <w:r>
        <w:rPr>
          <w:rFonts w:ascii="Times New Roman" w:hAnsi="Times New Roman" w:cs="Times New Roman"/>
          <w:sz w:val="24"/>
          <w:szCs w:val="24"/>
        </w:rPr>
        <w:t xml:space="preserve"> for this paper for </w:t>
      </w:r>
      <w:r w:rsidRPr="009A4CF0">
        <w:rPr>
          <w:rFonts w:ascii="Times New Roman" w:hAnsi="Times New Roman" w:cs="Times New Roman"/>
          <w:sz w:val="24"/>
          <w:szCs w:val="24"/>
        </w:rPr>
        <w:t>facilitated acquisition, re</w:t>
      </w:r>
      <w:r>
        <w:rPr>
          <w:rFonts w:ascii="Times New Roman" w:hAnsi="Times New Roman" w:cs="Times New Roman"/>
          <w:sz w:val="24"/>
          <w:szCs w:val="24"/>
        </w:rPr>
        <w:t>fugees and spouses of nationals</w:t>
      </w:r>
      <w:bookmarkStart w:id="0" w:name="_GoBack"/>
      <w:bookmarkEnd w:id="0"/>
      <w:r w:rsidRPr="009A4CF0">
        <w:rPr>
          <w:rFonts w:ascii="Times New Roman" w:hAnsi="Times New Roman" w:cs="Times New Roman"/>
          <w:sz w:val="24"/>
          <w:szCs w:val="24"/>
        </w:rPr>
        <w:t xml:space="preserve"> </w:t>
      </w:r>
      <w:r>
        <w:rPr>
          <w:rFonts w:ascii="Times New Roman" w:hAnsi="Times New Roman" w:cs="Times New Roman"/>
          <w:sz w:val="24"/>
          <w:szCs w:val="24"/>
        </w:rPr>
        <w:t>in order</w:t>
      </w:r>
      <w:r w:rsidR="00A260E2" w:rsidRPr="009A4CF0">
        <w:rPr>
          <w:rFonts w:ascii="Times New Roman" w:hAnsi="Times New Roman" w:cs="Times New Roman"/>
          <w:sz w:val="24"/>
          <w:szCs w:val="24"/>
        </w:rPr>
        <w:t xml:space="preserve"> to reflect the major differences compared to the ordinary naturalisation procedure (ANATORD). The historical CITLAW indicators were recoded for these three modes in order to reflect major changes in six major criteria: residence duration, renunciation of previous nationality, language knowledge, </w:t>
      </w:r>
      <w:proofErr w:type="gramStart"/>
      <w:r w:rsidR="00A260E2" w:rsidRPr="009A4CF0">
        <w:rPr>
          <w:rFonts w:ascii="Times New Roman" w:hAnsi="Times New Roman" w:cs="Times New Roman"/>
          <w:sz w:val="24"/>
          <w:szCs w:val="24"/>
        </w:rPr>
        <w:t>integration</w:t>
      </w:r>
      <w:proofErr w:type="gramEnd"/>
      <w:r w:rsidR="00A260E2" w:rsidRPr="009A4CF0">
        <w:rPr>
          <w:rFonts w:ascii="Times New Roman" w:hAnsi="Times New Roman" w:cs="Times New Roman"/>
          <w:sz w:val="24"/>
          <w:szCs w:val="24"/>
        </w:rPr>
        <w:t xml:space="preserve">, criminal record and economic resources. </w:t>
      </w:r>
    </w:p>
    <w:p w:rsidR="00B264B8" w:rsidRPr="009A4CF0" w:rsidRDefault="00A260E2" w:rsidP="00B264B8">
      <w:pPr>
        <w:spacing w:after="0" w:line="480" w:lineRule="auto"/>
        <w:rPr>
          <w:rFonts w:ascii="Times New Roman" w:hAnsi="Times New Roman" w:cs="Times New Roman"/>
          <w:sz w:val="24"/>
          <w:szCs w:val="24"/>
        </w:rPr>
      </w:pPr>
      <w:r w:rsidRPr="009A4CF0">
        <w:rPr>
          <w:rFonts w:ascii="Times New Roman" w:hAnsi="Times New Roman" w:cs="Times New Roman"/>
          <w:sz w:val="24"/>
          <w:szCs w:val="24"/>
        </w:rPr>
        <w:t xml:space="preserve">All ICS respondents were matched as closely as possible to their eligible mode of acquisition based on the same coding principles. </w:t>
      </w:r>
      <w:r w:rsidR="00B264B8" w:rsidRPr="009A4CF0">
        <w:rPr>
          <w:rFonts w:ascii="Times New Roman" w:hAnsi="Times New Roman" w:cs="Times New Roman"/>
          <w:sz w:val="24"/>
          <w:szCs w:val="24"/>
        </w:rPr>
        <w:t>ICS respondents were placed on the most generous applicable mode of acquisition</w:t>
      </w:r>
      <w:r w:rsidR="00B264B8">
        <w:rPr>
          <w:rFonts w:ascii="Times New Roman" w:hAnsi="Times New Roman" w:cs="Times New Roman"/>
          <w:sz w:val="24"/>
          <w:szCs w:val="24"/>
        </w:rPr>
        <w:t xml:space="preserve"> for their country at the time of the survey (2011). Respondents who could be classified in two or more groups (e.g. refugee spouses of nationals) were placed in the acquisition mode with the highest CITLAW/CITIMP average. </w:t>
      </w:r>
    </w:p>
    <w:p w:rsidR="00A260E2" w:rsidRPr="009A4CF0" w:rsidRDefault="00B264B8" w:rsidP="009A4CF0">
      <w:pPr>
        <w:spacing w:after="0" w:line="480" w:lineRule="auto"/>
        <w:rPr>
          <w:rFonts w:ascii="Times New Roman" w:hAnsi="Times New Roman" w:cs="Times New Roman"/>
          <w:sz w:val="24"/>
          <w:szCs w:val="24"/>
        </w:rPr>
      </w:pPr>
      <w:r>
        <w:rPr>
          <w:rFonts w:ascii="Times New Roman" w:hAnsi="Times New Roman" w:cs="Times New Roman"/>
          <w:sz w:val="24"/>
          <w:szCs w:val="24"/>
        </w:rPr>
        <w:t>T</w:t>
      </w:r>
      <w:r w:rsidR="00A260E2" w:rsidRPr="009A4CF0">
        <w:rPr>
          <w:rFonts w:ascii="Times New Roman" w:hAnsi="Times New Roman" w:cs="Times New Roman"/>
          <w:sz w:val="24"/>
          <w:szCs w:val="24"/>
        </w:rPr>
        <w:t xml:space="preserve">he legal and procedural facilitations for refugees were matched to all humanitarian migrants (436 or 7% of ICS six-country sample) based on their self-reported first type of permit. This refugee category is slightly over-inclusive as beneficiaries of subsidiary protection and other non-harmonised protection statuses who do not enjoy the same facilitated process as refugees (see Huddleston 2013). </w:t>
      </w:r>
      <w:r>
        <w:rPr>
          <w:rFonts w:ascii="Times New Roman" w:hAnsi="Times New Roman" w:cs="Times New Roman"/>
          <w:sz w:val="24"/>
          <w:szCs w:val="24"/>
        </w:rPr>
        <w:t xml:space="preserve">The </w:t>
      </w:r>
      <w:r w:rsidR="00A260E2" w:rsidRPr="009A4CF0">
        <w:rPr>
          <w:rFonts w:ascii="Times New Roman" w:hAnsi="Times New Roman" w:cs="Times New Roman"/>
          <w:sz w:val="24"/>
          <w:szCs w:val="24"/>
        </w:rPr>
        <w:t xml:space="preserve">spousal nationality </w:t>
      </w:r>
      <w:r>
        <w:rPr>
          <w:rFonts w:ascii="Times New Roman" w:hAnsi="Times New Roman" w:cs="Times New Roman"/>
          <w:sz w:val="24"/>
          <w:szCs w:val="24"/>
        </w:rPr>
        <w:t>acquisition mode was matched</w:t>
      </w:r>
      <w:r w:rsidRPr="009A4CF0">
        <w:rPr>
          <w:rFonts w:ascii="Times New Roman" w:hAnsi="Times New Roman" w:cs="Times New Roman"/>
          <w:sz w:val="24"/>
          <w:szCs w:val="24"/>
        </w:rPr>
        <w:t xml:space="preserve"> </w:t>
      </w:r>
      <w:r w:rsidR="00A260E2" w:rsidRPr="009A4CF0">
        <w:rPr>
          <w:rFonts w:ascii="Times New Roman" w:hAnsi="Times New Roman" w:cs="Times New Roman"/>
          <w:sz w:val="24"/>
          <w:szCs w:val="24"/>
        </w:rPr>
        <w:t xml:space="preserve">to respondents currently married to a national of the country. This spousal category is slightly under-inclusive as ICS does not capture former spouses of nationals, who may have naturalised thanks to their spouse and then undergone divorce/separation/widowhood. </w:t>
      </w:r>
      <w:r>
        <w:rPr>
          <w:rFonts w:ascii="Times New Roman" w:hAnsi="Times New Roman" w:cs="Times New Roman"/>
          <w:sz w:val="24"/>
          <w:szCs w:val="24"/>
        </w:rPr>
        <w:t>F</w:t>
      </w:r>
      <w:r w:rsidR="00A260E2" w:rsidRPr="009A4CF0">
        <w:rPr>
          <w:rFonts w:ascii="Times New Roman" w:hAnsi="Times New Roman" w:cs="Times New Roman"/>
          <w:sz w:val="24"/>
          <w:szCs w:val="24"/>
        </w:rPr>
        <w:t>acilitated nationality naturalisation</w:t>
      </w:r>
      <w:r>
        <w:rPr>
          <w:rFonts w:ascii="Times New Roman" w:hAnsi="Times New Roman" w:cs="Times New Roman"/>
          <w:sz w:val="24"/>
          <w:szCs w:val="24"/>
        </w:rPr>
        <w:t xml:space="preserve"> was matched</w:t>
      </w:r>
      <w:r w:rsidR="00A260E2" w:rsidRPr="009A4CF0">
        <w:rPr>
          <w:rFonts w:ascii="Times New Roman" w:hAnsi="Times New Roman" w:cs="Times New Roman"/>
          <w:sz w:val="24"/>
          <w:szCs w:val="24"/>
        </w:rPr>
        <w:t xml:space="preserve"> to native-speakers in France, Hungary, and Portugal, citizens of countries with historical ties to Spain, and respondents in Belgium who had 7+ </w:t>
      </w:r>
      <w:r w:rsidR="00A260E2" w:rsidRPr="009A4CF0">
        <w:rPr>
          <w:rFonts w:ascii="Times New Roman" w:hAnsi="Times New Roman" w:cs="Times New Roman"/>
          <w:sz w:val="24"/>
          <w:szCs w:val="24"/>
        </w:rPr>
        <w:lastRenderedPageBreak/>
        <w:t xml:space="preserve">years’ residence and not applied for nationality before 2000. After trying to match ICS respondents to these three categories, all others were matched to the ordinary naturalisation law and procedure, as ICS does not contain other information on respondents’ eligibility or family situation. </w:t>
      </w:r>
    </w:p>
    <w:p w:rsidR="00D422EF" w:rsidRPr="009A4CF0" w:rsidRDefault="00A260E2" w:rsidP="009A4CF0">
      <w:pPr>
        <w:spacing w:line="480" w:lineRule="auto"/>
        <w:rPr>
          <w:rFonts w:ascii="Times New Roman" w:hAnsi="Times New Roman" w:cs="Times New Roman"/>
          <w:sz w:val="24"/>
          <w:szCs w:val="24"/>
        </w:rPr>
      </w:pPr>
      <w:r w:rsidRPr="009A4CF0">
        <w:rPr>
          <w:rFonts w:ascii="Times New Roman" w:hAnsi="Times New Roman" w:cs="Times New Roman"/>
          <w:sz w:val="24"/>
          <w:szCs w:val="24"/>
        </w:rPr>
        <w:t xml:space="preserve">The de jure residence duration requirement is used to match immigrants to the nationality law and procedure applicable to their eligibility group in their year of arrival. For example, all refugees who arrived in Belgium in 2000 were coded with the policies for refugees in 2002 based on the two-year-residence requirement, while refugees arriving in 1995 were coded with the policies in 1998 based on the then three-year-residence requirement. Newcomers were coded with the situation at the time of the survey. This </w:t>
      </w:r>
      <w:r w:rsidRPr="009A4CF0">
        <w:rPr>
          <w:rFonts w:ascii="Times New Roman" w:hAnsi="Times New Roman" w:cs="Times New Roman"/>
          <w:i/>
          <w:sz w:val="24"/>
          <w:szCs w:val="24"/>
        </w:rPr>
        <w:t>de jure</w:t>
      </w:r>
      <w:r w:rsidRPr="009A4CF0">
        <w:rPr>
          <w:rFonts w:ascii="Times New Roman" w:hAnsi="Times New Roman" w:cs="Times New Roman"/>
          <w:sz w:val="24"/>
          <w:szCs w:val="24"/>
        </w:rPr>
        <w:t xml:space="preserve"> timing is the best possible unified coding. Coding all based on policies at the time of the survey (2011) would overlook the many small openings and restrictions over time and also create problems of multicollinearity.</w:t>
      </w:r>
      <w:r w:rsidRPr="009A4CF0">
        <w:rPr>
          <w:rStyle w:val="FootnoteReference"/>
          <w:rFonts w:ascii="Times New Roman" w:hAnsi="Times New Roman" w:cs="Times New Roman"/>
          <w:sz w:val="24"/>
          <w:szCs w:val="24"/>
        </w:rPr>
        <w:footnoteReference w:id="1"/>
      </w:r>
      <w:r w:rsidRPr="009A4CF0">
        <w:rPr>
          <w:rFonts w:ascii="Times New Roman" w:hAnsi="Times New Roman" w:cs="Times New Roman"/>
          <w:sz w:val="24"/>
          <w:szCs w:val="24"/>
        </w:rPr>
        <w:t xml:space="preserve"> Coding all based on a common residence duration (i.e. ten years) overlooks the range of requirements for ICS respondents from 11 years’ residence to none at all. The ten-year-coding were used as a robustness check of this </w:t>
      </w:r>
      <w:proofErr w:type="spellStart"/>
      <w:r w:rsidRPr="009A4CF0">
        <w:rPr>
          <w:rFonts w:ascii="Times New Roman" w:hAnsi="Times New Roman" w:cs="Times New Roman"/>
          <w:sz w:val="24"/>
          <w:szCs w:val="24"/>
        </w:rPr>
        <w:t>operationalisation</w:t>
      </w:r>
      <w:proofErr w:type="spellEnd"/>
      <w:r w:rsidRPr="009A4CF0">
        <w:rPr>
          <w:rFonts w:ascii="Times New Roman" w:hAnsi="Times New Roman" w:cs="Times New Roman"/>
          <w:sz w:val="24"/>
          <w:szCs w:val="24"/>
        </w:rPr>
        <w:t xml:space="preserve"> of eligibility.</w:t>
      </w:r>
      <w:r w:rsidRPr="009A4CF0">
        <w:rPr>
          <w:rStyle w:val="FootnoteReference"/>
          <w:rFonts w:ascii="Times New Roman" w:hAnsi="Times New Roman" w:cs="Times New Roman"/>
          <w:sz w:val="24"/>
          <w:szCs w:val="24"/>
        </w:rPr>
        <w:footnoteReference w:id="2"/>
      </w:r>
      <w:r w:rsidRPr="009A4CF0">
        <w:rPr>
          <w:rFonts w:ascii="Times New Roman" w:hAnsi="Times New Roman" w:cs="Times New Roman"/>
          <w:sz w:val="24"/>
          <w:szCs w:val="24"/>
        </w:rPr>
        <w:t xml:space="preserve"> The following charts give an overview the countries’ residence requirements, CITLAW and CITIMP scores for the four nationality eligibility groups over time based on the situation in the year of their arrival.</w:t>
      </w:r>
    </w:p>
    <w:sectPr w:rsidR="00D422EF" w:rsidRPr="009A4CF0" w:rsidSect="00D53A59">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5C2C" w:rsidRDefault="004D5C2C" w:rsidP="00A260E2">
      <w:pPr>
        <w:spacing w:after="0" w:line="240" w:lineRule="auto"/>
      </w:pPr>
      <w:r>
        <w:separator/>
      </w:r>
    </w:p>
  </w:endnote>
  <w:endnote w:type="continuationSeparator" w:id="0">
    <w:p w:rsidR="004D5C2C" w:rsidRDefault="004D5C2C" w:rsidP="00A260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5C2C" w:rsidRDefault="004D5C2C" w:rsidP="00A260E2">
      <w:pPr>
        <w:spacing w:after="0" w:line="240" w:lineRule="auto"/>
      </w:pPr>
      <w:r>
        <w:separator/>
      </w:r>
    </w:p>
  </w:footnote>
  <w:footnote w:type="continuationSeparator" w:id="0">
    <w:p w:rsidR="004D5C2C" w:rsidRDefault="004D5C2C" w:rsidP="00A260E2">
      <w:pPr>
        <w:spacing w:after="0" w:line="240" w:lineRule="auto"/>
      </w:pPr>
      <w:r>
        <w:continuationSeparator/>
      </w:r>
    </w:p>
  </w:footnote>
  <w:footnote w:id="1">
    <w:p w:rsidR="00A260E2" w:rsidRPr="000C5FA6" w:rsidRDefault="00A260E2" w:rsidP="00A260E2">
      <w:pPr>
        <w:spacing w:after="0" w:line="240" w:lineRule="auto"/>
        <w:rPr>
          <w:sz w:val="18"/>
          <w:szCs w:val="18"/>
        </w:rPr>
      </w:pPr>
      <w:r>
        <w:rPr>
          <w:rStyle w:val="FootnoteReference"/>
        </w:rPr>
        <w:footnoteRef/>
      </w:r>
      <w:r>
        <w:t xml:space="preserve"> </w:t>
      </w:r>
      <w:r w:rsidRPr="000C5FA6">
        <w:rPr>
          <w:rFonts w:cs="Arial"/>
          <w:sz w:val="18"/>
          <w:szCs w:val="18"/>
          <w:shd w:val="clear" w:color="auto" w:fill="FFFFFF"/>
        </w:rPr>
        <w:t xml:space="preserve">Coding respondents based on policies at the time of the survey was not sufficient because little variation exists in the laws or procedure today between eligible groups in certain countries (i.e. the difference between countries is much greater than the difference between groups). As a result, a respondent’s policy score too strongly predicts their country of residence. </w:t>
      </w:r>
    </w:p>
  </w:footnote>
  <w:footnote w:id="2">
    <w:p w:rsidR="00A260E2" w:rsidRPr="000C5FA6" w:rsidRDefault="00A260E2" w:rsidP="00A260E2">
      <w:pPr>
        <w:spacing w:after="0" w:line="240" w:lineRule="auto"/>
        <w:rPr>
          <w:sz w:val="18"/>
          <w:szCs w:val="18"/>
        </w:rPr>
      </w:pPr>
      <w:r w:rsidRPr="000C5FA6">
        <w:rPr>
          <w:rStyle w:val="FootnoteReference"/>
          <w:sz w:val="18"/>
          <w:szCs w:val="18"/>
        </w:rPr>
        <w:footnoteRef/>
      </w:r>
      <w:r w:rsidRPr="000C5FA6">
        <w:rPr>
          <w:sz w:val="18"/>
          <w:szCs w:val="18"/>
        </w:rPr>
        <w:t xml:space="preserve"> This robustness check using the 10-year-point was chosen to capture immigrants’ eligibility at the time when the average immigrant is likely to decide to settle permanently and apply for </w:t>
      </w:r>
      <w:r>
        <w:rPr>
          <w:sz w:val="18"/>
          <w:szCs w:val="18"/>
        </w:rPr>
        <w:t>nationality</w:t>
      </w:r>
      <w:r w:rsidRPr="000C5FA6">
        <w:rPr>
          <w:sz w:val="18"/>
          <w:szCs w:val="18"/>
        </w:rPr>
        <w:t xml:space="preserve">. The average duration between arrival and </w:t>
      </w:r>
      <w:r>
        <w:rPr>
          <w:sz w:val="18"/>
          <w:szCs w:val="18"/>
        </w:rPr>
        <w:t>nationality</w:t>
      </w:r>
      <w:r w:rsidRPr="000C5FA6">
        <w:rPr>
          <w:sz w:val="18"/>
          <w:szCs w:val="18"/>
        </w:rPr>
        <w:t xml:space="preserve"> application in the ICS sample was around </w:t>
      </w:r>
      <w:r>
        <w:rPr>
          <w:sz w:val="18"/>
          <w:szCs w:val="18"/>
        </w:rPr>
        <w:t>ten</w:t>
      </w:r>
      <w:r w:rsidRPr="000C5FA6">
        <w:rPr>
          <w:sz w:val="18"/>
          <w:szCs w:val="18"/>
        </w:rPr>
        <w:t xml:space="preserve"> years. Similarly, half of the foreign-born in EU countries </w:t>
      </w:r>
      <w:r>
        <w:rPr>
          <w:sz w:val="18"/>
          <w:szCs w:val="18"/>
        </w:rPr>
        <w:t>acquire nationality</w:t>
      </w:r>
      <w:r w:rsidRPr="000C5FA6">
        <w:rPr>
          <w:sz w:val="18"/>
          <w:szCs w:val="18"/>
        </w:rPr>
        <w:t xml:space="preserve"> after 0-9 years, according to the EU LFS 2014 ad hoc module. This quasi-cohort analysis also lessons the risk of multicollinearity due to strong correlations between </w:t>
      </w:r>
      <w:r>
        <w:rPr>
          <w:sz w:val="18"/>
          <w:szCs w:val="18"/>
        </w:rPr>
        <w:t>nationality</w:t>
      </w:r>
      <w:r w:rsidRPr="000C5FA6">
        <w:rPr>
          <w:sz w:val="18"/>
          <w:szCs w:val="18"/>
        </w:rPr>
        <w:t xml:space="preserve"> laws and procedures. </w:t>
      </w:r>
    </w:p>
    <w:p w:rsidR="00A260E2" w:rsidRDefault="00A260E2" w:rsidP="00A260E2">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0E2"/>
    <w:rsid w:val="0031072F"/>
    <w:rsid w:val="004D5C2C"/>
    <w:rsid w:val="005D56BE"/>
    <w:rsid w:val="006D3B70"/>
    <w:rsid w:val="007E5407"/>
    <w:rsid w:val="009A4CF0"/>
    <w:rsid w:val="009B150A"/>
    <w:rsid w:val="00A260E2"/>
    <w:rsid w:val="00B264B8"/>
    <w:rsid w:val="00D422EF"/>
    <w:rsid w:val="00D439DA"/>
    <w:rsid w:val="00D53A59"/>
    <w:rsid w:val="00D57DDE"/>
    <w:rsid w:val="00DE4C79"/>
    <w:rsid w:val="00F62B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934ED7-5E2B-42C7-A0B5-C0169A54E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60E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260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260E2"/>
    <w:rPr>
      <w:sz w:val="20"/>
      <w:szCs w:val="20"/>
    </w:rPr>
  </w:style>
  <w:style w:type="character" w:styleId="FootnoteReference">
    <w:name w:val="footnote reference"/>
    <w:basedOn w:val="DefaultParagraphFont"/>
    <w:uiPriority w:val="99"/>
    <w:semiHidden/>
    <w:unhideWhenUsed/>
    <w:rsid w:val="00A260E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537</Words>
  <Characters>3061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thuddleston</dc:creator>
  <cp:keywords/>
  <dc:description/>
  <cp:lastModifiedBy>Thomas Huddleston</cp:lastModifiedBy>
  <cp:revision>5</cp:revision>
  <dcterms:created xsi:type="dcterms:W3CDTF">2017-10-20T13:01:00Z</dcterms:created>
  <dcterms:modified xsi:type="dcterms:W3CDTF">2018-05-31T11:39:00Z</dcterms:modified>
</cp:coreProperties>
</file>