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BC0A7">
      <w:pPr>
        <w:pStyle w:val="5"/>
        <w:ind w:left="0" w:leftChars="0" w:firstLine="0" w:firstLineChars="0"/>
        <w:rPr>
          <w:rFonts w:hint="default" w:ascii="Times New Roman" w:hAnsi="Times New Roman" w:cs="Times New Roman"/>
          <w:szCs w:val="24"/>
        </w:rPr>
      </w:pPr>
      <w:r>
        <w:rPr>
          <w:rFonts w:hint="default" w:ascii="Times New Roman" w:hAnsi="Times New Roman" w:cs="Times New Roman"/>
          <w:szCs w:val="24"/>
        </w:rPr>
        <w:t xml:space="preserve">Appendix </w:t>
      </w:r>
    </w:p>
    <w:p w14:paraId="0FEA14DD">
      <w:pPr>
        <w:pStyle w:val="5"/>
        <w:ind w:left="0" w:leftChars="0" w:firstLine="0" w:firstLineChars="0"/>
        <w:rPr>
          <w:rFonts w:hint="default" w:ascii="Times New Roman" w:hAnsi="Times New Roman" w:cs="Times New Roman"/>
          <w:szCs w:val="24"/>
        </w:rPr>
      </w:pPr>
    </w:p>
    <w:p w14:paraId="4B24BE92">
      <w:pPr>
        <w:pStyle w:val="8"/>
        <w:keepNext w:val="0"/>
        <w:keepLines w:val="0"/>
        <w:pageBreakBefore w:val="0"/>
        <w:kinsoku/>
        <w:wordWrap/>
        <w:overflowPunct/>
        <w:topLinePunct w:val="0"/>
        <w:autoSpaceDE/>
        <w:autoSpaceDN/>
        <w:bidi w:val="0"/>
        <w:adjustRightInd w:val="0"/>
        <w:snapToGrid w:val="0"/>
        <w:spacing w:beforeAutospacing="0" w:afterAutospacing="0"/>
        <w:ind w:left="0" w:leftChars="0" w:firstLine="0" w:firstLineChars="0"/>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b/>
          <w:bCs w:val="0"/>
          <w:sz w:val="21"/>
          <w:szCs w:val="21"/>
        </w:rPr>
        <w:t xml:space="preserve">Table </w:t>
      </w:r>
      <w:r>
        <w:rPr>
          <w:rFonts w:hint="eastAsia" w:ascii="Times New Roman" w:hAnsi="Times New Roman" w:eastAsia="宋体" w:cs="Times New Roman"/>
          <w:b/>
          <w:bCs w:val="0"/>
          <w:sz w:val="21"/>
          <w:szCs w:val="21"/>
          <w:lang w:val="en-US" w:eastAsia="zh-CN"/>
        </w:rPr>
        <w:t>A</w:t>
      </w:r>
      <w:r>
        <w:rPr>
          <w:rFonts w:hint="default" w:ascii="Times New Roman" w:hAnsi="Times New Roman" w:cs="Times New Roman"/>
          <w:b/>
          <w:bCs w:val="0"/>
          <w:sz w:val="21"/>
          <w:szCs w:val="21"/>
        </w:rPr>
        <w:t>. Descriptive statistics for media text samples</w:t>
      </w:r>
      <w:r>
        <w:rPr>
          <w:rFonts w:hint="eastAsia" w:ascii="Times New Roman" w:hAnsi="Times New Roman" w:eastAsia="宋体" w:cs="Times New Roman"/>
          <w:b/>
          <w:bCs w:val="0"/>
          <w:sz w:val="21"/>
          <w:szCs w:val="21"/>
          <w:lang w:val="en-US" w:eastAsia="zh-CN"/>
        </w:rPr>
        <w:t>*</w:t>
      </w:r>
    </w:p>
    <w:tbl>
      <w:tblPr>
        <w:tblStyle w:val="2"/>
        <w:tblW w:w="8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078"/>
        <w:gridCol w:w="2904"/>
        <w:gridCol w:w="2264"/>
        <w:gridCol w:w="1296"/>
      </w:tblGrid>
      <w:tr w14:paraId="2EE4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2078" w:type="dxa"/>
            <w:tcBorders>
              <w:top w:val="single" w:color="auto" w:sz="12" w:space="0"/>
              <w:left w:val="nil"/>
              <w:bottom w:val="single" w:color="auto" w:sz="4" w:space="0"/>
              <w:right w:val="nil"/>
            </w:tcBorders>
            <w:tcMar>
              <w:top w:w="60" w:type="dxa"/>
              <w:left w:w="120" w:type="dxa"/>
              <w:bottom w:w="30" w:type="dxa"/>
              <w:right w:w="120" w:type="dxa"/>
            </w:tcMar>
            <w:vAlign w:val="center"/>
          </w:tcPr>
          <w:p w14:paraId="79D54B47">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b/>
                <w:sz w:val="21"/>
                <w:szCs w:val="21"/>
              </w:rPr>
            </w:pPr>
            <w:r>
              <w:rPr>
                <w:rFonts w:hint="default" w:ascii="Times New Roman" w:hAnsi="Times New Roman" w:eastAsia="等线" w:cs="Times New Roman"/>
                <w:b/>
                <w:bCs/>
                <w:sz w:val="21"/>
                <w:szCs w:val="21"/>
              </w:rPr>
              <w:t>Media</w:t>
            </w:r>
          </w:p>
        </w:tc>
        <w:tc>
          <w:tcPr>
            <w:tcW w:w="2904" w:type="dxa"/>
            <w:tcBorders>
              <w:top w:val="single" w:color="auto" w:sz="12" w:space="0"/>
              <w:left w:val="nil"/>
              <w:bottom w:val="single" w:color="auto" w:sz="4" w:space="0"/>
              <w:right w:val="nil"/>
            </w:tcBorders>
            <w:tcMar>
              <w:top w:w="60" w:type="dxa"/>
              <w:left w:w="120" w:type="dxa"/>
              <w:bottom w:w="30" w:type="dxa"/>
              <w:right w:w="120" w:type="dxa"/>
            </w:tcMar>
            <w:vAlign w:val="center"/>
          </w:tcPr>
          <w:p w14:paraId="0247785E">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b/>
                <w:sz w:val="21"/>
                <w:szCs w:val="21"/>
              </w:rPr>
            </w:pPr>
            <w:r>
              <w:rPr>
                <w:rFonts w:hint="default" w:ascii="Times New Roman" w:hAnsi="Times New Roman" w:eastAsia="等线" w:cs="Times New Roman"/>
                <w:b/>
                <w:bCs/>
                <w:sz w:val="21"/>
                <w:szCs w:val="21"/>
              </w:rPr>
              <w:t>Political Stance/Tendency</w:t>
            </w:r>
          </w:p>
        </w:tc>
        <w:tc>
          <w:tcPr>
            <w:tcW w:w="2264" w:type="dxa"/>
            <w:tcBorders>
              <w:top w:val="single" w:color="auto" w:sz="12" w:space="0"/>
              <w:left w:val="nil"/>
              <w:bottom w:val="single" w:color="auto" w:sz="4" w:space="0"/>
              <w:right w:val="nil"/>
            </w:tcBorders>
            <w:tcMar>
              <w:top w:w="60" w:type="dxa"/>
              <w:left w:w="120" w:type="dxa"/>
              <w:bottom w:w="30" w:type="dxa"/>
              <w:right w:w="120" w:type="dxa"/>
            </w:tcMar>
            <w:vAlign w:val="center"/>
          </w:tcPr>
          <w:p w14:paraId="71A36CED">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b/>
                <w:sz w:val="21"/>
                <w:szCs w:val="21"/>
              </w:rPr>
            </w:pPr>
            <w:r>
              <w:rPr>
                <w:rFonts w:hint="default" w:ascii="Times New Roman" w:hAnsi="Times New Roman" w:eastAsia="等线" w:cs="Times New Roman"/>
                <w:b/>
                <w:bCs/>
                <w:sz w:val="21"/>
                <w:szCs w:val="21"/>
              </w:rPr>
              <w:t>Article Type</w:t>
            </w:r>
          </w:p>
        </w:tc>
        <w:tc>
          <w:tcPr>
            <w:tcW w:w="1296" w:type="dxa"/>
            <w:tcBorders>
              <w:top w:val="single" w:color="auto" w:sz="12" w:space="0"/>
              <w:left w:val="nil"/>
              <w:bottom w:val="single" w:color="auto" w:sz="4" w:space="0"/>
              <w:right w:val="nil"/>
            </w:tcBorders>
            <w:tcMar>
              <w:top w:w="60" w:type="dxa"/>
              <w:left w:w="120" w:type="dxa"/>
              <w:bottom w:w="30" w:type="dxa"/>
              <w:right w:w="120" w:type="dxa"/>
            </w:tcMar>
            <w:vAlign w:val="center"/>
          </w:tcPr>
          <w:p w14:paraId="4B6C5CB4">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b/>
                <w:sz w:val="21"/>
                <w:szCs w:val="21"/>
              </w:rPr>
            </w:pPr>
            <w:r>
              <w:rPr>
                <w:rFonts w:hint="default" w:ascii="Times New Roman" w:hAnsi="Times New Roman" w:eastAsia="等线" w:cs="Times New Roman"/>
                <w:b/>
                <w:bCs/>
                <w:sz w:val="21"/>
                <w:szCs w:val="21"/>
              </w:rPr>
              <w:t>Sample Quantity</w:t>
            </w:r>
          </w:p>
        </w:tc>
      </w:tr>
      <w:tr w14:paraId="39AE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single" w:color="auto" w:sz="4" w:space="0"/>
              <w:left w:val="nil"/>
              <w:bottom w:val="nil"/>
              <w:right w:val="nil"/>
            </w:tcBorders>
            <w:tcMar>
              <w:top w:w="60" w:type="dxa"/>
              <w:left w:w="120" w:type="dxa"/>
              <w:bottom w:w="30" w:type="dxa"/>
              <w:right w:w="120" w:type="dxa"/>
            </w:tcMar>
            <w:vAlign w:val="center"/>
          </w:tcPr>
          <w:p w14:paraId="7B46925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 Figaro</w:t>
            </w:r>
          </w:p>
        </w:tc>
        <w:tc>
          <w:tcPr>
            <w:tcW w:w="2904" w:type="dxa"/>
            <w:tcBorders>
              <w:top w:val="single" w:color="auto" w:sz="4" w:space="0"/>
              <w:left w:val="nil"/>
              <w:bottom w:val="nil"/>
              <w:right w:val="nil"/>
            </w:tcBorders>
            <w:tcMar>
              <w:top w:w="60" w:type="dxa"/>
              <w:left w:w="120" w:type="dxa"/>
              <w:bottom w:w="30" w:type="dxa"/>
              <w:right w:w="120" w:type="dxa"/>
            </w:tcMar>
            <w:vAlign w:val="center"/>
          </w:tcPr>
          <w:p w14:paraId="361D8D74">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Right-wing conservative</w:t>
            </w:r>
          </w:p>
        </w:tc>
        <w:tc>
          <w:tcPr>
            <w:tcW w:w="2264" w:type="dxa"/>
            <w:tcBorders>
              <w:top w:val="single" w:color="auto" w:sz="4" w:space="0"/>
              <w:left w:val="nil"/>
              <w:bottom w:val="nil"/>
              <w:right w:val="nil"/>
            </w:tcBorders>
            <w:tcMar>
              <w:top w:w="60" w:type="dxa"/>
              <w:left w:w="120" w:type="dxa"/>
              <w:bottom w:w="30" w:type="dxa"/>
              <w:right w:w="120" w:type="dxa"/>
            </w:tcMar>
            <w:vAlign w:val="center"/>
          </w:tcPr>
          <w:p w14:paraId="799B7925">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Commentary/Editorial/Report</w:t>
            </w:r>
          </w:p>
        </w:tc>
        <w:tc>
          <w:tcPr>
            <w:tcW w:w="1296" w:type="dxa"/>
            <w:tcBorders>
              <w:top w:val="single" w:color="auto" w:sz="4" w:space="0"/>
              <w:left w:val="nil"/>
              <w:bottom w:val="nil"/>
              <w:right w:val="nil"/>
            </w:tcBorders>
            <w:tcMar>
              <w:top w:w="60" w:type="dxa"/>
              <w:left w:w="120" w:type="dxa"/>
              <w:bottom w:w="30" w:type="dxa"/>
              <w:right w:w="120" w:type="dxa"/>
            </w:tcMar>
            <w:vAlign w:val="center"/>
          </w:tcPr>
          <w:p w14:paraId="7AD6EA4A">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w:t>
            </w:r>
            <w:r>
              <w:rPr>
                <w:rFonts w:hint="default" w:ascii="Times New Roman" w:hAnsi="Times New Roman" w:eastAsia="等线" w:cs="Times New Roman"/>
                <w:sz w:val="21"/>
                <w:szCs w:val="21"/>
                <w:lang w:eastAsia="zh-CN"/>
              </w:rPr>
              <w:t>9</w:t>
            </w:r>
            <w:r>
              <w:rPr>
                <w:rFonts w:hint="default" w:ascii="Times New Roman" w:hAnsi="Times New Roman" w:eastAsia="等线" w:cs="Times New Roman"/>
                <w:sz w:val="21"/>
                <w:szCs w:val="21"/>
              </w:rPr>
              <w:t xml:space="preserve"> articles</w:t>
            </w:r>
          </w:p>
        </w:tc>
      </w:tr>
      <w:tr w14:paraId="7B5F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6CC813FD">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Libération</w:t>
            </w:r>
          </w:p>
        </w:tc>
        <w:tc>
          <w:tcPr>
            <w:tcW w:w="2904" w:type="dxa"/>
            <w:tcBorders>
              <w:top w:val="nil"/>
              <w:left w:val="nil"/>
              <w:bottom w:val="nil"/>
              <w:right w:val="nil"/>
            </w:tcBorders>
            <w:tcMar>
              <w:top w:w="60" w:type="dxa"/>
              <w:left w:w="120" w:type="dxa"/>
              <w:bottom w:w="30" w:type="dxa"/>
              <w:right w:w="120" w:type="dxa"/>
            </w:tcMar>
            <w:vAlign w:val="center"/>
          </w:tcPr>
          <w:p w14:paraId="4B71FE6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Center-left</w:t>
            </w:r>
          </w:p>
        </w:tc>
        <w:tc>
          <w:tcPr>
            <w:tcW w:w="2264" w:type="dxa"/>
            <w:tcBorders>
              <w:top w:val="nil"/>
              <w:left w:val="nil"/>
              <w:bottom w:val="nil"/>
              <w:right w:val="nil"/>
            </w:tcBorders>
            <w:tcMar>
              <w:top w:w="60" w:type="dxa"/>
              <w:left w:w="120" w:type="dxa"/>
              <w:bottom w:w="30" w:type="dxa"/>
              <w:right w:w="120" w:type="dxa"/>
            </w:tcMar>
            <w:vAlign w:val="center"/>
          </w:tcPr>
          <w:p w14:paraId="69CE55C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Commentary/Report</w:t>
            </w:r>
          </w:p>
        </w:tc>
        <w:tc>
          <w:tcPr>
            <w:tcW w:w="1296" w:type="dxa"/>
            <w:tcBorders>
              <w:top w:val="nil"/>
              <w:left w:val="nil"/>
              <w:bottom w:val="nil"/>
              <w:right w:val="nil"/>
            </w:tcBorders>
            <w:tcMar>
              <w:top w:w="60" w:type="dxa"/>
              <w:left w:w="120" w:type="dxa"/>
              <w:bottom w:w="30" w:type="dxa"/>
              <w:right w:w="120" w:type="dxa"/>
            </w:tcMar>
            <w:vAlign w:val="center"/>
          </w:tcPr>
          <w:p w14:paraId="5027F152">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w:t>
            </w:r>
            <w:r>
              <w:rPr>
                <w:rFonts w:hint="default" w:ascii="Times New Roman" w:hAnsi="Times New Roman" w:eastAsia="等线" w:cs="Times New Roman"/>
                <w:sz w:val="21"/>
                <w:szCs w:val="21"/>
                <w:lang w:eastAsia="zh-CN"/>
              </w:rPr>
              <w:t>5</w:t>
            </w:r>
            <w:r>
              <w:rPr>
                <w:rFonts w:hint="default" w:ascii="Times New Roman" w:hAnsi="Times New Roman" w:eastAsia="等线" w:cs="Times New Roman"/>
                <w:sz w:val="21"/>
                <w:szCs w:val="21"/>
              </w:rPr>
              <w:t xml:space="preserve"> articles</w:t>
            </w:r>
          </w:p>
        </w:tc>
      </w:tr>
      <w:tr w14:paraId="27D7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128A7EDC">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L'Humanité</w:t>
            </w:r>
          </w:p>
        </w:tc>
        <w:tc>
          <w:tcPr>
            <w:tcW w:w="2904" w:type="dxa"/>
            <w:tcBorders>
              <w:top w:val="nil"/>
              <w:left w:val="nil"/>
              <w:bottom w:val="nil"/>
              <w:right w:val="nil"/>
            </w:tcBorders>
            <w:tcMar>
              <w:top w:w="60" w:type="dxa"/>
              <w:left w:w="120" w:type="dxa"/>
              <w:bottom w:w="30" w:type="dxa"/>
              <w:right w:w="120" w:type="dxa"/>
            </w:tcMar>
            <w:vAlign w:val="center"/>
          </w:tcPr>
          <w:p w14:paraId="2CD3CF8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Left-wing</w:t>
            </w:r>
          </w:p>
        </w:tc>
        <w:tc>
          <w:tcPr>
            <w:tcW w:w="2264" w:type="dxa"/>
            <w:tcBorders>
              <w:top w:val="nil"/>
              <w:left w:val="nil"/>
              <w:bottom w:val="nil"/>
              <w:right w:val="nil"/>
            </w:tcBorders>
            <w:tcMar>
              <w:top w:w="60" w:type="dxa"/>
              <w:left w:w="120" w:type="dxa"/>
              <w:bottom w:w="30" w:type="dxa"/>
              <w:right w:w="120" w:type="dxa"/>
            </w:tcMar>
            <w:vAlign w:val="center"/>
          </w:tcPr>
          <w:p w14:paraId="029F8F45">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Commentary/Report</w:t>
            </w:r>
          </w:p>
        </w:tc>
        <w:tc>
          <w:tcPr>
            <w:tcW w:w="1296" w:type="dxa"/>
            <w:tcBorders>
              <w:top w:val="nil"/>
              <w:left w:val="nil"/>
              <w:bottom w:val="nil"/>
              <w:right w:val="nil"/>
            </w:tcBorders>
            <w:tcMar>
              <w:top w:w="60" w:type="dxa"/>
              <w:left w:w="120" w:type="dxa"/>
              <w:bottom w:w="30" w:type="dxa"/>
              <w:right w:w="120" w:type="dxa"/>
            </w:tcMar>
            <w:vAlign w:val="center"/>
          </w:tcPr>
          <w:p w14:paraId="2CCDB0B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14 articles</w:t>
            </w:r>
          </w:p>
        </w:tc>
      </w:tr>
      <w:tr w14:paraId="3B87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179EA04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La Croix</w:t>
            </w:r>
          </w:p>
        </w:tc>
        <w:tc>
          <w:tcPr>
            <w:tcW w:w="2904" w:type="dxa"/>
            <w:tcBorders>
              <w:top w:val="nil"/>
              <w:left w:val="nil"/>
              <w:bottom w:val="nil"/>
              <w:right w:val="nil"/>
            </w:tcBorders>
            <w:tcMar>
              <w:top w:w="60" w:type="dxa"/>
              <w:left w:w="120" w:type="dxa"/>
              <w:bottom w:w="30" w:type="dxa"/>
              <w:right w:w="120" w:type="dxa"/>
            </w:tcMar>
            <w:vAlign w:val="center"/>
          </w:tcPr>
          <w:p w14:paraId="59D48E23">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Catholic centrist</w:t>
            </w:r>
          </w:p>
        </w:tc>
        <w:tc>
          <w:tcPr>
            <w:tcW w:w="2264" w:type="dxa"/>
            <w:tcBorders>
              <w:top w:val="nil"/>
              <w:left w:val="nil"/>
              <w:bottom w:val="nil"/>
              <w:right w:val="nil"/>
            </w:tcBorders>
            <w:tcMar>
              <w:top w:w="60" w:type="dxa"/>
              <w:left w:w="120" w:type="dxa"/>
              <w:bottom w:w="30" w:type="dxa"/>
              <w:right w:w="120" w:type="dxa"/>
            </w:tcMar>
            <w:vAlign w:val="center"/>
          </w:tcPr>
          <w:p w14:paraId="33EF757D">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Commentary/Report</w:t>
            </w:r>
          </w:p>
        </w:tc>
        <w:tc>
          <w:tcPr>
            <w:tcW w:w="1296" w:type="dxa"/>
            <w:tcBorders>
              <w:top w:val="nil"/>
              <w:left w:val="nil"/>
              <w:bottom w:val="nil"/>
              <w:right w:val="nil"/>
            </w:tcBorders>
            <w:tcMar>
              <w:top w:w="60" w:type="dxa"/>
              <w:left w:w="120" w:type="dxa"/>
              <w:bottom w:w="30" w:type="dxa"/>
              <w:right w:w="120" w:type="dxa"/>
            </w:tcMar>
            <w:vAlign w:val="center"/>
          </w:tcPr>
          <w:p w14:paraId="7C6F240C">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4 articles</w:t>
            </w:r>
          </w:p>
        </w:tc>
      </w:tr>
      <w:tr w14:paraId="542D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66E1E8D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Agence France Presse - Français</w:t>
            </w:r>
          </w:p>
        </w:tc>
        <w:tc>
          <w:tcPr>
            <w:tcW w:w="2904" w:type="dxa"/>
            <w:tcBorders>
              <w:top w:val="nil"/>
              <w:left w:val="nil"/>
              <w:bottom w:val="nil"/>
              <w:right w:val="nil"/>
            </w:tcBorders>
            <w:tcMar>
              <w:top w:w="60" w:type="dxa"/>
              <w:left w:w="120" w:type="dxa"/>
              <w:bottom w:w="30" w:type="dxa"/>
              <w:right w:w="120" w:type="dxa"/>
            </w:tcMar>
            <w:vAlign w:val="center"/>
          </w:tcPr>
          <w:p w14:paraId="1167F707">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Neutral-leaning (news agency)</w:t>
            </w:r>
          </w:p>
        </w:tc>
        <w:tc>
          <w:tcPr>
            <w:tcW w:w="2264" w:type="dxa"/>
            <w:tcBorders>
              <w:top w:val="nil"/>
              <w:left w:val="nil"/>
              <w:bottom w:val="nil"/>
              <w:right w:val="nil"/>
            </w:tcBorders>
            <w:tcMar>
              <w:top w:w="60" w:type="dxa"/>
              <w:left w:w="120" w:type="dxa"/>
              <w:bottom w:w="30" w:type="dxa"/>
              <w:right w:w="120" w:type="dxa"/>
            </w:tcMar>
            <w:vAlign w:val="center"/>
          </w:tcPr>
          <w:p w14:paraId="0E645BFE">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Report/News Dispatch</w:t>
            </w:r>
          </w:p>
        </w:tc>
        <w:tc>
          <w:tcPr>
            <w:tcW w:w="1296" w:type="dxa"/>
            <w:tcBorders>
              <w:top w:val="nil"/>
              <w:left w:val="nil"/>
              <w:bottom w:val="nil"/>
              <w:right w:val="nil"/>
            </w:tcBorders>
            <w:tcMar>
              <w:top w:w="60" w:type="dxa"/>
              <w:left w:w="120" w:type="dxa"/>
              <w:bottom w:w="30" w:type="dxa"/>
              <w:right w:w="120" w:type="dxa"/>
            </w:tcMar>
            <w:vAlign w:val="center"/>
          </w:tcPr>
          <w:p w14:paraId="014A82D2">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lang w:eastAsia="zh-CN"/>
              </w:rPr>
              <w:t>2</w:t>
            </w:r>
            <w:r>
              <w:rPr>
                <w:rFonts w:hint="default" w:ascii="Times New Roman" w:hAnsi="Times New Roman" w:eastAsia="等线" w:cs="Times New Roman"/>
                <w:sz w:val="21"/>
                <w:szCs w:val="21"/>
              </w:rPr>
              <w:t xml:space="preserve"> articles</w:t>
            </w:r>
          </w:p>
        </w:tc>
      </w:tr>
      <w:tr w14:paraId="16F5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1FDD7D44">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Vosges Matin</w:t>
            </w:r>
          </w:p>
        </w:tc>
        <w:tc>
          <w:tcPr>
            <w:tcW w:w="2904" w:type="dxa"/>
            <w:tcBorders>
              <w:top w:val="nil"/>
              <w:left w:val="nil"/>
              <w:bottom w:val="nil"/>
              <w:right w:val="nil"/>
            </w:tcBorders>
            <w:tcMar>
              <w:top w:w="60" w:type="dxa"/>
              <w:left w:w="120" w:type="dxa"/>
              <w:bottom w:w="30" w:type="dxa"/>
              <w:right w:w="120" w:type="dxa"/>
            </w:tcMar>
            <w:vAlign w:val="center"/>
          </w:tcPr>
          <w:p w14:paraId="3E91ABE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Regional</w:t>
            </w:r>
          </w:p>
        </w:tc>
        <w:tc>
          <w:tcPr>
            <w:tcW w:w="2264" w:type="dxa"/>
            <w:tcBorders>
              <w:top w:val="nil"/>
              <w:left w:val="nil"/>
              <w:bottom w:val="nil"/>
              <w:right w:val="nil"/>
            </w:tcBorders>
            <w:tcMar>
              <w:top w:w="60" w:type="dxa"/>
              <w:left w:w="120" w:type="dxa"/>
              <w:bottom w:w="30" w:type="dxa"/>
              <w:right w:w="120" w:type="dxa"/>
            </w:tcMar>
            <w:vAlign w:val="center"/>
          </w:tcPr>
          <w:p w14:paraId="43B1142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Report</w:t>
            </w:r>
          </w:p>
        </w:tc>
        <w:tc>
          <w:tcPr>
            <w:tcW w:w="1296" w:type="dxa"/>
            <w:tcBorders>
              <w:top w:val="nil"/>
              <w:left w:val="nil"/>
              <w:bottom w:val="nil"/>
              <w:right w:val="nil"/>
            </w:tcBorders>
            <w:tcMar>
              <w:top w:w="60" w:type="dxa"/>
              <w:left w:w="120" w:type="dxa"/>
              <w:bottom w:w="30" w:type="dxa"/>
              <w:right w:w="120" w:type="dxa"/>
            </w:tcMar>
            <w:vAlign w:val="center"/>
          </w:tcPr>
          <w:p w14:paraId="4933B414">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article</w:t>
            </w:r>
          </w:p>
        </w:tc>
      </w:tr>
      <w:tr w14:paraId="540F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21D04849">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L'Express</w:t>
            </w:r>
          </w:p>
        </w:tc>
        <w:tc>
          <w:tcPr>
            <w:tcW w:w="2904" w:type="dxa"/>
            <w:tcBorders>
              <w:top w:val="nil"/>
              <w:left w:val="nil"/>
              <w:bottom w:val="nil"/>
              <w:right w:val="nil"/>
            </w:tcBorders>
            <w:tcMar>
              <w:top w:w="60" w:type="dxa"/>
              <w:left w:w="120" w:type="dxa"/>
              <w:bottom w:w="30" w:type="dxa"/>
              <w:right w:w="120" w:type="dxa"/>
            </w:tcMar>
            <w:vAlign w:val="center"/>
          </w:tcPr>
          <w:p w14:paraId="60B81D2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Center-right</w:t>
            </w:r>
          </w:p>
        </w:tc>
        <w:tc>
          <w:tcPr>
            <w:tcW w:w="2264" w:type="dxa"/>
            <w:tcBorders>
              <w:top w:val="nil"/>
              <w:left w:val="nil"/>
              <w:bottom w:val="nil"/>
              <w:right w:val="nil"/>
            </w:tcBorders>
            <w:tcMar>
              <w:top w:w="60" w:type="dxa"/>
              <w:left w:w="120" w:type="dxa"/>
              <w:bottom w:w="30" w:type="dxa"/>
              <w:right w:w="120" w:type="dxa"/>
            </w:tcMar>
            <w:vAlign w:val="center"/>
          </w:tcPr>
          <w:p w14:paraId="72BC1915">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Commentary/Interview</w:t>
            </w:r>
          </w:p>
        </w:tc>
        <w:tc>
          <w:tcPr>
            <w:tcW w:w="1296" w:type="dxa"/>
            <w:tcBorders>
              <w:top w:val="nil"/>
              <w:left w:val="nil"/>
              <w:bottom w:val="nil"/>
              <w:right w:val="nil"/>
            </w:tcBorders>
            <w:tcMar>
              <w:top w:w="60" w:type="dxa"/>
              <w:left w:w="120" w:type="dxa"/>
              <w:bottom w:w="30" w:type="dxa"/>
              <w:right w:w="120" w:type="dxa"/>
            </w:tcMar>
            <w:vAlign w:val="center"/>
          </w:tcPr>
          <w:p w14:paraId="3344DC1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4 articles</w:t>
            </w:r>
          </w:p>
        </w:tc>
      </w:tr>
      <w:tr w14:paraId="1688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34F2F36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L'Obs</w:t>
            </w:r>
          </w:p>
        </w:tc>
        <w:tc>
          <w:tcPr>
            <w:tcW w:w="2904" w:type="dxa"/>
            <w:tcBorders>
              <w:top w:val="nil"/>
              <w:left w:val="nil"/>
              <w:bottom w:val="nil"/>
              <w:right w:val="nil"/>
            </w:tcBorders>
            <w:tcMar>
              <w:top w:w="60" w:type="dxa"/>
              <w:left w:w="120" w:type="dxa"/>
              <w:bottom w:w="30" w:type="dxa"/>
              <w:right w:w="120" w:type="dxa"/>
            </w:tcMar>
            <w:vAlign w:val="center"/>
          </w:tcPr>
          <w:p w14:paraId="137824F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Center-left</w:t>
            </w:r>
          </w:p>
        </w:tc>
        <w:tc>
          <w:tcPr>
            <w:tcW w:w="2264" w:type="dxa"/>
            <w:tcBorders>
              <w:top w:val="nil"/>
              <w:left w:val="nil"/>
              <w:bottom w:val="nil"/>
              <w:right w:val="nil"/>
            </w:tcBorders>
            <w:tcMar>
              <w:top w:w="60" w:type="dxa"/>
              <w:left w:w="120" w:type="dxa"/>
              <w:bottom w:w="30" w:type="dxa"/>
              <w:right w:w="120" w:type="dxa"/>
            </w:tcMar>
            <w:vAlign w:val="center"/>
          </w:tcPr>
          <w:p w14:paraId="3891B3AC">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Commentary/Interview</w:t>
            </w:r>
          </w:p>
        </w:tc>
        <w:tc>
          <w:tcPr>
            <w:tcW w:w="1296" w:type="dxa"/>
            <w:tcBorders>
              <w:top w:val="nil"/>
              <w:left w:val="nil"/>
              <w:bottom w:val="nil"/>
              <w:right w:val="nil"/>
            </w:tcBorders>
            <w:tcMar>
              <w:top w:w="60" w:type="dxa"/>
              <w:left w:w="120" w:type="dxa"/>
              <w:bottom w:w="30" w:type="dxa"/>
              <w:right w:w="120" w:type="dxa"/>
            </w:tcMar>
            <w:vAlign w:val="center"/>
          </w:tcPr>
          <w:p w14:paraId="10E990F8">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4 articles</w:t>
            </w:r>
          </w:p>
        </w:tc>
      </w:tr>
      <w:tr w14:paraId="5080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0A8C71F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 Point (LePoint.fr)</w:t>
            </w:r>
          </w:p>
        </w:tc>
        <w:tc>
          <w:tcPr>
            <w:tcW w:w="2904" w:type="dxa"/>
            <w:tcBorders>
              <w:top w:val="nil"/>
              <w:left w:val="nil"/>
              <w:bottom w:val="nil"/>
              <w:right w:val="nil"/>
            </w:tcBorders>
            <w:tcMar>
              <w:top w:w="60" w:type="dxa"/>
              <w:left w:w="120" w:type="dxa"/>
              <w:bottom w:w="30" w:type="dxa"/>
              <w:right w:w="120" w:type="dxa"/>
            </w:tcMar>
            <w:vAlign w:val="center"/>
          </w:tcPr>
          <w:p w14:paraId="0C5D1DE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Center-right</w:t>
            </w:r>
          </w:p>
        </w:tc>
        <w:tc>
          <w:tcPr>
            <w:tcW w:w="2264" w:type="dxa"/>
            <w:tcBorders>
              <w:top w:val="nil"/>
              <w:left w:val="nil"/>
              <w:bottom w:val="nil"/>
              <w:right w:val="nil"/>
            </w:tcBorders>
            <w:tcMar>
              <w:top w:w="60" w:type="dxa"/>
              <w:left w:w="120" w:type="dxa"/>
              <w:bottom w:w="30" w:type="dxa"/>
              <w:right w:w="120" w:type="dxa"/>
            </w:tcMar>
            <w:vAlign w:val="center"/>
          </w:tcPr>
          <w:p w14:paraId="3E63A527">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Commentary/Report</w:t>
            </w:r>
          </w:p>
        </w:tc>
        <w:tc>
          <w:tcPr>
            <w:tcW w:w="1296" w:type="dxa"/>
            <w:tcBorders>
              <w:top w:val="nil"/>
              <w:left w:val="nil"/>
              <w:bottom w:val="nil"/>
              <w:right w:val="nil"/>
            </w:tcBorders>
            <w:tcMar>
              <w:top w:w="60" w:type="dxa"/>
              <w:left w:w="120" w:type="dxa"/>
              <w:bottom w:w="30" w:type="dxa"/>
              <w:right w:w="120" w:type="dxa"/>
            </w:tcMar>
            <w:vAlign w:val="center"/>
          </w:tcPr>
          <w:p w14:paraId="7DF1D138">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12 articles</w:t>
            </w:r>
          </w:p>
        </w:tc>
      </w:tr>
      <w:tr w14:paraId="19A9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7B95C7C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 Télégramme</w:t>
            </w:r>
          </w:p>
        </w:tc>
        <w:tc>
          <w:tcPr>
            <w:tcW w:w="2904" w:type="dxa"/>
            <w:tcBorders>
              <w:top w:val="nil"/>
              <w:left w:val="nil"/>
              <w:bottom w:val="nil"/>
              <w:right w:val="nil"/>
            </w:tcBorders>
            <w:tcMar>
              <w:top w:w="60" w:type="dxa"/>
              <w:left w:w="120" w:type="dxa"/>
              <w:bottom w:w="30" w:type="dxa"/>
              <w:right w:w="120" w:type="dxa"/>
            </w:tcMar>
            <w:vAlign w:val="center"/>
          </w:tcPr>
          <w:p w14:paraId="6083A4C9">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Regional</w:t>
            </w:r>
          </w:p>
        </w:tc>
        <w:tc>
          <w:tcPr>
            <w:tcW w:w="2264" w:type="dxa"/>
            <w:tcBorders>
              <w:top w:val="nil"/>
              <w:left w:val="nil"/>
              <w:bottom w:val="nil"/>
              <w:right w:val="nil"/>
            </w:tcBorders>
            <w:tcMar>
              <w:top w:w="60" w:type="dxa"/>
              <w:left w:w="120" w:type="dxa"/>
              <w:bottom w:w="30" w:type="dxa"/>
              <w:right w:w="120" w:type="dxa"/>
            </w:tcMar>
            <w:vAlign w:val="center"/>
          </w:tcPr>
          <w:p w14:paraId="0F08B88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Report</w:t>
            </w:r>
          </w:p>
        </w:tc>
        <w:tc>
          <w:tcPr>
            <w:tcW w:w="1296" w:type="dxa"/>
            <w:tcBorders>
              <w:top w:val="nil"/>
              <w:left w:val="nil"/>
              <w:bottom w:val="nil"/>
              <w:right w:val="nil"/>
            </w:tcBorders>
            <w:tcMar>
              <w:top w:w="60" w:type="dxa"/>
              <w:left w:w="120" w:type="dxa"/>
              <w:bottom w:w="30" w:type="dxa"/>
              <w:right w:w="120" w:type="dxa"/>
            </w:tcMar>
            <w:vAlign w:val="center"/>
          </w:tcPr>
          <w:p w14:paraId="7BD81AAD">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 articles</w:t>
            </w:r>
          </w:p>
        </w:tc>
      </w:tr>
      <w:tr w14:paraId="3781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16B2D9BE">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Les Echos</w:t>
            </w:r>
          </w:p>
        </w:tc>
        <w:tc>
          <w:tcPr>
            <w:tcW w:w="2904" w:type="dxa"/>
            <w:tcBorders>
              <w:top w:val="nil"/>
              <w:left w:val="nil"/>
              <w:bottom w:val="nil"/>
              <w:right w:val="nil"/>
            </w:tcBorders>
            <w:tcMar>
              <w:top w:w="60" w:type="dxa"/>
              <w:left w:w="120" w:type="dxa"/>
              <w:bottom w:w="30" w:type="dxa"/>
              <w:right w:w="120" w:type="dxa"/>
            </w:tcMar>
            <w:vAlign w:val="center"/>
          </w:tcPr>
          <w:p w14:paraId="2216236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Right-leaning (economic focus)</w:t>
            </w:r>
          </w:p>
        </w:tc>
        <w:tc>
          <w:tcPr>
            <w:tcW w:w="2264" w:type="dxa"/>
            <w:tcBorders>
              <w:top w:val="nil"/>
              <w:left w:val="nil"/>
              <w:bottom w:val="nil"/>
              <w:right w:val="nil"/>
            </w:tcBorders>
            <w:tcMar>
              <w:top w:w="60" w:type="dxa"/>
              <w:left w:w="120" w:type="dxa"/>
              <w:bottom w:w="30" w:type="dxa"/>
              <w:right w:w="120" w:type="dxa"/>
            </w:tcMar>
            <w:vAlign w:val="center"/>
          </w:tcPr>
          <w:p w14:paraId="303CA96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Commentary/Report</w:t>
            </w:r>
          </w:p>
        </w:tc>
        <w:tc>
          <w:tcPr>
            <w:tcW w:w="1296" w:type="dxa"/>
            <w:tcBorders>
              <w:top w:val="nil"/>
              <w:left w:val="nil"/>
              <w:bottom w:val="nil"/>
              <w:right w:val="nil"/>
            </w:tcBorders>
            <w:tcMar>
              <w:top w:w="60" w:type="dxa"/>
              <w:left w:w="120" w:type="dxa"/>
              <w:bottom w:w="30" w:type="dxa"/>
              <w:right w:w="120" w:type="dxa"/>
            </w:tcMar>
            <w:vAlign w:val="center"/>
          </w:tcPr>
          <w:p w14:paraId="02DB6F88">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3 articles</w:t>
            </w:r>
          </w:p>
        </w:tc>
      </w:tr>
      <w:tr w14:paraId="073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257DA73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lang w:val="de-DE"/>
              </w:rPr>
            </w:pPr>
            <w:r>
              <w:rPr>
                <w:rFonts w:hint="default" w:ascii="Times New Roman" w:hAnsi="Times New Roman" w:eastAsia="等线" w:cs="Times New Roman"/>
                <w:sz w:val="21"/>
                <w:szCs w:val="21"/>
                <w:lang w:val="de-DE"/>
              </w:rPr>
              <w:t>Le Dauphiné Libéré</w:t>
            </w:r>
          </w:p>
        </w:tc>
        <w:tc>
          <w:tcPr>
            <w:tcW w:w="2904" w:type="dxa"/>
            <w:tcBorders>
              <w:top w:val="nil"/>
              <w:left w:val="nil"/>
              <w:bottom w:val="nil"/>
              <w:right w:val="nil"/>
            </w:tcBorders>
            <w:tcMar>
              <w:top w:w="60" w:type="dxa"/>
              <w:left w:w="120" w:type="dxa"/>
              <w:bottom w:w="30" w:type="dxa"/>
              <w:right w:w="120" w:type="dxa"/>
            </w:tcMar>
            <w:vAlign w:val="center"/>
          </w:tcPr>
          <w:p w14:paraId="38CF3943">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Center-right</w:t>
            </w:r>
          </w:p>
        </w:tc>
        <w:tc>
          <w:tcPr>
            <w:tcW w:w="2264" w:type="dxa"/>
            <w:tcBorders>
              <w:top w:val="nil"/>
              <w:left w:val="nil"/>
              <w:bottom w:val="nil"/>
              <w:right w:val="nil"/>
            </w:tcBorders>
            <w:tcMar>
              <w:top w:w="60" w:type="dxa"/>
              <w:left w:w="120" w:type="dxa"/>
              <w:bottom w:w="30" w:type="dxa"/>
              <w:right w:w="120" w:type="dxa"/>
            </w:tcMar>
            <w:vAlign w:val="center"/>
          </w:tcPr>
          <w:p w14:paraId="00AB34CE">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Report/Commentary</w:t>
            </w:r>
          </w:p>
        </w:tc>
        <w:tc>
          <w:tcPr>
            <w:tcW w:w="1296" w:type="dxa"/>
            <w:tcBorders>
              <w:top w:val="nil"/>
              <w:left w:val="nil"/>
              <w:bottom w:val="nil"/>
              <w:right w:val="nil"/>
            </w:tcBorders>
            <w:tcMar>
              <w:top w:w="60" w:type="dxa"/>
              <w:left w:w="120" w:type="dxa"/>
              <w:bottom w:w="30" w:type="dxa"/>
              <w:right w:w="120" w:type="dxa"/>
            </w:tcMar>
            <w:vAlign w:val="center"/>
          </w:tcPr>
          <w:p w14:paraId="2201379F">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 articles</w:t>
            </w:r>
          </w:p>
        </w:tc>
      </w:tr>
      <w:tr w14:paraId="0FAA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3BD735CC">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La Tribune</w:t>
            </w:r>
          </w:p>
        </w:tc>
        <w:tc>
          <w:tcPr>
            <w:tcW w:w="2904" w:type="dxa"/>
            <w:tcBorders>
              <w:top w:val="nil"/>
              <w:left w:val="nil"/>
              <w:bottom w:val="nil"/>
              <w:right w:val="nil"/>
            </w:tcBorders>
            <w:tcMar>
              <w:top w:w="60" w:type="dxa"/>
              <w:left w:w="120" w:type="dxa"/>
              <w:bottom w:w="30" w:type="dxa"/>
              <w:right w:w="120" w:type="dxa"/>
            </w:tcMar>
            <w:vAlign w:val="center"/>
          </w:tcPr>
          <w:p w14:paraId="6F1F9627">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Left-leaning (economic focus)</w:t>
            </w:r>
          </w:p>
        </w:tc>
        <w:tc>
          <w:tcPr>
            <w:tcW w:w="2264" w:type="dxa"/>
            <w:tcBorders>
              <w:top w:val="nil"/>
              <w:left w:val="nil"/>
              <w:bottom w:val="nil"/>
              <w:right w:val="nil"/>
            </w:tcBorders>
            <w:tcMar>
              <w:top w:w="60" w:type="dxa"/>
              <w:left w:w="120" w:type="dxa"/>
              <w:bottom w:w="30" w:type="dxa"/>
              <w:right w:w="120" w:type="dxa"/>
            </w:tcMar>
            <w:vAlign w:val="center"/>
          </w:tcPr>
          <w:p w14:paraId="251E208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w:t>
            </w:r>
          </w:p>
        </w:tc>
        <w:tc>
          <w:tcPr>
            <w:tcW w:w="1296" w:type="dxa"/>
            <w:tcBorders>
              <w:top w:val="nil"/>
              <w:left w:val="nil"/>
              <w:bottom w:val="nil"/>
              <w:right w:val="nil"/>
            </w:tcBorders>
            <w:tcMar>
              <w:top w:w="60" w:type="dxa"/>
              <w:left w:w="120" w:type="dxa"/>
              <w:bottom w:w="30" w:type="dxa"/>
              <w:right w:w="120" w:type="dxa"/>
            </w:tcMar>
            <w:vAlign w:val="center"/>
          </w:tcPr>
          <w:p w14:paraId="3028EC73">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article</w:t>
            </w:r>
          </w:p>
        </w:tc>
      </w:tr>
      <w:tr w14:paraId="713C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23BEBD0E">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 Monde Diplomatique</w:t>
            </w:r>
          </w:p>
        </w:tc>
        <w:tc>
          <w:tcPr>
            <w:tcW w:w="2904" w:type="dxa"/>
            <w:tcBorders>
              <w:top w:val="nil"/>
              <w:left w:val="nil"/>
              <w:bottom w:val="nil"/>
              <w:right w:val="nil"/>
            </w:tcBorders>
            <w:tcMar>
              <w:top w:w="60" w:type="dxa"/>
              <w:left w:w="120" w:type="dxa"/>
              <w:bottom w:w="30" w:type="dxa"/>
              <w:right w:w="120" w:type="dxa"/>
            </w:tcMar>
            <w:vAlign w:val="center"/>
          </w:tcPr>
          <w:p w14:paraId="42F4EBF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Left-wing intellectual</w:t>
            </w:r>
          </w:p>
        </w:tc>
        <w:tc>
          <w:tcPr>
            <w:tcW w:w="2264" w:type="dxa"/>
            <w:tcBorders>
              <w:top w:val="nil"/>
              <w:left w:val="nil"/>
              <w:bottom w:val="nil"/>
              <w:right w:val="nil"/>
            </w:tcBorders>
            <w:tcMar>
              <w:top w:w="60" w:type="dxa"/>
              <w:left w:w="120" w:type="dxa"/>
              <w:bottom w:w="30" w:type="dxa"/>
              <w:right w:w="120" w:type="dxa"/>
            </w:tcMar>
            <w:vAlign w:val="center"/>
          </w:tcPr>
          <w:p w14:paraId="03987C8A">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Commentary/Analysis</w:t>
            </w:r>
          </w:p>
        </w:tc>
        <w:tc>
          <w:tcPr>
            <w:tcW w:w="1296" w:type="dxa"/>
            <w:tcBorders>
              <w:top w:val="nil"/>
              <w:left w:val="nil"/>
              <w:bottom w:val="nil"/>
              <w:right w:val="nil"/>
            </w:tcBorders>
            <w:tcMar>
              <w:top w:w="60" w:type="dxa"/>
              <w:left w:w="120" w:type="dxa"/>
              <w:bottom w:w="30" w:type="dxa"/>
              <w:right w:w="120" w:type="dxa"/>
            </w:tcMar>
            <w:vAlign w:val="center"/>
          </w:tcPr>
          <w:p w14:paraId="095130B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article</w:t>
            </w:r>
          </w:p>
        </w:tc>
      </w:tr>
      <w:tr w14:paraId="4439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nil"/>
              <w:right w:val="nil"/>
            </w:tcBorders>
            <w:tcMar>
              <w:top w:w="60" w:type="dxa"/>
              <w:left w:w="120" w:type="dxa"/>
              <w:bottom w:w="30" w:type="dxa"/>
              <w:right w:w="120" w:type="dxa"/>
            </w:tcMar>
            <w:vAlign w:val="center"/>
          </w:tcPr>
          <w:p w14:paraId="2BD09531">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Valeurs Actuelles</w:t>
            </w:r>
          </w:p>
        </w:tc>
        <w:tc>
          <w:tcPr>
            <w:tcW w:w="2904" w:type="dxa"/>
            <w:tcBorders>
              <w:top w:val="nil"/>
              <w:left w:val="nil"/>
              <w:bottom w:val="nil"/>
              <w:right w:val="nil"/>
            </w:tcBorders>
            <w:tcMar>
              <w:top w:w="60" w:type="dxa"/>
              <w:left w:w="120" w:type="dxa"/>
              <w:bottom w:w="30" w:type="dxa"/>
              <w:right w:w="120" w:type="dxa"/>
            </w:tcMar>
            <w:vAlign w:val="center"/>
          </w:tcPr>
          <w:p w14:paraId="73D3224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Far-right</w:t>
            </w:r>
          </w:p>
        </w:tc>
        <w:tc>
          <w:tcPr>
            <w:tcW w:w="2264" w:type="dxa"/>
            <w:tcBorders>
              <w:top w:val="nil"/>
              <w:left w:val="nil"/>
              <w:bottom w:val="nil"/>
              <w:right w:val="nil"/>
            </w:tcBorders>
            <w:tcMar>
              <w:top w:w="60" w:type="dxa"/>
              <w:left w:w="120" w:type="dxa"/>
              <w:bottom w:w="30" w:type="dxa"/>
              <w:right w:w="120" w:type="dxa"/>
            </w:tcMar>
            <w:vAlign w:val="center"/>
          </w:tcPr>
          <w:p w14:paraId="433E2ED7">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Commentary</w:t>
            </w:r>
          </w:p>
        </w:tc>
        <w:tc>
          <w:tcPr>
            <w:tcW w:w="1296" w:type="dxa"/>
            <w:tcBorders>
              <w:top w:val="nil"/>
              <w:left w:val="nil"/>
              <w:bottom w:val="nil"/>
              <w:right w:val="nil"/>
            </w:tcBorders>
            <w:tcMar>
              <w:top w:w="60" w:type="dxa"/>
              <w:left w:w="120" w:type="dxa"/>
              <w:bottom w:w="30" w:type="dxa"/>
              <w:right w:w="120" w:type="dxa"/>
            </w:tcMar>
            <w:vAlign w:val="center"/>
          </w:tcPr>
          <w:p w14:paraId="0160F4F9">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article</w:t>
            </w:r>
          </w:p>
        </w:tc>
      </w:tr>
      <w:tr w14:paraId="4D17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8" w:type="dxa"/>
            <w:tcBorders>
              <w:top w:val="nil"/>
              <w:left w:val="nil"/>
              <w:bottom w:val="single" w:color="auto" w:sz="12" w:space="0"/>
              <w:right w:val="nil"/>
            </w:tcBorders>
            <w:tcMar>
              <w:top w:w="60" w:type="dxa"/>
              <w:left w:w="120" w:type="dxa"/>
              <w:bottom w:w="30" w:type="dxa"/>
              <w:right w:w="120" w:type="dxa"/>
            </w:tcMar>
            <w:vAlign w:val="center"/>
          </w:tcPr>
          <w:p w14:paraId="3C082450">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Sud Ouest Dimanche</w:t>
            </w:r>
          </w:p>
        </w:tc>
        <w:tc>
          <w:tcPr>
            <w:tcW w:w="2904" w:type="dxa"/>
            <w:tcBorders>
              <w:top w:val="nil"/>
              <w:left w:val="nil"/>
              <w:bottom w:val="single" w:color="auto" w:sz="12" w:space="0"/>
              <w:right w:val="nil"/>
            </w:tcBorders>
            <w:tcMar>
              <w:top w:w="60" w:type="dxa"/>
              <w:left w:w="120" w:type="dxa"/>
              <w:bottom w:w="30" w:type="dxa"/>
              <w:right w:w="120" w:type="dxa"/>
            </w:tcMar>
            <w:vAlign w:val="center"/>
          </w:tcPr>
          <w:p w14:paraId="509D6496">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Regional</w:t>
            </w:r>
          </w:p>
        </w:tc>
        <w:tc>
          <w:tcPr>
            <w:tcW w:w="2264" w:type="dxa"/>
            <w:tcBorders>
              <w:top w:val="nil"/>
              <w:left w:val="nil"/>
              <w:bottom w:val="single" w:color="auto" w:sz="12" w:space="0"/>
              <w:right w:val="nil"/>
            </w:tcBorders>
            <w:tcMar>
              <w:top w:w="60" w:type="dxa"/>
              <w:left w:w="120" w:type="dxa"/>
              <w:bottom w:w="30" w:type="dxa"/>
              <w:right w:w="120" w:type="dxa"/>
            </w:tcMar>
            <w:vAlign w:val="center"/>
          </w:tcPr>
          <w:p w14:paraId="3DFA20D3">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Report</w:t>
            </w:r>
          </w:p>
        </w:tc>
        <w:tc>
          <w:tcPr>
            <w:tcW w:w="1296" w:type="dxa"/>
            <w:tcBorders>
              <w:top w:val="nil"/>
              <w:left w:val="nil"/>
              <w:bottom w:val="single" w:color="auto" w:sz="12" w:space="0"/>
              <w:right w:val="nil"/>
            </w:tcBorders>
            <w:tcMar>
              <w:top w:w="60" w:type="dxa"/>
              <w:left w:w="120" w:type="dxa"/>
              <w:bottom w:w="30" w:type="dxa"/>
              <w:right w:w="120" w:type="dxa"/>
            </w:tcMar>
            <w:vAlign w:val="center"/>
          </w:tcPr>
          <w:p w14:paraId="3D06E3C2">
            <w:pPr>
              <w:pStyle w:val="6"/>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firstLine="0" w:firstLineChars="0"/>
              <w:jc w:val="center"/>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article</w:t>
            </w:r>
          </w:p>
        </w:tc>
      </w:tr>
    </w:tbl>
    <w:p w14:paraId="3F71A493">
      <w:pPr>
        <w:pStyle w:val="5"/>
        <w:keepNext w:val="0"/>
        <w:keepLines w:val="0"/>
        <w:pageBreakBefore w:val="0"/>
        <w:widowControl/>
        <w:kinsoku/>
        <w:wordWrap/>
        <w:overflowPunct/>
        <w:topLinePunct w:val="0"/>
        <w:autoSpaceDE/>
        <w:autoSpaceDN/>
        <w:bidi w:val="0"/>
        <w:adjustRightInd w:val="0"/>
        <w:snapToGrid w:val="0"/>
        <w:spacing w:before="0"/>
        <w:ind w:left="0" w:leftChars="0" w:firstLine="0" w:firstLineChars="0"/>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 xml:space="preserve">* </w:t>
      </w:r>
      <w:bookmarkStart w:id="5" w:name="_GoBack"/>
      <w:bookmarkEnd w:id="5"/>
      <w:r>
        <w:rPr>
          <w:rFonts w:hint="eastAsia" w:ascii="Times New Roman" w:hAnsi="Times New Roman" w:cs="Times New Roman" w:eastAsiaTheme="minorEastAsia"/>
          <w:b w:val="0"/>
          <w:bCs/>
          <w:sz w:val="21"/>
          <w:szCs w:val="21"/>
          <w:lang w:val="en-US" w:eastAsia="zh-CN"/>
        </w:rPr>
        <w:t>These outlets were selected because they represent a segment of French opinion journalism where debates over immigration, secularism, and national identity are particularly visible. While they differ in editorial orientation, they share a relatively high level of agenda-setting influence in French political debate</w:t>
      </w:r>
      <w:r>
        <w:rPr>
          <w:rFonts w:hint="eastAsia" w:ascii="Times New Roman" w:hAnsi="Times New Roman" w:cs="Times New Roman" w:eastAsiaTheme="minorEastAsia"/>
          <w:sz w:val="21"/>
          <w:szCs w:val="21"/>
          <w:lang w:val="en-US" w:eastAsia="zh-CN"/>
        </w:rPr>
        <w:t>.</w:t>
      </w:r>
    </w:p>
    <w:p w14:paraId="1D3A9352">
      <w:pPr>
        <w:pStyle w:val="5"/>
        <w:ind w:left="0" w:leftChars="0" w:firstLine="0" w:firstLineChars="0"/>
        <w:rPr>
          <w:rFonts w:hint="default" w:ascii="Times New Roman" w:hAnsi="Times New Roman" w:cs="Times New Roman"/>
          <w:sz w:val="21"/>
          <w:szCs w:val="21"/>
        </w:rPr>
      </w:pPr>
      <w:r>
        <w:rPr>
          <w:rFonts w:hint="default" w:ascii="Times New Roman" w:hAnsi="Times New Roman" w:cs="Times New Roman" w:eastAsiaTheme="minorEastAsia"/>
          <w:sz w:val="21"/>
          <w:szCs w:val="21"/>
          <w:lang w:eastAsia="zh-CN"/>
        </w:rPr>
        <w:t xml:space="preserve">Table </w:t>
      </w:r>
      <w:r>
        <w:rPr>
          <w:rFonts w:hint="eastAsia" w:ascii="Times New Roman" w:hAnsi="Times New Roman" w:cs="Times New Roman" w:eastAsiaTheme="minorEastAsia"/>
          <w:sz w:val="21"/>
          <w:szCs w:val="21"/>
          <w:lang w:val="en-US" w:eastAsia="zh-CN"/>
        </w:rPr>
        <w:t>B</w:t>
      </w:r>
      <w:r>
        <w:rPr>
          <w:rFonts w:hint="default" w:ascii="Times New Roman" w:hAnsi="Times New Roman" w:cs="Times New Roman"/>
          <w:sz w:val="21"/>
          <w:szCs w:val="21"/>
        </w:rPr>
        <w:t>. Text encoding categories and examples</w:t>
      </w:r>
    </w:p>
    <w:tbl>
      <w:tblPr>
        <w:tblStyle w:val="7"/>
        <w:tblpPr w:leftFromText="180" w:rightFromText="180" w:vertAnchor="text" w:tblpXSpec="lef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1326"/>
        <w:gridCol w:w="868"/>
        <w:gridCol w:w="1158"/>
        <w:gridCol w:w="4020"/>
      </w:tblGrid>
      <w:tr w14:paraId="5466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641" w:type="pct"/>
            <w:gridSpan w:val="4"/>
            <w:tcBorders>
              <w:top w:val="single" w:color="auto" w:sz="12" w:space="0"/>
              <w:left w:val="nil"/>
              <w:bottom w:val="single" w:color="auto" w:sz="4" w:space="0"/>
              <w:right w:val="nil"/>
            </w:tcBorders>
            <w:vAlign w:val="center"/>
          </w:tcPr>
          <w:p w14:paraId="6B3283A8">
            <w:pPr>
              <w:pStyle w:val="6"/>
              <w:keepNext/>
              <w:snapToGrid w:val="0"/>
              <w:jc w:val="center"/>
              <w:rPr>
                <w:rFonts w:hint="default" w:ascii="Times New Roman" w:hAnsi="Times New Roman" w:eastAsia="Times New Roman" w:cs="Times New Roman"/>
                <w:b/>
                <w:bCs/>
                <w:sz w:val="21"/>
                <w:szCs w:val="21"/>
              </w:rPr>
            </w:pPr>
            <w:r>
              <w:rPr>
                <w:rFonts w:hint="default" w:ascii="Times New Roman" w:hAnsi="Times New Roman" w:eastAsia="Times New Roman" w:cs="Times New Roman"/>
                <w:b/>
                <w:bCs/>
                <w:sz w:val="21"/>
                <w:szCs w:val="21"/>
              </w:rPr>
              <w:t>Categories</w:t>
            </w:r>
          </w:p>
        </w:tc>
        <w:tc>
          <w:tcPr>
            <w:tcW w:w="2358" w:type="pct"/>
            <w:tcBorders>
              <w:top w:val="single" w:color="auto" w:sz="12" w:space="0"/>
              <w:left w:val="nil"/>
              <w:bottom w:val="single" w:color="auto" w:sz="4" w:space="0"/>
              <w:right w:val="nil"/>
            </w:tcBorders>
            <w:vAlign w:val="center"/>
          </w:tcPr>
          <w:p w14:paraId="0BF1C031">
            <w:pPr>
              <w:pStyle w:val="6"/>
              <w:keepNext/>
              <w:snapToGrid w:val="0"/>
              <w:jc w:val="center"/>
              <w:rPr>
                <w:rFonts w:hint="default" w:ascii="Times New Roman" w:hAnsi="Times New Roman" w:eastAsia="Times New Roman" w:cs="Times New Roman"/>
                <w:b/>
                <w:bCs/>
                <w:sz w:val="21"/>
                <w:szCs w:val="21"/>
              </w:rPr>
            </w:pPr>
            <w:r>
              <w:rPr>
                <w:rFonts w:hint="default" w:ascii="Times New Roman" w:hAnsi="Times New Roman" w:eastAsia="Times New Roman" w:cs="Times New Roman"/>
                <w:b/>
                <w:bCs/>
                <w:sz w:val="21"/>
                <w:szCs w:val="21"/>
              </w:rPr>
              <w:t>Examples</w:t>
            </w:r>
          </w:p>
        </w:tc>
      </w:tr>
      <w:tr w14:paraId="12FD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restart"/>
            <w:tcBorders>
              <w:top w:val="single" w:color="auto" w:sz="4" w:space="0"/>
              <w:left w:val="nil"/>
              <w:bottom w:val="single" w:color="auto" w:sz="4" w:space="0"/>
              <w:right w:val="nil"/>
            </w:tcBorders>
            <w:vAlign w:val="center"/>
          </w:tcPr>
          <w:p w14:paraId="067475C3">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Image of France</w:t>
            </w:r>
          </w:p>
        </w:tc>
        <w:tc>
          <w:tcPr>
            <w:tcW w:w="777" w:type="pct"/>
            <w:vMerge w:val="restart"/>
            <w:tcBorders>
              <w:top w:val="single" w:color="auto" w:sz="4" w:space="0"/>
              <w:left w:val="nil"/>
              <w:bottom w:val="single" w:color="auto" w:sz="4" w:space="0"/>
              <w:right w:val="nil"/>
            </w:tcBorders>
            <w:vAlign w:val="center"/>
          </w:tcPr>
          <w:p w14:paraId="3CD66FB7">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Server</w:t>
            </w:r>
          </w:p>
        </w:tc>
        <w:tc>
          <w:tcPr>
            <w:tcW w:w="1188" w:type="pct"/>
            <w:gridSpan w:val="2"/>
            <w:tcBorders>
              <w:top w:val="single" w:color="auto" w:sz="4" w:space="0"/>
              <w:left w:val="nil"/>
              <w:bottom w:val="single" w:color="auto" w:sz="4" w:space="0"/>
              <w:right w:val="nil"/>
            </w:tcBorders>
            <w:vAlign w:val="center"/>
          </w:tcPr>
          <w:p w14:paraId="098889F6">
            <w:pPr>
              <w:pStyle w:val="6"/>
              <w:keepNext/>
              <w:snapToGrid w:val="0"/>
              <w:jc w:val="center"/>
              <w:rPr>
                <w:rFonts w:hint="default" w:ascii="Times New Roman" w:hAnsi="Times New Roman" w:eastAsia="Times New Roman" w:cs="Times New Roman"/>
                <w:sz w:val="21"/>
                <w:szCs w:val="21"/>
              </w:rPr>
            </w:pPr>
          </w:p>
          <w:p w14:paraId="56216AF9">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Spread secularism</w:t>
            </w:r>
          </w:p>
        </w:tc>
        <w:tc>
          <w:tcPr>
            <w:tcW w:w="2358" w:type="pct"/>
            <w:tcBorders>
              <w:top w:val="single" w:color="auto" w:sz="4" w:space="0"/>
              <w:left w:val="nil"/>
              <w:bottom w:val="single" w:color="auto" w:sz="4" w:space="0"/>
              <w:right w:val="nil"/>
            </w:tcBorders>
            <w:vAlign w:val="center"/>
          </w:tcPr>
          <w:p w14:paraId="5B11ACAB">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air of secularism; Regain the freedom of choice; The unyielding hope of all the oppressed in the world; “Secularism protects Muslims from Islamism”;</w:t>
            </w:r>
          </w:p>
          <w:p w14:paraId="501A10A2">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Protection for all secularism is a refuge for all of us</w:t>
            </w:r>
          </w:p>
        </w:tc>
      </w:tr>
      <w:tr w14:paraId="4028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single" w:color="auto" w:sz="4" w:space="0"/>
              <w:left w:val="nil"/>
              <w:bottom w:val="nil"/>
              <w:right w:val="nil"/>
            </w:tcBorders>
            <w:vAlign w:val="center"/>
          </w:tcPr>
          <w:p w14:paraId="0F428A1A">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single" w:color="auto" w:sz="4" w:space="0"/>
              <w:left w:val="nil"/>
              <w:bottom w:val="nil"/>
              <w:right w:val="nil"/>
            </w:tcBorders>
            <w:vAlign w:val="center"/>
          </w:tcPr>
          <w:p w14:paraId="06B8C198">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single" w:color="auto" w:sz="4" w:space="0"/>
              <w:left w:val="nil"/>
              <w:bottom w:val="nil"/>
              <w:right w:val="nil"/>
            </w:tcBorders>
            <w:vAlign w:val="center"/>
          </w:tcPr>
          <w:p w14:paraId="78E795E5">
            <w:pPr>
              <w:pStyle w:val="6"/>
              <w:keepNext/>
              <w:snapToGrid w:val="0"/>
              <w:jc w:val="center"/>
              <w:rPr>
                <w:rFonts w:hint="default" w:ascii="Times New Roman" w:hAnsi="Times New Roman" w:eastAsia="Times New Roman" w:cs="Times New Roman"/>
                <w:sz w:val="21"/>
                <w:szCs w:val="21"/>
              </w:rPr>
            </w:pPr>
          </w:p>
          <w:p w14:paraId="676E5C70">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Be generous to others</w:t>
            </w:r>
          </w:p>
          <w:p w14:paraId="0FDD2469">
            <w:pPr>
              <w:pStyle w:val="6"/>
              <w:keepNext/>
              <w:snapToGrid w:val="0"/>
              <w:jc w:val="center"/>
              <w:rPr>
                <w:rFonts w:hint="default" w:ascii="Times New Roman" w:hAnsi="Times New Roman" w:eastAsia="Times New Roman" w:cs="Times New Roman"/>
                <w:sz w:val="21"/>
                <w:szCs w:val="21"/>
              </w:rPr>
            </w:pPr>
          </w:p>
        </w:tc>
        <w:tc>
          <w:tcPr>
            <w:tcW w:w="2358" w:type="pct"/>
            <w:tcBorders>
              <w:top w:val="single" w:color="auto" w:sz="4" w:space="0"/>
              <w:left w:val="nil"/>
              <w:bottom w:val="nil"/>
              <w:right w:val="nil"/>
            </w:tcBorders>
            <w:vAlign w:val="center"/>
          </w:tcPr>
          <w:p w14:paraId="31CA7CF4">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be kind and generous ;Increasing generosity; Open to the refugee flow without conditions; Dangerous Tolerance; One is freer in France than in many Muslim countries; A paragon of tolerance</w:t>
            </w:r>
          </w:p>
        </w:tc>
      </w:tr>
      <w:tr w14:paraId="1C3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69287771">
            <w:pPr>
              <w:pStyle w:val="6"/>
              <w:keepNext/>
              <w:snapToGrid w:val="0"/>
              <w:jc w:val="center"/>
              <w:rPr>
                <w:rFonts w:hint="default" w:ascii="Times New Roman" w:hAnsi="Times New Roman" w:eastAsia="Times New Roman" w:cs="Times New Roman"/>
                <w:sz w:val="21"/>
                <w:szCs w:val="21"/>
              </w:rPr>
            </w:pPr>
          </w:p>
        </w:tc>
        <w:tc>
          <w:tcPr>
            <w:tcW w:w="777" w:type="pct"/>
            <w:vMerge w:val="restart"/>
            <w:tcBorders>
              <w:top w:val="nil"/>
              <w:left w:val="nil"/>
              <w:bottom w:val="nil"/>
              <w:right w:val="nil"/>
            </w:tcBorders>
            <w:vAlign w:val="center"/>
          </w:tcPr>
          <w:p w14:paraId="507B23A9">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State of emergency</w:t>
            </w:r>
          </w:p>
          <w:p w14:paraId="1F13DCAB">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58055088">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Culture and national identity</w:t>
            </w:r>
          </w:p>
        </w:tc>
        <w:tc>
          <w:tcPr>
            <w:tcW w:w="2358" w:type="pct"/>
            <w:tcBorders>
              <w:top w:val="nil"/>
              <w:left w:val="nil"/>
              <w:bottom w:val="nil"/>
              <w:right w:val="nil"/>
            </w:tcBorders>
            <w:vAlign w:val="center"/>
          </w:tcPr>
          <w:p w14:paraId="5EEF4506">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belief in Western cultural identity; Maintain France's cultural influence; Tear apart our republican model; The framework that plays a cohesive role is vanishing; Protecting a history of two thousand years; Rediscover the realm of knights and noble ladies, of Joan of Arc, Louis XIV, Napoleon, and General de Gaulle... Rediscover the land of La Fontaine's fables, Notre-Dame de Paris, and rural churches;</w:t>
            </w:r>
            <w:r>
              <w:rPr>
                <w:rFonts w:hint="default" w:ascii="Times New Roman" w:hAnsi="Times New Roman" w:eastAsia="Times New Roman" w:cs="Times New Roman"/>
                <w:sz w:val="21"/>
                <w:szCs w:val="21"/>
                <w:lang w:eastAsia="zh-CN"/>
              </w:rPr>
              <w:t xml:space="preserve"> </w:t>
            </w:r>
            <w:r>
              <w:rPr>
                <w:rFonts w:hint="default" w:ascii="Times New Roman" w:hAnsi="Times New Roman" w:eastAsia="Times New Roman" w:cs="Times New Roman"/>
                <w:sz w:val="21"/>
                <w:szCs w:val="21"/>
              </w:rPr>
              <w:t>Praise the Eternal France</w:t>
            </w:r>
          </w:p>
        </w:tc>
      </w:tr>
      <w:tr w14:paraId="5C34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2870CF6A">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nil"/>
              <w:left w:val="nil"/>
              <w:bottom w:val="nil"/>
              <w:right w:val="nil"/>
            </w:tcBorders>
            <w:vAlign w:val="center"/>
          </w:tcPr>
          <w:p w14:paraId="0AD1EB01">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32314282">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Population and social wealth</w:t>
            </w:r>
          </w:p>
          <w:p w14:paraId="26D13119">
            <w:pPr>
              <w:pStyle w:val="6"/>
              <w:keepNext/>
              <w:snapToGrid w:val="0"/>
              <w:jc w:val="center"/>
              <w:rPr>
                <w:rFonts w:hint="default" w:ascii="Times New Roman" w:hAnsi="Times New Roman" w:eastAsia="Times New Roman" w:cs="Times New Roman"/>
                <w:sz w:val="21"/>
                <w:szCs w:val="21"/>
              </w:rPr>
            </w:pPr>
          </w:p>
        </w:tc>
        <w:tc>
          <w:tcPr>
            <w:tcW w:w="2358" w:type="pct"/>
            <w:tcBorders>
              <w:top w:val="nil"/>
              <w:left w:val="nil"/>
              <w:bottom w:val="nil"/>
              <w:right w:val="nil"/>
            </w:tcBorders>
            <w:vAlign w:val="center"/>
          </w:tcPr>
          <w:p w14:paraId="42554494">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immigration wave is the root cause of unemployment and insecurity; Increase the burden on public finances; Deprived of the social security system; Refuse to better control the immigration wave</w:t>
            </w:r>
          </w:p>
        </w:tc>
      </w:tr>
      <w:tr w14:paraId="07CA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6DCEBDD3">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nil"/>
              <w:left w:val="nil"/>
              <w:bottom w:val="nil"/>
              <w:right w:val="nil"/>
            </w:tcBorders>
            <w:vAlign w:val="center"/>
          </w:tcPr>
          <w:p w14:paraId="2F552EFB">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71F8193D">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lang w:eastAsia="zh-CN"/>
              </w:rPr>
              <w:t>S</w:t>
            </w:r>
            <w:r>
              <w:rPr>
                <w:rFonts w:hint="default" w:ascii="Times New Roman" w:hAnsi="Times New Roman" w:eastAsia="Times New Roman" w:cs="Times New Roman"/>
                <w:sz w:val="21"/>
                <w:szCs w:val="21"/>
              </w:rPr>
              <w:t>ocial atmosphere</w:t>
            </w:r>
          </w:p>
        </w:tc>
        <w:tc>
          <w:tcPr>
            <w:tcW w:w="2358" w:type="pct"/>
            <w:tcBorders>
              <w:top w:val="nil"/>
              <w:left w:val="nil"/>
              <w:bottom w:val="nil"/>
              <w:right w:val="nil"/>
            </w:tcBorders>
            <w:vAlign w:val="center"/>
          </w:tcPr>
          <w:p w14:paraId="55ED32FE">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Signs of the decline of Western society; The extinction of France; The feeling of deprivation; France has been living in fear all along;</w:t>
            </w:r>
            <w:r>
              <w:rPr>
                <w:rFonts w:hint="default" w:ascii="Times New Roman" w:hAnsi="Times New Roman" w:eastAsia="Times New Roman" w:cs="Times New Roman"/>
                <w:sz w:val="21"/>
                <w:szCs w:val="21"/>
                <w:lang w:eastAsia="zh-CN"/>
              </w:rPr>
              <w:t xml:space="preserve"> </w:t>
            </w:r>
            <w:r>
              <w:rPr>
                <w:rFonts w:hint="default" w:ascii="Times New Roman" w:hAnsi="Times New Roman" w:eastAsia="Times New Roman" w:cs="Times New Roman"/>
                <w:sz w:val="21"/>
                <w:szCs w:val="21"/>
              </w:rPr>
              <w:t>Our society is already fragmented.</w:t>
            </w:r>
          </w:p>
        </w:tc>
      </w:tr>
      <w:tr w14:paraId="5919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7077D6ED">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nil"/>
              <w:left w:val="nil"/>
              <w:bottom w:val="nil"/>
              <w:right w:val="nil"/>
            </w:tcBorders>
            <w:vAlign w:val="center"/>
          </w:tcPr>
          <w:p w14:paraId="407D34F7">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1E65ACBE">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Colonial metaphors</w:t>
            </w:r>
          </w:p>
        </w:tc>
        <w:tc>
          <w:tcPr>
            <w:tcW w:w="2358" w:type="pct"/>
            <w:tcBorders>
              <w:top w:val="nil"/>
              <w:left w:val="nil"/>
              <w:bottom w:val="nil"/>
              <w:right w:val="nil"/>
            </w:tcBorders>
            <w:vAlign w:val="center"/>
          </w:tcPr>
          <w:p w14:paraId="3DA0B3AA">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Possess a sense of conquest; "Muslims want to</w:t>
            </w:r>
            <w:bookmarkStart w:id="0" w:name="OLE_LINK1"/>
            <w:r>
              <w:rPr>
                <w:rFonts w:hint="default" w:ascii="Times New Roman" w:hAnsi="Times New Roman" w:eastAsia="Times New Roman" w:cs="Times New Roman"/>
                <w:sz w:val="21"/>
                <w:szCs w:val="21"/>
              </w:rPr>
              <w:t xml:space="preserve"> </w:t>
            </w:r>
            <w:bookmarkEnd w:id="0"/>
            <w:bookmarkStart w:id="1" w:name="OLE_LINK2"/>
            <w:r>
              <w:rPr>
                <w:rFonts w:hint="default" w:ascii="Times New Roman" w:hAnsi="Times New Roman" w:eastAsia="Times New Roman" w:cs="Times New Roman"/>
                <w:sz w:val="21"/>
                <w:szCs w:val="21"/>
              </w:rPr>
              <w:t>"</w:t>
            </w:r>
            <w:bookmarkEnd w:id="1"/>
            <w:r>
              <w:rPr>
                <w:rFonts w:hint="default" w:ascii="Times New Roman" w:hAnsi="Times New Roman" w:eastAsia="Times New Roman" w:cs="Times New Roman"/>
                <w:sz w:val="21"/>
                <w:szCs w:val="21"/>
              </w:rPr>
              <w:t>replace"  "native French" and dechristianize France ";The land was occupied by Muhammad; “Native" French people might be wiped out by "outsiders"；The concern of "Great Replacement"</w:t>
            </w:r>
          </w:p>
        </w:tc>
      </w:tr>
      <w:tr w14:paraId="6C3D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restart"/>
            <w:tcBorders>
              <w:top w:val="nil"/>
              <w:left w:val="nil"/>
              <w:bottom w:val="nil"/>
              <w:right w:val="nil"/>
            </w:tcBorders>
            <w:vAlign w:val="center"/>
          </w:tcPr>
          <w:p w14:paraId="3BDAFB15">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Muslim migrants</w:t>
            </w:r>
          </w:p>
          <w:p w14:paraId="5ADF3450">
            <w:pPr>
              <w:pStyle w:val="6"/>
              <w:keepNext/>
              <w:snapToGrid w:val="0"/>
              <w:jc w:val="center"/>
              <w:rPr>
                <w:rFonts w:hint="default" w:ascii="Times New Roman" w:hAnsi="Times New Roman" w:eastAsia="Times New Roman" w:cs="Times New Roman"/>
                <w:sz w:val="21"/>
                <w:szCs w:val="21"/>
              </w:rPr>
            </w:pPr>
          </w:p>
          <w:p w14:paraId="3FE6B92E">
            <w:pPr>
              <w:pStyle w:val="6"/>
              <w:keepNext/>
              <w:snapToGrid w:val="0"/>
              <w:jc w:val="center"/>
              <w:rPr>
                <w:rFonts w:hint="default" w:ascii="Times New Roman" w:hAnsi="Times New Roman" w:eastAsia="Times New Roman" w:cs="Times New Roman"/>
                <w:sz w:val="21"/>
                <w:szCs w:val="21"/>
              </w:rPr>
            </w:pPr>
          </w:p>
        </w:tc>
        <w:tc>
          <w:tcPr>
            <w:tcW w:w="1965" w:type="pct"/>
            <w:gridSpan w:val="3"/>
            <w:tcBorders>
              <w:top w:val="nil"/>
              <w:left w:val="nil"/>
              <w:bottom w:val="nil"/>
              <w:right w:val="nil"/>
            </w:tcBorders>
            <w:vAlign w:val="center"/>
          </w:tcPr>
          <w:p w14:paraId="115AE491">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object of assimilation and fusion</w:t>
            </w:r>
          </w:p>
        </w:tc>
        <w:tc>
          <w:tcPr>
            <w:tcW w:w="2358" w:type="pct"/>
            <w:tcBorders>
              <w:top w:val="nil"/>
              <w:left w:val="nil"/>
              <w:bottom w:val="nil"/>
              <w:right w:val="nil"/>
            </w:tcBorders>
            <w:vAlign w:val="center"/>
          </w:tcPr>
          <w:p w14:paraId="66FF53C2">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Correcting Muslims; Love France and refuse to be confined to the status of victim; huge cultural differences; “As long as you integrate, you can become French".</w:t>
            </w:r>
          </w:p>
        </w:tc>
      </w:tr>
      <w:tr w14:paraId="7FA2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00D27CCE">
            <w:pPr>
              <w:pStyle w:val="6"/>
              <w:keepNext/>
              <w:snapToGrid w:val="0"/>
              <w:jc w:val="center"/>
              <w:rPr>
                <w:rFonts w:hint="default" w:ascii="Times New Roman" w:hAnsi="Times New Roman" w:eastAsia="Times New Roman" w:cs="Times New Roman"/>
                <w:sz w:val="21"/>
                <w:szCs w:val="21"/>
              </w:rPr>
            </w:pPr>
          </w:p>
        </w:tc>
        <w:tc>
          <w:tcPr>
            <w:tcW w:w="1965" w:type="pct"/>
            <w:gridSpan w:val="3"/>
            <w:tcBorders>
              <w:top w:val="nil"/>
              <w:left w:val="nil"/>
              <w:bottom w:val="nil"/>
              <w:right w:val="nil"/>
            </w:tcBorders>
            <w:vAlign w:val="center"/>
          </w:tcPr>
          <w:p w14:paraId="260A9E04">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lang w:eastAsia="zh-CN"/>
              </w:rPr>
              <w:t>C</w:t>
            </w:r>
            <w:r>
              <w:rPr>
                <w:rFonts w:hint="default" w:ascii="Times New Roman" w:hAnsi="Times New Roman" w:eastAsia="Times New Roman" w:cs="Times New Roman"/>
                <w:sz w:val="21"/>
                <w:szCs w:val="21"/>
              </w:rPr>
              <w:t>ontributor</w:t>
            </w:r>
          </w:p>
        </w:tc>
        <w:tc>
          <w:tcPr>
            <w:tcW w:w="2358" w:type="pct"/>
            <w:tcBorders>
              <w:top w:val="nil"/>
              <w:left w:val="nil"/>
              <w:bottom w:val="nil"/>
              <w:right w:val="nil"/>
            </w:tcBorders>
            <w:vAlign w:val="center"/>
          </w:tcPr>
          <w:p w14:paraId="005CB542">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Despite the contribution that immigrants have made to France's development, successive governments have sought to curtail the rights of the exiles; Think of immigration as an opportunity for our society; Contribution to collective wealth</w:t>
            </w:r>
          </w:p>
        </w:tc>
      </w:tr>
      <w:tr w14:paraId="7C1E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1088CE81">
            <w:pPr>
              <w:pStyle w:val="6"/>
              <w:keepNext/>
              <w:snapToGrid w:val="0"/>
              <w:jc w:val="center"/>
              <w:rPr>
                <w:rFonts w:hint="default" w:ascii="Times New Roman" w:hAnsi="Times New Roman" w:eastAsia="Times New Roman" w:cs="Times New Roman"/>
                <w:sz w:val="21"/>
                <w:szCs w:val="21"/>
              </w:rPr>
            </w:pPr>
          </w:p>
        </w:tc>
        <w:tc>
          <w:tcPr>
            <w:tcW w:w="1965" w:type="pct"/>
            <w:gridSpan w:val="3"/>
            <w:tcBorders>
              <w:top w:val="nil"/>
              <w:left w:val="nil"/>
              <w:bottom w:val="nil"/>
              <w:right w:val="nil"/>
            </w:tcBorders>
            <w:vAlign w:val="center"/>
          </w:tcPr>
          <w:p w14:paraId="6B66ED2C">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Individuals who have received special attention</w:t>
            </w:r>
          </w:p>
        </w:tc>
        <w:tc>
          <w:tcPr>
            <w:tcW w:w="2358" w:type="pct"/>
            <w:tcBorders>
              <w:top w:val="nil"/>
              <w:left w:val="nil"/>
              <w:bottom w:val="nil"/>
              <w:right w:val="nil"/>
            </w:tcBorders>
            <w:vAlign w:val="center"/>
          </w:tcPr>
          <w:p w14:paraId="66A5A7AB">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sanctification of differences; Kingdom of Wokestein；To sacrifice the history and civilization of a nation with a history of two thousand years and to force multiculturalism；Even the slightest hint of a rational criticism of immigration issues is regarded as harmful; Imposing political correctness on the entire society; "Identity entrepreneur ";"I am the victim and you are not”; The Eastern world that rejects any questioning; Indulging Intolerance with Tolerance; “You are a victim, so you can be protected from evil”.</w:t>
            </w:r>
          </w:p>
        </w:tc>
      </w:tr>
      <w:tr w14:paraId="2351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2F9E9373">
            <w:pPr>
              <w:pStyle w:val="6"/>
              <w:keepNext/>
              <w:snapToGrid w:val="0"/>
              <w:jc w:val="center"/>
              <w:rPr>
                <w:rFonts w:hint="default" w:ascii="Times New Roman" w:hAnsi="Times New Roman" w:eastAsia="Times New Roman" w:cs="Times New Roman"/>
                <w:sz w:val="21"/>
                <w:szCs w:val="21"/>
              </w:rPr>
            </w:pPr>
          </w:p>
        </w:tc>
        <w:tc>
          <w:tcPr>
            <w:tcW w:w="1965" w:type="pct"/>
            <w:gridSpan w:val="3"/>
            <w:tcBorders>
              <w:top w:val="nil"/>
              <w:left w:val="nil"/>
              <w:bottom w:val="nil"/>
              <w:right w:val="nil"/>
            </w:tcBorders>
            <w:vAlign w:val="center"/>
          </w:tcPr>
          <w:p w14:paraId="718B67EF">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Potential threat</w:t>
            </w:r>
          </w:p>
        </w:tc>
        <w:tc>
          <w:tcPr>
            <w:tcW w:w="2358" w:type="pct"/>
            <w:tcBorders>
              <w:top w:val="nil"/>
              <w:left w:val="nil"/>
              <w:bottom w:val="nil"/>
              <w:right w:val="nil"/>
            </w:tcBorders>
            <w:vAlign w:val="center"/>
          </w:tcPr>
          <w:p w14:paraId="0C1F2EC5">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Radical Muslims; Become an involuntary tool for oppressing the French people; Potential jihadists; Uncontrolled immigration; Foreigners associated with countries having a high level of terrorist threat; The sword of Damocles; Islamism is anti-Semitism, anti-feminism, homophobia, anti-republicanism and anti-humanitarianism. It is the creator of misfortune, the breeding ground of illusory resentment and the promise of darkness for all；separatism</w:t>
            </w:r>
          </w:p>
        </w:tc>
      </w:tr>
      <w:tr w14:paraId="6F25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restart"/>
            <w:tcBorders>
              <w:top w:val="nil"/>
              <w:left w:val="nil"/>
              <w:bottom w:val="nil"/>
              <w:right w:val="nil"/>
            </w:tcBorders>
            <w:vAlign w:val="center"/>
          </w:tcPr>
          <w:p w14:paraId="173B6277">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A true French</w:t>
            </w:r>
          </w:p>
          <w:p w14:paraId="5C3D3FA1">
            <w:pPr>
              <w:pStyle w:val="6"/>
              <w:keepNext/>
              <w:snapToGrid w:val="0"/>
              <w:jc w:val="center"/>
              <w:rPr>
                <w:rFonts w:hint="default" w:ascii="Times New Roman" w:hAnsi="Times New Roman" w:eastAsia="Times New Roman" w:cs="Times New Roman"/>
                <w:sz w:val="21"/>
                <w:szCs w:val="21"/>
              </w:rPr>
            </w:pPr>
          </w:p>
          <w:p w14:paraId="34BED982">
            <w:pPr>
              <w:pStyle w:val="6"/>
              <w:keepNext/>
              <w:snapToGrid w:val="0"/>
              <w:jc w:val="center"/>
              <w:rPr>
                <w:rFonts w:hint="default" w:ascii="Times New Roman" w:hAnsi="Times New Roman" w:eastAsia="Times New Roman" w:cs="Times New Roman"/>
                <w:sz w:val="21"/>
                <w:szCs w:val="21"/>
              </w:rPr>
            </w:pPr>
          </w:p>
        </w:tc>
        <w:tc>
          <w:tcPr>
            <w:tcW w:w="777" w:type="pct"/>
            <w:vMerge w:val="restart"/>
            <w:tcBorders>
              <w:top w:val="nil"/>
              <w:left w:val="nil"/>
              <w:bottom w:val="nil"/>
              <w:right w:val="nil"/>
            </w:tcBorders>
            <w:vAlign w:val="center"/>
          </w:tcPr>
          <w:p w14:paraId="18AB17C9">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Scapegoats and victims</w:t>
            </w:r>
          </w:p>
          <w:p w14:paraId="76BC3F66">
            <w:pPr>
              <w:pStyle w:val="6"/>
              <w:keepNext/>
              <w:snapToGrid w:val="0"/>
              <w:jc w:val="center"/>
              <w:rPr>
                <w:rFonts w:hint="default" w:ascii="Times New Roman" w:hAnsi="Times New Roman" w:eastAsia="Times New Roman" w:cs="Times New Roman"/>
                <w:sz w:val="21"/>
                <w:szCs w:val="21"/>
              </w:rPr>
            </w:pPr>
          </w:p>
          <w:p w14:paraId="2ED933E7">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5DA8E488">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burden of the former colonizers</w:t>
            </w:r>
          </w:p>
          <w:p w14:paraId="3354176A">
            <w:pPr>
              <w:pStyle w:val="6"/>
              <w:keepNext/>
              <w:snapToGrid w:val="0"/>
              <w:jc w:val="center"/>
              <w:rPr>
                <w:rFonts w:hint="default" w:ascii="Times New Roman" w:hAnsi="Times New Roman" w:eastAsia="Times New Roman" w:cs="Times New Roman"/>
                <w:sz w:val="21"/>
                <w:szCs w:val="21"/>
              </w:rPr>
            </w:pPr>
          </w:p>
          <w:p w14:paraId="3C130776">
            <w:pPr>
              <w:pStyle w:val="6"/>
              <w:keepNext/>
              <w:snapToGrid w:val="0"/>
              <w:jc w:val="center"/>
              <w:rPr>
                <w:rFonts w:hint="default" w:ascii="Times New Roman" w:hAnsi="Times New Roman" w:eastAsia="Times New Roman" w:cs="Times New Roman"/>
                <w:sz w:val="21"/>
                <w:szCs w:val="21"/>
              </w:rPr>
            </w:pPr>
          </w:p>
        </w:tc>
        <w:tc>
          <w:tcPr>
            <w:tcW w:w="2358" w:type="pct"/>
            <w:tcBorders>
              <w:top w:val="nil"/>
              <w:left w:val="nil"/>
              <w:bottom w:val="nil"/>
              <w:right w:val="nil"/>
            </w:tcBorders>
            <w:vAlign w:val="center"/>
          </w:tcPr>
          <w:p w14:paraId="41121E6C">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Western hegemony is by no means eternal；The ultimate revenge of colonial history；A mixture of self-deprecation, submission and resentment；Hatred towards the West；The number of times France will have to make concessions will be far greater than the number of times it forces others to yield; Resisting internalization of guilt；Victims of the witch-hunt; Play the role of a remorseful colonizer</w:t>
            </w:r>
          </w:p>
        </w:tc>
      </w:tr>
      <w:tr w14:paraId="4871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1BF2CD5B">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nil"/>
              <w:left w:val="nil"/>
              <w:bottom w:val="nil"/>
              <w:right w:val="nil"/>
            </w:tcBorders>
            <w:vAlign w:val="center"/>
          </w:tcPr>
          <w:p w14:paraId="4CBCD321">
            <w:pPr>
              <w:pStyle w:val="6"/>
              <w:keepNext/>
              <w:snapToGrid w:val="0"/>
              <w:jc w:val="center"/>
              <w:rPr>
                <w:rFonts w:hint="default" w:ascii="Times New Roman" w:hAnsi="Times New Roman" w:eastAsia="Times New Roman" w:cs="Times New Roman"/>
                <w:sz w:val="21"/>
                <w:szCs w:val="21"/>
              </w:rPr>
            </w:pPr>
          </w:p>
        </w:tc>
        <w:tc>
          <w:tcPr>
            <w:tcW w:w="509" w:type="pct"/>
            <w:vMerge w:val="restart"/>
            <w:tcBorders>
              <w:top w:val="nil"/>
              <w:left w:val="nil"/>
              <w:bottom w:val="nil"/>
              <w:right w:val="nil"/>
            </w:tcBorders>
            <w:vAlign w:val="center"/>
          </w:tcPr>
          <w:p w14:paraId="02FC863D">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Loss of identity</w:t>
            </w:r>
          </w:p>
          <w:p w14:paraId="2CB67F32">
            <w:pPr>
              <w:pStyle w:val="6"/>
              <w:keepNext/>
              <w:snapToGrid w:val="0"/>
              <w:jc w:val="center"/>
              <w:rPr>
                <w:rFonts w:hint="default" w:ascii="Times New Roman" w:hAnsi="Times New Roman" w:eastAsia="Times New Roman" w:cs="Times New Roman"/>
                <w:sz w:val="21"/>
                <w:szCs w:val="21"/>
              </w:rPr>
            </w:pPr>
          </w:p>
          <w:p w14:paraId="703A5B02">
            <w:pPr>
              <w:pStyle w:val="6"/>
              <w:keepNext/>
              <w:snapToGrid w:val="0"/>
              <w:jc w:val="center"/>
              <w:rPr>
                <w:rFonts w:hint="default" w:ascii="Times New Roman" w:hAnsi="Times New Roman" w:eastAsia="Times New Roman" w:cs="Times New Roman"/>
                <w:sz w:val="21"/>
                <w:szCs w:val="21"/>
              </w:rPr>
            </w:pPr>
          </w:p>
        </w:tc>
        <w:tc>
          <w:tcPr>
            <w:tcW w:w="678" w:type="pct"/>
            <w:tcBorders>
              <w:top w:val="nil"/>
              <w:left w:val="nil"/>
              <w:bottom w:val="nil"/>
              <w:right w:val="nil"/>
            </w:tcBorders>
            <w:vAlign w:val="center"/>
          </w:tcPr>
          <w:p w14:paraId="09C25544">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Christian faith</w:t>
            </w:r>
          </w:p>
          <w:p w14:paraId="7F4DB6CA">
            <w:pPr>
              <w:pStyle w:val="6"/>
              <w:keepNext/>
              <w:snapToGrid w:val="0"/>
              <w:jc w:val="center"/>
              <w:rPr>
                <w:rFonts w:hint="default" w:ascii="Times New Roman" w:hAnsi="Times New Roman" w:eastAsia="Times New Roman" w:cs="Times New Roman"/>
                <w:sz w:val="21"/>
                <w:szCs w:val="21"/>
              </w:rPr>
            </w:pPr>
          </w:p>
          <w:p w14:paraId="636A6036">
            <w:pPr>
              <w:pStyle w:val="6"/>
              <w:keepNext/>
              <w:snapToGrid w:val="0"/>
              <w:jc w:val="center"/>
              <w:rPr>
                <w:rFonts w:hint="default" w:ascii="Times New Roman" w:hAnsi="Times New Roman" w:eastAsia="Times New Roman" w:cs="Times New Roman"/>
                <w:sz w:val="21"/>
                <w:szCs w:val="21"/>
              </w:rPr>
            </w:pPr>
          </w:p>
        </w:tc>
        <w:tc>
          <w:tcPr>
            <w:tcW w:w="2358" w:type="pct"/>
            <w:tcBorders>
              <w:top w:val="nil"/>
              <w:left w:val="nil"/>
              <w:bottom w:val="nil"/>
              <w:right w:val="nil"/>
            </w:tcBorders>
            <w:vAlign w:val="center"/>
          </w:tcPr>
          <w:p w14:paraId="02F9E923">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The Origin of Christianity; The replacement of Christian culture; Prevent "Colombey-les-Deux-Églises from becoming Colombey-les-Deux-Mosquées";Defend the Judeo-Christian civilization; As a believer in Jesus Christ; A new religious war</w:t>
            </w:r>
          </w:p>
        </w:tc>
      </w:tr>
      <w:tr w14:paraId="41CD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49D31830">
            <w:pPr>
              <w:pStyle w:val="6"/>
              <w:keepNext/>
              <w:snapToGrid w:val="0"/>
              <w:jc w:val="center"/>
              <w:rPr>
                <w:rFonts w:hint="default" w:ascii="Times New Roman" w:hAnsi="Times New Roman" w:eastAsia="Times New Roman" w:cs="Times New Roman"/>
                <w:sz w:val="21"/>
                <w:szCs w:val="21"/>
              </w:rPr>
            </w:pPr>
          </w:p>
        </w:tc>
        <w:tc>
          <w:tcPr>
            <w:tcW w:w="777" w:type="pct"/>
            <w:vMerge w:val="continue"/>
            <w:tcBorders>
              <w:top w:val="nil"/>
              <w:left w:val="nil"/>
              <w:bottom w:val="nil"/>
              <w:right w:val="nil"/>
            </w:tcBorders>
            <w:vAlign w:val="center"/>
          </w:tcPr>
          <w:p w14:paraId="4253D1F6">
            <w:pPr>
              <w:pStyle w:val="6"/>
              <w:keepNext/>
              <w:snapToGrid w:val="0"/>
              <w:jc w:val="center"/>
              <w:rPr>
                <w:rFonts w:hint="default" w:ascii="Times New Roman" w:hAnsi="Times New Roman" w:eastAsia="Times New Roman" w:cs="Times New Roman"/>
                <w:sz w:val="21"/>
                <w:szCs w:val="21"/>
              </w:rPr>
            </w:pPr>
          </w:p>
        </w:tc>
        <w:tc>
          <w:tcPr>
            <w:tcW w:w="509" w:type="pct"/>
            <w:vMerge w:val="continue"/>
            <w:tcBorders>
              <w:top w:val="nil"/>
              <w:left w:val="nil"/>
              <w:bottom w:val="nil"/>
              <w:right w:val="nil"/>
            </w:tcBorders>
            <w:vAlign w:val="center"/>
          </w:tcPr>
          <w:p w14:paraId="24AAB31E">
            <w:pPr>
              <w:pStyle w:val="6"/>
              <w:keepNext/>
              <w:snapToGrid w:val="0"/>
              <w:jc w:val="center"/>
              <w:rPr>
                <w:rFonts w:hint="default" w:ascii="Times New Roman" w:hAnsi="Times New Roman" w:eastAsia="Times New Roman" w:cs="Times New Roman"/>
                <w:sz w:val="21"/>
                <w:szCs w:val="21"/>
              </w:rPr>
            </w:pPr>
          </w:p>
        </w:tc>
        <w:tc>
          <w:tcPr>
            <w:tcW w:w="678" w:type="pct"/>
            <w:tcBorders>
              <w:top w:val="nil"/>
              <w:left w:val="nil"/>
              <w:bottom w:val="nil"/>
              <w:right w:val="nil"/>
            </w:tcBorders>
            <w:vAlign w:val="center"/>
          </w:tcPr>
          <w:p w14:paraId="43A65D31">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lang w:eastAsia="zh-CN"/>
              </w:rPr>
              <w:t>S</w:t>
            </w:r>
            <w:r>
              <w:rPr>
                <w:rFonts w:hint="default" w:ascii="Times New Roman" w:hAnsi="Times New Roman" w:eastAsia="Times New Roman" w:cs="Times New Roman"/>
                <w:sz w:val="21"/>
                <w:szCs w:val="21"/>
              </w:rPr>
              <w:t>ecularism</w:t>
            </w:r>
          </w:p>
        </w:tc>
        <w:tc>
          <w:tcPr>
            <w:tcW w:w="2358" w:type="pct"/>
            <w:tcBorders>
              <w:top w:val="nil"/>
              <w:left w:val="nil"/>
              <w:bottom w:val="nil"/>
              <w:right w:val="nil"/>
            </w:tcBorders>
            <w:vAlign w:val="center"/>
          </w:tcPr>
          <w:p w14:paraId="6051EBBA">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Exclude secular people from public debates; Fight for defending freedom and secularism; Secularism has become an insult</w:t>
            </w:r>
          </w:p>
        </w:tc>
      </w:tr>
      <w:tr w14:paraId="754E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5" w:type="pct"/>
            <w:vMerge w:val="continue"/>
            <w:tcBorders>
              <w:top w:val="nil"/>
              <w:left w:val="nil"/>
              <w:bottom w:val="nil"/>
              <w:right w:val="nil"/>
            </w:tcBorders>
            <w:vAlign w:val="center"/>
          </w:tcPr>
          <w:p w14:paraId="77DD1B65">
            <w:pPr>
              <w:pStyle w:val="6"/>
              <w:keepNext/>
              <w:snapToGrid w:val="0"/>
              <w:jc w:val="center"/>
              <w:rPr>
                <w:rFonts w:hint="default" w:ascii="Times New Roman" w:hAnsi="Times New Roman" w:eastAsia="Times New Roman" w:cs="Times New Roman"/>
                <w:sz w:val="21"/>
                <w:szCs w:val="21"/>
              </w:rPr>
            </w:pPr>
          </w:p>
        </w:tc>
        <w:tc>
          <w:tcPr>
            <w:tcW w:w="1965" w:type="pct"/>
            <w:gridSpan w:val="3"/>
            <w:tcBorders>
              <w:top w:val="nil"/>
              <w:left w:val="nil"/>
              <w:bottom w:val="nil"/>
              <w:right w:val="nil"/>
            </w:tcBorders>
            <w:vAlign w:val="center"/>
          </w:tcPr>
          <w:p w14:paraId="7870E873">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Race and descent</w:t>
            </w:r>
          </w:p>
        </w:tc>
        <w:tc>
          <w:tcPr>
            <w:tcW w:w="2358" w:type="pct"/>
            <w:tcBorders>
              <w:top w:val="nil"/>
              <w:left w:val="nil"/>
              <w:bottom w:val="nil"/>
              <w:right w:val="nil"/>
            </w:tcBorders>
            <w:vAlign w:val="center"/>
          </w:tcPr>
          <w:p w14:paraId="1E92803C">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Let the Gauls move in; Anti-white racism; The End of the White World</w:t>
            </w:r>
          </w:p>
        </w:tc>
      </w:tr>
      <w:tr w14:paraId="071D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53" w:type="pct"/>
            <w:gridSpan w:val="2"/>
            <w:vMerge w:val="restart"/>
            <w:tcBorders>
              <w:top w:val="nil"/>
              <w:left w:val="nil"/>
              <w:bottom w:val="nil"/>
              <w:right w:val="nil"/>
            </w:tcBorders>
            <w:vAlign w:val="center"/>
          </w:tcPr>
          <w:p w14:paraId="57D5AD49">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Proactivity/anti-hegemony</w:t>
            </w:r>
          </w:p>
        </w:tc>
        <w:tc>
          <w:tcPr>
            <w:tcW w:w="1188" w:type="pct"/>
            <w:gridSpan w:val="2"/>
            <w:tcBorders>
              <w:top w:val="nil"/>
              <w:left w:val="nil"/>
              <w:bottom w:val="nil"/>
              <w:right w:val="nil"/>
            </w:tcBorders>
            <w:vAlign w:val="center"/>
          </w:tcPr>
          <w:p w14:paraId="3B65A741">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Self-representation</w:t>
            </w:r>
          </w:p>
          <w:p w14:paraId="45CE4B5E">
            <w:pPr>
              <w:pStyle w:val="6"/>
              <w:keepNext/>
              <w:snapToGrid w:val="0"/>
              <w:jc w:val="center"/>
              <w:rPr>
                <w:rFonts w:hint="default" w:ascii="Times New Roman" w:hAnsi="Times New Roman" w:eastAsia="Times New Roman" w:cs="Times New Roman"/>
                <w:sz w:val="21"/>
                <w:szCs w:val="21"/>
              </w:rPr>
            </w:pPr>
          </w:p>
        </w:tc>
        <w:tc>
          <w:tcPr>
            <w:tcW w:w="2358" w:type="pct"/>
            <w:tcBorders>
              <w:top w:val="nil"/>
              <w:left w:val="nil"/>
              <w:bottom w:val="nil"/>
              <w:right w:val="nil"/>
            </w:tcBorders>
            <w:vAlign w:val="center"/>
          </w:tcPr>
          <w:p w14:paraId="162E3E6D">
            <w:pPr>
              <w:pStyle w:val="6"/>
              <w:keepNext/>
              <w:snapToGrid w:val="0"/>
              <w:jc w:val="left"/>
              <w:rPr>
                <w:rFonts w:hint="default" w:ascii="Times New Roman" w:hAnsi="Times New Roman" w:cs="Times New Roman" w:eastAsiaTheme="minorEastAsia"/>
                <w:sz w:val="21"/>
                <w:szCs w:val="21"/>
                <w:lang w:eastAsia="zh-CN"/>
              </w:rPr>
            </w:pPr>
            <w:r>
              <w:rPr>
                <w:rFonts w:hint="default" w:ascii="Times New Roman" w:hAnsi="Times New Roman" w:eastAsia="Times New Roman" w:cs="Times New Roman"/>
                <w:sz w:val="21"/>
                <w:szCs w:val="21"/>
              </w:rPr>
              <w:t>T</w:t>
            </w:r>
            <w:r>
              <w:rPr>
                <w:rFonts w:hint="default" w:ascii="Times New Roman" w:hAnsi="Times New Roman" w:eastAsia="Calibri" w:cs="Times New Roman"/>
                <w:sz w:val="21"/>
                <w:szCs w:val="21"/>
              </w:rPr>
              <w:t>he vast majority of Muslims practice their faith in a peaceful manner and respect the laws of the republic</w:t>
            </w:r>
            <w:r>
              <w:rPr>
                <w:rFonts w:hint="default" w:ascii="Times New Roman" w:hAnsi="Times New Roman" w:eastAsia="Times New Roman" w:cs="Times New Roman"/>
                <w:sz w:val="21"/>
                <w:szCs w:val="21"/>
              </w:rPr>
              <w:t>; Expression of lifestyle; Peace, justice, love and respect; Advocate respect and mutual understanding</w:t>
            </w:r>
            <w:r>
              <w:rPr>
                <w:rFonts w:hint="default" w:ascii="Times New Roman" w:hAnsi="Times New Roman" w:cs="Times New Roman" w:eastAsiaTheme="minorEastAsia"/>
                <w:sz w:val="21"/>
                <w:szCs w:val="21"/>
                <w:lang w:eastAsia="zh-CN"/>
              </w:rPr>
              <w:t>;</w:t>
            </w:r>
            <w:r>
              <w:rPr>
                <w:rFonts w:hint="default" w:ascii="Times New Roman" w:hAnsi="Times New Roman" w:eastAsia="Times New Roman" w:cs="Times New Roman"/>
                <w:sz w:val="21"/>
                <w:szCs w:val="21"/>
              </w:rPr>
              <w:t xml:space="preserve"> </w:t>
            </w:r>
            <w:r>
              <w:rPr>
                <w:rFonts w:hint="default" w:ascii="Times New Roman" w:hAnsi="Times New Roman" w:cs="Times New Roman" w:eastAsiaTheme="minorEastAsia"/>
                <w:sz w:val="21"/>
                <w:szCs w:val="21"/>
                <w:lang w:eastAsia="zh-CN"/>
              </w:rPr>
              <w:t>The veil is far from being a religious symbol as some people perceive it; instead, it protects women from various forms of harassment;</w:t>
            </w:r>
            <w:r>
              <w:rPr>
                <w:rFonts w:hint="default" w:ascii="Times New Roman" w:hAnsi="Times New Roman" w:eastAsia="Times New Roman" w:cs="Times New Roman"/>
                <w:sz w:val="21"/>
                <w:szCs w:val="21"/>
              </w:rPr>
              <w:t xml:space="preserve"> </w:t>
            </w:r>
            <w:r>
              <w:rPr>
                <w:rFonts w:hint="default" w:ascii="Times New Roman" w:hAnsi="Times New Roman" w:cs="Times New Roman" w:eastAsiaTheme="minorEastAsia"/>
                <w:sz w:val="21"/>
                <w:szCs w:val="21"/>
                <w:lang w:eastAsia="zh-CN"/>
              </w:rPr>
              <w:t>The Quran and Hadith teach the ethics of coexistence and dialogue, and call for interactions based on fairness and justice;</w:t>
            </w:r>
            <w:r>
              <w:rPr>
                <w:rFonts w:hint="default" w:ascii="Times New Roman" w:hAnsi="Times New Roman" w:eastAsia="Times New Roman" w:cs="Times New Roman"/>
                <w:sz w:val="21"/>
                <w:szCs w:val="21"/>
              </w:rPr>
              <w:t xml:space="preserve"> </w:t>
            </w:r>
            <w:r>
              <w:rPr>
                <w:rFonts w:hint="default" w:ascii="Times New Roman" w:hAnsi="Times New Roman" w:cs="Times New Roman" w:eastAsiaTheme="minorEastAsia"/>
                <w:sz w:val="21"/>
                <w:szCs w:val="21"/>
                <w:lang w:eastAsia="zh-CN"/>
              </w:rPr>
              <w:t>True Islamic morality lies in commitment and cooperation, not rejection or exclusion;</w:t>
            </w:r>
          </w:p>
        </w:tc>
      </w:tr>
      <w:tr w14:paraId="6CA6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53" w:type="pct"/>
            <w:gridSpan w:val="2"/>
            <w:vMerge w:val="continue"/>
            <w:tcBorders>
              <w:top w:val="nil"/>
              <w:left w:val="nil"/>
              <w:bottom w:val="nil"/>
              <w:right w:val="nil"/>
            </w:tcBorders>
            <w:vAlign w:val="center"/>
          </w:tcPr>
          <w:p w14:paraId="15346FFF">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17B95850">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Counter-narrative</w:t>
            </w:r>
          </w:p>
          <w:p w14:paraId="3C7DC443">
            <w:pPr>
              <w:pStyle w:val="6"/>
              <w:keepNext/>
              <w:snapToGrid w:val="0"/>
              <w:jc w:val="center"/>
              <w:rPr>
                <w:rFonts w:hint="default" w:ascii="Times New Roman" w:hAnsi="Times New Roman" w:eastAsia="Times New Roman" w:cs="Times New Roman"/>
                <w:sz w:val="21"/>
                <w:szCs w:val="21"/>
              </w:rPr>
            </w:pPr>
          </w:p>
        </w:tc>
        <w:tc>
          <w:tcPr>
            <w:tcW w:w="2358" w:type="pct"/>
            <w:tcBorders>
              <w:top w:val="nil"/>
              <w:left w:val="nil"/>
              <w:bottom w:val="nil"/>
              <w:right w:val="nil"/>
            </w:tcBorders>
            <w:vAlign w:val="center"/>
          </w:tcPr>
          <w:p w14:paraId="3FDF17F4">
            <w:pPr>
              <w:pStyle w:val="6"/>
              <w:keepNext/>
              <w:snapToGrid w:val="0"/>
              <w:jc w:val="left"/>
              <w:rPr>
                <w:rFonts w:hint="default" w:ascii="Times New Roman" w:hAnsi="Times New Roman" w:cs="Times New Roman" w:eastAsiaTheme="minorEastAsia"/>
                <w:sz w:val="21"/>
                <w:szCs w:val="21"/>
                <w:lang w:eastAsia="zh-CN"/>
              </w:rPr>
            </w:pPr>
            <w:r>
              <w:rPr>
                <w:rFonts w:hint="default" w:ascii="Times New Roman" w:hAnsi="Times New Roman" w:eastAsia="Times New Roman" w:cs="Times New Roman"/>
                <w:sz w:val="21"/>
                <w:szCs w:val="21"/>
              </w:rPr>
              <w:t xml:space="preserve">Secularism may no longer be sufficient to construct a grand narrative that enables us to collectively form a society; They want to "Islamize" France,they are assimilating to better dismantle us; Without prior opposition, there is no tolerance; </w:t>
            </w:r>
            <w:bookmarkStart w:id="2" w:name="OLE_LINK6"/>
            <w:r>
              <w:rPr>
                <w:rFonts w:hint="default" w:ascii="Times New Roman" w:hAnsi="Times New Roman" w:eastAsia="Times New Roman" w:cs="Times New Roman"/>
                <w:sz w:val="21"/>
                <w:szCs w:val="21"/>
              </w:rPr>
              <w:t>Recognition of others and commitment to society are far more than mere concessions to political correctness</w:t>
            </w:r>
            <w:bookmarkEnd w:id="2"/>
            <w:r>
              <w:rPr>
                <w:rFonts w:hint="default" w:ascii="Times New Roman" w:hAnsi="Times New Roman" w:eastAsia="Times New Roman" w:cs="Times New Roman"/>
                <w:sz w:val="21"/>
                <w:szCs w:val="21"/>
              </w:rPr>
              <w:t>; France would not have been built without them</w:t>
            </w:r>
            <w:r>
              <w:rPr>
                <w:rFonts w:hint="default" w:ascii="Times New Roman" w:hAnsi="Times New Roman" w:cs="Times New Roman" w:eastAsiaTheme="minorEastAsia"/>
                <w:sz w:val="21"/>
                <w:szCs w:val="21"/>
                <w:lang w:eastAsia="zh-CN"/>
              </w:rPr>
              <w:t>;</w:t>
            </w:r>
            <w:r>
              <w:rPr>
                <w:rFonts w:hint="default" w:ascii="Times New Roman" w:hAnsi="Times New Roman" w:eastAsia="Times New Roman" w:cs="Times New Roman"/>
                <w:sz w:val="21"/>
                <w:szCs w:val="21"/>
              </w:rPr>
              <w:t xml:space="preserve"> </w:t>
            </w:r>
            <w:r>
              <w:rPr>
                <w:rFonts w:hint="default" w:ascii="Times New Roman" w:hAnsi="Times New Roman" w:cs="Times New Roman" w:eastAsiaTheme="minorEastAsia"/>
                <w:sz w:val="21"/>
                <w:szCs w:val="21"/>
                <w:lang w:eastAsia="zh-CN"/>
              </w:rPr>
              <w:t>The number of Islamophobic incidents recorded in France has increased by 53%;</w:t>
            </w:r>
            <w:r>
              <w:rPr>
                <w:rFonts w:hint="default" w:ascii="Times New Roman" w:hAnsi="Times New Roman" w:eastAsia="Times New Roman" w:cs="Times New Roman"/>
                <w:sz w:val="21"/>
                <w:szCs w:val="21"/>
              </w:rPr>
              <w:t xml:space="preserve"> </w:t>
            </w:r>
            <w:r>
              <w:rPr>
                <w:rFonts w:hint="default" w:ascii="Times New Roman" w:hAnsi="Times New Roman" w:cs="Times New Roman" w:eastAsiaTheme="minorEastAsia"/>
                <w:sz w:val="21"/>
                <w:szCs w:val="21"/>
                <w:lang w:eastAsia="zh-CN"/>
              </w:rPr>
              <w:t>They began to claim that they were victims of "atonement for Muslims;</w:t>
            </w:r>
            <w:r>
              <w:rPr>
                <w:rFonts w:hint="default" w:ascii="Times New Roman" w:hAnsi="Times New Roman" w:eastAsia="Times New Roman" w:cs="Times New Roman"/>
                <w:snapToGrid/>
                <w:color w:val="1C1F23"/>
                <w:sz w:val="21"/>
                <w:szCs w:val="21"/>
                <w:shd w:val="clear" w:color="auto" w:fill="FFFFFF"/>
                <w:lang w:eastAsia="zh-CN" w:bidi="ar-SA"/>
              </w:rPr>
              <w:t xml:space="preserve"> </w:t>
            </w:r>
            <w:r>
              <w:rPr>
                <w:rFonts w:hint="default" w:ascii="Times New Roman" w:hAnsi="Times New Roman" w:cs="Times New Roman" w:eastAsiaTheme="minorEastAsia"/>
                <w:sz w:val="21"/>
                <w:szCs w:val="21"/>
                <w:lang w:eastAsia="zh-CN"/>
              </w:rPr>
              <w:t>victims of colonization and slavery</w:t>
            </w:r>
          </w:p>
        </w:tc>
      </w:tr>
      <w:tr w14:paraId="7545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53" w:type="pct"/>
            <w:gridSpan w:val="2"/>
            <w:vMerge w:val="continue"/>
            <w:tcBorders>
              <w:top w:val="nil"/>
              <w:left w:val="nil"/>
              <w:bottom w:val="nil"/>
              <w:right w:val="nil"/>
            </w:tcBorders>
            <w:vAlign w:val="center"/>
          </w:tcPr>
          <w:p w14:paraId="56574151">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6C71B40A">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Everyday agency</w:t>
            </w:r>
          </w:p>
        </w:tc>
        <w:tc>
          <w:tcPr>
            <w:tcW w:w="2358" w:type="pct"/>
            <w:tcBorders>
              <w:top w:val="nil"/>
              <w:left w:val="nil"/>
              <w:bottom w:val="nil"/>
              <w:right w:val="nil"/>
            </w:tcBorders>
            <w:vAlign w:val="center"/>
          </w:tcPr>
          <w:p w14:paraId="6114C7E3">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A clear-minded and resolute actor; Draw on the experience of other religions; Public health; Protect the environment; French Muslims will occupy an increasingly important position in elections;</w:t>
            </w:r>
            <w:bookmarkStart w:id="3" w:name="_Hlk213010034"/>
            <w:r>
              <w:rPr>
                <w:rFonts w:hint="default" w:ascii="Times New Roman" w:hAnsi="Times New Roman" w:eastAsia="Times New Roman" w:cs="Times New Roman"/>
                <w:sz w:val="21"/>
                <w:szCs w:val="21"/>
              </w:rPr>
              <w:t xml:space="preserve"> Innovative products proposed by young entrepreneurs</w:t>
            </w:r>
            <w:bookmarkEnd w:id="3"/>
            <w:r>
              <w:rPr>
                <w:rFonts w:hint="default" w:ascii="Times New Roman" w:hAnsi="Times New Roman" w:eastAsia="Times New Roman" w:cs="Times New Roman"/>
                <w:sz w:val="21"/>
                <w:szCs w:val="21"/>
              </w:rPr>
              <w:t>; Still hope that "Charlie Hebdo" will continue to write; The vitality of the Muslim community</w:t>
            </w:r>
          </w:p>
        </w:tc>
      </w:tr>
      <w:tr w14:paraId="3349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53" w:type="pct"/>
            <w:gridSpan w:val="2"/>
            <w:vMerge w:val="continue"/>
            <w:tcBorders>
              <w:top w:val="nil"/>
              <w:left w:val="nil"/>
              <w:bottom w:val="nil"/>
              <w:right w:val="nil"/>
            </w:tcBorders>
            <w:vAlign w:val="center"/>
          </w:tcPr>
          <w:p w14:paraId="7987E46B">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nil"/>
              <w:right w:val="nil"/>
            </w:tcBorders>
            <w:vAlign w:val="center"/>
          </w:tcPr>
          <w:p w14:paraId="6D52D714">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Hybridity &amp; shared interest</w:t>
            </w:r>
          </w:p>
        </w:tc>
        <w:tc>
          <w:tcPr>
            <w:tcW w:w="2358" w:type="pct"/>
            <w:tcBorders>
              <w:top w:val="nil"/>
              <w:left w:val="nil"/>
              <w:bottom w:val="nil"/>
              <w:right w:val="nil"/>
            </w:tcBorders>
            <w:vAlign w:val="center"/>
          </w:tcPr>
          <w:p w14:paraId="1E11FDFF">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Christian and Muslim actors in the dialogue; Muslims actively participate in consolidating and developing all interreligious and interfaith groups; Serve for the common good and universal interests; Transcend the boundaries of race, religion and culture; Build bridges for others; Interreligious cooperation; The desire to jointly build the country</w:t>
            </w:r>
          </w:p>
        </w:tc>
      </w:tr>
      <w:tr w14:paraId="03F4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53" w:type="pct"/>
            <w:gridSpan w:val="2"/>
            <w:vMerge w:val="continue"/>
            <w:tcBorders>
              <w:top w:val="nil"/>
              <w:left w:val="nil"/>
              <w:bottom w:val="single" w:color="auto" w:sz="12" w:space="0"/>
              <w:right w:val="nil"/>
            </w:tcBorders>
            <w:vAlign w:val="center"/>
          </w:tcPr>
          <w:p w14:paraId="369B9E83">
            <w:pPr>
              <w:pStyle w:val="6"/>
              <w:keepNext/>
              <w:snapToGrid w:val="0"/>
              <w:jc w:val="center"/>
              <w:rPr>
                <w:rFonts w:hint="default" w:ascii="Times New Roman" w:hAnsi="Times New Roman" w:eastAsia="Times New Roman" w:cs="Times New Roman"/>
                <w:sz w:val="21"/>
                <w:szCs w:val="21"/>
              </w:rPr>
            </w:pPr>
          </w:p>
        </w:tc>
        <w:tc>
          <w:tcPr>
            <w:tcW w:w="1188" w:type="pct"/>
            <w:gridSpan w:val="2"/>
            <w:tcBorders>
              <w:top w:val="nil"/>
              <w:left w:val="nil"/>
              <w:bottom w:val="single" w:color="auto" w:sz="12" w:space="0"/>
              <w:right w:val="nil"/>
            </w:tcBorders>
            <w:vAlign w:val="center"/>
          </w:tcPr>
          <w:p w14:paraId="0B1CDCC9">
            <w:pPr>
              <w:pStyle w:val="6"/>
              <w:keepNext/>
              <w:snapToGrid w:val="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Mediation strategies</w:t>
            </w:r>
          </w:p>
        </w:tc>
        <w:tc>
          <w:tcPr>
            <w:tcW w:w="2358" w:type="pct"/>
            <w:tcBorders>
              <w:top w:val="nil"/>
              <w:left w:val="nil"/>
              <w:bottom w:val="single" w:color="auto" w:sz="12" w:space="0"/>
              <w:right w:val="nil"/>
            </w:tcBorders>
            <w:vAlign w:val="center"/>
          </w:tcPr>
          <w:p w14:paraId="6D4ED2A6">
            <w:pPr>
              <w:pStyle w:val="6"/>
              <w:keepNext/>
              <w:snapToGrid w:val="0"/>
              <w:jc w:val="left"/>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 xml:space="preserve">An international conference on peace and solidarity was organized; </w:t>
            </w:r>
            <w:bookmarkStart w:id="4" w:name="OLE_LINK3"/>
            <w:r>
              <w:rPr>
                <w:rFonts w:hint="default" w:ascii="Times New Roman" w:hAnsi="Times New Roman" w:eastAsia="Times New Roman" w:cs="Times New Roman"/>
                <w:sz w:val="21"/>
                <w:szCs w:val="21"/>
              </w:rPr>
              <w:t>Muslim intellectuals expressed their opposition to terrorism in a commentary published in Le Nouvel Observateur</w:t>
            </w:r>
            <w:bookmarkEnd w:id="4"/>
            <w:r>
              <w:rPr>
                <w:rFonts w:hint="default" w:ascii="Times New Roman" w:hAnsi="Times New Roman" w:eastAsia="Times New Roman" w:cs="Times New Roman"/>
                <w:sz w:val="21"/>
                <w:szCs w:val="21"/>
              </w:rPr>
              <w:t>; The group collectively signed this forum newspaper; Hold an Annual Muslim Conference;</w:t>
            </w:r>
            <w:r>
              <w:rPr>
                <w:rFonts w:hint="default" w:ascii="Times New Roman" w:hAnsi="Times New Roman" w:eastAsia="Times New Roman" w:cs="Times New Roman"/>
                <w:snapToGrid/>
                <w:sz w:val="21"/>
                <w:szCs w:val="21"/>
                <w:shd w:val="clear" w:color="auto" w:fill="FFFFFF"/>
                <w:lang w:eastAsia="zh-CN" w:bidi="ar-SA"/>
              </w:rPr>
              <w:t xml:space="preserve"> </w:t>
            </w:r>
            <w:r>
              <w:rPr>
                <w:rFonts w:hint="default" w:ascii="Times New Roman" w:hAnsi="Times New Roman" w:eastAsia="Times New Roman" w:cs="Times New Roman"/>
                <w:sz w:val="21"/>
                <w:szCs w:val="21"/>
              </w:rPr>
              <w:t>Mobilization of the community</w:t>
            </w:r>
          </w:p>
        </w:tc>
      </w:tr>
    </w:tbl>
    <w:p w14:paraId="23C2B51D">
      <w:pPr>
        <w:pStyle w:val="5"/>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eastAsia="zh-CN"/>
        </w:rPr>
        <w:t xml:space="preserve">Table </w:t>
      </w:r>
      <w:r>
        <w:rPr>
          <w:rFonts w:hint="eastAsia" w:ascii="Times New Roman" w:hAnsi="Times New Roman" w:cs="Times New Roman" w:eastAsiaTheme="minorEastAsia"/>
          <w:sz w:val="21"/>
          <w:szCs w:val="21"/>
          <w:lang w:val="en-US" w:eastAsia="zh-CN"/>
        </w:rPr>
        <w:t>C Media Text Citations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3360"/>
        <w:gridCol w:w="4086"/>
      </w:tblGrid>
      <w:tr w14:paraId="79D1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39E73171">
            <w:pPr>
              <w:rPr>
                <w:rFonts w:hint="default" w:ascii="Times New Roman" w:hAnsi="Times New Roman" w:cs="Times New Roman"/>
                <w:sz w:val="21"/>
                <w:szCs w:val="21"/>
                <w:vertAlign w:val="baseline"/>
                <w:lang w:val="en-US" w:eastAsia="zh-CN"/>
              </w:rPr>
            </w:pPr>
          </w:p>
        </w:tc>
        <w:tc>
          <w:tcPr>
            <w:tcW w:w="3360" w:type="dxa"/>
          </w:tcPr>
          <w:p w14:paraId="113DD7A8">
            <w:pP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Text</w:t>
            </w:r>
          </w:p>
        </w:tc>
        <w:tc>
          <w:tcPr>
            <w:tcW w:w="4086" w:type="dxa"/>
          </w:tcPr>
          <w:p w14:paraId="21C0481C">
            <w:pP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Text passage source</w:t>
            </w:r>
          </w:p>
        </w:tc>
      </w:tr>
      <w:tr w14:paraId="2618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0B1BD199">
            <w:pP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Text passage 1</w:t>
            </w:r>
          </w:p>
        </w:tc>
        <w:tc>
          <w:tcPr>
            <w:tcW w:w="3360" w:type="dxa"/>
            <w:shd w:val="clear" w:color="auto" w:fill="auto"/>
            <w:vAlign w:val="top"/>
          </w:tcPr>
          <w:p w14:paraId="78401BEA">
            <w:pPr>
              <w:pStyle w:val="10"/>
              <w:keepNext w:val="0"/>
              <w:keepLines w:val="0"/>
              <w:pageBreakBefore w:val="0"/>
              <w:widowControl/>
              <w:kinsoku/>
              <w:wordWrap/>
              <w:overflowPunct/>
              <w:topLinePunct w:val="0"/>
              <w:autoSpaceDE/>
              <w:autoSpaceDN/>
              <w:bidi w:val="0"/>
              <w:adjustRightInd w:val="0"/>
              <w:snapToGrid w:val="0"/>
              <w:spacing w:before="157" w:beforeLines="50" w:beforeAutospacing="0" w:afterAutospacing="0" w:line="360" w:lineRule="auto"/>
              <w:ind w:left="0" w:leftChars="0" w:right="325" w:rightChars="155" w:firstLine="0" w:firstLineChars="0"/>
              <w:textAlignment w:val="auto"/>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eastAsiaTheme="minorEastAsia"/>
                <w:i/>
                <w:iCs/>
                <w:color w:val="auto"/>
                <w:sz w:val="21"/>
                <w:szCs w:val="21"/>
              </w:rPr>
              <w:t xml:space="preserve">“Not all civilizations are equal.” </w:t>
            </w:r>
          </w:p>
        </w:tc>
        <w:tc>
          <w:tcPr>
            <w:tcW w:w="4086" w:type="dxa"/>
            <w:shd w:val="clear" w:color="auto" w:fill="auto"/>
            <w:vAlign w:val="top"/>
          </w:tcPr>
          <w:p w14:paraId="5B95DB1B">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eastAsiaTheme="minorEastAsia"/>
                <w:kern w:val="2"/>
                <w:sz w:val="21"/>
                <w:szCs w:val="21"/>
                <w:vertAlign w:val="baseline"/>
                <w:lang w:val="en-US" w:eastAsia="zh-CN" w:bidi="ar-SA"/>
              </w:rPr>
              <w:t>Copé, J.-F. (2012). Speech reported in Le Figaro. https://www.lefigaro.fr/politique/2012/09/27/01002-20120927ARTFIG00359-civilisations-copé-persiste-et-signe.php</w:t>
            </w:r>
          </w:p>
        </w:tc>
      </w:tr>
      <w:tr w14:paraId="68AD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631C744F">
            <w:pPr>
              <w:rPr>
                <w:rFonts w:hint="eastAsia"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2</w:t>
            </w:r>
          </w:p>
        </w:tc>
        <w:tc>
          <w:tcPr>
            <w:tcW w:w="3360" w:type="dxa"/>
            <w:shd w:val="clear" w:color="auto" w:fill="auto"/>
            <w:vAlign w:val="top"/>
          </w:tcPr>
          <w:p w14:paraId="0ABFAD24">
            <w:pPr>
              <w:rPr>
                <w:rFonts w:hint="default" w:ascii="Times New Roman" w:hAnsi="Times New Roman" w:cs="Times New Roman" w:eastAsiaTheme="minorEastAsia"/>
                <w:i/>
                <w:iCs/>
                <w:color w:val="auto"/>
                <w:sz w:val="21"/>
                <w:szCs w:val="21"/>
              </w:rPr>
            </w:pPr>
            <w:r>
              <w:rPr>
                <w:rFonts w:hint="default" w:ascii="Times New Roman" w:hAnsi="Times New Roman" w:cs="Times New Roman" w:eastAsiaTheme="minorEastAsia"/>
                <w:i/>
                <w:iCs/>
                <w:color w:val="auto"/>
                <w:sz w:val="21"/>
                <w:szCs w:val="21"/>
                <w:lang w:eastAsia="zh-CN"/>
              </w:rPr>
              <w:t>“Il y a un sentiment de submersion migratoire.”</w:t>
            </w:r>
          </w:p>
        </w:tc>
        <w:tc>
          <w:tcPr>
            <w:tcW w:w="4086" w:type="dxa"/>
            <w:shd w:val="clear" w:color="auto" w:fill="auto"/>
            <w:vAlign w:val="top"/>
          </w:tcPr>
          <w:p w14:paraId="09E26626">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eastAsiaTheme="minorEastAsia"/>
                <w:kern w:val="2"/>
                <w:sz w:val="21"/>
                <w:szCs w:val="21"/>
                <w:vertAlign w:val="baseline"/>
                <w:lang w:val="en-US" w:eastAsia="zh-CN" w:bidi="ar-SA"/>
              </w:rPr>
              <w:t>Le Monde. (2025, January 29). François Bayrou crispe les socialistes en reprenant à son compte le vocabulaire d’extrême droite. https://www.lemonde.fr/politique/article/2025/01/29/francois-bayrou-crispe-les-socialistes-en-reprenant-a-son-compte-le-vocabulaire-d-extreme-droite_6521105_823448.html</w:t>
            </w:r>
          </w:p>
        </w:tc>
      </w:tr>
      <w:tr w14:paraId="0ECB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7DB2CF12">
            <w:pPr>
              <w:rPr>
                <w:rFonts w:hint="eastAsia"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3</w:t>
            </w:r>
          </w:p>
        </w:tc>
        <w:tc>
          <w:tcPr>
            <w:tcW w:w="3360" w:type="dxa"/>
            <w:shd w:val="clear" w:color="auto" w:fill="auto"/>
            <w:vAlign w:val="top"/>
          </w:tcPr>
          <w:p w14:paraId="1E9AED82">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i/>
                <w:iCs/>
                <w:sz w:val="21"/>
                <w:szCs w:val="21"/>
              </w:rPr>
              <w:t>"We have been reduced to a state of self-defense, in which we must demonstrate that we are neither racists nor colonialists, nor sufferers of Islamophobia in quotation marks. We have been compelled to adopt a defensive posture."</w:t>
            </w:r>
          </w:p>
        </w:tc>
        <w:tc>
          <w:tcPr>
            <w:tcW w:w="4086" w:type="dxa"/>
            <w:shd w:val="clear" w:color="auto" w:fill="auto"/>
            <w:vAlign w:val="top"/>
          </w:tcPr>
          <w:p w14:paraId="52BDF699">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Shalmani, A. (2023, 23 novembre). « Sans la laïcité, je ne serais pas devant vous aujourd'hui ». Le Point, Postillon.</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https://www.lepoint.fr/postillon/abnousse-shalmani-sans-la-laicite-je-ne-serais-pas-devant-vous-aujourd-hui-23-11-2023-2544323_3961.php</w:t>
            </w:r>
            <w:r>
              <w:rPr>
                <w:rFonts w:hint="default" w:ascii="Times New Roman" w:hAnsi="Times New Roman" w:cs="Times New Roman"/>
                <w:sz w:val="21"/>
                <w:szCs w:val="22"/>
                <w:lang w:eastAsia="zh-CN"/>
              </w:rPr>
              <w:t>.</w:t>
            </w:r>
          </w:p>
          <w:p w14:paraId="3007F4CA">
            <w:pPr>
              <w:rPr>
                <w:rFonts w:hint="default" w:ascii="Times New Roman" w:hAnsi="Times New Roman" w:cs="Times New Roman" w:eastAsiaTheme="minorEastAsia"/>
                <w:kern w:val="2"/>
                <w:sz w:val="21"/>
                <w:szCs w:val="21"/>
                <w:vertAlign w:val="baseline"/>
                <w:lang w:val="en-US" w:eastAsia="zh-CN" w:bidi="ar-SA"/>
              </w:rPr>
            </w:pPr>
          </w:p>
        </w:tc>
      </w:tr>
      <w:tr w14:paraId="7069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5E2992E5">
            <w:pP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4</w:t>
            </w:r>
          </w:p>
        </w:tc>
        <w:tc>
          <w:tcPr>
            <w:tcW w:w="3360" w:type="dxa"/>
            <w:shd w:val="clear" w:color="auto" w:fill="auto"/>
            <w:vAlign w:val="top"/>
          </w:tcPr>
          <w:p w14:paraId="79BC48F6">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i/>
                <w:iCs/>
                <w:sz w:val="21"/>
                <w:szCs w:val="21"/>
              </w:rPr>
              <w:t>“Multiculturalism is always for others.”</w:t>
            </w:r>
          </w:p>
        </w:tc>
        <w:tc>
          <w:tcPr>
            <w:tcW w:w="4086" w:type="dxa"/>
            <w:shd w:val="clear" w:color="auto" w:fill="auto"/>
            <w:vAlign w:val="top"/>
          </w:tcPr>
          <w:p w14:paraId="27EBFAB2">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Jaigu, C. (2025, 5 mars). «Quelques leçons algériennes pour un président français». Le Figaro, Vox/Société. https://www.lefigaro.fr/vox/societe/charles-jaigu-quelques-lecons-algeriennes-pour-un-president-francais-20250305</w:t>
            </w:r>
            <w:r>
              <w:rPr>
                <w:rFonts w:hint="default" w:ascii="Times New Roman" w:hAnsi="Times New Roman" w:cs="Times New Roman"/>
                <w:sz w:val="21"/>
                <w:szCs w:val="22"/>
                <w:lang w:eastAsia="zh-CN"/>
              </w:rPr>
              <w:t>.</w:t>
            </w:r>
          </w:p>
          <w:p w14:paraId="383B2FD6">
            <w:pPr>
              <w:rPr>
                <w:rFonts w:hint="default" w:ascii="Times New Roman" w:hAnsi="Times New Roman" w:cs="Times New Roman" w:eastAsiaTheme="minorEastAsia"/>
                <w:kern w:val="2"/>
                <w:sz w:val="21"/>
                <w:szCs w:val="21"/>
                <w:vertAlign w:val="baseline"/>
                <w:lang w:val="en-US" w:eastAsia="zh-CN" w:bidi="ar-SA"/>
              </w:rPr>
            </w:pPr>
          </w:p>
        </w:tc>
      </w:tr>
      <w:tr w14:paraId="6266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5AC243E5">
            <w:pP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5</w:t>
            </w:r>
          </w:p>
        </w:tc>
        <w:tc>
          <w:tcPr>
            <w:tcW w:w="3360" w:type="dxa"/>
            <w:shd w:val="clear" w:color="auto" w:fill="auto"/>
            <w:vAlign w:val="top"/>
          </w:tcPr>
          <w:p w14:paraId="1CFADBB5">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i/>
                <w:iCs/>
                <w:sz w:val="21"/>
                <w:szCs w:val="21"/>
                <w:lang w:eastAsia="zh-CN"/>
              </w:rPr>
              <w:t>“This is a strategy of division which aims to impose multiculturalism at the expense of the history and civilization of a nation with two thousand years of history.”</w:t>
            </w:r>
          </w:p>
        </w:tc>
        <w:tc>
          <w:tcPr>
            <w:tcW w:w="4086" w:type="dxa"/>
            <w:shd w:val="clear" w:color="auto" w:fill="auto"/>
            <w:vAlign w:val="top"/>
          </w:tcPr>
          <w:p w14:paraId="43EC5756">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excerpted from the following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Makarian, C. (2022, 18 décembre). À Béziers, le tribunal ordonne le retrait de la crèche du patio de la mairie. Le Télégramme. https://www.letelegramme.fr/france/a-beziers-le-tribunal-ordonne-le-retrait-de-la-creche-du-patio-de-la-mairie-1684063.php</w:t>
            </w:r>
            <w:r>
              <w:rPr>
                <w:rFonts w:hint="default" w:ascii="Times New Roman" w:hAnsi="Times New Roman" w:cs="Times New Roman"/>
                <w:sz w:val="21"/>
                <w:szCs w:val="22"/>
                <w:lang w:eastAsia="zh-CN"/>
              </w:rPr>
              <w:t>.</w:t>
            </w:r>
          </w:p>
          <w:p w14:paraId="6E2C7EE7">
            <w:pPr>
              <w:rPr>
                <w:rFonts w:hint="default" w:ascii="Times New Roman" w:hAnsi="Times New Roman" w:cs="Times New Roman" w:eastAsiaTheme="minorEastAsia"/>
                <w:kern w:val="2"/>
                <w:sz w:val="21"/>
                <w:szCs w:val="21"/>
                <w:vertAlign w:val="baseline"/>
                <w:lang w:val="en-US" w:eastAsia="zh-CN" w:bidi="ar-SA"/>
              </w:rPr>
            </w:pPr>
          </w:p>
        </w:tc>
      </w:tr>
      <w:tr w14:paraId="3D5D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1CCB99CA">
            <w:pP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6</w:t>
            </w:r>
          </w:p>
        </w:tc>
        <w:tc>
          <w:tcPr>
            <w:tcW w:w="3360" w:type="dxa"/>
            <w:shd w:val="clear" w:color="auto" w:fill="auto"/>
            <w:vAlign w:val="top"/>
          </w:tcPr>
          <w:p w14:paraId="73B5E4D0">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i/>
                <w:iCs/>
                <w:sz w:val="21"/>
                <w:szCs w:val="21"/>
                <w:lang w:eastAsia="zh-CN"/>
              </w:rPr>
              <w:t>"The influx of large numbers of immigrants over the past four decades has strained the idealized vision of an open and multicultural society. By rejecting the term ‘flood,’ they seek to limit the debate to values rather than numbers</w:t>
            </w:r>
            <w:r>
              <w:rPr>
                <w:rFonts w:hint="default" w:ascii="Times New Roman" w:hAnsi="Times New Roman" w:cs="Times New Roman" w:eastAsiaTheme="minorEastAsia"/>
                <w:i/>
                <w:iCs/>
                <w:sz w:val="21"/>
                <w:szCs w:val="21"/>
                <w:vertAlign w:val="superscript"/>
                <w:lang w:eastAsia="zh-CN"/>
              </w:rPr>
              <w:t>.”</w:t>
            </w:r>
          </w:p>
        </w:tc>
        <w:tc>
          <w:tcPr>
            <w:tcW w:w="4086" w:type="dxa"/>
            <w:shd w:val="clear" w:color="auto" w:fill="auto"/>
            <w:vAlign w:val="top"/>
          </w:tcPr>
          <w:p w14:paraId="40C04A27">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Zennou, A. (2025, 31 janvier). Immigration : pour la gauche une opportunité électorale, pour la droite une menace existentielle. Le Figaro, Vox Société.</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https://www.lefigaro.fr/vox/societe/immigration-pour-la-gauche-une-opportunite-electorale-pour-la-droite-une-menace-existentielle-20250131</w:t>
            </w:r>
            <w:r>
              <w:rPr>
                <w:rFonts w:hint="default" w:ascii="Times New Roman" w:hAnsi="Times New Roman" w:cs="Times New Roman"/>
                <w:sz w:val="21"/>
                <w:szCs w:val="22"/>
                <w:lang w:eastAsia="zh-CN"/>
              </w:rPr>
              <w:t>.</w:t>
            </w:r>
          </w:p>
          <w:p w14:paraId="6E354216">
            <w:pPr>
              <w:rPr>
                <w:rFonts w:hint="default" w:ascii="Times New Roman" w:hAnsi="Times New Roman" w:cs="Times New Roman" w:eastAsiaTheme="minorEastAsia"/>
                <w:kern w:val="2"/>
                <w:sz w:val="21"/>
                <w:szCs w:val="21"/>
                <w:vertAlign w:val="baseline"/>
                <w:lang w:val="en-US" w:eastAsia="zh-CN" w:bidi="ar-SA"/>
              </w:rPr>
            </w:pPr>
          </w:p>
        </w:tc>
      </w:tr>
      <w:tr w14:paraId="5549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06B523B9">
            <w:pP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7</w:t>
            </w:r>
          </w:p>
        </w:tc>
        <w:tc>
          <w:tcPr>
            <w:tcW w:w="3360" w:type="dxa"/>
            <w:shd w:val="clear" w:color="auto" w:fill="auto"/>
            <w:vAlign w:val="top"/>
          </w:tcPr>
          <w:p w14:paraId="40B709B9">
            <w:pP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eastAsiaTheme="minorEastAsia"/>
                <w:i/>
                <w:iCs/>
                <w:sz w:val="21"/>
                <w:szCs w:val="21"/>
              </w:rPr>
              <w:t>“We continue to exist within a colonial framework</w:t>
            </w:r>
            <w:r>
              <w:rPr>
                <w:rFonts w:hint="default" w:ascii="Times New Roman" w:hAnsi="Times New Roman" w:cs="Times New Roman" w:eastAsiaTheme="minorEastAsia"/>
                <w:i/>
                <w:iCs/>
                <w:sz w:val="21"/>
                <w:szCs w:val="21"/>
                <w:lang w:eastAsia="zh-CN"/>
              </w:rPr>
              <w:t>...</w:t>
            </w:r>
            <w:r>
              <w:rPr>
                <w:rFonts w:hint="default" w:ascii="Times New Roman" w:hAnsi="Times New Roman" w:cs="Times New Roman" w:eastAsiaTheme="minorEastAsia"/>
                <w:i/>
                <w:iCs/>
                <w:sz w:val="21"/>
                <w:szCs w:val="21"/>
              </w:rPr>
              <w:t>Immigration is a continuation of colonization and replicates the operational model of colonialism. They constantly demand that the West atone for and repent of its colonial history."</w:t>
            </w:r>
          </w:p>
        </w:tc>
        <w:tc>
          <w:tcPr>
            <w:tcW w:w="4086" w:type="dxa"/>
            <w:shd w:val="clear" w:color="auto" w:fill="auto"/>
            <w:vAlign w:val="top"/>
          </w:tcPr>
          <w:p w14:paraId="4D097D1C">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Bonnamy, J.-L. (2022, 8 novembre). « Derrière l'appel à l'immigration de travail, la culpabilité coloniale ». Le Figaro, Vox Société.</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https://www.lefigaro.fr/vox/societe/jean-loup-bonnamy-derriere-l-appel-a-l-immigration-de-travail-la-culpabilite-coloniale-20221108</w:t>
            </w:r>
            <w:r>
              <w:rPr>
                <w:rFonts w:hint="default" w:ascii="Times New Roman" w:hAnsi="Times New Roman" w:cs="Times New Roman"/>
                <w:sz w:val="21"/>
                <w:szCs w:val="22"/>
                <w:lang w:eastAsia="zh-CN"/>
              </w:rPr>
              <w:t>.</w:t>
            </w:r>
          </w:p>
          <w:p w14:paraId="1392BE81">
            <w:pPr>
              <w:rPr>
                <w:rFonts w:hint="default" w:ascii="Times New Roman" w:hAnsi="Times New Roman" w:cs="Times New Roman" w:eastAsiaTheme="minorEastAsia"/>
                <w:kern w:val="2"/>
                <w:sz w:val="21"/>
                <w:szCs w:val="21"/>
                <w:vertAlign w:val="baseline"/>
                <w:lang w:val="en-US" w:eastAsia="zh-CN" w:bidi="ar-SA"/>
              </w:rPr>
            </w:pPr>
          </w:p>
        </w:tc>
      </w:tr>
      <w:tr w14:paraId="6684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shd w:val="clear" w:color="auto" w:fill="auto"/>
            <w:vAlign w:val="top"/>
          </w:tcPr>
          <w:p w14:paraId="6A0932DB">
            <w:pP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Text passage 8</w:t>
            </w:r>
          </w:p>
        </w:tc>
        <w:tc>
          <w:tcPr>
            <w:tcW w:w="3360" w:type="dxa"/>
          </w:tcPr>
          <w:p w14:paraId="797D93F5">
            <w:pP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i/>
                <w:iCs/>
                <w:sz w:val="21"/>
                <w:szCs w:val="21"/>
                <w:lang w:eastAsia="zh-CN"/>
              </w:rPr>
              <w:t>“This double powerlessness... is tearing apart our laïcité: on the one hand, more and more immigrants are coming and staying on our land; on the other hand, they are becoming less and less integrated into society, weakening our national cohesion.”</w:t>
            </w:r>
          </w:p>
        </w:tc>
        <w:tc>
          <w:tcPr>
            <w:tcW w:w="4086" w:type="dxa"/>
          </w:tcPr>
          <w:p w14:paraId="7A2817AE">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Valls, M. (2021, 29 septembre). « Immigration, tout repenser à partir de zéro ». Le Figaro, Vox Société.</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https://www.lefigaro.fr/vox/societe/manuel-valls-immigration-tout-repenser-a-partir-de-zero-20210928</w:t>
            </w:r>
            <w:r>
              <w:rPr>
                <w:rFonts w:hint="default" w:ascii="Times New Roman" w:hAnsi="Times New Roman" w:cs="Times New Roman"/>
                <w:sz w:val="21"/>
                <w:szCs w:val="22"/>
                <w:lang w:eastAsia="zh-CN"/>
              </w:rPr>
              <w:t>.</w:t>
            </w:r>
          </w:p>
          <w:p w14:paraId="413A2A18">
            <w:pPr>
              <w:rPr>
                <w:rFonts w:hint="default" w:ascii="Times New Roman" w:hAnsi="Times New Roman" w:cs="Times New Roman"/>
                <w:sz w:val="21"/>
                <w:szCs w:val="21"/>
                <w:vertAlign w:val="baseline"/>
                <w:lang w:val="en-US" w:eastAsia="zh-CN"/>
              </w:rPr>
            </w:pPr>
          </w:p>
        </w:tc>
      </w:tr>
      <w:tr w14:paraId="28E0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55C6A604">
            <w:pP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Text passage 9</w:t>
            </w:r>
          </w:p>
        </w:tc>
        <w:tc>
          <w:tcPr>
            <w:tcW w:w="3360" w:type="dxa"/>
          </w:tcPr>
          <w:p w14:paraId="6C8F2AB8">
            <w:pP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i/>
                <w:iCs/>
                <w:sz w:val="21"/>
                <w:szCs w:val="21"/>
                <w:lang w:eastAsia="zh-CN"/>
              </w:rPr>
              <w:t>“Schools are melting pots for understanding others, their differences and, above all, their wealth. The laïcité, or neutrality, is therefore crucial.”</w:t>
            </w:r>
          </w:p>
        </w:tc>
        <w:tc>
          <w:tcPr>
            <w:tcW w:w="4086" w:type="dxa"/>
          </w:tcPr>
          <w:p w14:paraId="6F2156F5">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Shalmani, A. (2024, 11 mai). « Israël sera la première victime d'un statu quo au Proche-Orient ». L'Express, Idées et débats.</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https://www.lexpress.fr/idees-et-debats/abnousse-shalmani-israel-sera-la-premiere-victime-dun-statu-quo-au-proche-orient-F2YTM2ITMNDTXC3LIALIRTHDHQ</w:t>
            </w:r>
            <w:r>
              <w:rPr>
                <w:rFonts w:hint="default" w:ascii="Times New Roman" w:hAnsi="Times New Roman" w:cs="Times New Roman"/>
                <w:sz w:val="21"/>
                <w:szCs w:val="22"/>
                <w:lang w:eastAsia="zh-CN"/>
              </w:rPr>
              <w:t>.</w:t>
            </w:r>
          </w:p>
          <w:p w14:paraId="42AFF10A">
            <w:pPr>
              <w:rPr>
                <w:rFonts w:hint="default" w:ascii="Times New Roman" w:hAnsi="Times New Roman" w:cs="Times New Roman"/>
                <w:sz w:val="21"/>
                <w:szCs w:val="21"/>
                <w:vertAlign w:val="baseline"/>
                <w:lang w:val="en-US" w:eastAsia="zh-CN"/>
              </w:rPr>
            </w:pPr>
          </w:p>
        </w:tc>
      </w:tr>
      <w:tr w14:paraId="141C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53CC76A4">
            <w:pP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Text passage 10</w:t>
            </w:r>
          </w:p>
        </w:tc>
        <w:tc>
          <w:tcPr>
            <w:tcW w:w="3360" w:type="dxa"/>
          </w:tcPr>
          <w:p w14:paraId="25A34BF5">
            <w:pP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i/>
                <w:iCs/>
                <w:sz w:val="21"/>
                <w:szCs w:val="21"/>
                <w:lang w:eastAsia="zh-CN"/>
              </w:rPr>
              <w:t>“Although the French have always distanced themselves from religion, they are still Christians.”</w:t>
            </w:r>
          </w:p>
        </w:tc>
        <w:tc>
          <w:tcPr>
            <w:tcW w:w="4086" w:type="dxa"/>
          </w:tcPr>
          <w:p w14:paraId="6D11F2CE">
            <w:pPr>
              <w:pStyle w:val="9"/>
              <w:widowControl w:val="0"/>
              <w:numPr>
                <w:ilvl w:val="0"/>
                <w:numId w:val="0"/>
              </w:numPr>
              <w:spacing w:before="0"/>
              <w:ind w:leftChars="0"/>
              <w:jc w:val="left"/>
              <w:rPr>
                <w:rFonts w:hint="default" w:ascii="Times New Roman" w:hAnsi="Times New Roman" w:cs="Times New Roman"/>
                <w:sz w:val="21"/>
                <w:szCs w:val="22"/>
              </w:rPr>
            </w:pPr>
            <w:r>
              <w:rPr>
                <w:rFonts w:hint="default" w:ascii="Times New Roman" w:hAnsi="Times New Roman" w:cs="Times New Roman"/>
                <w:sz w:val="21"/>
                <w:szCs w:val="22"/>
              </w:rPr>
              <w:t>This passage is from the article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Bonavita, M.-L. (2023, 8 juin). Michel Aubouin : « Ce n'est pas l'immigration qui est en cause, mais l'intégration ». Le Figaro, Actualité France.</w:t>
            </w:r>
            <w:r>
              <w:rPr>
                <w:rFonts w:hint="default" w:ascii="Times New Roman" w:hAnsi="Times New Roman" w:cs="Times New Roman"/>
                <w:sz w:val="21"/>
                <w:szCs w:val="22"/>
                <w:lang w:eastAsia="zh-CN"/>
              </w:rPr>
              <w:t xml:space="preserve"> </w:t>
            </w:r>
            <w:r>
              <w:rPr>
                <w:rFonts w:hint="default" w:ascii="Times New Roman" w:hAnsi="Times New Roman" w:cs="Times New Roman"/>
                <w:sz w:val="21"/>
                <w:szCs w:val="22"/>
              </w:rPr>
              <w:t>https://www.lefigaro.fr/actualite-france/michel-aubouin-ce-n-est-pas-l-immigration-qui-est-en-cause-mais-l-integration-20230608</w:t>
            </w:r>
            <w:r>
              <w:rPr>
                <w:rFonts w:hint="default" w:ascii="Times New Roman" w:hAnsi="Times New Roman" w:cs="Times New Roman"/>
                <w:sz w:val="21"/>
                <w:szCs w:val="22"/>
                <w:lang w:eastAsia="zh-CN"/>
              </w:rPr>
              <w:t>.</w:t>
            </w:r>
          </w:p>
          <w:p w14:paraId="12D23C42">
            <w:pPr>
              <w:rPr>
                <w:rFonts w:hint="default" w:ascii="Times New Roman" w:hAnsi="Times New Roman" w:cs="Times New Roman"/>
                <w:sz w:val="21"/>
                <w:szCs w:val="21"/>
                <w:vertAlign w:val="baseline"/>
                <w:lang w:val="en-US" w:eastAsia="zh-CN"/>
              </w:rPr>
            </w:pPr>
          </w:p>
        </w:tc>
      </w:tr>
    </w:tbl>
    <w:p w14:paraId="10E737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C45CEB"/>
    <w:rsid w:val="25EA4CAC"/>
    <w:rsid w:val="2A4D6058"/>
    <w:rsid w:val="44BA6EFA"/>
    <w:rsid w:val="450547A6"/>
    <w:rsid w:val="4FC14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MDPI_2.1_heading1"/>
    <w:autoRedefine/>
    <w:qFormat/>
    <w:uiPriority w:val="0"/>
    <w:pPr>
      <w:adjustRightInd w:val="0"/>
      <w:snapToGrid w:val="0"/>
      <w:spacing w:before="240" w:after="60" w:line="280" w:lineRule="atLeast"/>
      <w:ind w:left="2608"/>
      <w:outlineLvl w:val="0"/>
    </w:pPr>
    <w:rPr>
      <w:rFonts w:ascii="Palatino Linotype" w:hAnsi="Palatino Linotype" w:eastAsia="Times New Roman" w:cs="Times New Roman"/>
      <w:b/>
      <w:snapToGrid w:val="0"/>
      <w:color w:val="000000"/>
      <w:sz w:val="24"/>
      <w:szCs w:val="22"/>
      <w:lang w:val="en-US" w:eastAsia="de-DE" w:bidi="en-US"/>
    </w:rPr>
  </w:style>
  <w:style w:type="paragraph" w:customStyle="1" w:styleId="6">
    <w:name w:val="MDPI_4.2_table_body"/>
    <w:autoRedefine/>
    <w:qFormat/>
    <w:uiPriority w:val="0"/>
    <w:pPr>
      <w:widowControl w:val="0"/>
      <w:adjustRightInd w:val="0"/>
      <w:snapToGrid w:val="0"/>
      <w:spacing w:line="260" w:lineRule="atLeast"/>
      <w:jc w:val="both"/>
    </w:pPr>
    <w:rPr>
      <w:rFonts w:ascii="Palatino Linotype" w:hAnsi="Palatino Linotype" w:eastAsia="宋体" w:cs="宋体"/>
      <w:snapToGrid w:val="0"/>
      <w:kern w:val="2"/>
      <w:lang w:val="en-US" w:eastAsia="de-DE" w:bidi="mr-IN"/>
    </w:rPr>
  </w:style>
  <w:style w:type="table" w:customStyle="1" w:styleId="7">
    <w:name w:val="网格型1"/>
    <w:basedOn w:val="2"/>
    <w:autoRedefine/>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MDPI_3.1_text"/>
    <w:autoRedefine/>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9">
    <w:name w:val="MDPI_6.3_notes"/>
    <w:autoRedefine/>
    <w:qFormat/>
    <w:uiPriority w:val="0"/>
    <w:pPr>
      <w:adjustRightInd w:val="0"/>
      <w:snapToGrid w:val="0"/>
      <w:spacing w:before="240" w:line="280" w:lineRule="atLeast"/>
      <w:jc w:val="both"/>
    </w:pPr>
    <w:rPr>
      <w:rFonts w:ascii="Palatino Linotype" w:hAnsi="Palatino Linotype" w:eastAsia="宋体" w:cs="Times New Roman"/>
      <w:snapToGrid w:val="0"/>
      <w:color w:val="000000"/>
      <w:sz w:val="18"/>
      <w:lang w:val="en-US" w:eastAsia="en-US" w:bidi="en-US"/>
    </w:rPr>
  </w:style>
  <w:style w:type="paragraph" w:customStyle="1" w:styleId="10">
    <w:name w:val="MDPI_3.4_text_space_before"/>
    <w:autoRedefine/>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1646</Words>
  <Characters>10693</Characters>
  <Lines>0</Lines>
  <Paragraphs>0</Paragraphs>
  <TotalTime>4</TotalTime>
  <ScaleCrop>false</ScaleCrop>
  <LinksUpToDate>false</LinksUpToDate>
  <CharactersWithSpaces>12170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2026-01-08T11:31:00Z</dcterms:created>
  <dcterms:modified xsi:type="dcterms:W3CDTF">2026-03-10T00:16:00Z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eyJoZGlkIjoiOWY2NmExZDc0NTc1ODNlMGViMGZjMTcxZjFjMzc4MjYiLCJ1c2VySWQiOiIzNjc4Njc1MjYifQ==</vt:lpwstr>
  </property>
  <property fmtid="{D5CDD505-2E9C-101B-9397-08002B2CF9AE}" pid="4" name="ICV">
    <vt:lpwstr>D4742DF721FC479FB8782C14F5293428_12</vt:lpwstr>
  </property>
</Properties>
</file>