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CA" w:rsidRPr="000A12FD" w:rsidRDefault="00B25BCA" w:rsidP="00B25BCA">
      <w:pPr>
        <w:spacing w:line="480" w:lineRule="auto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Additional file 1: </w:t>
      </w:r>
      <w:r w:rsidRPr="000A12FD">
        <w:rPr>
          <w:rFonts w:ascii="Times" w:hAnsi="Times"/>
          <w:b/>
          <w:sz w:val="24"/>
          <w:szCs w:val="24"/>
        </w:rPr>
        <w:t xml:space="preserve">Inclusion and </w:t>
      </w:r>
      <w:r>
        <w:rPr>
          <w:rFonts w:ascii="Times" w:hAnsi="Times"/>
          <w:b/>
          <w:sz w:val="24"/>
          <w:szCs w:val="24"/>
        </w:rPr>
        <w:t>E</w:t>
      </w:r>
      <w:r w:rsidRPr="000A12FD">
        <w:rPr>
          <w:rFonts w:ascii="Times" w:hAnsi="Times"/>
          <w:b/>
          <w:sz w:val="24"/>
          <w:szCs w:val="24"/>
        </w:rPr>
        <w:t xml:space="preserve">xclusion </w:t>
      </w:r>
      <w:r>
        <w:rPr>
          <w:rFonts w:ascii="Times" w:hAnsi="Times"/>
          <w:b/>
          <w:sz w:val="24"/>
          <w:szCs w:val="24"/>
        </w:rPr>
        <w:t>C</w:t>
      </w:r>
      <w:r w:rsidRPr="000A12FD">
        <w:rPr>
          <w:rFonts w:ascii="Times" w:hAnsi="Times"/>
          <w:b/>
          <w:sz w:val="24"/>
          <w:szCs w:val="24"/>
        </w:rPr>
        <w:t xml:space="preserve">riteria of </w:t>
      </w:r>
      <w:r>
        <w:rPr>
          <w:rFonts w:ascii="Times" w:hAnsi="Times"/>
          <w:b/>
          <w:sz w:val="24"/>
          <w:szCs w:val="24"/>
        </w:rPr>
        <w:t>the Included P</w:t>
      </w:r>
      <w:r w:rsidRPr="000A12FD">
        <w:rPr>
          <w:rFonts w:ascii="Times" w:hAnsi="Times"/>
          <w:b/>
          <w:sz w:val="24"/>
          <w:szCs w:val="24"/>
        </w:rPr>
        <w:t>atients</w:t>
      </w:r>
    </w:p>
    <w:p w:rsidR="00B25BCA" w:rsidRPr="000A12FD" w:rsidRDefault="00B25BCA" w:rsidP="00B25BCA">
      <w:pPr>
        <w:spacing w:line="480" w:lineRule="auto"/>
        <w:rPr>
          <w:rFonts w:ascii="Times" w:hAnsi="Times"/>
          <w:b/>
          <w:sz w:val="24"/>
          <w:szCs w:val="24"/>
        </w:rPr>
      </w:pPr>
      <w:r w:rsidRPr="000A12FD">
        <w:rPr>
          <w:rFonts w:ascii="Times" w:hAnsi="Times"/>
          <w:b/>
          <w:noProof/>
          <w:sz w:val="24"/>
          <w:szCs w:val="24"/>
        </w:rPr>
        <w:t>(1)</w:t>
      </w:r>
      <w:r w:rsidRPr="000A12FD">
        <w:rPr>
          <w:rFonts w:ascii="Times" w:hAnsi="Times"/>
          <w:b/>
          <w:sz w:val="24"/>
          <w:szCs w:val="24"/>
        </w:rPr>
        <w:t xml:space="preserve"> Inclusion criteria 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1. </w:t>
      </w:r>
      <w:r w:rsidRPr="000A12FD">
        <w:rPr>
          <w:rFonts w:ascii="Times" w:hAnsi="Times"/>
          <w:sz w:val="24"/>
          <w:szCs w:val="24"/>
        </w:rPr>
        <w:t>Those who signed the informed consent form after the purpose and methods of the study</w:t>
      </w:r>
      <w:r>
        <w:rPr>
          <w:rFonts w:ascii="Times" w:hAnsi="Times"/>
          <w:sz w:val="24"/>
          <w:szCs w:val="24"/>
        </w:rPr>
        <w:t xml:space="preserve"> were explained to them</w:t>
      </w:r>
      <w:r w:rsidRPr="000A12FD">
        <w:rPr>
          <w:rFonts w:ascii="Times" w:hAnsi="Times"/>
          <w:sz w:val="24"/>
          <w:szCs w:val="24"/>
        </w:rPr>
        <w:t>.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2. </w:t>
      </w:r>
      <w:r w:rsidRPr="000A12FD">
        <w:rPr>
          <w:rFonts w:ascii="Times" w:hAnsi="Times"/>
          <w:sz w:val="24"/>
          <w:szCs w:val="24"/>
        </w:rPr>
        <w:t xml:space="preserve">Adult men and women aged </w:t>
      </w:r>
      <w:r>
        <w:rPr>
          <w:rFonts w:ascii="Times" w:hAnsi="Times"/>
          <w:sz w:val="24"/>
          <w:szCs w:val="24"/>
        </w:rPr>
        <w:t>≥</w:t>
      </w:r>
      <w:r w:rsidRPr="000A12FD">
        <w:rPr>
          <w:rFonts w:ascii="Times" w:hAnsi="Times"/>
          <w:sz w:val="24"/>
          <w:szCs w:val="24"/>
        </w:rPr>
        <w:t xml:space="preserve">19 </w:t>
      </w:r>
      <w:r>
        <w:rPr>
          <w:rFonts w:ascii="Times" w:hAnsi="Times"/>
          <w:sz w:val="24"/>
          <w:szCs w:val="24"/>
        </w:rPr>
        <w:t>years</w:t>
      </w:r>
      <w:r w:rsidRPr="000A12FD">
        <w:rPr>
          <w:rFonts w:ascii="Times" w:hAnsi="Times"/>
          <w:sz w:val="24"/>
          <w:szCs w:val="24"/>
        </w:rPr>
        <w:t xml:space="preserve"> </w:t>
      </w:r>
    </w:p>
    <w:p w:rsidR="00B25BCA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3. </w:t>
      </w:r>
      <w:r w:rsidRPr="000A12FD">
        <w:rPr>
          <w:rFonts w:ascii="Times" w:hAnsi="Times"/>
          <w:sz w:val="24"/>
          <w:szCs w:val="24"/>
        </w:rPr>
        <w:t xml:space="preserve">Those requiring the administration of at least </w:t>
      </w:r>
      <w:r>
        <w:rPr>
          <w:rFonts w:ascii="Times" w:hAnsi="Times"/>
          <w:sz w:val="24"/>
          <w:szCs w:val="24"/>
        </w:rPr>
        <w:t>≥2</w:t>
      </w:r>
      <w:r w:rsidRPr="000A12FD">
        <w:rPr>
          <w:rFonts w:ascii="Times" w:hAnsi="Times"/>
          <w:sz w:val="24"/>
          <w:szCs w:val="24"/>
        </w:rPr>
        <w:t xml:space="preserve"> antihypertensive agents</w:t>
      </w:r>
      <w:r>
        <w:rPr>
          <w:rFonts w:ascii="Times" w:hAnsi="Times"/>
          <w:sz w:val="24"/>
          <w:szCs w:val="24"/>
        </w:rPr>
        <w:t>,</w:t>
      </w:r>
      <w:r w:rsidRPr="000A12FD">
        <w:rPr>
          <w:rFonts w:ascii="Times" w:hAnsi="Times"/>
          <w:sz w:val="24"/>
          <w:szCs w:val="24"/>
        </w:rPr>
        <w:t xml:space="preserve"> including </w:t>
      </w:r>
      <w:proofErr w:type="spellStart"/>
      <w:r w:rsidRPr="000A12FD">
        <w:rPr>
          <w:rFonts w:ascii="Times" w:hAnsi="Times"/>
          <w:sz w:val="24"/>
          <w:szCs w:val="24"/>
        </w:rPr>
        <w:t>fimasartan</w:t>
      </w:r>
      <w:proofErr w:type="spellEnd"/>
      <w:r w:rsidRPr="000A12FD">
        <w:rPr>
          <w:rFonts w:ascii="Times" w:hAnsi="Times"/>
          <w:sz w:val="24"/>
          <w:szCs w:val="24"/>
        </w:rPr>
        <w:t xml:space="preserve">* (blood pressure </w:t>
      </w:r>
      <w:r>
        <w:rPr>
          <w:rFonts w:ascii="Times" w:hAnsi="Times"/>
          <w:sz w:val="24"/>
          <w:szCs w:val="24"/>
        </w:rPr>
        <w:t xml:space="preserve">[BP] </w:t>
      </w:r>
      <w:r w:rsidRPr="000A12FD">
        <w:rPr>
          <w:rFonts w:ascii="Times" w:hAnsi="Times"/>
          <w:sz w:val="24"/>
          <w:szCs w:val="24"/>
        </w:rPr>
        <w:t>is measured twice at clinic and averaged)</w:t>
      </w:r>
      <w:r>
        <w:rPr>
          <w:rFonts w:ascii="Times" w:hAnsi="Times"/>
          <w:sz w:val="24"/>
          <w:szCs w:val="24"/>
        </w:rPr>
        <w:t>.</w:t>
      </w:r>
      <w:r w:rsidRPr="000A12FD">
        <w:rPr>
          <w:rFonts w:ascii="Times" w:hAnsi="Times"/>
          <w:sz w:val="24"/>
          <w:szCs w:val="24"/>
        </w:rPr>
        <w:t xml:space="preserve"> 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 w:rsidRPr="000A12FD">
        <w:rPr>
          <w:rFonts w:ascii="Times" w:hAnsi="Times"/>
          <w:sz w:val="24"/>
          <w:szCs w:val="24"/>
        </w:rPr>
        <w:t xml:space="preserve">*Those </w:t>
      </w:r>
      <w:proofErr w:type="gramStart"/>
      <w:r w:rsidRPr="000A12FD">
        <w:rPr>
          <w:rFonts w:ascii="Times" w:hAnsi="Times"/>
          <w:sz w:val="24"/>
          <w:szCs w:val="24"/>
        </w:rPr>
        <w:t>who</w:t>
      </w:r>
      <w:proofErr w:type="gramEnd"/>
      <w:r w:rsidRPr="000A12FD">
        <w:rPr>
          <w:rFonts w:ascii="Times" w:hAnsi="Times"/>
          <w:sz w:val="24"/>
          <w:szCs w:val="24"/>
        </w:rPr>
        <w:t xml:space="preserve"> satisfied the following criteria regardless of whether </w:t>
      </w:r>
      <w:r>
        <w:rPr>
          <w:rFonts w:ascii="Times" w:hAnsi="Times"/>
          <w:sz w:val="24"/>
          <w:szCs w:val="24"/>
        </w:rPr>
        <w:t>they were receiving</w:t>
      </w:r>
      <w:r w:rsidRPr="000A12FD">
        <w:rPr>
          <w:rFonts w:ascii="Times" w:hAnsi="Times"/>
          <w:sz w:val="24"/>
          <w:szCs w:val="24"/>
        </w:rPr>
        <w:t xml:space="preserve"> </w:t>
      </w:r>
      <w:proofErr w:type="spellStart"/>
      <w:r w:rsidRPr="000A12FD">
        <w:rPr>
          <w:rFonts w:ascii="Times" w:hAnsi="Times"/>
          <w:sz w:val="24"/>
          <w:szCs w:val="24"/>
        </w:rPr>
        <w:t>fimasartan</w:t>
      </w:r>
      <w:proofErr w:type="spellEnd"/>
    </w:p>
    <w:p w:rsidR="00B25BCA" w:rsidRPr="000A12FD" w:rsidRDefault="00B25BCA" w:rsidP="00B25BCA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" w:hAnsi="Times"/>
          <w:sz w:val="24"/>
          <w:szCs w:val="24"/>
        </w:rPr>
      </w:pPr>
      <w:r w:rsidRPr="000A12FD">
        <w:rPr>
          <w:rFonts w:ascii="Times" w:hAnsi="Times"/>
          <w:sz w:val="24"/>
          <w:szCs w:val="24"/>
        </w:rPr>
        <w:t>Those without antihypertensive agents administered within 4 weeks prior to enrollment (drug naïve): Patients with stage 2 hypertension (</w:t>
      </w:r>
      <w:r>
        <w:rPr>
          <w:rFonts w:ascii="Times" w:hAnsi="Times"/>
          <w:sz w:val="24"/>
          <w:szCs w:val="24"/>
        </w:rPr>
        <w:t xml:space="preserve">systolic </w:t>
      </w:r>
      <w:r w:rsidRPr="000A12FD">
        <w:rPr>
          <w:rFonts w:ascii="Times" w:hAnsi="Times"/>
          <w:sz w:val="24"/>
          <w:szCs w:val="24"/>
        </w:rPr>
        <w:t xml:space="preserve">BP </w:t>
      </w:r>
      <w:r>
        <w:rPr>
          <w:rFonts w:ascii="Times" w:hAnsi="Times"/>
          <w:sz w:val="24"/>
          <w:szCs w:val="24"/>
        </w:rPr>
        <w:t xml:space="preserve">[SBP] </w:t>
      </w:r>
      <w:r w:rsidRPr="000A12FD">
        <w:rPr>
          <w:rFonts w:ascii="Times" w:hAnsi="Times"/>
          <w:sz w:val="24"/>
          <w:szCs w:val="24"/>
        </w:rPr>
        <w:t xml:space="preserve">≥160 mmHg or </w:t>
      </w:r>
      <w:r>
        <w:rPr>
          <w:rFonts w:ascii="Times" w:hAnsi="Times"/>
          <w:sz w:val="24"/>
          <w:szCs w:val="24"/>
        </w:rPr>
        <w:t>diastolic BP [</w:t>
      </w:r>
      <w:r w:rsidRPr="000A12FD">
        <w:rPr>
          <w:rFonts w:ascii="Times" w:hAnsi="Times"/>
          <w:sz w:val="24"/>
          <w:szCs w:val="24"/>
        </w:rPr>
        <w:t>DBP</w:t>
      </w:r>
      <w:r>
        <w:rPr>
          <w:rFonts w:ascii="Times" w:hAnsi="Times"/>
          <w:sz w:val="24"/>
          <w:szCs w:val="24"/>
        </w:rPr>
        <w:t>]</w:t>
      </w:r>
      <w:r w:rsidRPr="000A12FD">
        <w:rPr>
          <w:rFonts w:ascii="Times" w:hAnsi="Times"/>
          <w:sz w:val="24"/>
          <w:szCs w:val="24"/>
        </w:rPr>
        <w:t xml:space="preserve"> ≥100 mmHg) or with stage 1 hypertension</w:t>
      </w:r>
      <w:r>
        <w:rPr>
          <w:rFonts w:ascii="Times" w:hAnsi="Times"/>
          <w:sz w:val="24"/>
          <w:szCs w:val="24"/>
        </w:rPr>
        <w:t xml:space="preserve"> and higher</w:t>
      </w:r>
      <w:r w:rsidRPr="000A12FD">
        <w:rPr>
          <w:rFonts w:ascii="Times" w:hAnsi="Times"/>
          <w:sz w:val="24"/>
          <w:szCs w:val="24"/>
        </w:rPr>
        <w:t xml:space="preserve"> (SBP ≥140 mmHg or DBP ≥90 mmHg) accompanied by target organ damage or cardiovascular diseases</w:t>
      </w:r>
    </w:p>
    <w:p w:rsidR="00B25BCA" w:rsidRPr="000A12FD" w:rsidRDefault="00B25BCA" w:rsidP="00B25BCA">
      <w:pPr>
        <w:pStyle w:val="ListParagraph"/>
        <w:numPr>
          <w:ilvl w:val="0"/>
          <w:numId w:val="2"/>
        </w:numPr>
        <w:spacing w:line="480" w:lineRule="auto"/>
        <w:ind w:leftChars="0"/>
        <w:rPr>
          <w:rFonts w:ascii="Times" w:hAnsi="Times"/>
          <w:sz w:val="24"/>
          <w:szCs w:val="24"/>
        </w:rPr>
      </w:pPr>
      <w:r w:rsidRPr="000A12FD">
        <w:rPr>
          <w:rFonts w:ascii="Times" w:hAnsi="Times"/>
          <w:sz w:val="24"/>
          <w:szCs w:val="24"/>
        </w:rPr>
        <w:t xml:space="preserve">Those with hypertension uncontrolled by existing antihypertensive agents: Patients whose BP not reaching the target BP (SBP &lt;140 mmHg and DBP &lt;90 mmHg) despite being treated with existing antihypertensive agents for </w:t>
      </w:r>
      <w:r>
        <w:rPr>
          <w:rFonts w:ascii="Times" w:hAnsi="Times"/>
          <w:sz w:val="24"/>
          <w:szCs w:val="24"/>
        </w:rPr>
        <w:t>&gt;</w:t>
      </w:r>
      <w:r w:rsidRPr="000A12FD">
        <w:rPr>
          <w:rFonts w:ascii="Times" w:hAnsi="Times"/>
          <w:sz w:val="24"/>
          <w:szCs w:val="24"/>
        </w:rPr>
        <w:t xml:space="preserve">4 weeks. </w:t>
      </w:r>
      <w:r>
        <w:rPr>
          <w:rFonts w:ascii="Times" w:hAnsi="Times"/>
          <w:sz w:val="24"/>
          <w:szCs w:val="24"/>
        </w:rPr>
        <w:t>However</w:t>
      </w:r>
      <w:r w:rsidRPr="000A12FD">
        <w:rPr>
          <w:rFonts w:ascii="Times" w:hAnsi="Times"/>
          <w:sz w:val="24"/>
          <w:szCs w:val="24"/>
        </w:rPr>
        <w:t xml:space="preserve">, for special cases below, the target BP must follow </w:t>
      </w:r>
      <w:r>
        <w:rPr>
          <w:rFonts w:ascii="Times" w:hAnsi="Times"/>
          <w:sz w:val="24"/>
          <w:szCs w:val="24"/>
        </w:rPr>
        <w:t xml:space="preserve">the </w:t>
      </w:r>
      <w:r w:rsidRPr="000A12FD">
        <w:rPr>
          <w:rFonts w:ascii="Times" w:hAnsi="Times"/>
          <w:sz w:val="24"/>
          <w:szCs w:val="24"/>
        </w:rPr>
        <w:t>criteria suggested:</w:t>
      </w:r>
    </w:p>
    <w:p w:rsidR="00B25BCA" w:rsidRPr="000A12FD" w:rsidRDefault="00B25BCA" w:rsidP="00B25BCA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/>
          <w:sz w:val="24"/>
          <w:szCs w:val="24"/>
        </w:rPr>
      </w:pPr>
      <w:r w:rsidRPr="000A12FD">
        <w:rPr>
          <w:rFonts w:ascii="Times" w:hAnsi="Times"/>
          <w:sz w:val="24"/>
          <w:szCs w:val="24"/>
        </w:rPr>
        <w:t xml:space="preserve">People aged </w:t>
      </w:r>
      <w:r>
        <w:rPr>
          <w:rFonts w:ascii="Times" w:hAnsi="Times"/>
          <w:sz w:val="24"/>
          <w:szCs w:val="24"/>
        </w:rPr>
        <w:t>≥</w:t>
      </w:r>
      <w:r w:rsidRPr="000A12FD">
        <w:rPr>
          <w:rFonts w:ascii="Times" w:hAnsi="Times"/>
          <w:sz w:val="24"/>
          <w:szCs w:val="24"/>
        </w:rPr>
        <w:t xml:space="preserve">80 </w:t>
      </w:r>
      <w:r>
        <w:rPr>
          <w:rFonts w:ascii="Times" w:hAnsi="Times"/>
          <w:sz w:val="24"/>
          <w:szCs w:val="24"/>
        </w:rPr>
        <w:t>years</w:t>
      </w:r>
      <w:r w:rsidRPr="000A12FD">
        <w:rPr>
          <w:rFonts w:ascii="Times" w:hAnsi="Times"/>
          <w:sz w:val="24"/>
          <w:szCs w:val="24"/>
        </w:rPr>
        <w:t xml:space="preserve">: SBP &lt;150 mmHg and DBP &lt;90 mmHg </w:t>
      </w:r>
    </w:p>
    <w:p w:rsidR="00B25BCA" w:rsidRPr="000A12FD" w:rsidRDefault="00B25BCA" w:rsidP="00B25BCA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/>
          <w:sz w:val="24"/>
          <w:szCs w:val="24"/>
        </w:rPr>
      </w:pPr>
      <w:r w:rsidRPr="000A12FD">
        <w:rPr>
          <w:rFonts w:ascii="Times" w:hAnsi="Times"/>
          <w:sz w:val="24"/>
          <w:szCs w:val="24"/>
        </w:rPr>
        <w:t>Diabetic patients: SBP &lt;140 mmHg and DBP &lt;85 mmHg</w:t>
      </w:r>
    </w:p>
    <w:p w:rsidR="00B25BCA" w:rsidRPr="000A12FD" w:rsidRDefault="00B25BCA" w:rsidP="00B25BCA">
      <w:pPr>
        <w:pStyle w:val="ListParagraph"/>
        <w:numPr>
          <w:ilvl w:val="0"/>
          <w:numId w:val="1"/>
        </w:numPr>
        <w:spacing w:line="480" w:lineRule="auto"/>
        <w:ind w:leftChars="0"/>
        <w:rPr>
          <w:rFonts w:ascii="Times" w:hAnsi="Times"/>
          <w:sz w:val="24"/>
          <w:szCs w:val="24"/>
        </w:rPr>
      </w:pPr>
      <w:r w:rsidRPr="000A12FD">
        <w:rPr>
          <w:rFonts w:ascii="Times" w:hAnsi="Times"/>
          <w:sz w:val="24"/>
          <w:szCs w:val="24"/>
        </w:rPr>
        <w:t>Patients with chronic kidney disease</w:t>
      </w:r>
      <w:r>
        <w:rPr>
          <w:rFonts w:ascii="Times" w:hAnsi="Times"/>
          <w:sz w:val="24"/>
          <w:szCs w:val="24"/>
        </w:rPr>
        <w:t>, as</w:t>
      </w:r>
      <w:r w:rsidRPr="000A12FD">
        <w:rPr>
          <w:rFonts w:ascii="Times" w:hAnsi="Times"/>
          <w:sz w:val="24"/>
          <w:szCs w:val="24"/>
        </w:rPr>
        <w:t xml:space="preserve"> indicated by proteinuria (</w:t>
      </w:r>
      <w:r>
        <w:rPr>
          <w:rFonts w:ascii="Times" w:hAnsi="Times"/>
          <w:sz w:val="24"/>
          <w:szCs w:val="24"/>
        </w:rPr>
        <w:t xml:space="preserve">albumin level </w:t>
      </w:r>
      <w:r w:rsidRPr="000A12FD">
        <w:rPr>
          <w:rFonts w:ascii="Times" w:hAnsi="Times"/>
          <w:sz w:val="24"/>
          <w:szCs w:val="24"/>
        </w:rPr>
        <w:lastRenderedPageBreak/>
        <w:t>≥30 mg/d or ≥30 mg/g</w:t>
      </w:r>
      <w:r>
        <w:rPr>
          <w:rFonts w:ascii="Times" w:hAnsi="Times"/>
          <w:sz w:val="24"/>
          <w:szCs w:val="24"/>
        </w:rPr>
        <w:t xml:space="preserve"> [</w:t>
      </w:r>
      <w:r w:rsidRPr="000A12FD">
        <w:rPr>
          <w:rFonts w:ascii="Times" w:hAnsi="Times"/>
          <w:sz w:val="24"/>
          <w:szCs w:val="24"/>
        </w:rPr>
        <w:t>albuminuria</w:t>
      </w:r>
      <w:r>
        <w:rPr>
          <w:rFonts w:ascii="Times" w:hAnsi="Times"/>
          <w:sz w:val="24"/>
          <w:szCs w:val="24"/>
        </w:rPr>
        <w:t>]</w:t>
      </w:r>
      <w:r w:rsidRPr="000A12FD">
        <w:rPr>
          <w:rFonts w:ascii="Times" w:hAnsi="Times"/>
          <w:sz w:val="24"/>
          <w:szCs w:val="24"/>
        </w:rPr>
        <w:t xml:space="preserve">, </w:t>
      </w:r>
      <w:r>
        <w:rPr>
          <w:rFonts w:ascii="Times" w:hAnsi="Times"/>
          <w:sz w:val="24"/>
          <w:szCs w:val="24"/>
        </w:rPr>
        <w:t xml:space="preserve">protein level </w:t>
      </w:r>
      <w:r w:rsidRPr="000A12FD">
        <w:rPr>
          <w:rFonts w:ascii="Times" w:hAnsi="Times"/>
          <w:sz w:val="24"/>
          <w:szCs w:val="24"/>
        </w:rPr>
        <w:t>≥150 mg/d or ≥150 mg/g</w:t>
      </w:r>
      <w:r>
        <w:rPr>
          <w:rFonts w:ascii="Times" w:hAnsi="Times"/>
          <w:sz w:val="24"/>
          <w:szCs w:val="24"/>
        </w:rPr>
        <w:t xml:space="preserve"> [</w:t>
      </w:r>
      <w:r w:rsidRPr="000A12FD">
        <w:rPr>
          <w:rFonts w:ascii="Times" w:hAnsi="Times"/>
          <w:sz w:val="24"/>
          <w:szCs w:val="24"/>
        </w:rPr>
        <w:t>proteinuria</w:t>
      </w:r>
      <w:r>
        <w:rPr>
          <w:rFonts w:ascii="Times" w:hAnsi="Times"/>
          <w:sz w:val="24"/>
          <w:szCs w:val="24"/>
        </w:rPr>
        <w:t>]</w:t>
      </w:r>
      <w:r w:rsidRPr="000A12FD">
        <w:rPr>
          <w:rFonts w:ascii="Times" w:hAnsi="Times"/>
          <w:sz w:val="24"/>
          <w:szCs w:val="24"/>
        </w:rPr>
        <w:t>): SBP &lt;130 mmHg and DBP &lt;80 mmHg</w:t>
      </w:r>
    </w:p>
    <w:p w:rsidR="00B25BCA" w:rsidRPr="000A12FD" w:rsidRDefault="00B25BCA" w:rsidP="00B25BCA">
      <w:pPr>
        <w:pStyle w:val="ListParagraph"/>
        <w:spacing w:line="480" w:lineRule="auto"/>
        <w:ind w:leftChars="0" w:left="1700"/>
        <w:rPr>
          <w:rFonts w:ascii="Times" w:hAnsi="Times"/>
          <w:sz w:val="24"/>
          <w:szCs w:val="24"/>
        </w:rPr>
      </w:pPr>
    </w:p>
    <w:p w:rsidR="00B25BCA" w:rsidRPr="000A12FD" w:rsidRDefault="00B25BCA" w:rsidP="00B25BCA">
      <w:pPr>
        <w:spacing w:line="480" w:lineRule="auto"/>
        <w:rPr>
          <w:rFonts w:ascii="Times" w:hAnsi="Times"/>
          <w:b/>
          <w:sz w:val="24"/>
          <w:szCs w:val="24"/>
        </w:rPr>
      </w:pPr>
      <w:r w:rsidRPr="000A12FD">
        <w:rPr>
          <w:rFonts w:ascii="Times" w:hAnsi="Times"/>
          <w:b/>
          <w:noProof/>
          <w:sz w:val="24"/>
          <w:szCs w:val="24"/>
        </w:rPr>
        <w:t>(2)</w:t>
      </w:r>
      <w:r w:rsidRPr="000A12FD">
        <w:rPr>
          <w:rFonts w:ascii="Times" w:hAnsi="Times"/>
          <w:b/>
          <w:sz w:val="24"/>
          <w:szCs w:val="24"/>
        </w:rPr>
        <w:t xml:space="preserve"> Exclusion </w:t>
      </w:r>
      <w:r>
        <w:rPr>
          <w:rFonts w:ascii="Times" w:hAnsi="Times"/>
          <w:b/>
          <w:sz w:val="24"/>
          <w:szCs w:val="24"/>
        </w:rPr>
        <w:t>c</w:t>
      </w:r>
      <w:r w:rsidRPr="000A12FD">
        <w:rPr>
          <w:rFonts w:ascii="Times" w:hAnsi="Times"/>
          <w:b/>
          <w:sz w:val="24"/>
          <w:szCs w:val="24"/>
        </w:rPr>
        <w:t xml:space="preserve">riteria 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1. </w:t>
      </w:r>
      <w:r w:rsidRPr="000A12FD">
        <w:rPr>
          <w:rFonts w:ascii="Times" w:hAnsi="Times"/>
          <w:sz w:val="24"/>
          <w:szCs w:val="24"/>
        </w:rPr>
        <w:t>Patients on hemodialysis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2. </w:t>
      </w:r>
      <w:r w:rsidRPr="000A12FD">
        <w:rPr>
          <w:rFonts w:ascii="Times" w:hAnsi="Times"/>
          <w:sz w:val="24"/>
          <w:szCs w:val="24"/>
        </w:rPr>
        <w:t xml:space="preserve">Patients with diabetic nephropathy and </w:t>
      </w:r>
      <w:r>
        <w:rPr>
          <w:rFonts w:ascii="Times" w:hAnsi="Times"/>
          <w:sz w:val="24"/>
          <w:szCs w:val="24"/>
        </w:rPr>
        <w:t xml:space="preserve">those </w:t>
      </w:r>
      <w:r w:rsidRPr="000A12FD">
        <w:rPr>
          <w:rFonts w:ascii="Times" w:hAnsi="Times"/>
          <w:sz w:val="24"/>
          <w:szCs w:val="24"/>
        </w:rPr>
        <w:t>taking</w:t>
      </w:r>
      <w:r>
        <w:rPr>
          <w:rFonts w:ascii="Times" w:hAnsi="Times"/>
          <w:sz w:val="24"/>
          <w:szCs w:val="24"/>
        </w:rPr>
        <w:t xml:space="preserve"> an</w:t>
      </w:r>
      <w:r w:rsidRPr="000A12FD">
        <w:rPr>
          <w:rFonts w:ascii="Times" w:hAnsi="Times"/>
          <w:sz w:val="24"/>
          <w:szCs w:val="24"/>
        </w:rPr>
        <w:t xml:space="preserve"> </w:t>
      </w:r>
      <w:proofErr w:type="spellStart"/>
      <w:r w:rsidRPr="000A12FD">
        <w:rPr>
          <w:rFonts w:ascii="Times" w:hAnsi="Times"/>
          <w:sz w:val="24"/>
          <w:szCs w:val="24"/>
        </w:rPr>
        <w:t>angiotension</w:t>
      </w:r>
      <w:proofErr w:type="spellEnd"/>
      <w:r w:rsidRPr="000A12FD">
        <w:rPr>
          <w:rFonts w:ascii="Times" w:hAnsi="Times"/>
          <w:sz w:val="24"/>
          <w:szCs w:val="24"/>
        </w:rPr>
        <w:t>-converting enzyme inhibitor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3. </w:t>
      </w:r>
      <w:r w:rsidRPr="000A12FD">
        <w:rPr>
          <w:rFonts w:ascii="Times" w:hAnsi="Times"/>
          <w:sz w:val="24"/>
          <w:szCs w:val="24"/>
        </w:rPr>
        <w:t>Patients with moderate</w:t>
      </w:r>
      <w:r>
        <w:rPr>
          <w:rFonts w:ascii="Times" w:hAnsi="Times"/>
          <w:sz w:val="24"/>
          <w:szCs w:val="24"/>
        </w:rPr>
        <w:t>-</w:t>
      </w:r>
      <w:r w:rsidRPr="000A12FD">
        <w:rPr>
          <w:rFonts w:ascii="Times" w:hAnsi="Times"/>
          <w:sz w:val="24"/>
          <w:szCs w:val="24"/>
        </w:rPr>
        <w:t>to</w:t>
      </w:r>
      <w:r>
        <w:rPr>
          <w:rFonts w:ascii="Times" w:hAnsi="Times"/>
          <w:sz w:val="24"/>
          <w:szCs w:val="24"/>
        </w:rPr>
        <w:t>-</w:t>
      </w:r>
      <w:r w:rsidRPr="000A12FD">
        <w:rPr>
          <w:rFonts w:ascii="Times" w:hAnsi="Times"/>
          <w:sz w:val="24"/>
          <w:szCs w:val="24"/>
        </w:rPr>
        <w:t>severe liver diseases (</w:t>
      </w:r>
      <w:r>
        <w:rPr>
          <w:rFonts w:ascii="Times" w:hAnsi="Times"/>
          <w:sz w:val="24"/>
          <w:szCs w:val="24"/>
        </w:rPr>
        <w:t>aspartate aminotransferase</w:t>
      </w:r>
      <w:r w:rsidRPr="000A12FD">
        <w:rPr>
          <w:rFonts w:ascii="Times" w:hAnsi="Times"/>
          <w:sz w:val="24"/>
          <w:szCs w:val="24"/>
        </w:rPr>
        <w:t xml:space="preserve"> and </w:t>
      </w:r>
      <w:r w:rsidRPr="002D7AD6">
        <w:rPr>
          <w:rFonts w:ascii="Times" w:hAnsi="Times"/>
          <w:sz w:val="24"/>
          <w:szCs w:val="24"/>
        </w:rPr>
        <w:t>alanine aminotransferase</w:t>
      </w:r>
      <w:r>
        <w:rPr>
          <w:rFonts w:ascii="Times" w:hAnsi="Times"/>
          <w:sz w:val="24"/>
          <w:szCs w:val="24"/>
        </w:rPr>
        <w:t xml:space="preserve"> levels</w:t>
      </w:r>
      <w:r w:rsidRPr="000A12FD">
        <w:rPr>
          <w:rFonts w:ascii="Times" w:hAnsi="Times"/>
          <w:sz w:val="24"/>
          <w:szCs w:val="24"/>
        </w:rPr>
        <w:t xml:space="preserve"> are 3-fold higher than the upper limit of normal or with biliary obstruction 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4. </w:t>
      </w:r>
      <w:r w:rsidRPr="000A12FD">
        <w:rPr>
          <w:rFonts w:ascii="Times" w:hAnsi="Times"/>
          <w:sz w:val="24"/>
          <w:szCs w:val="24"/>
        </w:rPr>
        <w:t xml:space="preserve">Patients with </w:t>
      </w:r>
      <w:proofErr w:type="spellStart"/>
      <w:r w:rsidRPr="000A12FD">
        <w:rPr>
          <w:rFonts w:ascii="Times" w:hAnsi="Times"/>
          <w:sz w:val="24"/>
          <w:szCs w:val="24"/>
        </w:rPr>
        <w:t>galactose</w:t>
      </w:r>
      <w:proofErr w:type="spellEnd"/>
      <w:r w:rsidRPr="000A12FD">
        <w:rPr>
          <w:rFonts w:ascii="Times" w:hAnsi="Times"/>
          <w:sz w:val="24"/>
          <w:szCs w:val="24"/>
        </w:rPr>
        <w:t xml:space="preserve"> intolerance, Lapp lactase deficiency, or glucose-</w:t>
      </w:r>
      <w:proofErr w:type="spellStart"/>
      <w:r w:rsidRPr="000A12FD">
        <w:rPr>
          <w:rFonts w:ascii="Times" w:hAnsi="Times"/>
          <w:sz w:val="24"/>
          <w:szCs w:val="24"/>
        </w:rPr>
        <w:t>galactose</w:t>
      </w:r>
      <w:proofErr w:type="spellEnd"/>
      <w:r w:rsidRPr="000A12FD">
        <w:rPr>
          <w:rFonts w:ascii="Times" w:hAnsi="Times"/>
          <w:sz w:val="24"/>
          <w:szCs w:val="24"/>
        </w:rPr>
        <w:t xml:space="preserve"> </w:t>
      </w:r>
      <w:proofErr w:type="spellStart"/>
      <w:r w:rsidRPr="000A12FD">
        <w:rPr>
          <w:rFonts w:ascii="Times" w:hAnsi="Times"/>
          <w:sz w:val="24"/>
          <w:szCs w:val="24"/>
        </w:rPr>
        <w:t>malabsorption</w:t>
      </w:r>
      <w:proofErr w:type="spellEnd"/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5. </w:t>
      </w:r>
      <w:r w:rsidRPr="000A12FD">
        <w:rPr>
          <w:rFonts w:ascii="Times" w:hAnsi="Times"/>
          <w:sz w:val="24"/>
          <w:szCs w:val="24"/>
        </w:rPr>
        <w:t xml:space="preserve">Patients with hypersensitivity to ingredients contained in </w:t>
      </w:r>
      <w:proofErr w:type="spellStart"/>
      <w:r w:rsidRPr="000A12FD">
        <w:rPr>
          <w:rFonts w:ascii="Times" w:hAnsi="Times"/>
          <w:sz w:val="24"/>
          <w:szCs w:val="24"/>
        </w:rPr>
        <w:t>fimasartan</w:t>
      </w:r>
      <w:proofErr w:type="spellEnd"/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6. </w:t>
      </w:r>
      <w:r w:rsidRPr="000A12FD">
        <w:rPr>
          <w:rFonts w:ascii="Times" w:hAnsi="Times"/>
          <w:sz w:val="24"/>
          <w:szCs w:val="24"/>
        </w:rPr>
        <w:t xml:space="preserve">Pregnant or lactating women 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7. </w:t>
      </w:r>
      <w:r w:rsidRPr="000A12FD">
        <w:rPr>
          <w:rFonts w:ascii="Times" w:hAnsi="Times"/>
          <w:sz w:val="24"/>
          <w:szCs w:val="24"/>
        </w:rPr>
        <w:t>Those currently participat</w:t>
      </w:r>
      <w:r>
        <w:rPr>
          <w:rFonts w:ascii="Times" w:hAnsi="Times"/>
          <w:sz w:val="24"/>
          <w:szCs w:val="24"/>
        </w:rPr>
        <w:t>ing</w:t>
      </w:r>
      <w:r w:rsidRPr="000A12FD">
        <w:rPr>
          <w:rFonts w:ascii="Times" w:hAnsi="Times"/>
          <w:sz w:val="24"/>
          <w:szCs w:val="24"/>
        </w:rPr>
        <w:t xml:space="preserve"> in other clinical studies or planning to participate in other clinical studies while being in this study 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8. </w:t>
      </w:r>
      <w:r w:rsidRPr="000A12FD">
        <w:rPr>
          <w:rFonts w:ascii="Times" w:hAnsi="Times"/>
          <w:sz w:val="24"/>
          <w:szCs w:val="24"/>
        </w:rPr>
        <w:t>Other cases judged by an investigator to be adversely affected by the study or unable to follow an investigator’s instructions</w:t>
      </w:r>
    </w:p>
    <w:p w:rsidR="00B25BCA" w:rsidRPr="000A12FD" w:rsidRDefault="00B25BCA" w:rsidP="00B25BCA">
      <w:pPr>
        <w:spacing w:line="48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9. </w:t>
      </w:r>
      <w:r w:rsidRPr="000A12FD">
        <w:rPr>
          <w:rFonts w:ascii="Times" w:hAnsi="Times"/>
          <w:sz w:val="24"/>
          <w:szCs w:val="24"/>
        </w:rPr>
        <w:t>In the case of the control site, patients who planned to regular</w:t>
      </w:r>
      <w:r>
        <w:rPr>
          <w:rFonts w:ascii="Times" w:hAnsi="Times"/>
          <w:sz w:val="24"/>
          <w:szCs w:val="24"/>
        </w:rPr>
        <w:t>ly</w:t>
      </w:r>
      <w:r w:rsidRPr="000A12FD">
        <w:rPr>
          <w:rFonts w:ascii="Times" w:hAnsi="Times"/>
          <w:sz w:val="24"/>
          <w:szCs w:val="24"/>
        </w:rPr>
        <w:t xml:space="preserve"> measure HBP during the study period</w:t>
      </w:r>
    </w:p>
    <w:p w:rsidR="005E40AB" w:rsidRDefault="005E40AB">
      <w:bookmarkStart w:id="0" w:name="_GoBack"/>
      <w:bookmarkEnd w:id="0"/>
    </w:p>
    <w:sectPr w:rsidR="005E4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7A2E"/>
    <w:multiLevelType w:val="hybridMultilevel"/>
    <w:tmpl w:val="36468DA2"/>
    <w:lvl w:ilvl="0" w:tplc="B45CE074">
      <w:start w:val="3"/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DF"/>
    <w:multiLevelType w:val="hybridMultilevel"/>
    <w:tmpl w:val="040CAE0C"/>
    <w:lvl w:ilvl="0" w:tplc="24260718">
      <w:numFmt w:val="bullet"/>
      <w:lvlText w:val="・"/>
      <w:lvlJc w:val="left"/>
      <w:pPr>
        <w:ind w:left="1700" w:hanging="40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BCA"/>
    <w:rsid w:val="00024E53"/>
    <w:rsid w:val="00043FD0"/>
    <w:rsid w:val="00061C44"/>
    <w:rsid w:val="000645BE"/>
    <w:rsid w:val="00170EEB"/>
    <w:rsid w:val="001815FB"/>
    <w:rsid w:val="001C3E3A"/>
    <w:rsid w:val="002723A1"/>
    <w:rsid w:val="002E2A86"/>
    <w:rsid w:val="002F4E23"/>
    <w:rsid w:val="003106BB"/>
    <w:rsid w:val="00323792"/>
    <w:rsid w:val="003621BF"/>
    <w:rsid w:val="003C35F7"/>
    <w:rsid w:val="004209F9"/>
    <w:rsid w:val="00464B1F"/>
    <w:rsid w:val="00475750"/>
    <w:rsid w:val="00500D9C"/>
    <w:rsid w:val="005E40AB"/>
    <w:rsid w:val="005F296D"/>
    <w:rsid w:val="00612D5D"/>
    <w:rsid w:val="00636B0D"/>
    <w:rsid w:val="0067413B"/>
    <w:rsid w:val="006E167B"/>
    <w:rsid w:val="006F6189"/>
    <w:rsid w:val="0077698D"/>
    <w:rsid w:val="007B24AB"/>
    <w:rsid w:val="007C6671"/>
    <w:rsid w:val="007D5F3C"/>
    <w:rsid w:val="007F1DBF"/>
    <w:rsid w:val="008058C8"/>
    <w:rsid w:val="008246EF"/>
    <w:rsid w:val="00855347"/>
    <w:rsid w:val="0086621E"/>
    <w:rsid w:val="00983427"/>
    <w:rsid w:val="009D6A33"/>
    <w:rsid w:val="00A12CF8"/>
    <w:rsid w:val="00AB1630"/>
    <w:rsid w:val="00B15BAE"/>
    <w:rsid w:val="00B25BCA"/>
    <w:rsid w:val="00B6584D"/>
    <w:rsid w:val="00BA2786"/>
    <w:rsid w:val="00C56EBF"/>
    <w:rsid w:val="00C764EC"/>
    <w:rsid w:val="00C86505"/>
    <w:rsid w:val="00CE517D"/>
    <w:rsid w:val="00CF296C"/>
    <w:rsid w:val="00D61827"/>
    <w:rsid w:val="00D63A76"/>
    <w:rsid w:val="00DB6108"/>
    <w:rsid w:val="00DB789F"/>
    <w:rsid w:val="00DC0B5D"/>
    <w:rsid w:val="00DC6A3A"/>
    <w:rsid w:val="00E360B6"/>
    <w:rsid w:val="00EE32B9"/>
    <w:rsid w:val="00F455C8"/>
    <w:rsid w:val="00F56D97"/>
    <w:rsid w:val="00F7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BCA"/>
    <w:pPr>
      <w:widowControl w:val="0"/>
      <w:wordWrap w:val="0"/>
      <w:autoSpaceDE w:val="0"/>
      <w:autoSpaceDN w:val="0"/>
      <w:spacing w:after="160" w:line="256" w:lineRule="auto"/>
      <w:jc w:val="both"/>
    </w:pPr>
    <w:rPr>
      <w:rFonts w:ascii="Malgun Gothic" w:eastAsia="Malgun Gothic" w:hAnsi="Malgun Gothic" w:cs="Times New Roman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BCA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BCA"/>
    <w:pPr>
      <w:widowControl w:val="0"/>
      <w:wordWrap w:val="0"/>
      <w:autoSpaceDE w:val="0"/>
      <w:autoSpaceDN w:val="0"/>
      <w:spacing w:after="160" w:line="256" w:lineRule="auto"/>
      <w:jc w:val="both"/>
    </w:pPr>
    <w:rPr>
      <w:rFonts w:ascii="Malgun Gothic" w:eastAsia="Malgun Gothic" w:hAnsi="Malgun Gothic" w:cs="Times New Roman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BC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2017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2020-09-14T21:07:00Z</dcterms:created>
  <dcterms:modified xsi:type="dcterms:W3CDTF">2020-09-14T21:07:00Z</dcterms:modified>
</cp:coreProperties>
</file>