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BD29A">
      <w:pPr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Appendix 1 | Focus group interview guide</w:t>
      </w:r>
    </w:p>
    <w:tbl>
      <w:tblPr>
        <w:tblStyle w:val="3"/>
        <w:tblW w:w="0" w:type="auto"/>
        <w:tblInd w:w="0" w:type="dxa"/>
        <w:tblBorders>
          <w:top w:val="single" w:color="000000" w:sz="6" w:space="0"/>
          <w:left w:val="none" w:color="auto" w:sz="0" w:space="0"/>
          <w:bottom w:val="single" w:color="000000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36"/>
      </w:tblGrid>
      <w:tr w14:paraId="2CB640A5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F0E38B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</w:pPr>
          </w:p>
          <w:p w14:paraId="67AB2BA5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Understanding Patient and Public Involvement and Engagement (PPIE)</w:t>
            </w:r>
          </w:p>
        </w:tc>
      </w:tr>
      <w:tr w14:paraId="223CD020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DABC67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1. Could you please describe your previous experiences in research? </w:t>
            </w:r>
          </w:p>
          <w:p w14:paraId="707A99AD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(Probing: reasons for involvement or non-involvement in research, role in past research, type of research involved in).</w:t>
            </w:r>
          </w:p>
          <w:p w14:paraId="2A666F05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(The facilitator(s) first explain the concept and provide examples of PPIE in research.)</w:t>
            </w:r>
          </w:p>
          <w:p w14:paraId="36BDDF52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2. Currently, researchers are encouraged to incorporate PPIE (explain the concept of PPIE again if they have little understanding) in research. What are your thoughts on this idea?</w:t>
            </w:r>
          </w:p>
          <w:p w14:paraId="2D2D11B9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(Probing: its purposes, prospect, benefits in research).</w:t>
            </w:r>
          </w:p>
          <w:p w14:paraId="350DC43E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Facilitators for Involvement/Engagement in Research</w:t>
            </w:r>
          </w:p>
          <w:p w14:paraId="6C2E56C9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3. What would interest or motivate you to involve/engage in research?</w:t>
            </w:r>
          </w:p>
          <w:p w14:paraId="48C45C2C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(Probing: impact on your organization, recognition (certificates, authorship), financial reimbursement, good for public well-being) </w:t>
            </w:r>
          </w:p>
          <w:p w14:paraId="3010E744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(Probing: contributions you can make, ways to encourage your organization members to get involved in research.)</w:t>
            </w:r>
          </w:p>
          <w:p w14:paraId="1384E908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4. If we invite you to join our patient advisory committee meeting, what medium and frequency do you prefer?</w:t>
            </w:r>
          </w:p>
          <w:p w14:paraId="6CEC9CC3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(Probing: online, in-person, hybrid; twice a year, four times a year.)</w:t>
            </w:r>
          </w:p>
          <w:p w14:paraId="4C46E245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5. What types of training would you like to receive to involve/engage in research if invited?</w:t>
            </w:r>
          </w:p>
          <w:p w14:paraId="56634D74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(Probing: Research processes (research problem identification, methods, implementation), collaboration workflow, communication skills.)</w:t>
            </w:r>
          </w:p>
          <w:p w14:paraId="3A9F338F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Barriers for Involvement/Engagement in Research</w:t>
            </w:r>
          </w:p>
          <w:p w14:paraId="0889B551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6. What personal challenges might prevent you from involving/engaging in research?</w:t>
            </w:r>
          </w:p>
          <w:p w14:paraId="25FD9907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(Probing: Time constraints, privacy protections.)</w:t>
            </w:r>
          </w:p>
          <w:p w14:paraId="0CE468A7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7. If we ask you to invite other members of your organization to involve/engage in research, what obstacles do you think might arise?</w:t>
            </w:r>
          </w:p>
          <w:p w14:paraId="318F909B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(Probing: interest, workload, organizational support, prior experience)</w:t>
            </w:r>
          </w:p>
          <w:p w14:paraId="6BAB5E27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Sustainable Collaboration in the Future</w:t>
            </w:r>
          </w:p>
          <w:p w14:paraId="2847E1D3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8. How can we build a stable and sustainable long-term collaboration with your organization?  What would you expect us to contribute to your organization?</w:t>
            </w:r>
          </w:p>
          <w:p w14:paraId="68AF2574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(Probing: support from our School and DOCE Lab, expectations for us-such as holding lectures, providing training, offering incentives.)</w:t>
            </w:r>
          </w:p>
        </w:tc>
      </w:tr>
    </w:tbl>
    <w:p w14:paraId="4D654D4F">
      <w:pPr>
        <w:rPr>
          <w:rFonts w:ascii="Times New Roman" w:hAnsi="Times New Roman" w:eastAsia="SimSun" w:cs="Times New Roman"/>
          <w:color w:val="auto"/>
          <w:sz w:val="24"/>
          <w:shd w:val="clear" w:color="auto" w:fill="FFFFFF"/>
        </w:rPr>
      </w:pPr>
    </w:p>
    <w:p w14:paraId="7730E973">
      <w:pPr>
        <w:pStyle w:val="6"/>
        <w:ind w:left="0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 xml:space="preserve">Appendix </w:t>
      </w:r>
      <w:bookmarkStart w:id="0" w:name="_GoBack"/>
      <w:r>
        <w:rPr>
          <w:rFonts w:ascii="Times New Roman" w:hAnsi="Times New Roman" w:cs="Times New Roman"/>
          <w:b/>
          <w:bCs/>
          <w:color w:val="auto"/>
          <w:sz w:val="24"/>
        </w:rPr>
        <w:t>2.</w:t>
      </w:r>
      <w:r>
        <w:rPr>
          <w:rFonts w:ascii="Times New Roman" w:hAnsi="Times New Roman" w:cs="Times New Roman"/>
          <w:b/>
          <w:bCs/>
          <w:color w:val="auto"/>
          <w:sz w:val="24"/>
          <w:lang w:eastAsia="zh-TW"/>
        </w:rPr>
        <w:t xml:space="preserve"> Overview of</w:t>
      </w:r>
      <w:r>
        <w:rPr>
          <w:rFonts w:ascii="Times New Roman" w:hAnsi="Times New Roman" w:cs="Times New Roman"/>
          <w:b/>
          <w:bCs/>
          <w:color w:val="auto"/>
          <w:sz w:val="24"/>
        </w:rPr>
        <w:t xml:space="preserve"> T</w:t>
      </w:r>
      <w:r>
        <w:rPr>
          <w:rFonts w:ascii="Times New Roman" w:hAnsi="Times New Roman" w:cs="Times New Roman"/>
          <w:b/>
          <w:bCs/>
          <w:color w:val="auto"/>
          <w:sz w:val="24"/>
          <w:lang w:eastAsia="zh-TW"/>
        </w:rPr>
        <w:t xml:space="preserve">hemes and </w:t>
      </w:r>
      <w:r>
        <w:rPr>
          <w:rFonts w:ascii="Times New Roman" w:hAnsi="Times New Roman" w:cs="Times New Roman"/>
          <w:b/>
          <w:bCs/>
          <w:color w:val="auto"/>
          <w:sz w:val="24"/>
        </w:rPr>
        <w:t>S</w:t>
      </w:r>
      <w:r>
        <w:rPr>
          <w:rFonts w:ascii="Times New Roman" w:hAnsi="Times New Roman" w:cs="Times New Roman"/>
          <w:b/>
          <w:bCs/>
          <w:color w:val="auto"/>
          <w:sz w:val="24"/>
          <w:lang w:eastAsia="zh-TW"/>
        </w:rPr>
        <w:t>ub</w:t>
      </w:r>
      <w:r>
        <w:rPr>
          <w:rFonts w:ascii="Times New Roman" w:hAnsi="Times New Roman" w:cs="Times New Roman"/>
          <w:b/>
          <w:bCs/>
          <w:color w:val="auto"/>
          <w:sz w:val="24"/>
        </w:rPr>
        <w:t>-</w:t>
      </w:r>
      <w:r>
        <w:rPr>
          <w:rFonts w:ascii="Times New Roman" w:hAnsi="Times New Roman" w:cs="Times New Roman"/>
          <w:b/>
          <w:bCs/>
          <w:color w:val="auto"/>
          <w:sz w:val="24"/>
          <w:lang w:eastAsia="zh-TW"/>
        </w:rPr>
        <w:t>themes</w:t>
      </w:r>
      <w:r>
        <w:rPr>
          <w:rStyle w:val="4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bookmarkEnd w:id="0"/>
    </w:p>
    <w:tbl>
      <w:tblPr>
        <w:tblStyle w:val="5"/>
        <w:tblW w:w="1131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1"/>
        <w:gridCol w:w="8865"/>
      </w:tblGrid>
      <w:tr w14:paraId="759393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1" w:type="dxa"/>
          </w:tcPr>
          <w:p w14:paraId="25985D7E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Themes</w:t>
            </w:r>
          </w:p>
        </w:tc>
        <w:tc>
          <w:tcPr>
            <w:tcW w:w="8865" w:type="dxa"/>
          </w:tcPr>
          <w:p w14:paraId="1F5FB50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 xml:space="preserve">Sub-themes </w:t>
            </w:r>
          </w:p>
        </w:tc>
      </w:tr>
      <w:tr w14:paraId="5E98F2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2451" w:type="dxa"/>
            <w:vMerge w:val="restart"/>
          </w:tcPr>
          <w:p w14:paraId="44B3CAAB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Experience and Understanding of PPIE</w:t>
            </w:r>
          </w:p>
        </w:tc>
        <w:tc>
          <w:tcPr>
            <w:tcW w:w="8865" w:type="dxa"/>
          </w:tcPr>
          <w:p w14:paraId="0835C0E2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Lack of PPIE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E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xperience</w:t>
            </w:r>
          </w:p>
        </w:tc>
      </w:tr>
      <w:tr w14:paraId="367119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2451" w:type="dxa"/>
            <w:vMerge w:val="continue"/>
          </w:tcPr>
          <w:p w14:paraId="4CF93445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65" w:type="dxa"/>
          </w:tcPr>
          <w:p w14:paraId="465882D0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Limited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U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nderstanding of PPIE</w:t>
            </w:r>
          </w:p>
        </w:tc>
      </w:tr>
      <w:tr w14:paraId="3FE160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2451" w:type="dxa"/>
            <w:vMerge w:val="restart"/>
          </w:tcPr>
          <w:p w14:paraId="5B19379A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Perceived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enefits of PPIE</w:t>
            </w:r>
          </w:p>
        </w:tc>
        <w:tc>
          <w:tcPr>
            <w:tcW w:w="8865" w:type="dxa"/>
          </w:tcPr>
          <w:p w14:paraId="06A7C6A0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Promotion of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atient-centered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are</w:t>
            </w:r>
          </w:p>
        </w:tc>
      </w:tr>
      <w:tr w14:paraId="211315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  <w:jc w:val="center"/>
        </w:trPr>
        <w:tc>
          <w:tcPr>
            <w:tcW w:w="2451" w:type="dxa"/>
            <w:vMerge w:val="continue"/>
          </w:tcPr>
          <w:p w14:paraId="7B2F5F23">
            <w:pP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</w:pPr>
          </w:p>
        </w:tc>
        <w:tc>
          <w:tcPr>
            <w:tcW w:w="8865" w:type="dxa"/>
          </w:tcPr>
          <w:p w14:paraId="64E7AA7C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Patient and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ublic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E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mpowerment in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ealth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 M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anagement</w:t>
            </w:r>
          </w:p>
        </w:tc>
      </w:tr>
      <w:tr w14:paraId="6991EA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  <w:jc w:val="center"/>
        </w:trPr>
        <w:tc>
          <w:tcPr>
            <w:tcW w:w="2451" w:type="dxa"/>
            <w:vMerge w:val="continue"/>
          </w:tcPr>
          <w:p w14:paraId="1B69C738">
            <w:pP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</w:pPr>
          </w:p>
        </w:tc>
        <w:tc>
          <w:tcPr>
            <w:tcW w:w="8865" w:type="dxa"/>
          </w:tcPr>
          <w:p w14:paraId="4639F494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Enhancement and Facilitation 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of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R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esearch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Processes</w:t>
            </w:r>
          </w:p>
        </w:tc>
      </w:tr>
      <w:tr w14:paraId="0E5962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  <w:jc w:val="center"/>
        </w:trPr>
        <w:tc>
          <w:tcPr>
            <w:tcW w:w="2451" w:type="dxa"/>
            <w:vMerge w:val="continue"/>
          </w:tcPr>
          <w:p w14:paraId="473315D6">
            <w:pP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</w:pPr>
          </w:p>
        </w:tc>
        <w:tc>
          <w:tcPr>
            <w:tcW w:w="8865" w:type="dxa"/>
          </w:tcPr>
          <w:p w14:paraId="1F29EF8E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Improvement of Institutional Services and Reputation</w:t>
            </w:r>
          </w:p>
        </w:tc>
      </w:tr>
      <w:tr w14:paraId="1F78C0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  <w:jc w:val="center"/>
        </w:trPr>
        <w:tc>
          <w:tcPr>
            <w:tcW w:w="2451" w:type="dxa"/>
            <w:vMerge w:val="continue"/>
          </w:tcPr>
          <w:p w14:paraId="08365456">
            <w:pP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</w:pPr>
          </w:p>
        </w:tc>
        <w:tc>
          <w:tcPr>
            <w:tcW w:w="8865" w:type="dxa"/>
          </w:tcPr>
          <w:p w14:paraId="6415FBE1">
            <w:pP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Enhancement of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G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overnment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S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upport for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ublic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ealth</w:t>
            </w:r>
          </w:p>
        </w:tc>
      </w:tr>
      <w:tr w14:paraId="7414B5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2451" w:type="dxa"/>
            <w:vMerge w:val="restart"/>
          </w:tcPr>
          <w:p w14:paraId="7017FE87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Perceived Barriers to PPIE</w:t>
            </w:r>
          </w:p>
        </w:tc>
        <w:tc>
          <w:tcPr>
            <w:tcW w:w="8865" w:type="dxa"/>
          </w:tcPr>
          <w:p w14:paraId="123F637F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Personal Factors</w:t>
            </w:r>
          </w:p>
        </w:tc>
      </w:tr>
      <w:tr w14:paraId="053485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2451" w:type="dxa"/>
            <w:vMerge w:val="continue"/>
          </w:tcPr>
          <w:p w14:paraId="2E56C759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65" w:type="dxa"/>
          </w:tcPr>
          <w:p w14:paraId="56493A37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Limited Research Literacy</w:t>
            </w:r>
          </w:p>
        </w:tc>
      </w:tr>
      <w:tr w14:paraId="1EF3B8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2451" w:type="dxa"/>
            <w:vMerge w:val="continue"/>
          </w:tcPr>
          <w:p w14:paraId="604596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65" w:type="dxa"/>
          </w:tcPr>
          <w:p w14:paraId="3F70265F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Restricted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A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ccess to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R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esearch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articipants and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R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esources</w:t>
            </w:r>
          </w:p>
        </w:tc>
      </w:tr>
      <w:tr w14:paraId="5896CC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2451" w:type="dxa"/>
            <w:vMerge w:val="continue"/>
          </w:tcPr>
          <w:p w14:paraId="0031A420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65" w:type="dxa"/>
          </w:tcPr>
          <w:p w14:paraId="04630430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Researcher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dominant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Environment</w:t>
            </w:r>
          </w:p>
        </w:tc>
      </w:tr>
      <w:tr w14:paraId="375562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2451" w:type="dxa"/>
            <w:vMerge w:val="restart"/>
          </w:tcPr>
          <w:p w14:paraId="05B07AEC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Perceived Facilitators of PPIE</w:t>
            </w:r>
          </w:p>
        </w:tc>
        <w:tc>
          <w:tcPr>
            <w:tcW w:w="8865" w:type="dxa"/>
          </w:tcPr>
          <w:p w14:paraId="70D62718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Trust,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T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ransparency, and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Effective Communication with Researchers</w:t>
            </w:r>
          </w:p>
        </w:tc>
      </w:tr>
      <w:tr w14:paraId="1CAA4F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2451" w:type="dxa"/>
            <w:vMerge w:val="continue"/>
          </w:tcPr>
          <w:p w14:paraId="1D02CD5C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65" w:type="dxa"/>
          </w:tcPr>
          <w:p w14:paraId="5635B76D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Shared Gains and Long-term Collaboration between Researchers and Patients/the Public</w:t>
            </w:r>
          </w:p>
        </w:tc>
      </w:tr>
      <w:tr w14:paraId="06BAB5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2451" w:type="dxa"/>
            <w:vMerge w:val="continue"/>
          </w:tcPr>
          <w:p w14:paraId="69A0B875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65" w:type="dxa"/>
          </w:tcPr>
          <w:p w14:paraId="0DA664F7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Self-efficacy 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in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Health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M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anagement</w:t>
            </w:r>
          </w:p>
        </w:tc>
      </w:tr>
      <w:tr w14:paraId="50DC64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2451" w:type="dxa"/>
            <w:vMerge w:val="continue"/>
          </w:tcPr>
          <w:p w14:paraId="253406FC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65" w:type="dxa"/>
          </w:tcPr>
          <w:p w14:paraId="4FAD5228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Training,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I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ncentives, and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F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lexibility for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 xml:space="preserve">atients and the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4"/>
                <w:lang w:eastAsia="zh-TW"/>
              </w:rPr>
              <w:t>ublic</w:t>
            </w:r>
          </w:p>
        </w:tc>
      </w:tr>
    </w:tbl>
    <w:p w14:paraId="048389A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04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qFormat/>
    <w:uiPriority w:val="0"/>
    <w:rPr>
      <w:sz w:val="21"/>
      <w:szCs w:val="21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2026-03-26T04:29:07Z</dcterms:created>
  <dc:creator>wenzelu</dc:creator>
  <cp:lastModifiedBy>WPS_1765784123</cp:lastModifiedBy>
  <dcterms:modified xsi:type="dcterms:W3CDTF">2026-03-26T04:29:24Z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B5F6F60D349441579D6D791AC86139A4_12</vt:lpwstr>
  </property>
</Properties>
</file>