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F101F" w14:textId="49A96F03" w:rsidR="00AD36B5" w:rsidRPr="004D3CDE" w:rsidRDefault="00855C16" w:rsidP="00B729CB">
      <w:pPr>
        <w:jc w:val="both"/>
        <w:rPr>
          <w:rFonts w:asciiTheme="majorBidi" w:hAnsiTheme="majorBidi" w:cstheme="majorBidi"/>
          <w:b/>
          <w:bCs/>
          <w:sz w:val="24"/>
          <w:szCs w:val="24"/>
          <w:u w:val="single"/>
        </w:rPr>
      </w:pPr>
      <w:r w:rsidRPr="004D3CDE">
        <w:rPr>
          <w:rFonts w:asciiTheme="majorBidi" w:hAnsiTheme="majorBidi" w:cstheme="majorBidi"/>
          <w:b/>
          <w:bCs/>
          <w:sz w:val="24"/>
          <w:szCs w:val="24"/>
          <w:u w:val="single"/>
        </w:rPr>
        <w:t>Attention:</w:t>
      </w:r>
      <w:r w:rsidR="00AD36B5" w:rsidRPr="004D3CDE">
        <w:rPr>
          <w:rFonts w:asciiTheme="majorBidi" w:hAnsiTheme="majorBidi" w:cstheme="majorBidi"/>
          <w:b/>
          <w:bCs/>
          <w:sz w:val="24"/>
          <w:szCs w:val="24"/>
          <w:u w:val="single"/>
        </w:rPr>
        <w:t xml:space="preserve"> Editorial Office – </w:t>
      </w:r>
      <w:r w:rsidR="00FF089B" w:rsidRPr="004D3CDE">
        <w:rPr>
          <w:rFonts w:asciiTheme="majorBidi" w:hAnsiTheme="majorBidi" w:cstheme="majorBidi"/>
          <w:b/>
          <w:bCs/>
          <w:sz w:val="24"/>
          <w:szCs w:val="24"/>
          <w:u w:val="single"/>
        </w:rPr>
        <w:t>International Journal of Retina and Vitreous</w:t>
      </w:r>
    </w:p>
    <w:p w14:paraId="2F3A59D1" w14:textId="484AF428" w:rsidR="00AD36B5" w:rsidRPr="004D3CDE" w:rsidRDefault="00AD36B5" w:rsidP="00C86545">
      <w:pPr>
        <w:jc w:val="both"/>
        <w:rPr>
          <w:rFonts w:asciiTheme="majorBidi" w:eastAsia="Times New Roman" w:hAnsiTheme="majorBidi" w:cstheme="majorBidi"/>
          <w:i/>
          <w:iCs/>
          <w:sz w:val="24"/>
          <w:szCs w:val="24"/>
        </w:rPr>
      </w:pPr>
      <w:r w:rsidRPr="004D3CDE">
        <w:rPr>
          <w:rFonts w:asciiTheme="majorBidi" w:hAnsiTheme="majorBidi" w:cstheme="majorBidi"/>
          <w:i/>
          <w:iCs/>
          <w:sz w:val="24"/>
          <w:szCs w:val="24"/>
        </w:rPr>
        <w:t xml:space="preserve">Re: Manuscript - </w:t>
      </w:r>
      <w:r w:rsidR="00860B26" w:rsidRPr="004D3CDE">
        <w:rPr>
          <w:rFonts w:asciiTheme="majorBidi" w:hAnsiTheme="majorBidi" w:cstheme="majorBidi"/>
          <w:i/>
          <w:iCs/>
          <w:color w:val="1D2228"/>
          <w:sz w:val="24"/>
          <w:szCs w:val="24"/>
          <w:shd w:val="clear" w:color="auto" w:fill="FFFFFF"/>
        </w:rPr>
        <w:t>Visual function and retinal morphological changes after single suprachoroidal delivery of fluocinolone acetonide (Iluvien®) implant in eyes with chronic diabetic macular edema</w:t>
      </w:r>
    </w:p>
    <w:p w14:paraId="6C94779F" w14:textId="5EA7B6A1" w:rsidR="00C86545" w:rsidRPr="004D3CDE" w:rsidRDefault="00C86545" w:rsidP="00C86545">
      <w:pPr>
        <w:pStyle w:val="Default"/>
        <w:rPr>
          <w:rFonts w:asciiTheme="majorBidi" w:hAnsiTheme="majorBidi" w:cstheme="majorBidi"/>
          <w:i/>
          <w:iCs/>
          <w:color w:val="auto"/>
        </w:rPr>
      </w:pPr>
      <w:r w:rsidRPr="004D3CDE">
        <w:rPr>
          <w:rFonts w:asciiTheme="majorBidi" w:eastAsia="Times New Roman" w:hAnsiTheme="majorBidi" w:cstheme="majorBidi"/>
          <w:i/>
          <w:iCs/>
        </w:rPr>
        <w:t xml:space="preserve">Manuscript ID: </w:t>
      </w:r>
      <w:r w:rsidR="00860B26" w:rsidRPr="004D3CDE">
        <w:rPr>
          <w:rFonts w:asciiTheme="majorBidi" w:hAnsiTheme="majorBidi" w:cstheme="majorBidi"/>
          <w:i/>
          <w:iCs/>
          <w:color w:val="1D2228"/>
          <w:shd w:val="clear" w:color="auto" w:fill="FFFFFF"/>
        </w:rPr>
        <w:t>IJRV-D-23-00017</w:t>
      </w:r>
      <w:r w:rsidRPr="004D3CDE">
        <w:rPr>
          <w:rFonts w:asciiTheme="majorBidi" w:hAnsiTheme="majorBidi" w:cstheme="majorBidi"/>
          <w:i/>
          <w:iCs/>
          <w:color w:val="auto"/>
        </w:rPr>
        <w:t xml:space="preserve"> </w:t>
      </w:r>
    </w:p>
    <w:p w14:paraId="16BE00A8" w14:textId="77777777" w:rsidR="00C86545" w:rsidRPr="004D3CDE" w:rsidRDefault="00C86545" w:rsidP="00C86545">
      <w:pPr>
        <w:pStyle w:val="Default"/>
        <w:rPr>
          <w:rFonts w:asciiTheme="majorBidi" w:hAnsiTheme="majorBidi" w:cstheme="majorBidi"/>
          <w:i/>
          <w:iCs/>
          <w:color w:val="auto"/>
        </w:rPr>
      </w:pPr>
    </w:p>
    <w:p w14:paraId="122BE41B" w14:textId="77777777" w:rsidR="00835005" w:rsidRPr="004D3CDE" w:rsidRDefault="00835005" w:rsidP="00C86545">
      <w:pPr>
        <w:pStyle w:val="Default"/>
        <w:rPr>
          <w:rFonts w:asciiTheme="majorBidi" w:hAnsiTheme="majorBidi" w:cstheme="majorBidi"/>
        </w:rPr>
      </w:pPr>
      <w:r w:rsidRPr="004D3CDE">
        <w:rPr>
          <w:rFonts w:asciiTheme="majorBidi" w:hAnsiTheme="majorBidi" w:cstheme="majorBidi"/>
          <w:u w:val="single"/>
        </w:rPr>
        <w:t>Response of the authors to comments made by reviewers</w:t>
      </w:r>
      <w:r w:rsidR="005B0C31" w:rsidRPr="004D3CDE">
        <w:rPr>
          <w:rFonts w:asciiTheme="majorBidi" w:hAnsiTheme="majorBidi" w:cstheme="majorBidi"/>
        </w:rPr>
        <w:tab/>
      </w:r>
    </w:p>
    <w:p w14:paraId="38DAA6B1" w14:textId="77777777" w:rsidR="00C86545" w:rsidRPr="004D3CDE" w:rsidRDefault="00C86545" w:rsidP="00550CFB">
      <w:pPr>
        <w:jc w:val="both"/>
        <w:rPr>
          <w:rFonts w:asciiTheme="majorBidi" w:hAnsiTheme="majorBidi" w:cstheme="majorBidi"/>
          <w:b/>
          <w:bCs/>
          <w:sz w:val="24"/>
          <w:szCs w:val="24"/>
        </w:rPr>
      </w:pPr>
    </w:p>
    <w:p w14:paraId="024C283C" w14:textId="35A88057" w:rsidR="00E65E26" w:rsidRPr="004D3CDE" w:rsidRDefault="00EF096E" w:rsidP="00E65E26">
      <w:pPr>
        <w:jc w:val="both"/>
        <w:rPr>
          <w:rFonts w:asciiTheme="majorBidi" w:hAnsiTheme="majorBidi" w:cstheme="majorBidi"/>
          <w:b/>
          <w:bCs/>
          <w:sz w:val="24"/>
          <w:szCs w:val="24"/>
        </w:rPr>
      </w:pPr>
      <w:r w:rsidRPr="004D3CDE">
        <w:rPr>
          <w:rFonts w:asciiTheme="majorBidi" w:hAnsiTheme="majorBidi" w:cstheme="majorBidi"/>
          <w:b/>
          <w:bCs/>
          <w:sz w:val="24"/>
          <w:szCs w:val="24"/>
        </w:rPr>
        <w:t xml:space="preserve">I- </w:t>
      </w:r>
      <w:r w:rsidR="00A9696B" w:rsidRPr="004D3CDE">
        <w:rPr>
          <w:rFonts w:asciiTheme="majorBidi" w:hAnsiTheme="majorBidi" w:cstheme="majorBidi"/>
          <w:b/>
          <w:bCs/>
          <w:sz w:val="24"/>
          <w:szCs w:val="24"/>
        </w:rPr>
        <w:t>C</w:t>
      </w:r>
      <w:r w:rsidRPr="004D3CDE">
        <w:rPr>
          <w:rFonts w:asciiTheme="majorBidi" w:hAnsiTheme="majorBidi" w:cstheme="majorBidi"/>
          <w:b/>
          <w:bCs/>
          <w:sz w:val="24"/>
          <w:szCs w:val="24"/>
        </w:rPr>
        <w:t>omments</w:t>
      </w:r>
      <w:r w:rsidR="00E65E26" w:rsidRPr="004D3CDE">
        <w:rPr>
          <w:rFonts w:asciiTheme="majorBidi" w:hAnsiTheme="majorBidi" w:cstheme="majorBidi"/>
          <w:b/>
          <w:bCs/>
          <w:sz w:val="24"/>
          <w:szCs w:val="24"/>
        </w:rPr>
        <w:t xml:space="preserve">: </w:t>
      </w:r>
      <w:r w:rsidR="00E65E26" w:rsidRPr="004D3CDE">
        <w:rPr>
          <w:rFonts w:asciiTheme="majorBidi" w:hAnsiTheme="majorBidi" w:cstheme="majorBidi"/>
          <w:b/>
          <w:bCs/>
          <w:color w:val="1D2228"/>
          <w:sz w:val="24"/>
          <w:szCs w:val="24"/>
          <w:shd w:val="clear" w:color="auto" w:fill="FFFFFF"/>
        </w:rPr>
        <w:t>Reviewer #1</w:t>
      </w:r>
    </w:p>
    <w:p w14:paraId="5246269F" w14:textId="77777777" w:rsidR="00E65E26" w:rsidRPr="004D3CDE" w:rsidRDefault="00E65E26" w:rsidP="00A9696B">
      <w:pPr>
        <w:pStyle w:val="Default"/>
        <w:jc w:val="both"/>
        <w:rPr>
          <w:rFonts w:asciiTheme="majorBidi" w:hAnsiTheme="majorBidi" w:cstheme="majorBidi"/>
          <w:color w:val="1D2228"/>
          <w:shd w:val="clear" w:color="auto" w:fill="FFFFFF"/>
        </w:rPr>
      </w:pPr>
      <w:r w:rsidRPr="004D3CDE">
        <w:rPr>
          <w:rFonts w:asciiTheme="majorBidi" w:hAnsiTheme="majorBidi" w:cstheme="majorBidi"/>
          <w:color w:val="1D2228"/>
          <w:shd w:val="clear" w:color="auto" w:fill="FFFFFF"/>
        </w:rPr>
        <w:t>1) The SC placement of the drug lead to one implant being found in the intravitreal space. This means that 1 out of 12 eyes had migration of the implant into the invtravitreal space, meaning almost 10% had retinal breaks/ increased chance of RD. It would be helpful to compare the rate of these types of complications to prior studies which have looked at suprachoroidal drug delivery to see what rates of retina tears/detachments/intravitreal migration of drug occurred.</w:t>
      </w:r>
      <w:r w:rsidRPr="004D3CDE">
        <w:rPr>
          <w:rFonts w:asciiTheme="majorBidi" w:hAnsiTheme="majorBidi" w:cstheme="majorBidi"/>
          <w:color w:val="1D2228"/>
        </w:rPr>
        <w:br/>
      </w:r>
    </w:p>
    <w:p w14:paraId="26B98F72" w14:textId="524C52EB" w:rsidR="00E65E26" w:rsidRDefault="003055C7" w:rsidP="00A9696B">
      <w:pPr>
        <w:pStyle w:val="Default"/>
        <w:jc w:val="both"/>
        <w:rPr>
          <w:rFonts w:asciiTheme="majorBidi" w:hAnsiTheme="majorBidi" w:cstheme="majorBidi"/>
          <w:b/>
          <w:bCs/>
          <w:i/>
          <w:iCs/>
          <w:color w:val="1D2228"/>
          <w:shd w:val="clear" w:color="auto" w:fill="FFFFFF"/>
        </w:rPr>
      </w:pPr>
      <w:r w:rsidRPr="004D3CDE">
        <w:rPr>
          <w:rFonts w:asciiTheme="majorBidi" w:hAnsiTheme="majorBidi" w:cstheme="majorBidi"/>
          <w:b/>
          <w:bCs/>
          <w:i/>
          <w:iCs/>
          <w:color w:val="1D2228"/>
          <w:shd w:val="clear" w:color="auto" w:fill="FFFFFF"/>
        </w:rPr>
        <w:t>Authors’ reply</w:t>
      </w:r>
    </w:p>
    <w:p w14:paraId="5515D823" w14:textId="77777777" w:rsidR="00F02C8C" w:rsidRPr="004D3CDE" w:rsidRDefault="00F02C8C" w:rsidP="00A9696B">
      <w:pPr>
        <w:pStyle w:val="Default"/>
        <w:jc w:val="both"/>
        <w:rPr>
          <w:rFonts w:asciiTheme="majorBidi" w:hAnsiTheme="majorBidi" w:cstheme="majorBidi"/>
          <w:b/>
          <w:bCs/>
          <w:i/>
          <w:iCs/>
          <w:color w:val="1D2228"/>
          <w:shd w:val="clear" w:color="auto" w:fill="FFFFFF"/>
        </w:rPr>
      </w:pPr>
    </w:p>
    <w:p w14:paraId="5A7E80C7" w14:textId="42119D97" w:rsidR="00056C5A" w:rsidRDefault="00056C5A" w:rsidP="00F02C8C">
      <w:pPr>
        <w:pStyle w:val="Default"/>
        <w:jc w:val="both"/>
        <w:rPr>
          <w:rFonts w:asciiTheme="majorBidi" w:hAnsiTheme="majorBidi" w:cstheme="majorBidi"/>
          <w:color w:val="1D2228"/>
          <w:shd w:val="clear" w:color="auto" w:fill="FFFFFF"/>
        </w:rPr>
      </w:pPr>
      <w:r>
        <w:rPr>
          <w:rFonts w:asciiTheme="majorBidi" w:hAnsiTheme="majorBidi" w:cstheme="majorBidi"/>
          <w:color w:val="1D2228"/>
          <w:shd w:val="clear" w:color="auto" w:fill="FFFFFF"/>
        </w:rPr>
        <w:t>We would like to mention a number of points in reply to this comment,</w:t>
      </w:r>
    </w:p>
    <w:p w14:paraId="38D792C1" w14:textId="77777777" w:rsidR="00F02C8C" w:rsidRDefault="00F02C8C" w:rsidP="00F02C8C">
      <w:pPr>
        <w:pStyle w:val="Default"/>
        <w:jc w:val="both"/>
        <w:rPr>
          <w:rFonts w:asciiTheme="majorBidi" w:hAnsiTheme="majorBidi" w:cstheme="majorBidi"/>
          <w:color w:val="1D2228"/>
          <w:shd w:val="clear" w:color="auto" w:fill="FFFFFF"/>
        </w:rPr>
      </w:pPr>
    </w:p>
    <w:p w14:paraId="1C3D8200" w14:textId="4C75B3C6" w:rsidR="00A87C92" w:rsidRPr="00056C5A" w:rsidRDefault="00B03C78" w:rsidP="00F02C8C">
      <w:pPr>
        <w:pStyle w:val="Default"/>
        <w:numPr>
          <w:ilvl w:val="0"/>
          <w:numId w:val="26"/>
        </w:numPr>
        <w:jc w:val="both"/>
        <w:rPr>
          <w:rFonts w:asciiTheme="majorBidi" w:hAnsiTheme="majorBidi" w:cstheme="majorBidi"/>
          <w:color w:val="1D2228"/>
          <w:shd w:val="clear" w:color="auto" w:fill="FFFFFF"/>
        </w:rPr>
      </w:pPr>
      <w:r w:rsidRPr="004D3CDE">
        <w:rPr>
          <w:rFonts w:asciiTheme="majorBidi" w:hAnsiTheme="majorBidi" w:cstheme="majorBidi"/>
          <w:color w:val="1D2228"/>
          <w:shd w:val="clear" w:color="auto" w:fill="FFFFFF"/>
        </w:rPr>
        <w:t xml:space="preserve">For clarification, the study included 13 eyes of 13 patients. The patient who had migration of the implant into the vitreous cavity was excluded. </w:t>
      </w:r>
      <w:r w:rsidR="00A87C92">
        <w:rPr>
          <w:rFonts w:asciiTheme="majorBidi" w:hAnsiTheme="majorBidi" w:cstheme="majorBidi"/>
          <w:color w:val="1D2228"/>
          <w:shd w:val="clear" w:color="auto" w:fill="FFFFFF"/>
        </w:rPr>
        <w:t>This particular patient was the first one in the case series in which we employed the SC route of delivery of Iluvien. In our initial approach</w:t>
      </w:r>
      <w:r w:rsidR="00AF572A">
        <w:rPr>
          <w:rFonts w:asciiTheme="majorBidi" w:hAnsiTheme="majorBidi" w:cstheme="majorBidi"/>
          <w:color w:val="1D2228"/>
          <w:shd w:val="clear" w:color="auto" w:fill="FFFFFF"/>
        </w:rPr>
        <w:t>,</w:t>
      </w:r>
      <w:r w:rsidR="00A87C92">
        <w:rPr>
          <w:rFonts w:asciiTheme="majorBidi" w:hAnsiTheme="majorBidi" w:cstheme="majorBidi"/>
          <w:color w:val="1D2228"/>
          <w:shd w:val="clear" w:color="auto" w:fill="FFFFFF"/>
        </w:rPr>
        <w:t xml:space="preserve"> we loaded the Iluvien implant into the Olive tip cannula followed by a bolus of viscoelastic. When the injection started, the bolus of viscoelastic displaced the implant into the suprachoroidal space. </w:t>
      </w:r>
      <w:r w:rsidR="00AF572A">
        <w:rPr>
          <w:rFonts w:asciiTheme="majorBidi" w:hAnsiTheme="majorBidi" w:cstheme="majorBidi"/>
          <w:color w:val="1D2228"/>
          <w:shd w:val="clear" w:color="auto" w:fill="FFFFFF"/>
        </w:rPr>
        <w:t>It is possible that the tip of the cannula penetrated the choroid and produced a retinal hole upon exit from the cannula. We learned from this complication to prime the Olive tip cannula first with viscoelastic before loading the implant and again another bolus of viscoelastic after loading it, so that upon starting the injection, the viscoelastic bolus exits first and opens the potential SC space, so that the dislodgement of the Iluvien implant and its entry into the SC space would be atraumatic.</w:t>
      </w:r>
      <w:r w:rsidR="00A87C92">
        <w:rPr>
          <w:rFonts w:asciiTheme="majorBidi" w:hAnsiTheme="majorBidi" w:cstheme="majorBidi"/>
          <w:color w:val="1D2228"/>
          <w:shd w:val="clear" w:color="auto" w:fill="FFFFFF"/>
        </w:rPr>
        <w:t xml:space="preserve"> </w:t>
      </w:r>
    </w:p>
    <w:p w14:paraId="68112AC5" w14:textId="77777777" w:rsidR="00A87C92" w:rsidRDefault="00A87C92" w:rsidP="00056C5A">
      <w:pPr>
        <w:pStyle w:val="Default"/>
        <w:ind w:left="720"/>
        <w:jc w:val="both"/>
        <w:rPr>
          <w:rFonts w:asciiTheme="majorBidi" w:hAnsiTheme="majorBidi" w:cstheme="majorBidi"/>
          <w:color w:val="1D2228"/>
          <w:shd w:val="clear" w:color="auto" w:fill="FFFFFF"/>
        </w:rPr>
      </w:pPr>
    </w:p>
    <w:p w14:paraId="00DD97C9" w14:textId="7EB104C6" w:rsidR="00B03C78" w:rsidRPr="004D3CDE" w:rsidRDefault="00142D26" w:rsidP="00F02C8C">
      <w:pPr>
        <w:pStyle w:val="Default"/>
        <w:numPr>
          <w:ilvl w:val="0"/>
          <w:numId w:val="26"/>
        </w:numPr>
        <w:jc w:val="both"/>
        <w:rPr>
          <w:rFonts w:asciiTheme="majorBidi" w:hAnsiTheme="majorBidi" w:cstheme="majorBidi"/>
          <w:color w:val="1D2228"/>
          <w:shd w:val="clear" w:color="auto" w:fill="FFFFFF"/>
        </w:rPr>
      </w:pPr>
      <w:r w:rsidRPr="004D3CDE">
        <w:rPr>
          <w:rFonts w:asciiTheme="majorBidi" w:hAnsiTheme="majorBidi" w:cstheme="majorBidi"/>
          <w:color w:val="1D2228"/>
          <w:shd w:val="clear" w:color="auto" w:fill="FFFFFF"/>
        </w:rPr>
        <w:t xml:space="preserve">We excluded the patient because the migration of the implant meant that the drug will be released intravitreally. </w:t>
      </w:r>
      <w:r w:rsidR="00B03C78" w:rsidRPr="004D3CDE">
        <w:rPr>
          <w:rFonts w:asciiTheme="majorBidi" w:hAnsiTheme="majorBidi" w:cstheme="majorBidi"/>
          <w:color w:val="1D2228"/>
          <w:shd w:val="clear" w:color="auto" w:fill="FFFFFF"/>
        </w:rPr>
        <w:t>This complication did not happen in the 12 eyes included in the statistical analysis.</w:t>
      </w:r>
      <w:r w:rsidRPr="004D3CDE">
        <w:rPr>
          <w:rFonts w:asciiTheme="majorBidi" w:hAnsiTheme="majorBidi" w:cstheme="majorBidi"/>
          <w:color w:val="1D2228"/>
          <w:shd w:val="clear" w:color="auto" w:fill="FFFFFF"/>
        </w:rPr>
        <w:t xml:space="preserve"> </w:t>
      </w:r>
    </w:p>
    <w:p w14:paraId="23C0228B" w14:textId="1CFA03D8" w:rsidR="00B03C78" w:rsidRPr="004D3CDE" w:rsidRDefault="00B03C78" w:rsidP="00A9696B">
      <w:pPr>
        <w:pStyle w:val="Default"/>
        <w:jc w:val="both"/>
        <w:rPr>
          <w:rFonts w:asciiTheme="majorBidi" w:hAnsiTheme="majorBidi" w:cstheme="majorBidi"/>
          <w:color w:val="1D2228"/>
          <w:shd w:val="clear" w:color="auto" w:fill="FFFFFF"/>
        </w:rPr>
      </w:pPr>
    </w:p>
    <w:p w14:paraId="06C1148B" w14:textId="5E648F17" w:rsidR="000625A5" w:rsidRPr="004D3CDE" w:rsidRDefault="00CD3530" w:rsidP="00F02C8C">
      <w:pPr>
        <w:pStyle w:val="Default"/>
        <w:numPr>
          <w:ilvl w:val="0"/>
          <w:numId w:val="26"/>
        </w:numPr>
        <w:jc w:val="both"/>
        <w:rPr>
          <w:rFonts w:asciiTheme="majorBidi" w:hAnsiTheme="majorBidi" w:cstheme="majorBidi"/>
          <w:color w:val="1D2228"/>
          <w:shd w:val="clear" w:color="auto" w:fill="FFFFFF"/>
        </w:rPr>
      </w:pPr>
      <w:r w:rsidRPr="004D3CDE">
        <w:rPr>
          <w:rFonts w:asciiTheme="majorBidi" w:hAnsiTheme="majorBidi" w:cstheme="majorBidi"/>
          <w:color w:val="1D2228"/>
          <w:shd w:val="clear" w:color="auto" w:fill="FFFFFF"/>
        </w:rPr>
        <w:t>T</w:t>
      </w:r>
      <w:r w:rsidR="00D15B9D" w:rsidRPr="004D3CDE">
        <w:rPr>
          <w:rFonts w:asciiTheme="majorBidi" w:hAnsiTheme="majorBidi" w:cstheme="majorBidi"/>
          <w:color w:val="1D2228"/>
          <w:shd w:val="clear" w:color="auto" w:fill="FFFFFF"/>
        </w:rPr>
        <w:t xml:space="preserve">he </w:t>
      </w:r>
      <w:r w:rsidR="00717DA8" w:rsidRPr="004D3CDE">
        <w:rPr>
          <w:rFonts w:asciiTheme="majorBidi" w:hAnsiTheme="majorBidi" w:cstheme="majorBidi"/>
          <w:color w:val="1D2228"/>
          <w:shd w:val="clear" w:color="auto" w:fill="FFFFFF"/>
        </w:rPr>
        <w:t xml:space="preserve">present </w:t>
      </w:r>
      <w:r w:rsidR="00D15B9D" w:rsidRPr="004D3CDE">
        <w:rPr>
          <w:rFonts w:asciiTheme="majorBidi" w:hAnsiTheme="majorBidi" w:cstheme="majorBidi"/>
          <w:color w:val="1D2228"/>
          <w:shd w:val="clear" w:color="auto" w:fill="FFFFFF"/>
        </w:rPr>
        <w:t xml:space="preserve">study </w:t>
      </w:r>
      <w:r w:rsidRPr="004D3CDE">
        <w:rPr>
          <w:rFonts w:asciiTheme="majorBidi" w:hAnsiTheme="majorBidi" w:cstheme="majorBidi"/>
          <w:color w:val="1D2228"/>
          <w:shd w:val="clear" w:color="auto" w:fill="FFFFFF"/>
        </w:rPr>
        <w:t xml:space="preserve">reported the possible benefits and risks of </w:t>
      </w:r>
      <w:r w:rsidR="00717DA8" w:rsidRPr="004D3CDE">
        <w:rPr>
          <w:rFonts w:asciiTheme="majorBidi" w:hAnsiTheme="majorBidi" w:cstheme="majorBidi"/>
          <w:color w:val="1D2228"/>
          <w:shd w:val="clear" w:color="auto" w:fill="FFFFFF"/>
        </w:rPr>
        <w:t>SC Illuvien in patients with chronic DME</w:t>
      </w:r>
      <w:r w:rsidRPr="004D3CDE">
        <w:rPr>
          <w:rFonts w:asciiTheme="majorBidi" w:hAnsiTheme="majorBidi" w:cstheme="majorBidi"/>
          <w:color w:val="1D2228"/>
          <w:shd w:val="clear" w:color="auto" w:fill="FFFFFF"/>
        </w:rPr>
        <w:t xml:space="preserve"> as a novel technique</w:t>
      </w:r>
      <w:r w:rsidR="00BB3797" w:rsidRPr="004D3CDE">
        <w:rPr>
          <w:rFonts w:asciiTheme="majorBidi" w:hAnsiTheme="majorBidi" w:cstheme="majorBidi"/>
          <w:color w:val="1D2228"/>
          <w:shd w:val="clear" w:color="auto" w:fill="FFFFFF"/>
        </w:rPr>
        <w:t xml:space="preserve"> and as a base for future prospective comparative </w:t>
      </w:r>
      <w:r w:rsidR="00CC1D77" w:rsidRPr="004D3CDE">
        <w:rPr>
          <w:rFonts w:asciiTheme="majorBidi" w:hAnsiTheme="majorBidi" w:cstheme="majorBidi"/>
          <w:color w:val="1D2228"/>
          <w:shd w:val="clear" w:color="auto" w:fill="FFFFFF"/>
        </w:rPr>
        <w:t>studies</w:t>
      </w:r>
      <w:r w:rsidR="00BB3797" w:rsidRPr="004D3CDE">
        <w:rPr>
          <w:rFonts w:asciiTheme="majorBidi" w:hAnsiTheme="majorBidi" w:cstheme="majorBidi"/>
          <w:color w:val="1D2228"/>
          <w:shd w:val="clear" w:color="auto" w:fill="FFFFFF"/>
        </w:rPr>
        <w:t xml:space="preserve"> with </w:t>
      </w:r>
      <w:r w:rsidR="00CC1D77" w:rsidRPr="004D3CDE">
        <w:rPr>
          <w:rFonts w:asciiTheme="majorBidi" w:hAnsiTheme="majorBidi" w:cstheme="majorBidi"/>
          <w:color w:val="1D2228"/>
          <w:shd w:val="clear" w:color="auto" w:fill="FFFFFF"/>
        </w:rPr>
        <w:t xml:space="preserve">a </w:t>
      </w:r>
      <w:r w:rsidR="00BB3797" w:rsidRPr="004D3CDE">
        <w:rPr>
          <w:rFonts w:asciiTheme="majorBidi" w:hAnsiTheme="majorBidi" w:cstheme="majorBidi"/>
          <w:color w:val="1D2228"/>
          <w:shd w:val="clear" w:color="auto" w:fill="FFFFFF"/>
        </w:rPr>
        <w:t>larger sample size.</w:t>
      </w:r>
    </w:p>
    <w:p w14:paraId="3359FD10" w14:textId="77777777" w:rsidR="000625A5" w:rsidRPr="004D3CDE" w:rsidRDefault="000625A5" w:rsidP="00A9696B">
      <w:pPr>
        <w:pStyle w:val="Default"/>
        <w:jc w:val="both"/>
        <w:rPr>
          <w:rFonts w:asciiTheme="majorBidi" w:hAnsiTheme="majorBidi" w:cstheme="majorBidi"/>
          <w:color w:val="1D2228"/>
          <w:shd w:val="clear" w:color="auto" w:fill="FFFFFF"/>
        </w:rPr>
      </w:pPr>
    </w:p>
    <w:p w14:paraId="3E7224AD" w14:textId="1E13C4A9" w:rsidR="00B03C78" w:rsidRPr="004D3CDE" w:rsidRDefault="00BB3797" w:rsidP="00F02C8C">
      <w:pPr>
        <w:pStyle w:val="Default"/>
        <w:numPr>
          <w:ilvl w:val="0"/>
          <w:numId w:val="26"/>
        </w:numPr>
        <w:jc w:val="both"/>
        <w:rPr>
          <w:rFonts w:asciiTheme="majorBidi" w:hAnsiTheme="majorBidi" w:cstheme="majorBidi"/>
          <w:color w:val="1D2228"/>
          <w:shd w:val="clear" w:color="auto" w:fill="FFFFFF"/>
        </w:rPr>
      </w:pPr>
      <w:r w:rsidRPr="004D3CDE">
        <w:rPr>
          <w:rFonts w:asciiTheme="majorBidi" w:hAnsiTheme="majorBidi" w:cstheme="majorBidi"/>
          <w:color w:val="1D2228"/>
          <w:shd w:val="clear" w:color="auto" w:fill="FFFFFF"/>
        </w:rPr>
        <w:t>T</w:t>
      </w:r>
      <w:r w:rsidR="000625A5" w:rsidRPr="004D3CDE">
        <w:rPr>
          <w:rFonts w:asciiTheme="majorBidi" w:hAnsiTheme="majorBidi" w:cstheme="majorBidi"/>
          <w:color w:val="1D2228"/>
          <w:shd w:val="clear" w:color="auto" w:fill="FFFFFF"/>
        </w:rPr>
        <w:t xml:space="preserve">he design of the </w:t>
      </w:r>
      <w:r w:rsidRPr="004D3CDE">
        <w:rPr>
          <w:rFonts w:asciiTheme="majorBidi" w:hAnsiTheme="majorBidi" w:cstheme="majorBidi"/>
          <w:color w:val="1D2228"/>
          <w:shd w:val="clear" w:color="auto" w:fill="FFFFFF"/>
        </w:rPr>
        <w:t xml:space="preserve">present </w:t>
      </w:r>
      <w:r w:rsidR="000625A5" w:rsidRPr="004D3CDE">
        <w:rPr>
          <w:rFonts w:asciiTheme="majorBidi" w:hAnsiTheme="majorBidi" w:cstheme="majorBidi"/>
          <w:color w:val="1D2228"/>
          <w:shd w:val="clear" w:color="auto" w:fill="FFFFFF"/>
        </w:rPr>
        <w:t>study is retrospective interventional non-comparative case series. This design is not an appro</w:t>
      </w:r>
      <w:r w:rsidR="009133F8" w:rsidRPr="004D3CDE">
        <w:rPr>
          <w:rFonts w:asciiTheme="majorBidi" w:hAnsiTheme="majorBidi" w:cstheme="majorBidi"/>
          <w:color w:val="1D2228"/>
          <w:shd w:val="clear" w:color="auto" w:fill="FFFFFF"/>
        </w:rPr>
        <w:t xml:space="preserve">priate one to estimate </w:t>
      </w:r>
      <w:r w:rsidR="00CD3530" w:rsidRPr="004D3CDE">
        <w:rPr>
          <w:rFonts w:asciiTheme="majorBidi" w:hAnsiTheme="majorBidi" w:cstheme="majorBidi"/>
          <w:color w:val="1D2228"/>
          <w:shd w:val="clear" w:color="auto" w:fill="FFFFFF"/>
        </w:rPr>
        <w:t xml:space="preserve">the rate of incidence of any complication because </w:t>
      </w:r>
      <w:r w:rsidR="00D15B9D" w:rsidRPr="004D3CDE">
        <w:rPr>
          <w:rFonts w:asciiTheme="majorBidi" w:hAnsiTheme="majorBidi" w:cstheme="majorBidi"/>
          <w:color w:val="1D2228"/>
          <w:shd w:val="clear" w:color="auto" w:fill="FFFFFF"/>
        </w:rPr>
        <w:t>answer</w:t>
      </w:r>
      <w:r w:rsidR="00CD3530" w:rsidRPr="004D3CDE">
        <w:rPr>
          <w:rFonts w:asciiTheme="majorBidi" w:hAnsiTheme="majorBidi" w:cstheme="majorBidi"/>
          <w:color w:val="1D2228"/>
          <w:shd w:val="clear" w:color="auto" w:fill="FFFFFF"/>
        </w:rPr>
        <w:t>ing</w:t>
      </w:r>
      <w:r w:rsidR="00D15B9D" w:rsidRPr="004D3CDE">
        <w:rPr>
          <w:rFonts w:asciiTheme="majorBidi" w:hAnsiTheme="majorBidi" w:cstheme="majorBidi"/>
          <w:color w:val="1D2228"/>
          <w:shd w:val="clear" w:color="auto" w:fill="FFFFFF"/>
        </w:rPr>
        <w:t xml:space="preserve"> this </w:t>
      </w:r>
      <w:r w:rsidR="00717DA8" w:rsidRPr="004D3CDE">
        <w:rPr>
          <w:rFonts w:asciiTheme="majorBidi" w:hAnsiTheme="majorBidi" w:cstheme="majorBidi"/>
          <w:color w:val="1D2228"/>
          <w:shd w:val="clear" w:color="auto" w:fill="FFFFFF"/>
        </w:rPr>
        <w:t xml:space="preserve">particular </w:t>
      </w:r>
      <w:r w:rsidR="00D15B9D" w:rsidRPr="004D3CDE">
        <w:rPr>
          <w:rFonts w:asciiTheme="majorBidi" w:hAnsiTheme="majorBidi" w:cstheme="majorBidi"/>
          <w:color w:val="1D2228"/>
          <w:shd w:val="clear" w:color="auto" w:fill="FFFFFF"/>
        </w:rPr>
        <w:t xml:space="preserve">question requires </w:t>
      </w:r>
      <w:r w:rsidR="009133F8" w:rsidRPr="004D3CDE">
        <w:rPr>
          <w:rFonts w:asciiTheme="majorBidi" w:hAnsiTheme="majorBidi" w:cstheme="majorBidi"/>
          <w:color w:val="1D2228"/>
          <w:shd w:val="clear" w:color="auto" w:fill="FFFFFF"/>
        </w:rPr>
        <w:t xml:space="preserve">different study designs firstly, to estimate the prevalence or incidence of a given complication and secondly, to determine the cause-effect relationship between a given complication and an intervention. Study designs as cohort, cross-sectional, case-control, and meta-analysis of randomized </w:t>
      </w:r>
      <w:r w:rsidR="009133F8" w:rsidRPr="004D3CDE">
        <w:rPr>
          <w:rFonts w:asciiTheme="majorBidi" w:hAnsiTheme="majorBidi" w:cstheme="majorBidi"/>
          <w:color w:val="1D2228"/>
          <w:shd w:val="clear" w:color="auto" w:fill="FFFFFF"/>
        </w:rPr>
        <w:lastRenderedPageBreak/>
        <w:t>controlled clinical trials</w:t>
      </w:r>
      <w:r w:rsidRPr="004D3CDE">
        <w:rPr>
          <w:rFonts w:asciiTheme="majorBidi" w:hAnsiTheme="majorBidi" w:cstheme="majorBidi"/>
          <w:color w:val="1D2228"/>
          <w:shd w:val="clear" w:color="auto" w:fill="FFFFFF"/>
        </w:rPr>
        <w:t xml:space="preserve"> are required for this purpose</w:t>
      </w:r>
      <w:r w:rsidR="009133F8" w:rsidRPr="004D3CDE">
        <w:rPr>
          <w:rFonts w:asciiTheme="majorBidi" w:hAnsiTheme="majorBidi" w:cstheme="majorBidi"/>
          <w:color w:val="1D2228"/>
          <w:shd w:val="clear" w:color="auto" w:fill="FFFFFF"/>
        </w:rPr>
        <w:t xml:space="preserve">. These designs usually contain a large </w:t>
      </w:r>
      <w:r w:rsidR="00D15B9D" w:rsidRPr="004D3CDE">
        <w:rPr>
          <w:rFonts w:asciiTheme="majorBidi" w:hAnsiTheme="majorBidi" w:cstheme="majorBidi"/>
          <w:color w:val="1D2228"/>
          <w:shd w:val="clear" w:color="auto" w:fill="FFFFFF"/>
        </w:rPr>
        <w:t xml:space="preserve">number of patients </w:t>
      </w:r>
      <w:r w:rsidR="009133F8" w:rsidRPr="004D3CDE">
        <w:rPr>
          <w:rFonts w:asciiTheme="majorBidi" w:hAnsiTheme="majorBidi" w:cstheme="majorBidi"/>
          <w:color w:val="1D2228"/>
          <w:shd w:val="clear" w:color="auto" w:fill="FFFFFF"/>
        </w:rPr>
        <w:t xml:space="preserve">in order to produce </w:t>
      </w:r>
      <w:r w:rsidR="00D15B9D" w:rsidRPr="004D3CDE">
        <w:rPr>
          <w:rFonts w:asciiTheme="majorBidi" w:hAnsiTheme="majorBidi" w:cstheme="majorBidi"/>
          <w:color w:val="1D2228"/>
          <w:shd w:val="clear" w:color="auto" w:fill="FFFFFF"/>
        </w:rPr>
        <w:t xml:space="preserve">a </w:t>
      </w:r>
      <w:r w:rsidR="00142D26" w:rsidRPr="004D3CDE">
        <w:rPr>
          <w:rFonts w:asciiTheme="majorBidi" w:hAnsiTheme="majorBidi" w:cstheme="majorBidi"/>
          <w:color w:val="1D2228"/>
          <w:shd w:val="clear" w:color="auto" w:fill="FFFFFF"/>
        </w:rPr>
        <w:t>correct</w:t>
      </w:r>
      <w:r w:rsidR="00D15B9D" w:rsidRPr="004D3CDE">
        <w:rPr>
          <w:rFonts w:asciiTheme="majorBidi" w:hAnsiTheme="majorBidi" w:cstheme="majorBidi"/>
          <w:color w:val="1D2228"/>
          <w:shd w:val="clear" w:color="auto" w:fill="FFFFFF"/>
        </w:rPr>
        <w:t xml:space="preserve"> statistical </w:t>
      </w:r>
      <w:r w:rsidR="00717DA8" w:rsidRPr="004D3CDE">
        <w:rPr>
          <w:rFonts w:asciiTheme="majorBidi" w:hAnsiTheme="majorBidi" w:cstheme="majorBidi"/>
          <w:color w:val="1D2228"/>
          <w:shd w:val="clear" w:color="auto" w:fill="FFFFFF"/>
        </w:rPr>
        <w:t>estimation</w:t>
      </w:r>
      <w:r w:rsidR="009133F8" w:rsidRPr="004D3CDE">
        <w:rPr>
          <w:rFonts w:asciiTheme="majorBidi" w:hAnsiTheme="majorBidi" w:cstheme="majorBidi"/>
          <w:color w:val="1D2228"/>
          <w:shd w:val="clear" w:color="auto" w:fill="FFFFFF"/>
        </w:rPr>
        <w:t xml:space="preserve"> of the incidence or prevalence of a particular complication</w:t>
      </w:r>
      <w:r w:rsidR="00142D26" w:rsidRPr="004D3CDE">
        <w:rPr>
          <w:rFonts w:asciiTheme="majorBidi" w:hAnsiTheme="majorBidi" w:cstheme="majorBidi"/>
          <w:color w:val="1D2228"/>
          <w:shd w:val="clear" w:color="auto" w:fill="FFFFFF"/>
        </w:rPr>
        <w:t>, otherwise, any value in this regard would be an over- or under-estimation.</w:t>
      </w:r>
      <w:r w:rsidR="00717DA8" w:rsidRPr="004D3CDE">
        <w:rPr>
          <w:rFonts w:asciiTheme="majorBidi" w:hAnsiTheme="majorBidi" w:cstheme="majorBidi"/>
          <w:color w:val="1D2228"/>
          <w:shd w:val="clear" w:color="auto" w:fill="FFFFFF"/>
        </w:rPr>
        <w:t xml:space="preserve"> </w:t>
      </w:r>
      <w:r w:rsidR="00352633" w:rsidRPr="004D3CDE">
        <w:rPr>
          <w:rFonts w:asciiTheme="majorBidi" w:hAnsiTheme="majorBidi" w:cstheme="majorBidi"/>
          <w:color w:val="1D2228"/>
          <w:shd w:val="clear" w:color="auto" w:fill="FFFFFF"/>
        </w:rPr>
        <w:t>For instance, one study that assessed the risk of RRD following intravitreal injections included 180671 injections in 12718 patients.</w:t>
      </w:r>
    </w:p>
    <w:p w14:paraId="1CA84A0E" w14:textId="7F2DC004" w:rsidR="009133F8" w:rsidRPr="004D3CDE" w:rsidRDefault="009133F8" w:rsidP="00A9696B">
      <w:pPr>
        <w:pStyle w:val="Default"/>
        <w:jc w:val="both"/>
        <w:rPr>
          <w:rFonts w:asciiTheme="majorBidi" w:hAnsiTheme="majorBidi" w:cstheme="majorBidi"/>
          <w:color w:val="1D2228"/>
          <w:shd w:val="clear" w:color="auto" w:fill="FFFFFF"/>
        </w:rPr>
      </w:pPr>
    </w:p>
    <w:p w14:paraId="6D891B76" w14:textId="4A544D47" w:rsidR="009F11D9" w:rsidRPr="004D3CDE" w:rsidRDefault="009133F8" w:rsidP="008B6E68">
      <w:pPr>
        <w:pStyle w:val="Default"/>
        <w:numPr>
          <w:ilvl w:val="0"/>
          <w:numId w:val="24"/>
        </w:numPr>
        <w:jc w:val="both"/>
        <w:rPr>
          <w:rFonts w:asciiTheme="majorBidi" w:hAnsiTheme="majorBidi" w:cstheme="majorBidi"/>
          <w:i/>
          <w:iCs/>
          <w:color w:val="1D2228"/>
          <w:shd w:val="clear" w:color="auto" w:fill="FFFFFF"/>
        </w:rPr>
      </w:pPr>
      <w:r w:rsidRPr="004D3CDE">
        <w:rPr>
          <w:rFonts w:asciiTheme="majorBidi" w:hAnsiTheme="majorBidi" w:cstheme="majorBidi"/>
          <w:i/>
          <w:iCs/>
          <w:color w:val="1D2228"/>
          <w:shd w:val="clear" w:color="auto" w:fill="FFFFFF"/>
        </w:rPr>
        <w:t xml:space="preserve">Storey PP, Pancholy M, Wibbelsman TD, Obeid A, </w:t>
      </w:r>
      <w:r w:rsidR="009F11D9" w:rsidRPr="004D3CDE">
        <w:rPr>
          <w:rFonts w:asciiTheme="majorBidi" w:hAnsiTheme="majorBidi" w:cstheme="majorBidi"/>
          <w:i/>
          <w:iCs/>
          <w:color w:val="1D2228"/>
          <w:shd w:val="clear" w:color="auto" w:fill="FFFFFF"/>
        </w:rPr>
        <w:t>Su D, Borkar D, Garg S, Gupta O. Rhegmatogenous retinal detachment after intravitreal injection of anti-vascular endothelial growth factor. Ophthalmology 2019;126:1424-1431.</w:t>
      </w:r>
    </w:p>
    <w:p w14:paraId="7101CC78" w14:textId="03A6133F" w:rsidR="00BB3797" w:rsidRPr="004D3CDE" w:rsidRDefault="00BB3797" w:rsidP="008B6E68">
      <w:pPr>
        <w:pStyle w:val="ListParagraph"/>
        <w:numPr>
          <w:ilvl w:val="0"/>
          <w:numId w:val="24"/>
        </w:numPr>
        <w:shd w:val="clear" w:color="auto" w:fill="FFFFFF"/>
        <w:spacing w:after="0" w:line="240" w:lineRule="auto"/>
        <w:jc w:val="both"/>
        <w:rPr>
          <w:rFonts w:asciiTheme="majorBidi" w:eastAsia="Times New Roman" w:hAnsiTheme="majorBidi" w:cstheme="majorBidi"/>
          <w:color w:val="333333"/>
          <w:sz w:val="24"/>
          <w:szCs w:val="24"/>
        </w:rPr>
      </w:pPr>
      <w:r w:rsidRPr="004D3CDE">
        <w:rPr>
          <w:rFonts w:asciiTheme="majorBidi" w:eastAsia="Times New Roman" w:hAnsiTheme="majorBidi" w:cstheme="majorBidi"/>
          <w:i/>
          <w:iCs/>
          <w:color w:val="333333"/>
          <w:sz w:val="24"/>
          <w:szCs w:val="24"/>
        </w:rPr>
        <w:t>Mann CJ. Observational research methods. Research design II: cohort, cross-sectional, and case-control studies. Emergency Medicine Journal 2003;20:54-60.</w:t>
      </w:r>
    </w:p>
    <w:p w14:paraId="7C1AF515" w14:textId="375CBEF1" w:rsidR="00BB3797" w:rsidRPr="004D3CDE" w:rsidRDefault="00BB3797" w:rsidP="00A9696B">
      <w:pPr>
        <w:pStyle w:val="Default"/>
        <w:jc w:val="both"/>
        <w:rPr>
          <w:rFonts w:asciiTheme="majorBidi" w:hAnsiTheme="majorBidi" w:cstheme="majorBidi"/>
          <w:color w:val="1D2228"/>
          <w:shd w:val="clear" w:color="auto" w:fill="FFFFFF"/>
        </w:rPr>
      </w:pPr>
    </w:p>
    <w:p w14:paraId="71F031AC" w14:textId="0ACC6BAD" w:rsidR="00DA6A26" w:rsidRPr="004D3CDE" w:rsidRDefault="00E65E26" w:rsidP="00DA6A26">
      <w:pPr>
        <w:pStyle w:val="Default"/>
        <w:jc w:val="both"/>
        <w:rPr>
          <w:rFonts w:asciiTheme="majorBidi" w:hAnsiTheme="majorBidi" w:cstheme="majorBidi"/>
          <w:color w:val="1D2228"/>
        </w:rPr>
      </w:pPr>
      <w:r w:rsidRPr="004D3CDE">
        <w:rPr>
          <w:rFonts w:asciiTheme="majorBidi" w:hAnsiTheme="majorBidi" w:cstheme="majorBidi"/>
          <w:color w:val="1D2228"/>
          <w:shd w:val="clear" w:color="auto" w:fill="FFFFFF"/>
        </w:rPr>
        <w:t>2) The Iluvien is a non</w:t>
      </w:r>
      <w:r w:rsidR="00F354D6" w:rsidRPr="004D3CDE">
        <w:rPr>
          <w:rFonts w:asciiTheme="majorBidi" w:hAnsiTheme="majorBidi" w:cstheme="majorBidi"/>
          <w:color w:val="1D2228"/>
          <w:shd w:val="clear" w:color="auto" w:fill="FFFFFF"/>
        </w:rPr>
        <w:t>-</w:t>
      </w:r>
      <w:r w:rsidRPr="004D3CDE">
        <w:rPr>
          <w:rFonts w:asciiTheme="majorBidi" w:hAnsiTheme="majorBidi" w:cstheme="majorBidi"/>
          <w:color w:val="1D2228"/>
          <w:shd w:val="clear" w:color="auto" w:fill="FFFFFF"/>
        </w:rPr>
        <w:t>biodegradable implant. Does this surgical method leave within the suprachoroidal space remnants of an implant? What would the long</w:t>
      </w:r>
      <w:r w:rsidR="0009487B" w:rsidRPr="004D3CDE">
        <w:rPr>
          <w:rFonts w:asciiTheme="majorBidi" w:hAnsiTheme="majorBidi" w:cstheme="majorBidi"/>
          <w:color w:val="1D2228"/>
          <w:shd w:val="clear" w:color="auto" w:fill="FFFFFF"/>
        </w:rPr>
        <w:t>-</w:t>
      </w:r>
      <w:r w:rsidRPr="004D3CDE">
        <w:rPr>
          <w:rFonts w:asciiTheme="majorBidi" w:hAnsiTheme="majorBidi" w:cstheme="majorBidi"/>
          <w:color w:val="1D2228"/>
          <w:shd w:val="clear" w:color="auto" w:fill="FFFFFF"/>
        </w:rPr>
        <w:t>term follow up be for these remnants? Would they induce an inflammatory response, be an infectious nidus, or lead to</w:t>
      </w:r>
      <w:r w:rsidR="00B03C78" w:rsidRPr="004D3CDE">
        <w:rPr>
          <w:rFonts w:asciiTheme="majorBidi" w:hAnsiTheme="majorBidi" w:cstheme="majorBidi"/>
          <w:color w:val="1D2228"/>
          <w:shd w:val="clear" w:color="auto" w:fill="FFFFFF"/>
        </w:rPr>
        <w:t xml:space="preserve"> </w:t>
      </w:r>
      <w:r w:rsidRPr="004D3CDE">
        <w:rPr>
          <w:rFonts w:asciiTheme="majorBidi" w:hAnsiTheme="majorBidi" w:cstheme="majorBidi"/>
          <w:color w:val="1D2228"/>
          <w:shd w:val="clear" w:color="auto" w:fill="FFFFFF"/>
        </w:rPr>
        <w:t>necrosis in that area?</w:t>
      </w:r>
    </w:p>
    <w:p w14:paraId="10B56C16" w14:textId="6154D03D" w:rsidR="00DA6A26" w:rsidRPr="004D3CDE" w:rsidRDefault="00DA6A26" w:rsidP="00DA6A26">
      <w:pPr>
        <w:pStyle w:val="Default"/>
        <w:jc w:val="both"/>
        <w:rPr>
          <w:rFonts w:asciiTheme="majorBidi" w:hAnsiTheme="majorBidi" w:cstheme="majorBidi"/>
          <w:color w:val="1D2228"/>
        </w:rPr>
      </w:pPr>
    </w:p>
    <w:p w14:paraId="0DC59280" w14:textId="742C1A31" w:rsidR="00DA6A26" w:rsidRPr="004D3CDE" w:rsidRDefault="00DA6A26" w:rsidP="00DA6A26">
      <w:pPr>
        <w:pStyle w:val="Default"/>
        <w:jc w:val="both"/>
        <w:rPr>
          <w:rFonts w:asciiTheme="majorBidi" w:hAnsiTheme="majorBidi" w:cstheme="majorBidi"/>
          <w:b/>
          <w:bCs/>
          <w:i/>
          <w:iCs/>
          <w:color w:val="1D2228"/>
        </w:rPr>
      </w:pPr>
      <w:r w:rsidRPr="004D3CDE">
        <w:rPr>
          <w:rFonts w:asciiTheme="majorBidi" w:hAnsiTheme="majorBidi" w:cstheme="majorBidi"/>
          <w:b/>
          <w:bCs/>
          <w:i/>
          <w:iCs/>
          <w:color w:val="1D2228"/>
        </w:rPr>
        <w:t>Authors’ reply</w:t>
      </w:r>
    </w:p>
    <w:p w14:paraId="5F556470" w14:textId="726D4DB6" w:rsidR="00DA6A26" w:rsidRDefault="0009487B" w:rsidP="003D0FB4">
      <w:pPr>
        <w:pStyle w:val="Default"/>
        <w:numPr>
          <w:ilvl w:val="0"/>
          <w:numId w:val="27"/>
        </w:numPr>
        <w:jc w:val="both"/>
        <w:rPr>
          <w:rFonts w:asciiTheme="majorBidi" w:hAnsiTheme="majorBidi" w:cstheme="majorBidi"/>
          <w:color w:val="auto"/>
        </w:rPr>
      </w:pPr>
      <w:r w:rsidRPr="004D3CDE">
        <w:rPr>
          <w:rFonts w:asciiTheme="majorBidi" w:hAnsiTheme="majorBidi" w:cstheme="majorBidi"/>
          <w:color w:val="1D2228"/>
        </w:rPr>
        <w:t xml:space="preserve">The delivery system on which Iluvien is </w:t>
      </w:r>
      <w:r w:rsidR="00D400C8" w:rsidRPr="004D3CDE">
        <w:rPr>
          <w:rFonts w:asciiTheme="majorBidi" w:hAnsiTheme="majorBidi" w:cstheme="majorBidi"/>
          <w:color w:val="1D2228"/>
        </w:rPr>
        <w:t>mounted</w:t>
      </w:r>
      <w:r w:rsidRPr="004D3CDE">
        <w:rPr>
          <w:rFonts w:asciiTheme="majorBidi" w:hAnsiTheme="majorBidi" w:cstheme="majorBidi"/>
          <w:color w:val="1D2228"/>
        </w:rPr>
        <w:t xml:space="preserve"> </w:t>
      </w:r>
      <w:r w:rsidR="00D400C8" w:rsidRPr="004D3CDE">
        <w:rPr>
          <w:rFonts w:asciiTheme="majorBidi" w:hAnsiTheme="majorBidi" w:cstheme="majorBidi"/>
          <w:color w:val="1D2228"/>
        </w:rPr>
        <w:t xml:space="preserve">consists of </w:t>
      </w:r>
      <w:r w:rsidR="00D400C8" w:rsidRPr="004D3CDE">
        <w:rPr>
          <w:rFonts w:asciiTheme="majorBidi" w:hAnsiTheme="majorBidi" w:cstheme="majorBidi"/>
          <w:color w:val="auto"/>
        </w:rPr>
        <w:t>polyimide tube, polyvinyl alcohol, silicone adhesive, and water for injection. These are inactive ingredients. They are inert and normally do not produce any of the complications that the reviewer mentioned. In fact, over</w:t>
      </w:r>
      <w:r w:rsidR="00F02C8C">
        <w:rPr>
          <w:rFonts w:asciiTheme="majorBidi" w:hAnsiTheme="majorBidi" w:cstheme="majorBidi"/>
          <w:color w:val="auto"/>
        </w:rPr>
        <w:t xml:space="preserve"> the median one-year </w:t>
      </w:r>
      <w:r w:rsidR="00D400C8" w:rsidRPr="004D3CDE">
        <w:rPr>
          <w:rFonts w:asciiTheme="majorBidi" w:hAnsiTheme="majorBidi" w:cstheme="majorBidi"/>
          <w:color w:val="auto"/>
        </w:rPr>
        <w:t>follow-up in the present study</w:t>
      </w:r>
      <w:r w:rsidR="00F02C8C">
        <w:rPr>
          <w:rFonts w:asciiTheme="majorBidi" w:hAnsiTheme="majorBidi" w:cstheme="majorBidi"/>
          <w:color w:val="auto"/>
        </w:rPr>
        <w:t>,</w:t>
      </w:r>
      <w:r w:rsidR="00D400C8" w:rsidRPr="004D3CDE">
        <w:rPr>
          <w:rFonts w:asciiTheme="majorBidi" w:hAnsiTheme="majorBidi" w:cstheme="majorBidi"/>
          <w:color w:val="auto"/>
        </w:rPr>
        <w:t xml:space="preserve"> we did not detect any of these complications. </w:t>
      </w:r>
    </w:p>
    <w:p w14:paraId="664B3C2C" w14:textId="6F5043F7" w:rsidR="00F02C8C" w:rsidRDefault="00F02C8C" w:rsidP="00D400C8">
      <w:pPr>
        <w:pStyle w:val="Default"/>
        <w:jc w:val="both"/>
        <w:rPr>
          <w:rFonts w:asciiTheme="majorBidi" w:hAnsiTheme="majorBidi" w:cstheme="majorBidi"/>
          <w:color w:val="auto"/>
        </w:rPr>
      </w:pPr>
    </w:p>
    <w:p w14:paraId="754C4EB7" w14:textId="39C1A9FA" w:rsidR="00F02C8C" w:rsidRPr="004D3CDE" w:rsidRDefault="006C615C" w:rsidP="003D0FB4">
      <w:pPr>
        <w:pStyle w:val="Default"/>
        <w:numPr>
          <w:ilvl w:val="0"/>
          <w:numId w:val="27"/>
        </w:numPr>
        <w:jc w:val="both"/>
        <w:rPr>
          <w:rFonts w:asciiTheme="majorBidi" w:hAnsiTheme="majorBidi" w:cstheme="majorBidi"/>
        </w:rPr>
      </w:pPr>
      <w:r>
        <w:rPr>
          <w:rFonts w:asciiTheme="majorBidi" w:hAnsiTheme="majorBidi" w:cstheme="majorBidi"/>
          <w:color w:val="auto"/>
        </w:rPr>
        <w:t xml:space="preserve">Interestingly, </w:t>
      </w:r>
      <w:r w:rsidR="00F02C8C">
        <w:rPr>
          <w:rFonts w:asciiTheme="majorBidi" w:hAnsiTheme="majorBidi" w:cstheme="majorBidi"/>
          <w:color w:val="auto"/>
        </w:rPr>
        <w:t xml:space="preserve">after placement of the implant in the SC space we continued to detect its presence during follow-up visits on fundus biomicroscopy and on OCT scans for up to 18 months. In those patients who had follow-up periods </w:t>
      </w:r>
      <w:r>
        <w:rPr>
          <w:rFonts w:asciiTheme="majorBidi" w:hAnsiTheme="majorBidi" w:cstheme="majorBidi"/>
          <w:color w:val="auto"/>
        </w:rPr>
        <w:t xml:space="preserve">of </w:t>
      </w:r>
      <w:r w:rsidR="00F02C8C">
        <w:rPr>
          <w:rFonts w:asciiTheme="majorBidi" w:hAnsiTheme="majorBidi" w:cstheme="majorBidi"/>
          <w:color w:val="auto"/>
        </w:rPr>
        <w:t>more than 18 months</w:t>
      </w:r>
      <w:r>
        <w:rPr>
          <w:rFonts w:asciiTheme="majorBidi" w:hAnsiTheme="majorBidi" w:cstheme="majorBidi"/>
          <w:color w:val="auto"/>
        </w:rPr>
        <w:t>,</w:t>
      </w:r>
      <w:r w:rsidR="00F02C8C">
        <w:rPr>
          <w:rFonts w:asciiTheme="majorBidi" w:hAnsiTheme="majorBidi" w:cstheme="majorBidi"/>
          <w:color w:val="auto"/>
        </w:rPr>
        <w:t xml:space="preserve"> we could not detect it by either </w:t>
      </w:r>
      <w:r>
        <w:rPr>
          <w:rFonts w:asciiTheme="majorBidi" w:hAnsiTheme="majorBidi" w:cstheme="majorBidi"/>
          <w:color w:val="auto"/>
        </w:rPr>
        <w:t>method</w:t>
      </w:r>
      <w:r w:rsidR="00F02C8C">
        <w:rPr>
          <w:rFonts w:asciiTheme="majorBidi" w:hAnsiTheme="majorBidi" w:cstheme="majorBidi"/>
          <w:color w:val="auto"/>
        </w:rPr>
        <w:t xml:space="preserve">. </w:t>
      </w:r>
      <w:r w:rsidR="00711C25">
        <w:rPr>
          <w:rFonts w:asciiTheme="majorBidi" w:hAnsiTheme="majorBidi" w:cstheme="majorBidi"/>
          <w:color w:val="auto"/>
        </w:rPr>
        <w:t xml:space="preserve">It is possible that </w:t>
      </w:r>
      <w:r>
        <w:rPr>
          <w:rFonts w:asciiTheme="majorBidi" w:hAnsiTheme="majorBidi" w:cstheme="majorBidi"/>
          <w:color w:val="auto"/>
        </w:rPr>
        <w:t xml:space="preserve">the </w:t>
      </w:r>
      <w:r w:rsidR="00711C25">
        <w:rPr>
          <w:rFonts w:asciiTheme="majorBidi" w:hAnsiTheme="majorBidi" w:cstheme="majorBidi"/>
          <w:color w:val="auto"/>
        </w:rPr>
        <w:t xml:space="preserve">pharmacological properties of the implant components change with the </w:t>
      </w:r>
      <w:r>
        <w:rPr>
          <w:rFonts w:asciiTheme="majorBidi" w:hAnsiTheme="majorBidi" w:cstheme="majorBidi"/>
          <w:color w:val="auto"/>
        </w:rPr>
        <w:t xml:space="preserve">change of </w:t>
      </w:r>
      <w:r w:rsidR="00711C25">
        <w:rPr>
          <w:rFonts w:asciiTheme="majorBidi" w:hAnsiTheme="majorBidi" w:cstheme="majorBidi"/>
          <w:color w:val="auto"/>
        </w:rPr>
        <w:t>location in the eye due to different tissue interaction</w:t>
      </w:r>
      <w:r>
        <w:rPr>
          <w:rFonts w:asciiTheme="majorBidi" w:hAnsiTheme="majorBidi" w:cstheme="majorBidi"/>
          <w:color w:val="auto"/>
        </w:rPr>
        <w:t>s</w:t>
      </w:r>
      <w:r w:rsidR="00711C25">
        <w:rPr>
          <w:rFonts w:asciiTheme="majorBidi" w:hAnsiTheme="majorBidi" w:cstheme="majorBidi"/>
          <w:color w:val="auto"/>
        </w:rPr>
        <w:t xml:space="preserve">. </w:t>
      </w:r>
      <w:r>
        <w:rPr>
          <w:rFonts w:asciiTheme="majorBidi" w:hAnsiTheme="majorBidi" w:cstheme="majorBidi"/>
          <w:color w:val="auto"/>
        </w:rPr>
        <w:t xml:space="preserve">Hence, </w:t>
      </w:r>
      <w:r w:rsidR="00711C25">
        <w:rPr>
          <w:rFonts w:asciiTheme="majorBidi" w:hAnsiTheme="majorBidi" w:cstheme="majorBidi"/>
          <w:color w:val="auto"/>
        </w:rPr>
        <w:t xml:space="preserve">the </w:t>
      </w:r>
      <w:r>
        <w:rPr>
          <w:rFonts w:asciiTheme="majorBidi" w:hAnsiTheme="majorBidi" w:cstheme="majorBidi"/>
          <w:color w:val="auto"/>
        </w:rPr>
        <w:t xml:space="preserve">implant might undergo biodegradation when located in the SC space while remaining non-biodegradable in the vitreous. It is an interesting finding that worth </w:t>
      </w:r>
      <w:r w:rsidR="003D0FB4">
        <w:rPr>
          <w:rFonts w:asciiTheme="majorBidi" w:hAnsiTheme="majorBidi" w:cstheme="majorBidi"/>
          <w:color w:val="auto"/>
        </w:rPr>
        <w:t>exploring</w:t>
      </w:r>
      <w:r>
        <w:rPr>
          <w:rFonts w:asciiTheme="majorBidi" w:hAnsiTheme="majorBidi" w:cstheme="majorBidi"/>
          <w:color w:val="auto"/>
        </w:rPr>
        <w:t xml:space="preserve"> in future studies.</w:t>
      </w:r>
      <w:r w:rsidR="00711C25">
        <w:rPr>
          <w:rFonts w:asciiTheme="majorBidi" w:hAnsiTheme="majorBidi" w:cstheme="majorBidi"/>
          <w:color w:val="auto"/>
        </w:rPr>
        <w:t xml:space="preserve"> </w:t>
      </w:r>
    </w:p>
    <w:p w14:paraId="74970983" w14:textId="77777777" w:rsidR="00DA6A26" w:rsidRPr="004D3CDE" w:rsidRDefault="00DA6A26" w:rsidP="00DA6A26">
      <w:pPr>
        <w:pStyle w:val="Default"/>
        <w:jc w:val="both"/>
        <w:rPr>
          <w:rFonts w:asciiTheme="majorBidi" w:hAnsiTheme="majorBidi" w:cstheme="majorBidi"/>
          <w:color w:val="1D2228"/>
        </w:rPr>
      </w:pPr>
    </w:p>
    <w:p w14:paraId="4B863659" w14:textId="77777777" w:rsidR="0066512F" w:rsidRPr="004D3CDE" w:rsidRDefault="00E65E26" w:rsidP="00DA6A26">
      <w:pPr>
        <w:pStyle w:val="Default"/>
        <w:jc w:val="both"/>
        <w:rPr>
          <w:rFonts w:asciiTheme="majorBidi" w:hAnsiTheme="majorBidi" w:cstheme="majorBidi"/>
          <w:color w:val="1D2228"/>
          <w:shd w:val="clear" w:color="auto" w:fill="FFFFFF"/>
        </w:rPr>
      </w:pPr>
      <w:r w:rsidRPr="004D3CDE">
        <w:rPr>
          <w:rFonts w:asciiTheme="majorBidi" w:hAnsiTheme="majorBidi" w:cstheme="majorBidi"/>
          <w:color w:val="1D2228"/>
          <w:shd w:val="clear" w:color="auto" w:fill="FFFFFF"/>
        </w:rPr>
        <w:t>3) The authors state that this method lead to comparable improvements in vision. Were the baseline visual acuities similar between these patients and other studies evaluating the implant? In this current study, patients with chronic macular edema were included and that may mean that their visual acuity was also worse than the patients included in original studies.</w:t>
      </w:r>
    </w:p>
    <w:p w14:paraId="05F1DD42" w14:textId="77777777" w:rsidR="0066512F" w:rsidRPr="004D3CDE" w:rsidRDefault="0066512F" w:rsidP="00DA6A26">
      <w:pPr>
        <w:pStyle w:val="Default"/>
        <w:jc w:val="both"/>
        <w:rPr>
          <w:rFonts w:asciiTheme="majorBidi" w:hAnsiTheme="majorBidi" w:cstheme="majorBidi"/>
          <w:color w:val="1D2228"/>
          <w:shd w:val="clear" w:color="auto" w:fill="FFFFFF"/>
        </w:rPr>
      </w:pPr>
    </w:p>
    <w:p w14:paraId="16BD26EE" w14:textId="77777777" w:rsidR="0066512F" w:rsidRPr="004D3CDE" w:rsidRDefault="0066512F" w:rsidP="0066512F">
      <w:pPr>
        <w:pStyle w:val="Default"/>
        <w:jc w:val="both"/>
        <w:rPr>
          <w:rFonts w:asciiTheme="majorBidi" w:hAnsiTheme="majorBidi" w:cstheme="majorBidi"/>
          <w:b/>
          <w:bCs/>
          <w:i/>
          <w:iCs/>
          <w:color w:val="1D2228"/>
        </w:rPr>
      </w:pPr>
      <w:r w:rsidRPr="004D3CDE">
        <w:rPr>
          <w:rFonts w:asciiTheme="majorBidi" w:hAnsiTheme="majorBidi" w:cstheme="majorBidi"/>
          <w:b/>
          <w:bCs/>
          <w:i/>
          <w:iCs/>
          <w:color w:val="1D2228"/>
        </w:rPr>
        <w:t>Authors’ reply</w:t>
      </w:r>
    </w:p>
    <w:p w14:paraId="5D46B44B" w14:textId="2570408D" w:rsidR="00E57F52" w:rsidRPr="004D3CDE" w:rsidRDefault="00E57F52" w:rsidP="00E57F52">
      <w:pPr>
        <w:pStyle w:val="Default"/>
        <w:jc w:val="both"/>
        <w:rPr>
          <w:rFonts w:asciiTheme="majorBidi" w:hAnsiTheme="majorBidi" w:cstheme="majorBidi"/>
          <w:color w:val="1D2228"/>
        </w:rPr>
      </w:pPr>
      <w:r w:rsidRPr="004D3CDE">
        <w:rPr>
          <w:rFonts w:asciiTheme="majorBidi" w:hAnsiTheme="majorBidi" w:cstheme="majorBidi"/>
          <w:color w:val="1D2228"/>
        </w:rPr>
        <w:t>Yes. The patients included in the present study had worse me</w:t>
      </w:r>
      <w:r w:rsidR="00CC1D77" w:rsidRPr="004D3CDE">
        <w:rPr>
          <w:rFonts w:asciiTheme="majorBidi" w:hAnsiTheme="majorBidi" w:cstheme="majorBidi"/>
          <w:color w:val="1D2228"/>
        </w:rPr>
        <w:t>dia</w:t>
      </w:r>
      <w:r w:rsidRPr="004D3CDE">
        <w:rPr>
          <w:rFonts w:asciiTheme="majorBidi" w:hAnsiTheme="majorBidi" w:cstheme="majorBidi"/>
          <w:color w:val="1D2228"/>
        </w:rPr>
        <w:t>n baseline BCVA compared to other studies that discussed the use of Iluvien. The mean baseline BCVA in this study was 0.07 on the decimal scale compared to a mean of 52.9-54.7 ETDRS letters (approximately 0.25 decimal), 52.6 ETDRS letters (approximately 0.2 decimal), 48.8 ETDRS letters (approximately 0.2 decimal), and 51.9 ETDRS letters (approximately 0.2 decimal)</w:t>
      </w:r>
      <w:r w:rsidR="00B259A4" w:rsidRPr="004D3CDE">
        <w:rPr>
          <w:rFonts w:asciiTheme="majorBidi" w:hAnsiTheme="majorBidi" w:cstheme="majorBidi"/>
          <w:color w:val="1D2228"/>
        </w:rPr>
        <w:t>, 61.5 ETDRS letters (approximately 0.5 decimal)</w:t>
      </w:r>
      <w:r w:rsidRPr="004D3CDE">
        <w:rPr>
          <w:rFonts w:asciiTheme="majorBidi" w:hAnsiTheme="majorBidi" w:cstheme="majorBidi"/>
          <w:color w:val="1D2228"/>
        </w:rPr>
        <w:t xml:space="preserve"> for the FAME, Medisoft audit, RESPOND, IRISS</w:t>
      </w:r>
      <w:r w:rsidR="00B259A4" w:rsidRPr="004D3CDE">
        <w:rPr>
          <w:rFonts w:asciiTheme="majorBidi" w:hAnsiTheme="majorBidi" w:cstheme="majorBidi"/>
          <w:color w:val="1D2228"/>
        </w:rPr>
        <w:t>, and PALADIN</w:t>
      </w:r>
      <w:r w:rsidRPr="004D3CDE">
        <w:rPr>
          <w:rFonts w:asciiTheme="majorBidi" w:hAnsiTheme="majorBidi" w:cstheme="majorBidi"/>
          <w:color w:val="1D2228"/>
        </w:rPr>
        <w:t xml:space="preserve"> studies, respectively.</w:t>
      </w:r>
    </w:p>
    <w:p w14:paraId="43EC3248" w14:textId="77777777" w:rsidR="00E57F52" w:rsidRPr="004D3CDE" w:rsidRDefault="00E57F52" w:rsidP="00E57F52">
      <w:pPr>
        <w:pStyle w:val="Default"/>
        <w:jc w:val="both"/>
        <w:rPr>
          <w:rFonts w:asciiTheme="majorBidi" w:hAnsiTheme="majorBidi" w:cstheme="majorBidi"/>
          <w:color w:val="1D2228"/>
        </w:rPr>
      </w:pPr>
    </w:p>
    <w:p w14:paraId="4C0689B5" w14:textId="52D2457D" w:rsidR="00A9696B" w:rsidRPr="004D3CDE" w:rsidRDefault="00E65E26" w:rsidP="00E57F52">
      <w:pPr>
        <w:pStyle w:val="Default"/>
        <w:jc w:val="both"/>
        <w:rPr>
          <w:rFonts w:asciiTheme="majorBidi" w:hAnsiTheme="majorBidi" w:cstheme="majorBidi"/>
          <w:color w:val="1D2228"/>
          <w:shd w:val="clear" w:color="auto" w:fill="FFFFFF"/>
        </w:rPr>
      </w:pPr>
      <w:r w:rsidRPr="004D3CDE">
        <w:rPr>
          <w:rFonts w:asciiTheme="majorBidi" w:hAnsiTheme="majorBidi" w:cstheme="majorBidi"/>
          <w:color w:val="1D2228"/>
          <w:shd w:val="clear" w:color="auto" w:fill="FFFFFF"/>
        </w:rPr>
        <w:lastRenderedPageBreak/>
        <w:t>4) The authors conclude that the SC administration of the drug is safer than the intravitreal administration, and I do not think that this claim can be made, given the migration of one implant into the intravitreal cavity and potential for retinal tears and detachment. I would instead focus on how the SC administration leads to less cataract and IOP rise if they believe this is true.</w:t>
      </w:r>
    </w:p>
    <w:p w14:paraId="67C0A7F8" w14:textId="64F8D3F2" w:rsidR="00CC1D77" w:rsidRPr="004D3CDE" w:rsidRDefault="00CC1D77" w:rsidP="00E57F52">
      <w:pPr>
        <w:pStyle w:val="Default"/>
        <w:jc w:val="both"/>
        <w:rPr>
          <w:rFonts w:asciiTheme="majorBidi" w:hAnsiTheme="majorBidi" w:cstheme="majorBidi"/>
          <w:color w:val="1D2228"/>
          <w:shd w:val="clear" w:color="auto" w:fill="FFFFFF"/>
        </w:rPr>
      </w:pPr>
    </w:p>
    <w:p w14:paraId="38E7D89C" w14:textId="77F22919" w:rsidR="00CC1D77" w:rsidRPr="004D3CDE" w:rsidRDefault="00CC1D77" w:rsidP="00E57F52">
      <w:pPr>
        <w:pStyle w:val="Default"/>
        <w:jc w:val="both"/>
        <w:rPr>
          <w:rFonts w:asciiTheme="majorBidi" w:hAnsiTheme="majorBidi" w:cstheme="majorBidi"/>
          <w:b/>
          <w:bCs/>
          <w:i/>
          <w:iCs/>
          <w:color w:val="1D2228"/>
          <w:shd w:val="clear" w:color="auto" w:fill="FFFFFF"/>
        </w:rPr>
      </w:pPr>
      <w:r w:rsidRPr="004D3CDE">
        <w:rPr>
          <w:rFonts w:asciiTheme="majorBidi" w:hAnsiTheme="majorBidi" w:cstheme="majorBidi"/>
          <w:b/>
          <w:bCs/>
          <w:i/>
          <w:iCs/>
          <w:color w:val="1D2228"/>
          <w:shd w:val="clear" w:color="auto" w:fill="FFFFFF"/>
        </w:rPr>
        <w:t>Authors’ reply</w:t>
      </w:r>
    </w:p>
    <w:p w14:paraId="086D094E" w14:textId="07E16357" w:rsidR="00CC1D77" w:rsidRPr="004D3CDE" w:rsidRDefault="00CC1D77" w:rsidP="00E57F52">
      <w:pPr>
        <w:pStyle w:val="Default"/>
        <w:jc w:val="both"/>
        <w:rPr>
          <w:rFonts w:asciiTheme="majorBidi" w:hAnsiTheme="majorBidi" w:cstheme="majorBidi"/>
          <w:color w:val="1D2228"/>
          <w:shd w:val="clear" w:color="auto" w:fill="FFFFFF"/>
        </w:rPr>
      </w:pPr>
      <w:r w:rsidRPr="004D3CDE">
        <w:rPr>
          <w:rFonts w:asciiTheme="majorBidi" w:hAnsiTheme="majorBidi" w:cstheme="majorBidi"/>
          <w:color w:val="1D2228"/>
          <w:shd w:val="clear" w:color="auto" w:fill="FFFFFF"/>
        </w:rPr>
        <w:t>Please check our reply to the reviewer’s first comment.</w:t>
      </w:r>
    </w:p>
    <w:p w14:paraId="25CB3D87" w14:textId="7C9C13ED" w:rsidR="00A9696B" w:rsidRPr="004D3CDE" w:rsidRDefault="00A9696B" w:rsidP="00226AAF">
      <w:pPr>
        <w:pStyle w:val="Default"/>
        <w:rPr>
          <w:rFonts w:asciiTheme="majorBidi" w:hAnsiTheme="majorBidi" w:cstheme="majorBidi"/>
          <w:color w:val="000033"/>
          <w:shd w:val="clear" w:color="auto" w:fill="FFFFFF"/>
        </w:rPr>
      </w:pPr>
    </w:p>
    <w:p w14:paraId="1723CF21" w14:textId="77777777" w:rsidR="00335424" w:rsidRPr="004D3CDE" w:rsidRDefault="002C090E" w:rsidP="00335424">
      <w:pPr>
        <w:pStyle w:val="Default"/>
        <w:jc w:val="both"/>
        <w:rPr>
          <w:rFonts w:asciiTheme="majorBidi" w:hAnsiTheme="majorBidi" w:cstheme="majorBidi"/>
          <w:b/>
          <w:bCs/>
          <w:color w:val="1D2228"/>
          <w:shd w:val="clear" w:color="auto" w:fill="FFFFFF"/>
        </w:rPr>
      </w:pPr>
      <w:r w:rsidRPr="004D3CDE">
        <w:rPr>
          <w:rFonts w:asciiTheme="majorBidi" w:hAnsiTheme="majorBidi" w:cstheme="majorBidi"/>
          <w:b/>
          <w:bCs/>
          <w:color w:val="1D2228"/>
          <w:shd w:val="clear" w:color="auto" w:fill="FFFFFF"/>
        </w:rPr>
        <w:t>II - Comments: Reviewer #2</w:t>
      </w:r>
    </w:p>
    <w:p w14:paraId="33B36F6C" w14:textId="77777777" w:rsidR="00335424" w:rsidRPr="004D3CDE" w:rsidRDefault="002C090E" w:rsidP="00335424">
      <w:pPr>
        <w:pStyle w:val="Default"/>
        <w:jc w:val="both"/>
        <w:rPr>
          <w:rFonts w:asciiTheme="majorBidi" w:hAnsiTheme="majorBidi" w:cstheme="majorBidi"/>
          <w:color w:val="1D2228"/>
          <w:shd w:val="clear" w:color="auto" w:fill="FFFFFF"/>
        </w:rPr>
      </w:pPr>
      <w:r w:rsidRPr="004D3CDE">
        <w:rPr>
          <w:rFonts w:asciiTheme="majorBidi" w:hAnsiTheme="majorBidi" w:cstheme="majorBidi"/>
          <w:color w:val="1D2228"/>
        </w:rPr>
        <w:br/>
      </w:r>
      <w:r w:rsidRPr="004D3CDE">
        <w:rPr>
          <w:rFonts w:asciiTheme="majorBidi" w:hAnsiTheme="majorBidi" w:cstheme="majorBidi"/>
          <w:color w:val="1D2228"/>
          <w:shd w:val="clear" w:color="auto" w:fill="FFFFFF"/>
        </w:rPr>
        <w:t>1-      Line 146: "after previous treatment with at least 3 intravitreal injections of anti-VEGF agents or laser focal or grid photocoagulation." Authors need to add information about number of previous injections and/or laser treatment for each study eye.</w:t>
      </w:r>
    </w:p>
    <w:p w14:paraId="220701C5" w14:textId="01DBB750" w:rsidR="00335424" w:rsidRPr="004D3CDE" w:rsidRDefault="00335424" w:rsidP="00335424">
      <w:pPr>
        <w:pStyle w:val="Default"/>
        <w:jc w:val="both"/>
        <w:rPr>
          <w:rFonts w:asciiTheme="majorBidi" w:hAnsiTheme="majorBidi" w:cstheme="majorBidi"/>
          <w:color w:val="1D2228"/>
          <w:shd w:val="clear" w:color="auto" w:fill="FFFFFF"/>
        </w:rPr>
      </w:pPr>
    </w:p>
    <w:p w14:paraId="65143C3F" w14:textId="5D197FE4" w:rsidR="00335424" w:rsidRPr="004D3CDE" w:rsidRDefault="00335424" w:rsidP="00335424">
      <w:pPr>
        <w:pStyle w:val="Default"/>
        <w:jc w:val="both"/>
        <w:rPr>
          <w:rFonts w:asciiTheme="majorBidi" w:hAnsiTheme="majorBidi" w:cstheme="majorBidi"/>
          <w:b/>
          <w:bCs/>
          <w:i/>
          <w:iCs/>
          <w:color w:val="1D2228"/>
          <w:shd w:val="clear" w:color="auto" w:fill="FFFFFF"/>
        </w:rPr>
      </w:pPr>
      <w:r w:rsidRPr="004D3CDE">
        <w:rPr>
          <w:rFonts w:asciiTheme="majorBidi" w:hAnsiTheme="majorBidi" w:cstheme="majorBidi"/>
          <w:b/>
          <w:bCs/>
          <w:i/>
          <w:iCs/>
          <w:color w:val="1D2228"/>
          <w:shd w:val="clear" w:color="auto" w:fill="FFFFFF"/>
        </w:rPr>
        <w:t>Authors’ reply</w:t>
      </w:r>
    </w:p>
    <w:p w14:paraId="519EB11F" w14:textId="6143F13B" w:rsidR="00335424" w:rsidRPr="004D3CDE" w:rsidRDefault="006A3427" w:rsidP="002D1268">
      <w:pPr>
        <w:pStyle w:val="Default"/>
        <w:numPr>
          <w:ilvl w:val="0"/>
          <w:numId w:val="25"/>
        </w:numPr>
        <w:jc w:val="both"/>
        <w:rPr>
          <w:rFonts w:asciiTheme="majorBidi" w:hAnsiTheme="majorBidi" w:cstheme="majorBidi"/>
          <w:color w:val="1D2228"/>
          <w:shd w:val="clear" w:color="auto" w:fill="FFFFFF"/>
        </w:rPr>
      </w:pPr>
      <w:r w:rsidRPr="004D3CDE">
        <w:rPr>
          <w:rFonts w:asciiTheme="majorBidi" w:hAnsiTheme="majorBidi" w:cstheme="majorBidi"/>
          <w:color w:val="231F20"/>
        </w:rPr>
        <w:t xml:space="preserve">Two patients (17%) had received previously 6 and 8 intravitreal anti-VEGF injections, respectively. Four patients (33%) had received previously focal/grid laser photocoagulation combined and at least 1 intravitreal anti-VEGF injection. Six patients (50%) had received previously focal/grid laser photocoagulation solely. We added the requested information. Please check Results section, page </w:t>
      </w:r>
      <w:r w:rsidR="00961B08" w:rsidRPr="004D3CDE">
        <w:rPr>
          <w:rFonts w:asciiTheme="majorBidi" w:hAnsiTheme="majorBidi" w:cstheme="majorBidi"/>
          <w:color w:val="231F20"/>
        </w:rPr>
        <w:t>10</w:t>
      </w:r>
      <w:r w:rsidRPr="004D3CDE">
        <w:rPr>
          <w:rFonts w:asciiTheme="majorBidi" w:hAnsiTheme="majorBidi" w:cstheme="majorBidi"/>
          <w:color w:val="231F20"/>
        </w:rPr>
        <w:t>, lines</w:t>
      </w:r>
      <w:r w:rsidR="00961B08" w:rsidRPr="004D3CDE">
        <w:rPr>
          <w:rFonts w:asciiTheme="majorBidi" w:hAnsiTheme="majorBidi" w:cstheme="majorBidi"/>
          <w:color w:val="231F20"/>
        </w:rPr>
        <w:t xml:space="preserve"> 204-208.</w:t>
      </w:r>
    </w:p>
    <w:p w14:paraId="0AB57199" w14:textId="05C6430D" w:rsidR="002C090E" w:rsidRPr="004D3CDE" w:rsidRDefault="002C090E" w:rsidP="00335424">
      <w:pPr>
        <w:pStyle w:val="Default"/>
        <w:jc w:val="both"/>
        <w:rPr>
          <w:rFonts w:asciiTheme="majorBidi" w:hAnsiTheme="majorBidi" w:cstheme="majorBidi"/>
          <w:color w:val="000033"/>
          <w:shd w:val="clear" w:color="auto" w:fill="FFFFFF"/>
        </w:rPr>
      </w:pPr>
      <w:r w:rsidRPr="004D3CDE">
        <w:rPr>
          <w:rFonts w:asciiTheme="majorBidi" w:hAnsiTheme="majorBidi" w:cstheme="majorBidi"/>
          <w:color w:val="1D2228"/>
        </w:rPr>
        <w:br/>
      </w:r>
      <w:r w:rsidRPr="004D3CDE">
        <w:rPr>
          <w:rFonts w:asciiTheme="majorBidi" w:hAnsiTheme="majorBidi" w:cstheme="majorBidi"/>
          <w:color w:val="1D2228"/>
          <w:shd w:val="clear" w:color="auto" w:fill="FFFFFF"/>
        </w:rPr>
        <w:t>2-      In conclusion: " The SC approach for delivering Iluvien is a novel technique that is effective in improving visual function and reducing macular edema in patients with chronic DME. The SC route of administration helps reduce the incidence of steroid-induced cataracts and glaucoma and is non invasive compared to the intravitreal route." Authors may change conclusion statement. It is a small case series, it cannot confirm effectiveness of ILuvien in improving visual function and in reduction of cataract and glaucoma.</w:t>
      </w:r>
    </w:p>
    <w:p w14:paraId="1E9F486D" w14:textId="5075DF6E" w:rsidR="0024265F" w:rsidRPr="004D3CDE" w:rsidRDefault="0024265F" w:rsidP="0066512F">
      <w:pPr>
        <w:spacing w:line="240" w:lineRule="auto"/>
        <w:jc w:val="both"/>
        <w:rPr>
          <w:rFonts w:asciiTheme="majorBidi" w:hAnsiTheme="majorBidi" w:cstheme="majorBidi"/>
          <w:sz w:val="24"/>
          <w:szCs w:val="24"/>
        </w:rPr>
      </w:pPr>
    </w:p>
    <w:p w14:paraId="55095ABF" w14:textId="1D9FD08A" w:rsidR="006A3427" w:rsidRPr="004D3CDE" w:rsidRDefault="006A3427" w:rsidP="0066512F">
      <w:pPr>
        <w:spacing w:line="240" w:lineRule="auto"/>
        <w:jc w:val="both"/>
        <w:rPr>
          <w:rFonts w:asciiTheme="majorBidi" w:hAnsiTheme="majorBidi" w:cstheme="majorBidi"/>
          <w:b/>
          <w:bCs/>
          <w:i/>
          <w:iCs/>
          <w:sz w:val="24"/>
          <w:szCs w:val="24"/>
        </w:rPr>
      </w:pPr>
      <w:r w:rsidRPr="004D3CDE">
        <w:rPr>
          <w:rFonts w:asciiTheme="majorBidi" w:hAnsiTheme="majorBidi" w:cstheme="majorBidi"/>
          <w:b/>
          <w:bCs/>
          <w:i/>
          <w:iCs/>
          <w:sz w:val="24"/>
          <w:szCs w:val="24"/>
        </w:rPr>
        <w:t>Authors’ reply</w:t>
      </w:r>
    </w:p>
    <w:p w14:paraId="17100C36" w14:textId="43DB5AA7" w:rsidR="006A3427" w:rsidRPr="004D3CDE" w:rsidRDefault="006A3427" w:rsidP="002D1268">
      <w:pPr>
        <w:pStyle w:val="ListParagraph"/>
        <w:numPr>
          <w:ilvl w:val="0"/>
          <w:numId w:val="25"/>
        </w:numPr>
        <w:spacing w:line="240" w:lineRule="auto"/>
        <w:jc w:val="both"/>
        <w:rPr>
          <w:rFonts w:asciiTheme="majorBidi" w:hAnsiTheme="majorBidi" w:cstheme="majorBidi"/>
          <w:sz w:val="24"/>
          <w:szCs w:val="24"/>
        </w:rPr>
      </w:pPr>
      <w:r w:rsidRPr="004D3CDE">
        <w:rPr>
          <w:rFonts w:asciiTheme="majorBidi" w:hAnsiTheme="majorBidi" w:cstheme="majorBidi"/>
          <w:sz w:val="24"/>
          <w:szCs w:val="24"/>
        </w:rPr>
        <w:t xml:space="preserve">The Conclusion statement has been re-phrased. Please </w:t>
      </w:r>
      <w:r w:rsidR="00B929F6" w:rsidRPr="004D3CDE">
        <w:rPr>
          <w:rFonts w:asciiTheme="majorBidi" w:hAnsiTheme="majorBidi" w:cstheme="majorBidi"/>
          <w:sz w:val="24"/>
          <w:szCs w:val="24"/>
        </w:rPr>
        <w:t>c</w:t>
      </w:r>
      <w:r w:rsidRPr="004D3CDE">
        <w:rPr>
          <w:rFonts w:asciiTheme="majorBidi" w:hAnsiTheme="majorBidi" w:cstheme="majorBidi"/>
          <w:sz w:val="24"/>
          <w:szCs w:val="24"/>
        </w:rPr>
        <w:t xml:space="preserve">heck </w:t>
      </w:r>
      <w:r w:rsidR="00CE45BC" w:rsidRPr="004D3CDE">
        <w:rPr>
          <w:rFonts w:asciiTheme="majorBidi" w:hAnsiTheme="majorBidi" w:cstheme="majorBidi"/>
          <w:sz w:val="24"/>
          <w:szCs w:val="24"/>
        </w:rPr>
        <w:t xml:space="preserve">the </w:t>
      </w:r>
      <w:r w:rsidRPr="004D3CDE">
        <w:rPr>
          <w:rFonts w:asciiTheme="majorBidi" w:hAnsiTheme="majorBidi" w:cstheme="majorBidi"/>
          <w:sz w:val="24"/>
          <w:szCs w:val="24"/>
        </w:rPr>
        <w:t xml:space="preserve">Conclusion section, page </w:t>
      </w:r>
      <w:r w:rsidR="00961B08" w:rsidRPr="004D3CDE">
        <w:rPr>
          <w:rFonts w:asciiTheme="majorBidi" w:hAnsiTheme="majorBidi" w:cstheme="majorBidi"/>
          <w:sz w:val="24"/>
          <w:szCs w:val="24"/>
        </w:rPr>
        <w:t>4</w:t>
      </w:r>
      <w:r w:rsidRPr="004D3CDE">
        <w:rPr>
          <w:rFonts w:asciiTheme="majorBidi" w:hAnsiTheme="majorBidi" w:cstheme="majorBidi"/>
          <w:sz w:val="24"/>
          <w:szCs w:val="24"/>
        </w:rPr>
        <w:t xml:space="preserve">, lines </w:t>
      </w:r>
      <w:r w:rsidR="00961B08" w:rsidRPr="004D3CDE">
        <w:rPr>
          <w:rFonts w:asciiTheme="majorBidi" w:hAnsiTheme="majorBidi" w:cstheme="majorBidi"/>
          <w:sz w:val="24"/>
          <w:szCs w:val="24"/>
        </w:rPr>
        <w:t>82-84, and page</w:t>
      </w:r>
      <w:r w:rsidR="00C42B48" w:rsidRPr="004D3CDE">
        <w:rPr>
          <w:rFonts w:asciiTheme="majorBidi" w:hAnsiTheme="majorBidi" w:cstheme="majorBidi"/>
          <w:sz w:val="24"/>
          <w:szCs w:val="24"/>
        </w:rPr>
        <w:t>s</w:t>
      </w:r>
      <w:r w:rsidR="00961B08" w:rsidRPr="004D3CDE">
        <w:rPr>
          <w:rFonts w:asciiTheme="majorBidi" w:hAnsiTheme="majorBidi" w:cstheme="majorBidi"/>
          <w:sz w:val="24"/>
          <w:szCs w:val="24"/>
        </w:rPr>
        <w:t xml:space="preserve"> </w:t>
      </w:r>
      <w:r w:rsidR="00B929F6" w:rsidRPr="004D3CDE">
        <w:rPr>
          <w:rFonts w:asciiTheme="majorBidi" w:hAnsiTheme="majorBidi" w:cstheme="majorBidi"/>
          <w:sz w:val="24"/>
          <w:szCs w:val="24"/>
        </w:rPr>
        <w:t xml:space="preserve">12, and 13 lines </w:t>
      </w:r>
      <w:r w:rsidR="00C42B48" w:rsidRPr="004D3CDE">
        <w:rPr>
          <w:rFonts w:asciiTheme="majorBidi" w:hAnsiTheme="majorBidi" w:cstheme="majorBidi"/>
          <w:sz w:val="24"/>
          <w:szCs w:val="24"/>
        </w:rPr>
        <w:t>263-268.</w:t>
      </w:r>
    </w:p>
    <w:sectPr w:rsidR="006A3427" w:rsidRPr="004D3CDE" w:rsidSect="00855C16">
      <w:footerReference w:type="default" r:id="rId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E7FD6" w14:textId="77777777" w:rsidR="004D1739" w:rsidRDefault="004D1739" w:rsidP="00855C16">
      <w:pPr>
        <w:spacing w:after="0" w:line="240" w:lineRule="auto"/>
      </w:pPr>
      <w:r>
        <w:separator/>
      </w:r>
    </w:p>
  </w:endnote>
  <w:endnote w:type="continuationSeparator" w:id="0">
    <w:p w14:paraId="2EB88D98" w14:textId="77777777" w:rsidR="004D1739" w:rsidRDefault="004D1739" w:rsidP="00855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435209"/>
      <w:docPartObj>
        <w:docPartGallery w:val="Page Numbers (Bottom of Page)"/>
        <w:docPartUnique/>
      </w:docPartObj>
    </w:sdtPr>
    <w:sdtEndPr>
      <w:rPr>
        <w:noProof/>
      </w:rPr>
    </w:sdtEndPr>
    <w:sdtContent>
      <w:p w14:paraId="640E6593" w14:textId="77777777" w:rsidR="00855C16" w:rsidRDefault="00855C16">
        <w:pPr>
          <w:pStyle w:val="Footer"/>
          <w:jc w:val="center"/>
        </w:pPr>
        <w:r>
          <w:fldChar w:fldCharType="begin"/>
        </w:r>
        <w:r>
          <w:instrText xml:space="preserve"> PAGE   \* MERGEFORMAT </w:instrText>
        </w:r>
        <w:r>
          <w:fldChar w:fldCharType="separate"/>
        </w:r>
        <w:r w:rsidR="008E5085">
          <w:rPr>
            <w:noProof/>
          </w:rPr>
          <w:t>4</w:t>
        </w:r>
        <w:r>
          <w:rPr>
            <w:noProof/>
          </w:rPr>
          <w:fldChar w:fldCharType="end"/>
        </w:r>
      </w:p>
    </w:sdtContent>
  </w:sdt>
  <w:p w14:paraId="175B977D" w14:textId="77777777" w:rsidR="00855C16" w:rsidRDefault="00855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32EFC" w14:textId="77777777" w:rsidR="004D1739" w:rsidRDefault="004D1739" w:rsidP="00855C16">
      <w:pPr>
        <w:spacing w:after="0" w:line="240" w:lineRule="auto"/>
      </w:pPr>
      <w:r>
        <w:separator/>
      </w:r>
    </w:p>
  </w:footnote>
  <w:footnote w:type="continuationSeparator" w:id="0">
    <w:p w14:paraId="0779860C" w14:textId="77777777" w:rsidR="004D1739" w:rsidRDefault="004D1739" w:rsidP="00855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6C2"/>
    <w:multiLevelType w:val="hybridMultilevel"/>
    <w:tmpl w:val="D026FF38"/>
    <w:lvl w:ilvl="0" w:tplc="5DFACA8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C7FCD"/>
    <w:multiLevelType w:val="hybridMultilevel"/>
    <w:tmpl w:val="F5DCBF80"/>
    <w:lvl w:ilvl="0" w:tplc="38127A4E">
      <w:start w:val="1"/>
      <w:numFmt w:val="decimal"/>
      <w:lvlText w:val="%1."/>
      <w:lvlJc w:val="left"/>
      <w:pPr>
        <w:ind w:left="1440" w:hanging="360"/>
      </w:pPr>
      <w:rPr>
        <w:rFonts w:asciiTheme="majorBidi" w:hAnsiTheme="majorBidi" w:cstheme="majorBidi"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B408F2"/>
    <w:multiLevelType w:val="hybridMultilevel"/>
    <w:tmpl w:val="C6EE41A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A3169"/>
    <w:multiLevelType w:val="hybridMultilevel"/>
    <w:tmpl w:val="816EE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3262E"/>
    <w:multiLevelType w:val="hybridMultilevel"/>
    <w:tmpl w:val="46825C42"/>
    <w:lvl w:ilvl="0" w:tplc="5BC4FA4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513ACC"/>
    <w:multiLevelType w:val="hybridMultilevel"/>
    <w:tmpl w:val="D58C0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70CB0"/>
    <w:multiLevelType w:val="hybridMultilevel"/>
    <w:tmpl w:val="31F63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50CD4"/>
    <w:multiLevelType w:val="hybridMultilevel"/>
    <w:tmpl w:val="C2AE4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575E02"/>
    <w:multiLevelType w:val="hybridMultilevel"/>
    <w:tmpl w:val="543E2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434BB"/>
    <w:multiLevelType w:val="hybridMultilevel"/>
    <w:tmpl w:val="91D03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943828"/>
    <w:multiLevelType w:val="hybridMultilevel"/>
    <w:tmpl w:val="1FD6CFBE"/>
    <w:lvl w:ilvl="0" w:tplc="5DFACA8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A67DA"/>
    <w:multiLevelType w:val="hybridMultilevel"/>
    <w:tmpl w:val="3D6A9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DD3E22"/>
    <w:multiLevelType w:val="hybridMultilevel"/>
    <w:tmpl w:val="98044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6E0042"/>
    <w:multiLevelType w:val="hybridMultilevel"/>
    <w:tmpl w:val="4056B7E2"/>
    <w:lvl w:ilvl="0" w:tplc="EF8ED3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320A75"/>
    <w:multiLevelType w:val="hybridMultilevel"/>
    <w:tmpl w:val="1CB81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183119"/>
    <w:multiLevelType w:val="hybridMultilevel"/>
    <w:tmpl w:val="F3DA9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FC569B"/>
    <w:multiLevelType w:val="hybridMultilevel"/>
    <w:tmpl w:val="04300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0122C9"/>
    <w:multiLevelType w:val="hybridMultilevel"/>
    <w:tmpl w:val="A14C617A"/>
    <w:lvl w:ilvl="0" w:tplc="3BA699D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CE0D71"/>
    <w:multiLevelType w:val="hybridMultilevel"/>
    <w:tmpl w:val="BBA8C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0731F8"/>
    <w:multiLevelType w:val="hybridMultilevel"/>
    <w:tmpl w:val="71C89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A7074C"/>
    <w:multiLevelType w:val="hybridMultilevel"/>
    <w:tmpl w:val="36D043EE"/>
    <w:lvl w:ilvl="0" w:tplc="D982E4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6F04B2"/>
    <w:multiLevelType w:val="hybridMultilevel"/>
    <w:tmpl w:val="A844B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026B60"/>
    <w:multiLevelType w:val="hybridMultilevel"/>
    <w:tmpl w:val="8610B728"/>
    <w:lvl w:ilvl="0" w:tplc="C2640DCC">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7F776B"/>
    <w:multiLevelType w:val="hybridMultilevel"/>
    <w:tmpl w:val="0CA09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DC3FDE"/>
    <w:multiLevelType w:val="hybridMultilevel"/>
    <w:tmpl w:val="B6DA61FA"/>
    <w:lvl w:ilvl="0" w:tplc="5DFACA8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6206FAE"/>
    <w:multiLevelType w:val="hybridMultilevel"/>
    <w:tmpl w:val="6DE45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F573F9"/>
    <w:multiLevelType w:val="hybridMultilevel"/>
    <w:tmpl w:val="0A8C1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8043847">
    <w:abstractNumId w:val="22"/>
  </w:num>
  <w:num w:numId="2" w16cid:durableId="226963188">
    <w:abstractNumId w:val="26"/>
  </w:num>
  <w:num w:numId="3" w16cid:durableId="958028007">
    <w:abstractNumId w:val="20"/>
  </w:num>
  <w:num w:numId="4" w16cid:durableId="1995143569">
    <w:abstractNumId w:val="16"/>
  </w:num>
  <w:num w:numId="5" w16cid:durableId="666634698">
    <w:abstractNumId w:val="11"/>
  </w:num>
  <w:num w:numId="6" w16cid:durableId="1535772368">
    <w:abstractNumId w:val="9"/>
  </w:num>
  <w:num w:numId="7" w16cid:durableId="657415765">
    <w:abstractNumId w:val="14"/>
  </w:num>
  <w:num w:numId="8" w16cid:durableId="950012061">
    <w:abstractNumId w:val="2"/>
  </w:num>
  <w:num w:numId="9" w16cid:durableId="2139882760">
    <w:abstractNumId w:val="12"/>
  </w:num>
  <w:num w:numId="10" w16cid:durableId="121921580">
    <w:abstractNumId w:val="0"/>
  </w:num>
  <w:num w:numId="11" w16cid:durableId="616377701">
    <w:abstractNumId w:val="17"/>
  </w:num>
  <w:num w:numId="12" w16cid:durableId="1065494534">
    <w:abstractNumId w:val="4"/>
  </w:num>
  <w:num w:numId="13" w16cid:durableId="1975599716">
    <w:abstractNumId w:val="13"/>
  </w:num>
  <w:num w:numId="14" w16cid:durableId="79722174">
    <w:abstractNumId w:val="7"/>
  </w:num>
  <w:num w:numId="15" w16cid:durableId="721977202">
    <w:abstractNumId w:val="6"/>
  </w:num>
  <w:num w:numId="16" w16cid:durableId="1894460731">
    <w:abstractNumId w:val="18"/>
  </w:num>
  <w:num w:numId="17" w16cid:durableId="1694771510">
    <w:abstractNumId w:val="10"/>
  </w:num>
  <w:num w:numId="18" w16cid:durableId="1510605079">
    <w:abstractNumId w:val="24"/>
  </w:num>
  <w:num w:numId="19" w16cid:durableId="727414448">
    <w:abstractNumId w:val="3"/>
  </w:num>
  <w:num w:numId="20" w16cid:durableId="552039401">
    <w:abstractNumId w:val="23"/>
  </w:num>
  <w:num w:numId="21" w16cid:durableId="695542980">
    <w:abstractNumId w:val="8"/>
  </w:num>
  <w:num w:numId="22" w16cid:durableId="1852839382">
    <w:abstractNumId w:val="19"/>
  </w:num>
  <w:num w:numId="23" w16cid:durableId="1554997494">
    <w:abstractNumId w:val="5"/>
  </w:num>
  <w:num w:numId="24" w16cid:durableId="553933803">
    <w:abstractNumId w:val="1"/>
  </w:num>
  <w:num w:numId="25" w16cid:durableId="1973630010">
    <w:abstractNumId w:val="15"/>
  </w:num>
  <w:num w:numId="26" w16cid:durableId="864441228">
    <w:abstractNumId w:val="25"/>
  </w:num>
  <w:num w:numId="27" w16cid:durableId="213740997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BCF"/>
    <w:rsid w:val="00012729"/>
    <w:rsid w:val="000449AA"/>
    <w:rsid w:val="00056A88"/>
    <w:rsid w:val="00056C5A"/>
    <w:rsid w:val="000625A5"/>
    <w:rsid w:val="00074CAA"/>
    <w:rsid w:val="0009487B"/>
    <w:rsid w:val="000974A0"/>
    <w:rsid w:val="000974A1"/>
    <w:rsid w:val="000D5764"/>
    <w:rsid w:val="000E1514"/>
    <w:rsid w:val="000E454D"/>
    <w:rsid w:val="000F379B"/>
    <w:rsid w:val="00142D26"/>
    <w:rsid w:val="0016298C"/>
    <w:rsid w:val="00167CC6"/>
    <w:rsid w:val="001762D4"/>
    <w:rsid w:val="00193A29"/>
    <w:rsid w:val="001976C8"/>
    <w:rsid w:val="001B0EE8"/>
    <w:rsid w:val="001B1273"/>
    <w:rsid w:val="001D1533"/>
    <w:rsid w:val="00206121"/>
    <w:rsid w:val="0021521F"/>
    <w:rsid w:val="00215776"/>
    <w:rsid w:val="00221183"/>
    <w:rsid w:val="00226AAF"/>
    <w:rsid w:val="00237A6B"/>
    <w:rsid w:val="0024265F"/>
    <w:rsid w:val="00242834"/>
    <w:rsid w:val="002637F6"/>
    <w:rsid w:val="00274CEC"/>
    <w:rsid w:val="00274EEF"/>
    <w:rsid w:val="002C090E"/>
    <w:rsid w:val="002C3E1B"/>
    <w:rsid w:val="002D1268"/>
    <w:rsid w:val="002E16D7"/>
    <w:rsid w:val="002E243C"/>
    <w:rsid w:val="002E5E97"/>
    <w:rsid w:val="003055C7"/>
    <w:rsid w:val="00331608"/>
    <w:rsid w:val="00333EFD"/>
    <w:rsid w:val="00335424"/>
    <w:rsid w:val="0033790E"/>
    <w:rsid w:val="0034579B"/>
    <w:rsid w:val="00352633"/>
    <w:rsid w:val="00352F38"/>
    <w:rsid w:val="00374EEC"/>
    <w:rsid w:val="00380F6E"/>
    <w:rsid w:val="00391073"/>
    <w:rsid w:val="00394862"/>
    <w:rsid w:val="003B19E2"/>
    <w:rsid w:val="003C6979"/>
    <w:rsid w:val="003D0E61"/>
    <w:rsid w:val="003D0FB4"/>
    <w:rsid w:val="003D2BD9"/>
    <w:rsid w:val="003D40BD"/>
    <w:rsid w:val="003E6A84"/>
    <w:rsid w:val="00404A7A"/>
    <w:rsid w:val="00411667"/>
    <w:rsid w:val="00427C4A"/>
    <w:rsid w:val="004624D6"/>
    <w:rsid w:val="00471E2D"/>
    <w:rsid w:val="004841C4"/>
    <w:rsid w:val="00490BBD"/>
    <w:rsid w:val="004B53D3"/>
    <w:rsid w:val="004C6ECD"/>
    <w:rsid w:val="004D1739"/>
    <w:rsid w:val="004D33F9"/>
    <w:rsid w:val="004D3CDE"/>
    <w:rsid w:val="004E5C07"/>
    <w:rsid w:val="004E5FCA"/>
    <w:rsid w:val="00525DA5"/>
    <w:rsid w:val="00530C1B"/>
    <w:rsid w:val="00550CFB"/>
    <w:rsid w:val="00556B27"/>
    <w:rsid w:val="00566B63"/>
    <w:rsid w:val="005855C9"/>
    <w:rsid w:val="0058586A"/>
    <w:rsid w:val="00585D6F"/>
    <w:rsid w:val="005876DD"/>
    <w:rsid w:val="00592E5B"/>
    <w:rsid w:val="005B0C31"/>
    <w:rsid w:val="005D47BD"/>
    <w:rsid w:val="005E6BE9"/>
    <w:rsid w:val="00603FE6"/>
    <w:rsid w:val="006078C5"/>
    <w:rsid w:val="0063008B"/>
    <w:rsid w:val="00651232"/>
    <w:rsid w:val="00651314"/>
    <w:rsid w:val="00656040"/>
    <w:rsid w:val="0066512F"/>
    <w:rsid w:val="00666607"/>
    <w:rsid w:val="00686289"/>
    <w:rsid w:val="006A0372"/>
    <w:rsid w:val="006A2CE0"/>
    <w:rsid w:val="006A3427"/>
    <w:rsid w:val="006B6C32"/>
    <w:rsid w:val="006C615C"/>
    <w:rsid w:val="006D0D11"/>
    <w:rsid w:val="006D3149"/>
    <w:rsid w:val="006D5A5E"/>
    <w:rsid w:val="006F03A2"/>
    <w:rsid w:val="00711C25"/>
    <w:rsid w:val="00717DA8"/>
    <w:rsid w:val="007327EF"/>
    <w:rsid w:val="00733598"/>
    <w:rsid w:val="00742216"/>
    <w:rsid w:val="0074405C"/>
    <w:rsid w:val="00747EBE"/>
    <w:rsid w:val="00756D43"/>
    <w:rsid w:val="00762B35"/>
    <w:rsid w:val="00775630"/>
    <w:rsid w:val="00790933"/>
    <w:rsid w:val="00792FE2"/>
    <w:rsid w:val="007C1FF7"/>
    <w:rsid w:val="007D4D51"/>
    <w:rsid w:val="007E1840"/>
    <w:rsid w:val="007F778D"/>
    <w:rsid w:val="00831905"/>
    <w:rsid w:val="00835005"/>
    <w:rsid w:val="00851F27"/>
    <w:rsid w:val="00855C16"/>
    <w:rsid w:val="00860B26"/>
    <w:rsid w:val="0086603E"/>
    <w:rsid w:val="008660D6"/>
    <w:rsid w:val="00871DDE"/>
    <w:rsid w:val="00881B5A"/>
    <w:rsid w:val="00896328"/>
    <w:rsid w:val="008B6E68"/>
    <w:rsid w:val="008C0932"/>
    <w:rsid w:val="008D126E"/>
    <w:rsid w:val="008E5085"/>
    <w:rsid w:val="009133F8"/>
    <w:rsid w:val="00914EF5"/>
    <w:rsid w:val="00921163"/>
    <w:rsid w:val="00922C62"/>
    <w:rsid w:val="00943A05"/>
    <w:rsid w:val="00961B08"/>
    <w:rsid w:val="00962153"/>
    <w:rsid w:val="00967FB4"/>
    <w:rsid w:val="009760E8"/>
    <w:rsid w:val="0098579D"/>
    <w:rsid w:val="00995965"/>
    <w:rsid w:val="009B0CB8"/>
    <w:rsid w:val="009B3586"/>
    <w:rsid w:val="009B5600"/>
    <w:rsid w:val="009F11D9"/>
    <w:rsid w:val="009F260F"/>
    <w:rsid w:val="009F46E2"/>
    <w:rsid w:val="009F5491"/>
    <w:rsid w:val="00A3246E"/>
    <w:rsid w:val="00A34854"/>
    <w:rsid w:val="00A527B0"/>
    <w:rsid w:val="00A80929"/>
    <w:rsid w:val="00A87C92"/>
    <w:rsid w:val="00A9696B"/>
    <w:rsid w:val="00AA251D"/>
    <w:rsid w:val="00AA3CEC"/>
    <w:rsid w:val="00AC6526"/>
    <w:rsid w:val="00AD36B5"/>
    <w:rsid w:val="00AE2055"/>
    <w:rsid w:val="00AF572A"/>
    <w:rsid w:val="00B021F4"/>
    <w:rsid w:val="00B03C78"/>
    <w:rsid w:val="00B14711"/>
    <w:rsid w:val="00B179F9"/>
    <w:rsid w:val="00B25406"/>
    <w:rsid w:val="00B259A4"/>
    <w:rsid w:val="00B4629B"/>
    <w:rsid w:val="00B567A4"/>
    <w:rsid w:val="00B6759F"/>
    <w:rsid w:val="00B72748"/>
    <w:rsid w:val="00B729CB"/>
    <w:rsid w:val="00B755E9"/>
    <w:rsid w:val="00B929F6"/>
    <w:rsid w:val="00BA7B02"/>
    <w:rsid w:val="00BB3797"/>
    <w:rsid w:val="00BB7ECF"/>
    <w:rsid w:val="00BD37DB"/>
    <w:rsid w:val="00BD4404"/>
    <w:rsid w:val="00BE0C0C"/>
    <w:rsid w:val="00BE24A8"/>
    <w:rsid w:val="00BF1251"/>
    <w:rsid w:val="00BF2D2E"/>
    <w:rsid w:val="00BF3BF8"/>
    <w:rsid w:val="00C165A0"/>
    <w:rsid w:val="00C21110"/>
    <w:rsid w:val="00C21FCC"/>
    <w:rsid w:val="00C42B48"/>
    <w:rsid w:val="00C46B1A"/>
    <w:rsid w:val="00C47A10"/>
    <w:rsid w:val="00C50B57"/>
    <w:rsid w:val="00C60476"/>
    <w:rsid w:val="00C62359"/>
    <w:rsid w:val="00C70215"/>
    <w:rsid w:val="00C86545"/>
    <w:rsid w:val="00C90A15"/>
    <w:rsid w:val="00C930FF"/>
    <w:rsid w:val="00C93C1F"/>
    <w:rsid w:val="00CC1D77"/>
    <w:rsid w:val="00CC2BB0"/>
    <w:rsid w:val="00CD3530"/>
    <w:rsid w:val="00CE45BC"/>
    <w:rsid w:val="00CE479D"/>
    <w:rsid w:val="00CE6A4C"/>
    <w:rsid w:val="00D15B9D"/>
    <w:rsid w:val="00D20E49"/>
    <w:rsid w:val="00D33577"/>
    <w:rsid w:val="00D37C4B"/>
    <w:rsid w:val="00D400C8"/>
    <w:rsid w:val="00D52C63"/>
    <w:rsid w:val="00D55FA3"/>
    <w:rsid w:val="00D6783E"/>
    <w:rsid w:val="00D726AD"/>
    <w:rsid w:val="00DA6A26"/>
    <w:rsid w:val="00DB144D"/>
    <w:rsid w:val="00DB345A"/>
    <w:rsid w:val="00DB55A9"/>
    <w:rsid w:val="00DB6A37"/>
    <w:rsid w:val="00DC4B66"/>
    <w:rsid w:val="00DD0237"/>
    <w:rsid w:val="00DD7083"/>
    <w:rsid w:val="00DE034A"/>
    <w:rsid w:val="00DE035F"/>
    <w:rsid w:val="00DE1469"/>
    <w:rsid w:val="00DF71D3"/>
    <w:rsid w:val="00E03DAE"/>
    <w:rsid w:val="00E119F9"/>
    <w:rsid w:val="00E22510"/>
    <w:rsid w:val="00E40C02"/>
    <w:rsid w:val="00E516F0"/>
    <w:rsid w:val="00E57F52"/>
    <w:rsid w:val="00E65E26"/>
    <w:rsid w:val="00E7321F"/>
    <w:rsid w:val="00E77427"/>
    <w:rsid w:val="00E84DD6"/>
    <w:rsid w:val="00E960AF"/>
    <w:rsid w:val="00EB1F34"/>
    <w:rsid w:val="00EB66AB"/>
    <w:rsid w:val="00EC4E11"/>
    <w:rsid w:val="00EC54B6"/>
    <w:rsid w:val="00EF096E"/>
    <w:rsid w:val="00F00AFB"/>
    <w:rsid w:val="00F01A66"/>
    <w:rsid w:val="00F02C8C"/>
    <w:rsid w:val="00F173DF"/>
    <w:rsid w:val="00F354D6"/>
    <w:rsid w:val="00F3697B"/>
    <w:rsid w:val="00F46BC0"/>
    <w:rsid w:val="00F55932"/>
    <w:rsid w:val="00F5628E"/>
    <w:rsid w:val="00F60B00"/>
    <w:rsid w:val="00F70C41"/>
    <w:rsid w:val="00F73E19"/>
    <w:rsid w:val="00FA78AB"/>
    <w:rsid w:val="00FA7F3D"/>
    <w:rsid w:val="00FB2CB3"/>
    <w:rsid w:val="00FB4BCF"/>
    <w:rsid w:val="00FD454E"/>
    <w:rsid w:val="00FF089B"/>
    <w:rsid w:val="00FF170B"/>
    <w:rsid w:val="00FF5E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88926"/>
  <w15:chartTrackingRefBased/>
  <w15:docId w15:val="{C6B3F444-0D3E-4090-8B39-843A1331B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D36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4BCF"/>
    <w:pPr>
      <w:ind w:left="720"/>
      <w:contextualSpacing/>
    </w:pPr>
  </w:style>
  <w:style w:type="character" w:customStyle="1" w:styleId="Heading2Char">
    <w:name w:val="Heading 2 Char"/>
    <w:basedOn w:val="DefaultParagraphFont"/>
    <w:link w:val="Heading2"/>
    <w:uiPriority w:val="9"/>
    <w:rsid w:val="00AD36B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D36B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55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C16"/>
  </w:style>
  <w:style w:type="paragraph" w:styleId="Footer">
    <w:name w:val="footer"/>
    <w:basedOn w:val="Normal"/>
    <w:link w:val="FooterChar"/>
    <w:uiPriority w:val="99"/>
    <w:unhideWhenUsed/>
    <w:rsid w:val="00855C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C16"/>
  </w:style>
  <w:style w:type="paragraph" w:customStyle="1" w:styleId="Default">
    <w:name w:val="Default"/>
    <w:rsid w:val="00C86545"/>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semiHidden/>
    <w:unhideWhenUsed/>
    <w:rsid w:val="00C930FF"/>
    <w:rPr>
      <w:color w:val="0000FF"/>
      <w:u w:val="single"/>
    </w:rPr>
  </w:style>
  <w:style w:type="character" w:customStyle="1" w:styleId="highwire-citation-author">
    <w:name w:val="highwire-citation-author"/>
    <w:basedOn w:val="DefaultParagraphFont"/>
    <w:rsid w:val="00BB3797"/>
  </w:style>
  <w:style w:type="character" w:customStyle="1" w:styleId="nlm-surname">
    <w:name w:val="nlm-surname"/>
    <w:basedOn w:val="DefaultParagraphFont"/>
    <w:rsid w:val="00BB3797"/>
  </w:style>
  <w:style w:type="character" w:customStyle="1" w:styleId="highwire-cite-metadata-journal">
    <w:name w:val="highwire-cite-metadata-journal"/>
    <w:basedOn w:val="DefaultParagraphFont"/>
    <w:rsid w:val="00BB3797"/>
  </w:style>
  <w:style w:type="character" w:customStyle="1" w:styleId="highwire-cite-metadata-year">
    <w:name w:val="highwire-cite-metadata-year"/>
    <w:basedOn w:val="DefaultParagraphFont"/>
    <w:rsid w:val="00BB3797"/>
  </w:style>
  <w:style w:type="character" w:customStyle="1" w:styleId="highwire-cite-metadata-volume">
    <w:name w:val="highwire-cite-metadata-volume"/>
    <w:basedOn w:val="DefaultParagraphFont"/>
    <w:rsid w:val="00BB3797"/>
  </w:style>
  <w:style w:type="character" w:customStyle="1" w:styleId="highwire-cite-metadata-pages">
    <w:name w:val="highwire-cite-metadata-pages"/>
    <w:basedOn w:val="DefaultParagraphFont"/>
    <w:rsid w:val="00BB3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055">
      <w:bodyDiv w:val="1"/>
      <w:marLeft w:val="0"/>
      <w:marRight w:val="0"/>
      <w:marTop w:val="0"/>
      <w:marBottom w:val="0"/>
      <w:divBdr>
        <w:top w:val="none" w:sz="0" w:space="0" w:color="auto"/>
        <w:left w:val="none" w:sz="0" w:space="0" w:color="auto"/>
        <w:bottom w:val="none" w:sz="0" w:space="0" w:color="auto"/>
        <w:right w:val="none" w:sz="0" w:space="0" w:color="auto"/>
      </w:divBdr>
    </w:div>
    <w:div w:id="730811506">
      <w:bodyDiv w:val="1"/>
      <w:marLeft w:val="0"/>
      <w:marRight w:val="0"/>
      <w:marTop w:val="0"/>
      <w:marBottom w:val="0"/>
      <w:divBdr>
        <w:top w:val="none" w:sz="0" w:space="0" w:color="auto"/>
        <w:left w:val="none" w:sz="0" w:space="0" w:color="auto"/>
        <w:bottom w:val="none" w:sz="0" w:space="0" w:color="auto"/>
        <w:right w:val="none" w:sz="0" w:space="0" w:color="auto"/>
      </w:divBdr>
      <w:divsChild>
        <w:div w:id="1637952329">
          <w:marLeft w:val="0"/>
          <w:marRight w:val="0"/>
          <w:marTop w:val="0"/>
          <w:marBottom w:val="0"/>
          <w:divBdr>
            <w:top w:val="none" w:sz="0" w:space="0" w:color="auto"/>
            <w:left w:val="none" w:sz="0" w:space="0" w:color="auto"/>
            <w:bottom w:val="none" w:sz="0" w:space="0" w:color="auto"/>
            <w:right w:val="none" w:sz="0" w:space="0" w:color="auto"/>
          </w:divBdr>
        </w:div>
        <w:div w:id="506869239">
          <w:marLeft w:val="0"/>
          <w:marRight w:val="0"/>
          <w:marTop w:val="0"/>
          <w:marBottom w:val="0"/>
          <w:divBdr>
            <w:top w:val="none" w:sz="0" w:space="0" w:color="auto"/>
            <w:left w:val="none" w:sz="0" w:space="0" w:color="auto"/>
            <w:bottom w:val="none" w:sz="0" w:space="0" w:color="auto"/>
            <w:right w:val="none" w:sz="0" w:space="0" w:color="auto"/>
          </w:divBdr>
        </w:div>
        <w:div w:id="1586918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1851</TotalTime>
  <Pages>3</Pages>
  <Words>1170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Cherry</dc:creator>
  <cp:keywords/>
  <dc:description/>
  <cp:lastModifiedBy>new vision</cp:lastModifiedBy>
  <cp:revision>164</cp:revision>
  <dcterms:created xsi:type="dcterms:W3CDTF">2021-01-07T14:41:00Z</dcterms:created>
  <dcterms:modified xsi:type="dcterms:W3CDTF">2023-03-20T06:33:00Z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ddf3fd67d10ed35a6d8be8e9ba36c46ebb49d80068204964b7cce5e9ea82d7e5</vt:lpwstr>
  </property>
</Properties>
</file>