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75A33" w14:textId="77777777" w:rsidR="003A4529" w:rsidRPr="00550147" w:rsidRDefault="003A4529" w:rsidP="003A4529">
      <w:pPr>
        <w:rPr>
          <w:b/>
          <w:bCs/>
        </w:rPr>
      </w:pPr>
      <w:r w:rsidRPr="00550147">
        <w:rPr>
          <w:b/>
          <w:bCs/>
        </w:rPr>
        <w:t>Supplementary file. Appendix</w:t>
      </w:r>
      <w:r>
        <w:rPr>
          <w:b/>
          <w:bCs/>
        </w:rPr>
        <w:t xml:space="preserve"> 1</w:t>
      </w:r>
    </w:p>
    <w:p w14:paraId="54AC031C" w14:textId="77777777" w:rsidR="003A4529" w:rsidRPr="00CB2C80" w:rsidRDefault="003A4529" w:rsidP="003A4529">
      <w:pPr>
        <w:rPr>
          <w:rFonts w:ascii="Times New Roman" w:hAnsi="Times New Roman" w:cs="Times New Roman"/>
          <w:b/>
          <w:bCs/>
        </w:rPr>
      </w:pPr>
    </w:p>
    <w:p w14:paraId="660025EE" w14:textId="77777777" w:rsidR="003A4529" w:rsidRPr="00CB2C80" w:rsidRDefault="003A4529" w:rsidP="003A4529">
      <w:pPr>
        <w:rPr>
          <w:rFonts w:ascii="Times New Roman" w:hAnsi="Times New Roman" w:cs="Times New Roman"/>
          <w:b/>
          <w:bCs/>
        </w:rPr>
      </w:pPr>
      <w:r w:rsidRPr="00CB2C80">
        <w:rPr>
          <w:rFonts w:ascii="Times New Roman" w:hAnsi="Times New Roman" w:cs="Times New Roman"/>
          <w:b/>
          <w:bCs/>
        </w:rPr>
        <w:t xml:space="preserve">Table </w:t>
      </w:r>
      <w:r>
        <w:rPr>
          <w:rFonts w:ascii="Times New Roman" w:hAnsi="Times New Roman" w:cs="Times New Roman"/>
          <w:b/>
          <w:bCs/>
        </w:rPr>
        <w:t>S</w:t>
      </w:r>
      <w:r w:rsidRPr="00CB2C80">
        <w:rPr>
          <w:rFonts w:ascii="Times New Roman" w:hAnsi="Times New Roman" w:cs="Times New Roman"/>
          <w:b/>
          <w:bCs/>
        </w:rPr>
        <w:t xml:space="preserve">1:  Details about </w:t>
      </w:r>
      <w:r>
        <w:rPr>
          <w:rFonts w:ascii="Times New Roman" w:hAnsi="Times New Roman" w:cs="Times New Roman"/>
          <w:b/>
          <w:bCs/>
        </w:rPr>
        <w:t>d</w:t>
      </w:r>
      <w:r w:rsidRPr="00CB2C80">
        <w:rPr>
          <w:rFonts w:ascii="Times New Roman" w:hAnsi="Times New Roman" w:cs="Times New Roman"/>
          <w:b/>
          <w:bCs/>
        </w:rPr>
        <w:t xml:space="preserve">atabases searched and search </w:t>
      </w:r>
      <w:proofErr w:type="gramStart"/>
      <w:r w:rsidRPr="00CB2C80">
        <w:rPr>
          <w:rFonts w:ascii="Times New Roman" w:hAnsi="Times New Roman" w:cs="Times New Roman"/>
          <w:b/>
          <w:bCs/>
        </w:rPr>
        <w:t>strategy</w:t>
      </w:r>
      <w:proofErr w:type="gramEnd"/>
    </w:p>
    <w:p w14:paraId="2EBC16B8" w14:textId="77777777" w:rsidR="003A4529" w:rsidRDefault="003A4529" w:rsidP="003A4529"/>
    <w:tbl>
      <w:tblPr>
        <w:tblStyle w:val="TableGrid"/>
        <w:tblW w:w="8363" w:type="dxa"/>
        <w:tblInd w:w="279" w:type="dxa"/>
        <w:tblLayout w:type="fixed"/>
        <w:tblLook w:val="04A0" w:firstRow="1" w:lastRow="0" w:firstColumn="1" w:lastColumn="0" w:noHBand="0" w:noVBand="1"/>
      </w:tblPr>
      <w:tblGrid>
        <w:gridCol w:w="1276"/>
        <w:gridCol w:w="7087"/>
      </w:tblGrid>
      <w:tr w:rsidR="003A4529" w:rsidRPr="00ED61D3" w14:paraId="20E7E88B" w14:textId="77777777" w:rsidTr="00BE5E51">
        <w:trPr>
          <w:trHeight w:val="406"/>
        </w:trPr>
        <w:tc>
          <w:tcPr>
            <w:tcW w:w="1276" w:type="dxa"/>
          </w:tcPr>
          <w:p w14:paraId="00C062F8" w14:textId="77777777" w:rsidR="003A4529" w:rsidRPr="00ED61D3" w:rsidRDefault="003A4529" w:rsidP="00BE5E51">
            <w:pPr>
              <w:spacing w:line="360" w:lineRule="auto"/>
              <w:jc w:val="both"/>
              <w:rPr>
                <w:rFonts w:ascii="Times New Roman" w:hAnsi="Times New Roman" w:cs="Times New Roman"/>
                <w:b/>
                <w:bCs/>
              </w:rPr>
            </w:pPr>
            <w:r w:rsidRPr="00ED61D3">
              <w:rPr>
                <w:rFonts w:ascii="Times New Roman" w:eastAsia="Times New Roman" w:hAnsi="Times New Roman" w:cs="Times New Roman"/>
                <w:b/>
                <w:bCs/>
                <w:color w:val="000000"/>
                <w:kern w:val="0"/>
                <w:lang w:eastAsia="en-GB"/>
                <w14:ligatures w14:val="none"/>
              </w:rPr>
              <w:t>Databases </w:t>
            </w:r>
          </w:p>
        </w:tc>
        <w:tc>
          <w:tcPr>
            <w:tcW w:w="7087" w:type="dxa"/>
          </w:tcPr>
          <w:p w14:paraId="6FA17A90" w14:textId="77777777" w:rsidR="003A4529" w:rsidRPr="00ED61D3" w:rsidRDefault="003A4529" w:rsidP="00BE5E51">
            <w:pPr>
              <w:spacing w:line="360" w:lineRule="auto"/>
              <w:jc w:val="both"/>
              <w:rPr>
                <w:rFonts w:ascii="Times New Roman" w:hAnsi="Times New Roman" w:cs="Times New Roman"/>
                <w:b/>
                <w:bCs/>
              </w:rPr>
            </w:pPr>
            <w:r w:rsidRPr="00ED61D3">
              <w:rPr>
                <w:rFonts w:ascii="Times New Roman" w:eastAsia="Times New Roman" w:hAnsi="Times New Roman" w:cs="Times New Roman"/>
                <w:b/>
                <w:bCs/>
                <w:color w:val="000000"/>
                <w:kern w:val="0"/>
                <w:lang w:eastAsia="en-GB"/>
                <w14:ligatures w14:val="none"/>
              </w:rPr>
              <w:t>Search strategy  </w:t>
            </w:r>
          </w:p>
        </w:tc>
      </w:tr>
      <w:tr w:rsidR="003A4529" w:rsidRPr="00ED61D3" w14:paraId="050004F8" w14:textId="77777777" w:rsidTr="00BE5E51">
        <w:trPr>
          <w:trHeight w:val="1150"/>
        </w:trPr>
        <w:tc>
          <w:tcPr>
            <w:tcW w:w="1276" w:type="dxa"/>
          </w:tcPr>
          <w:p w14:paraId="7BD0CFAB" w14:textId="77777777" w:rsidR="003A4529" w:rsidRPr="00ED61D3" w:rsidRDefault="003A4529" w:rsidP="00BE5E51">
            <w:pPr>
              <w:spacing w:line="360" w:lineRule="auto"/>
              <w:jc w:val="both"/>
              <w:rPr>
                <w:rFonts w:ascii="Times New Roman" w:hAnsi="Times New Roman" w:cs="Times New Roman"/>
                <w:b/>
                <w:bCs/>
              </w:rPr>
            </w:pPr>
            <w:r w:rsidRPr="00ED61D3">
              <w:rPr>
                <w:rFonts w:ascii="Times New Roman" w:eastAsia="Times New Roman" w:hAnsi="Times New Roman" w:cs="Times New Roman"/>
                <w:b/>
                <w:bCs/>
                <w:color w:val="000000"/>
                <w:kern w:val="0"/>
                <w:lang w:eastAsia="en-GB"/>
                <w14:ligatures w14:val="none"/>
              </w:rPr>
              <w:t>PubMed  </w:t>
            </w:r>
          </w:p>
        </w:tc>
        <w:tc>
          <w:tcPr>
            <w:tcW w:w="7087" w:type="dxa"/>
          </w:tcPr>
          <w:p w14:paraId="14BBD5A6" w14:textId="77777777" w:rsidR="003A4529" w:rsidRPr="00ED61D3" w:rsidRDefault="003A4529" w:rsidP="00BE5E51">
            <w:pPr>
              <w:spacing w:line="360" w:lineRule="auto"/>
              <w:jc w:val="both"/>
              <w:rPr>
                <w:rFonts w:ascii="Times New Roman" w:hAnsi="Times New Roman" w:cs="Times New Roman"/>
              </w:rPr>
            </w:pPr>
            <w:r w:rsidRPr="00ED61D3">
              <w:rPr>
                <w:rFonts w:ascii="Times New Roman" w:eastAsia="Times New Roman" w:hAnsi="Times New Roman" w:cs="Times New Roman"/>
                <w:kern w:val="0"/>
                <w:lang w:eastAsia="en-GB"/>
                <w14:ligatures w14:val="none"/>
              </w:rPr>
              <w:t>((((((("giant s"[All Fields] OR "gigantism"[</w:t>
            </w:r>
            <w:proofErr w:type="spellStart"/>
            <w:r w:rsidRPr="00ED61D3">
              <w:rPr>
                <w:rFonts w:ascii="Times New Roman" w:eastAsia="Times New Roman" w:hAnsi="Times New Roman" w:cs="Times New Roman"/>
                <w:kern w:val="0"/>
                <w:lang w:eastAsia="en-GB"/>
                <w14:ligatures w14:val="none"/>
              </w:rPr>
              <w:t>MeSH</w:t>
            </w:r>
            <w:proofErr w:type="spellEnd"/>
            <w:r w:rsidRPr="00ED61D3">
              <w:rPr>
                <w:rFonts w:ascii="Times New Roman" w:eastAsia="Times New Roman" w:hAnsi="Times New Roman" w:cs="Times New Roman"/>
                <w:kern w:val="0"/>
                <w:lang w:eastAsia="en-GB"/>
                <w14:ligatures w14:val="none"/>
              </w:rPr>
              <w:t xml:space="preserve"> Terms] OR "gigantism"[All Fields] OR "giant"[All Fields] OR "giants"[All Fields]) AND ("retinal perforations"[</w:t>
            </w:r>
            <w:proofErr w:type="spellStart"/>
            <w:r w:rsidRPr="00ED61D3">
              <w:rPr>
                <w:rFonts w:ascii="Times New Roman" w:eastAsia="Times New Roman" w:hAnsi="Times New Roman" w:cs="Times New Roman"/>
                <w:kern w:val="0"/>
                <w:lang w:eastAsia="en-GB"/>
                <w14:ligatures w14:val="none"/>
              </w:rPr>
              <w:t>MeSH</w:t>
            </w:r>
            <w:proofErr w:type="spellEnd"/>
            <w:r w:rsidRPr="00ED61D3">
              <w:rPr>
                <w:rFonts w:ascii="Times New Roman" w:eastAsia="Times New Roman" w:hAnsi="Times New Roman" w:cs="Times New Roman"/>
                <w:kern w:val="0"/>
                <w:lang w:eastAsia="en-GB"/>
                <w14:ligatures w14:val="none"/>
              </w:rPr>
              <w:t xml:space="preserve"> Terms] OR ("retinal"[All Fields] AND "perforations"[All Fields]) OR "retinal perforations"[All Fields] OR ("retinal"[All Fields] AND "tears"[All Fields]) OR "retinal tears"[All Fields])) OR "GRT"[All Fields]) AND (("</w:t>
            </w:r>
            <w:proofErr w:type="spellStart"/>
            <w:r w:rsidRPr="00ED61D3">
              <w:rPr>
                <w:rFonts w:ascii="Times New Roman" w:eastAsia="Times New Roman" w:hAnsi="Times New Roman" w:cs="Times New Roman"/>
                <w:kern w:val="0"/>
                <w:lang w:eastAsia="en-GB"/>
                <w14:ligatures w14:val="none"/>
              </w:rPr>
              <w:t>rhegmatogeneous</w:t>
            </w:r>
            <w:proofErr w:type="spellEnd"/>
            <w:r w:rsidRPr="00ED61D3">
              <w:rPr>
                <w:rFonts w:ascii="Times New Roman" w:eastAsia="Times New Roman" w:hAnsi="Times New Roman" w:cs="Times New Roman"/>
                <w:kern w:val="0"/>
                <w:lang w:eastAsia="en-GB"/>
                <w14:ligatures w14:val="none"/>
              </w:rPr>
              <w:t>"[All Fields] OR "</w:t>
            </w:r>
            <w:proofErr w:type="spellStart"/>
            <w:r w:rsidRPr="00ED61D3">
              <w:rPr>
                <w:rFonts w:ascii="Times New Roman" w:eastAsia="Times New Roman" w:hAnsi="Times New Roman" w:cs="Times New Roman"/>
                <w:kern w:val="0"/>
                <w:lang w:eastAsia="en-GB"/>
                <w14:ligatures w14:val="none"/>
              </w:rPr>
              <w:t>rhegmatogenic</w:t>
            </w:r>
            <w:proofErr w:type="spellEnd"/>
            <w:r w:rsidRPr="00ED61D3">
              <w:rPr>
                <w:rFonts w:ascii="Times New Roman" w:eastAsia="Times New Roman" w:hAnsi="Times New Roman" w:cs="Times New Roman"/>
                <w:kern w:val="0"/>
                <w:lang w:eastAsia="en-GB"/>
                <w14:ligatures w14:val="none"/>
              </w:rPr>
              <w:t>"[All Fields] OR "rhegmatogenous"[All Fields]) AND ("retinal detachment"[</w:t>
            </w:r>
            <w:proofErr w:type="spellStart"/>
            <w:r w:rsidRPr="00ED61D3">
              <w:rPr>
                <w:rFonts w:ascii="Times New Roman" w:eastAsia="Times New Roman" w:hAnsi="Times New Roman" w:cs="Times New Roman"/>
                <w:kern w:val="0"/>
                <w:lang w:eastAsia="en-GB"/>
                <w14:ligatures w14:val="none"/>
              </w:rPr>
              <w:t>MeSH</w:t>
            </w:r>
            <w:proofErr w:type="spellEnd"/>
            <w:r w:rsidRPr="00ED61D3">
              <w:rPr>
                <w:rFonts w:ascii="Times New Roman" w:eastAsia="Times New Roman" w:hAnsi="Times New Roman" w:cs="Times New Roman"/>
                <w:kern w:val="0"/>
                <w:lang w:eastAsia="en-GB"/>
                <w14:ligatures w14:val="none"/>
              </w:rPr>
              <w:t xml:space="preserve"> Terms] OR ("retinal"[All Fields] AND "detachment"[All Fields]) OR "retinal detachment"[All Fields]))) OR "RRD"[All Fields]) AND (("surgical procedures, operative"[</w:t>
            </w:r>
            <w:proofErr w:type="spellStart"/>
            <w:r w:rsidRPr="00ED61D3">
              <w:rPr>
                <w:rFonts w:ascii="Times New Roman" w:eastAsia="Times New Roman" w:hAnsi="Times New Roman" w:cs="Times New Roman"/>
                <w:kern w:val="0"/>
                <w:lang w:eastAsia="en-GB"/>
                <w14:ligatures w14:val="none"/>
              </w:rPr>
              <w:t>MeSH</w:t>
            </w:r>
            <w:proofErr w:type="spellEnd"/>
            <w:r w:rsidRPr="00ED61D3">
              <w:rPr>
                <w:rFonts w:ascii="Times New Roman" w:eastAsia="Times New Roman" w:hAnsi="Times New Roman" w:cs="Times New Roman"/>
                <w:kern w:val="0"/>
                <w:lang w:eastAsia="en-GB"/>
                <w14:ligatures w14:val="none"/>
              </w:rPr>
              <w:t xml:space="preserve"> Terms] OR ("surgical"[All Fields] AND "procedures"[All Fields] AND "operative"[All Fields]) OR "operative surgical procedures"[All Fields] OR "surgical"[All Fields] OR "surgically"[All Fields] OR "</w:t>
            </w:r>
            <w:proofErr w:type="spellStart"/>
            <w:r w:rsidRPr="00ED61D3">
              <w:rPr>
                <w:rFonts w:ascii="Times New Roman" w:eastAsia="Times New Roman" w:hAnsi="Times New Roman" w:cs="Times New Roman"/>
                <w:kern w:val="0"/>
                <w:lang w:eastAsia="en-GB"/>
                <w14:ligatures w14:val="none"/>
              </w:rPr>
              <w:t>surgicals</w:t>
            </w:r>
            <w:proofErr w:type="spellEnd"/>
            <w:r w:rsidRPr="00ED61D3">
              <w:rPr>
                <w:rFonts w:ascii="Times New Roman" w:eastAsia="Times New Roman" w:hAnsi="Times New Roman" w:cs="Times New Roman"/>
                <w:kern w:val="0"/>
                <w:lang w:eastAsia="en-GB"/>
                <w14:ligatures w14:val="none"/>
              </w:rPr>
              <w:t>"[All Fields]) AND ("approach"[All Fields] OR "approach s"[All Fields] OR "approachability"[All Fields] OR "approachable"[All Fields] OR "</w:t>
            </w:r>
            <w:proofErr w:type="spellStart"/>
            <w:r w:rsidRPr="00ED61D3">
              <w:rPr>
                <w:rFonts w:ascii="Times New Roman" w:eastAsia="Times New Roman" w:hAnsi="Times New Roman" w:cs="Times New Roman"/>
                <w:kern w:val="0"/>
                <w:lang w:eastAsia="en-GB"/>
                <w14:ligatures w14:val="none"/>
              </w:rPr>
              <w:t>approache</w:t>
            </w:r>
            <w:proofErr w:type="spellEnd"/>
            <w:r w:rsidRPr="00ED61D3">
              <w:rPr>
                <w:rFonts w:ascii="Times New Roman" w:eastAsia="Times New Roman" w:hAnsi="Times New Roman" w:cs="Times New Roman"/>
                <w:kern w:val="0"/>
                <w:lang w:eastAsia="en-GB"/>
                <w14:ligatures w14:val="none"/>
              </w:rPr>
              <w:t xml:space="preserve">"[All Fields] OR "approached"[All Fields] OR </w:t>
            </w:r>
            <w:r w:rsidRPr="00ED61D3">
              <w:rPr>
                <w:rFonts w:ascii="Times New Roman" w:eastAsia="Times New Roman" w:hAnsi="Times New Roman" w:cs="Times New Roman"/>
                <w:kern w:val="0"/>
                <w:lang w:eastAsia="en-GB"/>
                <w14:ligatures w14:val="none"/>
              </w:rPr>
              <w:lastRenderedPageBreak/>
              <w:t>"approaches"[All Fields] OR "approaching"[All Fields] OR "</w:t>
            </w:r>
            <w:proofErr w:type="spellStart"/>
            <w:r w:rsidRPr="00ED61D3">
              <w:rPr>
                <w:rFonts w:ascii="Times New Roman" w:eastAsia="Times New Roman" w:hAnsi="Times New Roman" w:cs="Times New Roman"/>
                <w:kern w:val="0"/>
                <w:lang w:eastAsia="en-GB"/>
                <w14:ligatures w14:val="none"/>
              </w:rPr>
              <w:t>approachs</w:t>
            </w:r>
            <w:proofErr w:type="spellEnd"/>
            <w:r w:rsidRPr="00ED61D3">
              <w:rPr>
                <w:rFonts w:ascii="Times New Roman" w:eastAsia="Times New Roman" w:hAnsi="Times New Roman" w:cs="Times New Roman"/>
                <w:kern w:val="0"/>
                <w:lang w:eastAsia="en-GB"/>
                <w14:ligatures w14:val="none"/>
              </w:rPr>
              <w:t>"[All Fields]))) OR ("</w:t>
            </w:r>
            <w:proofErr w:type="spellStart"/>
            <w:r w:rsidRPr="00ED61D3">
              <w:rPr>
                <w:rFonts w:ascii="Times New Roman" w:eastAsia="Times New Roman" w:hAnsi="Times New Roman" w:cs="Times New Roman"/>
                <w:kern w:val="0"/>
                <w:lang w:eastAsia="en-GB"/>
                <w14:ligatures w14:val="none"/>
              </w:rPr>
              <w:t>complicances</w:t>
            </w:r>
            <w:proofErr w:type="spellEnd"/>
            <w:r w:rsidRPr="00ED61D3">
              <w:rPr>
                <w:rFonts w:ascii="Times New Roman" w:eastAsia="Times New Roman" w:hAnsi="Times New Roman" w:cs="Times New Roman"/>
                <w:kern w:val="0"/>
                <w:lang w:eastAsia="en-GB"/>
                <w14:ligatures w14:val="none"/>
              </w:rPr>
              <w:t>"[All Fields] OR "complicate"[All Fields] OR "complicated"[All Fields] OR "complicates"[All Fields] OR "complicating"[All Fields] OR "complication"[All Fields] OR "complication s"[All Fields] OR "complications"[</w:t>
            </w:r>
            <w:proofErr w:type="spellStart"/>
            <w:r w:rsidRPr="00ED61D3">
              <w:rPr>
                <w:rFonts w:ascii="Times New Roman" w:eastAsia="Times New Roman" w:hAnsi="Times New Roman" w:cs="Times New Roman"/>
                <w:kern w:val="0"/>
                <w:lang w:eastAsia="en-GB"/>
                <w14:ligatures w14:val="none"/>
              </w:rPr>
              <w:t>MeSH</w:t>
            </w:r>
            <w:proofErr w:type="spellEnd"/>
            <w:r w:rsidRPr="00ED61D3">
              <w:rPr>
                <w:rFonts w:ascii="Times New Roman" w:eastAsia="Times New Roman" w:hAnsi="Times New Roman" w:cs="Times New Roman"/>
                <w:kern w:val="0"/>
                <w:lang w:eastAsia="en-GB"/>
                <w14:ligatures w14:val="none"/>
              </w:rPr>
              <w:t xml:space="preserve"> Subheading] OR "complications"[All Fields]) OR ("pars"[All Fields] AND "plana"[All Fields] AND ("vitrectomy"[</w:t>
            </w:r>
            <w:proofErr w:type="spellStart"/>
            <w:r w:rsidRPr="00ED61D3">
              <w:rPr>
                <w:rFonts w:ascii="Times New Roman" w:eastAsia="Times New Roman" w:hAnsi="Times New Roman" w:cs="Times New Roman"/>
                <w:kern w:val="0"/>
                <w:lang w:eastAsia="en-GB"/>
                <w14:ligatures w14:val="none"/>
              </w:rPr>
              <w:t>MeSH</w:t>
            </w:r>
            <w:proofErr w:type="spellEnd"/>
            <w:r w:rsidRPr="00ED61D3">
              <w:rPr>
                <w:rFonts w:ascii="Times New Roman" w:eastAsia="Times New Roman" w:hAnsi="Times New Roman" w:cs="Times New Roman"/>
                <w:kern w:val="0"/>
                <w:lang w:eastAsia="en-GB"/>
                <w14:ligatures w14:val="none"/>
              </w:rPr>
              <w:t xml:space="preserve"> Terms] OR "vitrectomy"[All Fields] OR "vitrectomies"[All Fields])) OR "PPV"[All Fields] OR ("scleral buckling"[</w:t>
            </w:r>
            <w:proofErr w:type="spellStart"/>
            <w:r w:rsidRPr="00ED61D3">
              <w:rPr>
                <w:rFonts w:ascii="Times New Roman" w:eastAsia="Times New Roman" w:hAnsi="Times New Roman" w:cs="Times New Roman"/>
                <w:kern w:val="0"/>
                <w:lang w:eastAsia="en-GB"/>
                <w14:ligatures w14:val="none"/>
              </w:rPr>
              <w:t>MeSH</w:t>
            </w:r>
            <w:proofErr w:type="spellEnd"/>
            <w:r w:rsidRPr="00ED61D3">
              <w:rPr>
                <w:rFonts w:ascii="Times New Roman" w:eastAsia="Times New Roman" w:hAnsi="Times New Roman" w:cs="Times New Roman"/>
                <w:kern w:val="0"/>
                <w:lang w:eastAsia="en-GB"/>
                <w14:ligatures w14:val="none"/>
              </w:rPr>
              <w:t xml:space="preserve"> Terms] OR ("scleral"[All Fields] AND "buckling"[All Fields]) OR "scleral buckling"[All Fields]) OR ("stat bull </w:t>
            </w:r>
            <w:proofErr w:type="spellStart"/>
            <w:r w:rsidRPr="00ED61D3">
              <w:rPr>
                <w:rFonts w:ascii="Times New Roman" w:eastAsia="Times New Roman" w:hAnsi="Times New Roman" w:cs="Times New Roman"/>
                <w:kern w:val="0"/>
                <w:lang w:eastAsia="en-GB"/>
                <w14:ligatures w14:val="none"/>
              </w:rPr>
              <w:t>metrop</w:t>
            </w:r>
            <w:proofErr w:type="spellEnd"/>
            <w:r w:rsidRPr="00ED61D3">
              <w:rPr>
                <w:rFonts w:ascii="Times New Roman" w:eastAsia="Times New Roman" w:hAnsi="Times New Roman" w:cs="Times New Roman"/>
                <w:kern w:val="0"/>
                <w:lang w:eastAsia="en-GB"/>
                <w14:ligatures w14:val="none"/>
              </w:rPr>
              <w:t xml:space="preserve"> </w:t>
            </w:r>
            <w:proofErr w:type="spellStart"/>
            <w:r w:rsidRPr="00ED61D3">
              <w:rPr>
                <w:rFonts w:ascii="Times New Roman" w:eastAsia="Times New Roman" w:hAnsi="Times New Roman" w:cs="Times New Roman"/>
                <w:kern w:val="0"/>
                <w:lang w:eastAsia="en-GB"/>
                <w14:ligatures w14:val="none"/>
              </w:rPr>
              <w:t>insur</w:t>
            </w:r>
            <w:proofErr w:type="spellEnd"/>
            <w:r w:rsidRPr="00ED61D3">
              <w:rPr>
                <w:rFonts w:ascii="Times New Roman" w:eastAsia="Times New Roman" w:hAnsi="Times New Roman" w:cs="Times New Roman"/>
                <w:kern w:val="0"/>
                <w:lang w:eastAsia="en-GB"/>
                <w14:ligatures w14:val="none"/>
              </w:rPr>
              <w:t xml:space="preserve"> co"[Journal] OR "</w:t>
            </w:r>
            <w:proofErr w:type="spellStart"/>
            <w:r w:rsidRPr="00ED61D3">
              <w:rPr>
                <w:rFonts w:ascii="Times New Roman" w:eastAsia="Times New Roman" w:hAnsi="Times New Roman" w:cs="Times New Roman"/>
                <w:kern w:val="0"/>
                <w:lang w:eastAsia="en-GB"/>
                <w14:ligatures w14:val="none"/>
              </w:rPr>
              <w:t>nat</w:t>
            </w:r>
            <w:proofErr w:type="spellEnd"/>
            <w:r w:rsidRPr="00ED61D3">
              <w:rPr>
                <w:rFonts w:ascii="Times New Roman" w:eastAsia="Times New Roman" w:hAnsi="Times New Roman" w:cs="Times New Roman"/>
                <w:kern w:val="0"/>
                <w:lang w:eastAsia="en-GB"/>
                <w14:ligatures w14:val="none"/>
              </w:rPr>
              <w:t xml:space="preserve"> struct </w:t>
            </w:r>
            <w:proofErr w:type="spellStart"/>
            <w:r w:rsidRPr="00ED61D3">
              <w:rPr>
                <w:rFonts w:ascii="Times New Roman" w:eastAsia="Times New Roman" w:hAnsi="Times New Roman" w:cs="Times New Roman"/>
                <w:kern w:val="0"/>
                <w:lang w:eastAsia="en-GB"/>
                <w14:ligatures w14:val="none"/>
              </w:rPr>
              <w:t>biol</w:t>
            </w:r>
            <w:proofErr w:type="spellEnd"/>
            <w:r w:rsidRPr="00ED61D3">
              <w:rPr>
                <w:rFonts w:ascii="Times New Roman" w:eastAsia="Times New Roman" w:hAnsi="Times New Roman" w:cs="Times New Roman"/>
                <w:kern w:val="0"/>
                <w:lang w:eastAsia="en-GB"/>
                <w14:ligatures w14:val="none"/>
              </w:rPr>
              <w:t>"[Journal] OR "</w:t>
            </w:r>
            <w:proofErr w:type="spellStart"/>
            <w:r w:rsidRPr="00ED61D3">
              <w:rPr>
                <w:rFonts w:ascii="Times New Roman" w:eastAsia="Times New Roman" w:hAnsi="Times New Roman" w:cs="Times New Roman"/>
                <w:kern w:val="0"/>
                <w:lang w:eastAsia="en-GB"/>
                <w14:ligatures w14:val="none"/>
              </w:rPr>
              <w:t>sb</w:t>
            </w:r>
            <w:proofErr w:type="spellEnd"/>
            <w:r w:rsidRPr="00ED61D3">
              <w:rPr>
                <w:rFonts w:ascii="Times New Roman" w:eastAsia="Times New Roman" w:hAnsi="Times New Roman" w:cs="Times New Roman"/>
                <w:kern w:val="0"/>
                <w:lang w:eastAsia="en-GB"/>
                <w14:ligatures w14:val="none"/>
              </w:rPr>
              <w:t>"[All Fields]) OR ("tamponade"[All Fields] OR "</w:t>
            </w:r>
            <w:proofErr w:type="spellStart"/>
            <w:r w:rsidRPr="00ED61D3">
              <w:rPr>
                <w:rFonts w:ascii="Times New Roman" w:eastAsia="Times New Roman" w:hAnsi="Times New Roman" w:cs="Times New Roman"/>
                <w:kern w:val="0"/>
                <w:lang w:eastAsia="en-GB"/>
                <w14:ligatures w14:val="none"/>
              </w:rPr>
              <w:t>tamponaded</w:t>
            </w:r>
            <w:proofErr w:type="spellEnd"/>
            <w:r w:rsidRPr="00ED61D3">
              <w:rPr>
                <w:rFonts w:ascii="Times New Roman" w:eastAsia="Times New Roman" w:hAnsi="Times New Roman" w:cs="Times New Roman"/>
                <w:kern w:val="0"/>
                <w:lang w:eastAsia="en-GB"/>
                <w14:ligatures w14:val="none"/>
              </w:rPr>
              <w:t>"[All Fields] OR "tamponades"[All Fields] OR "</w:t>
            </w:r>
            <w:proofErr w:type="spellStart"/>
            <w:r w:rsidRPr="00ED61D3">
              <w:rPr>
                <w:rFonts w:ascii="Times New Roman" w:eastAsia="Times New Roman" w:hAnsi="Times New Roman" w:cs="Times New Roman"/>
                <w:kern w:val="0"/>
                <w:lang w:eastAsia="en-GB"/>
                <w14:ligatures w14:val="none"/>
              </w:rPr>
              <w:t>tamponading</w:t>
            </w:r>
            <w:proofErr w:type="spellEnd"/>
            <w:r w:rsidRPr="00ED61D3">
              <w:rPr>
                <w:rFonts w:ascii="Times New Roman" w:eastAsia="Times New Roman" w:hAnsi="Times New Roman" w:cs="Times New Roman"/>
                <w:kern w:val="0"/>
                <w:lang w:eastAsia="en-GB"/>
                <w14:ligatures w14:val="none"/>
              </w:rPr>
              <w:t>"[All Fields]) OR ("gas"[All Fields] OR "gasoline"[</w:t>
            </w:r>
            <w:proofErr w:type="spellStart"/>
            <w:r w:rsidRPr="00ED61D3">
              <w:rPr>
                <w:rFonts w:ascii="Times New Roman" w:eastAsia="Times New Roman" w:hAnsi="Times New Roman" w:cs="Times New Roman"/>
                <w:kern w:val="0"/>
                <w:lang w:eastAsia="en-GB"/>
                <w14:ligatures w14:val="none"/>
              </w:rPr>
              <w:t>MeSH</w:t>
            </w:r>
            <w:proofErr w:type="spellEnd"/>
            <w:r w:rsidRPr="00ED61D3">
              <w:rPr>
                <w:rFonts w:ascii="Times New Roman" w:eastAsia="Times New Roman" w:hAnsi="Times New Roman" w:cs="Times New Roman"/>
                <w:kern w:val="0"/>
                <w:lang w:eastAsia="en-GB"/>
                <w14:ligatures w14:val="none"/>
              </w:rPr>
              <w:t xml:space="preserve"> Terms] OR "gasoline"[All Fields] OR "gasolines"[All Fields] OR "petrol"[All Fields] OR "petroleum"[</w:t>
            </w:r>
            <w:proofErr w:type="spellStart"/>
            <w:r w:rsidRPr="00ED61D3">
              <w:rPr>
                <w:rFonts w:ascii="Times New Roman" w:eastAsia="Times New Roman" w:hAnsi="Times New Roman" w:cs="Times New Roman"/>
                <w:kern w:val="0"/>
                <w:lang w:eastAsia="en-GB"/>
                <w14:ligatures w14:val="none"/>
              </w:rPr>
              <w:t>MeSH</w:t>
            </w:r>
            <w:proofErr w:type="spellEnd"/>
            <w:r w:rsidRPr="00ED61D3">
              <w:rPr>
                <w:rFonts w:ascii="Times New Roman" w:eastAsia="Times New Roman" w:hAnsi="Times New Roman" w:cs="Times New Roman"/>
                <w:kern w:val="0"/>
                <w:lang w:eastAsia="en-GB"/>
                <w14:ligatures w14:val="none"/>
              </w:rPr>
              <w:t xml:space="preserve"> Terms] OR "petroleum"[All Fields] OR "</w:t>
            </w:r>
            <w:proofErr w:type="spellStart"/>
            <w:r w:rsidRPr="00ED61D3">
              <w:rPr>
                <w:rFonts w:ascii="Times New Roman" w:eastAsia="Times New Roman" w:hAnsi="Times New Roman" w:cs="Times New Roman"/>
                <w:kern w:val="0"/>
                <w:lang w:eastAsia="en-GB"/>
                <w14:ligatures w14:val="none"/>
              </w:rPr>
              <w:t>petroleums</w:t>
            </w:r>
            <w:proofErr w:type="spellEnd"/>
            <w:r w:rsidRPr="00ED61D3">
              <w:rPr>
                <w:rFonts w:ascii="Times New Roman" w:eastAsia="Times New Roman" w:hAnsi="Times New Roman" w:cs="Times New Roman"/>
                <w:kern w:val="0"/>
                <w:lang w:eastAsia="en-GB"/>
                <w14:ligatures w14:val="none"/>
              </w:rPr>
              <w:t>"[All Fields]) OR ("silicon"[</w:t>
            </w:r>
            <w:proofErr w:type="spellStart"/>
            <w:r w:rsidRPr="00ED61D3">
              <w:rPr>
                <w:rFonts w:ascii="Times New Roman" w:eastAsia="Times New Roman" w:hAnsi="Times New Roman" w:cs="Times New Roman"/>
                <w:kern w:val="0"/>
                <w:lang w:eastAsia="en-GB"/>
                <w14:ligatures w14:val="none"/>
              </w:rPr>
              <w:t>MeSH</w:t>
            </w:r>
            <w:proofErr w:type="spellEnd"/>
            <w:r w:rsidRPr="00ED61D3">
              <w:rPr>
                <w:rFonts w:ascii="Times New Roman" w:eastAsia="Times New Roman" w:hAnsi="Times New Roman" w:cs="Times New Roman"/>
                <w:kern w:val="0"/>
                <w:lang w:eastAsia="en-GB"/>
                <w14:ligatures w14:val="none"/>
              </w:rPr>
              <w:t xml:space="preserve"> Terms] OR "silicon"[All Fields] OR "silicon s"[All Fields] OR "</w:t>
            </w:r>
            <w:proofErr w:type="spellStart"/>
            <w:r w:rsidRPr="00ED61D3">
              <w:rPr>
                <w:rFonts w:ascii="Times New Roman" w:eastAsia="Times New Roman" w:hAnsi="Times New Roman" w:cs="Times New Roman"/>
                <w:kern w:val="0"/>
                <w:lang w:eastAsia="en-GB"/>
                <w14:ligatures w14:val="none"/>
              </w:rPr>
              <w:t>silicons</w:t>
            </w:r>
            <w:proofErr w:type="spellEnd"/>
            <w:r w:rsidRPr="00ED61D3">
              <w:rPr>
                <w:rFonts w:ascii="Times New Roman" w:eastAsia="Times New Roman" w:hAnsi="Times New Roman" w:cs="Times New Roman"/>
                <w:kern w:val="0"/>
                <w:lang w:eastAsia="en-GB"/>
                <w14:ligatures w14:val="none"/>
              </w:rPr>
              <w:t>"[All Fields]) OR ("best"[All Fields] AND ("visual acuity"[</w:t>
            </w:r>
            <w:proofErr w:type="spellStart"/>
            <w:r w:rsidRPr="00ED61D3">
              <w:rPr>
                <w:rFonts w:ascii="Times New Roman" w:eastAsia="Times New Roman" w:hAnsi="Times New Roman" w:cs="Times New Roman"/>
                <w:kern w:val="0"/>
                <w:lang w:eastAsia="en-GB"/>
                <w14:ligatures w14:val="none"/>
              </w:rPr>
              <w:t>MeSH</w:t>
            </w:r>
            <w:proofErr w:type="spellEnd"/>
            <w:r w:rsidRPr="00ED61D3">
              <w:rPr>
                <w:rFonts w:ascii="Times New Roman" w:eastAsia="Times New Roman" w:hAnsi="Times New Roman" w:cs="Times New Roman"/>
                <w:kern w:val="0"/>
                <w:lang w:eastAsia="en-GB"/>
                <w14:ligatures w14:val="none"/>
              </w:rPr>
              <w:t xml:space="preserve"> Terms] OR ("visual"[All Fields] AND "acuity"[All Fields]) OR "visual acuity"[All Fields])) OR "BVA"[All Fields]) AND ((</w:t>
            </w:r>
            <w:proofErr w:type="spellStart"/>
            <w:r w:rsidRPr="00ED61D3">
              <w:rPr>
                <w:rFonts w:ascii="Times New Roman" w:eastAsia="Times New Roman" w:hAnsi="Times New Roman" w:cs="Times New Roman"/>
                <w:kern w:val="0"/>
                <w:lang w:eastAsia="en-GB"/>
                <w14:ligatures w14:val="none"/>
              </w:rPr>
              <w:t>ffrft</w:t>
            </w:r>
            <w:proofErr w:type="spellEnd"/>
            <w:r w:rsidRPr="00ED61D3">
              <w:rPr>
                <w:rFonts w:ascii="Times New Roman" w:eastAsia="Times New Roman" w:hAnsi="Times New Roman" w:cs="Times New Roman"/>
                <w:kern w:val="0"/>
                <w:lang w:eastAsia="en-GB"/>
                <w14:ligatures w14:val="none"/>
              </w:rPr>
              <w:t xml:space="preserve">[Filter]) AND </w:t>
            </w:r>
            <w:r w:rsidRPr="00ED61D3">
              <w:rPr>
                <w:rFonts w:ascii="Times New Roman" w:eastAsia="Times New Roman" w:hAnsi="Times New Roman" w:cs="Times New Roman"/>
                <w:kern w:val="0"/>
                <w:lang w:eastAsia="en-GB"/>
                <w14:ligatures w14:val="none"/>
              </w:rPr>
              <w:lastRenderedPageBreak/>
              <w:t>(</w:t>
            </w:r>
            <w:proofErr w:type="spellStart"/>
            <w:r w:rsidRPr="00ED61D3">
              <w:rPr>
                <w:rFonts w:ascii="Times New Roman" w:eastAsia="Times New Roman" w:hAnsi="Times New Roman" w:cs="Times New Roman"/>
                <w:kern w:val="0"/>
                <w:lang w:eastAsia="en-GB"/>
                <w14:ligatures w14:val="none"/>
              </w:rPr>
              <w:t>clinicaltrial</w:t>
            </w:r>
            <w:proofErr w:type="spellEnd"/>
            <w:r w:rsidRPr="00ED61D3">
              <w:rPr>
                <w:rFonts w:ascii="Times New Roman" w:eastAsia="Times New Roman" w:hAnsi="Times New Roman" w:cs="Times New Roman"/>
                <w:kern w:val="0"/>
                <w:lang w:eastAsia="en-GB"/>
                <w14:ligatures w14:val="none"/>
              </w:rPr>
              <w:t xml:space="preserve">[Filter] OR </w:t>
            </w:r>
            <w:proofErr w:type="spellStart"/>
            <w:r w:rsidRPr="00ED61D3">
              <w:rPr>
                <w:rFonts w:ascii="Times New Roman" w:eastAsia="Times New Roman" w:hAnsi="Times New Roman" w:cs="Times New Roman"/>
                <w:kern w:val="0"/>
                <w:lang w:eastAsia="en-GB"/>
                <w14:ligatures w14:val="none"/>
              </w:rPr>
              <w:t>randomizedcontrolledtrial</w:t>
            </w:r>
            <w:proofErr w:type="spellEnd"/>
            <w:r w:rsidRPr="00ED61D3">
              <w:rPr>
                <w:rFonts w:ascii="Times New Roman" w:eastAsia="Times New Roman" w:hAnsi="Times New Roman" w:cs="Times New Roman"/>
                <w:kern w:val="0"/>
                <w:lang w:eastAsia="en-GB"/>
                <w14:ligatures w14:val="none"/>
              </w:rPr>
              <w:t>[Filter]) AND (</w:t>
            </w:r>
            <w:proofErr w:type="spellStart"/>
            <w:r w:rsidRPr="00ED61D3">
              <w:rPr>
                <w:rFonts w:ascii="Times New Roman" w:eastAsia="Times New Roman" w:hAnsi="Times New Roman" w:cs="Times New Roman"/>
                <w:kern w:val="0"/>
                <w:lang w:eastAsia="en-GB"/>
                <w14:ligatures w14:val="none"/>
              </w:rPr>
              <w:t>fft</w:t>
            </w:r>
            <w:proofErr w:type="spellEnd"/>
            <w:r w:rsidRPr="00ED61D3">
              <w:rPr>
                <w:rFonts w:ascii="Times New Roman" w:eastAsia="Times New Roman" w:hAnsi="Times New Roman" w:cs="Times New Roman"/>
                <w:kern w:val="0"/>
                <w:lang w:eastAsia="en-GB"/>
                <w14:ligatures w14:val="none"/>
              </w:rPr>
              <w:t>[Filter])) Filters: Free full text, Full text, Clinical Trial, Randomized Controlled Trial, English, Exclude preprints, from 2001/1/1 - 2023/3/20 </w:t>
            </w:r>
          </w:p>
        </w:tc>
      </w:tr>
      <w:tr w:rsidR="003A4529" w:rsidRPr="00ED61D3" w14:paraId="4FA4EF61" w14:textId="77777777" w:rsidTr="00BE5E51">
        <w:trPr>
          <w:trHeight w:val="1014"/>
        </w:trPr>
        <w:tc>
          <w:tcPr>
            <w:tcW w:w="1276" w:type="dxa"/>
          </w:tcPr>
          <w:p w14:paraId="6CCB5264" w14:textId="77777777" w:rsidR="003A4529" w:rsidRPr="00ED61D3" w:rsidRDefault="003A4529" w:rsidP="00BE5E51">
            <w:pPr>
              <w:spacing w:line="360" w:lineRule="auto"/>
              <w:jc w:val="both"/>
              <w:rPr>
                <w:rFonts w:ascii="Times New Roman" w:hAnsi="Times New Roman" w:cs="Times New Roman"/>
                <w:b/>
                <w:bCs/>
              </w:rPr>
            </w:pPr>
            <w:r w:rsidRPr="00ED61D3">
              <w:rPr>
                <w:rFonts w:ascii="Times New Roman" w:eastAsia="Times New Roman" w:hAnsi="Times New Roman" w:cs="Times New Roman"/>
                <w:b/>
                <w:bCs/>
                <w:color w:val="000000"/>
                <w:kern w:val="0"/>
                <w:lang w:eastAsia="en-GB"/>
                <w14:ligatures w14:val="none"/>
              </w:rPr>
              <w:lastRenderedPageBreak/>
              <w:t>Scopus </w:t>
            </w:r>
          </w:p>
        </w:tc>
        <w:tc>
          <w:tcPr>
            <w:tcW w:w="7087" w:type="dxa"/>
          </w:tcPr>
          <w:p w14:paraId="4F24BE4A" w14:textId="77777777" w:rsidR="003A4529" w:rsidRPr="00ED61D3" w:rsidRDefault="003A4529" w:rsidP="00BE5E51">
            <w:pPr>
              <w:spacing w:line="360" w:lineRule="auto"/>
              <w:jc w:val="both"/>
              <w:textAlignment w:val="baseline"/>
              <w:rPr>
                <w:rFonts w:ascii="Times New Roman" w:eastAsia="Times New Roman" w:hAnsi="Times New Roman" w:cs="Times New Roman"/>
                <w:kern w:val="0"/>
                <w:lang w:eastAsia="en-GB"/>
                <w14:ligatures w14:val="none"/>
              </w:rPr>
            </w:pPr>
            <w:r w:rsidRPr="00ED61D3">
              <w:rPr>
                <w:rFonts w:ascii="Times New Roman" w:eastAsia="Times New Roman" w:hAnsi="Times New Roman" w:cs="Times New Roman"/>
                <w:kern w:val="0"/>
                <w:lang w:eastAsia="en-GB"/>
                <w14:ligatures w14:val="none"/>
              </w:rPr>
              <w:t xml:space="preserve">giant  AND  retinal  AND  tears  OR  </w:t>
            </w:r>
            <w:proofErr w:type="spellStart"/>
            <w:r w:rsidRPr="00ED61D3">
              <w:rPr>
                <w:rFonts w:ascii="Times New Roman" w:eastAsia="Times New Roman" w:hAnsi="Times New Roman" w:cs="Times New Roman"/>
                <w:kern w:val="0"/>
                <w:lang w:eastAsia="en-GB"/>
                <w14:ligatures w14:val="none"/>
              </w:rPr>
              <w:t>grt</w:t>
            </w:r>
            <w:proofErr w:type="spellEnd"/>
            <w:r w:rsidRPr="00ED61D3">
              <w:rPr>
                <w:rFonts w:ascii="Times New Roman" w:eastAsia="Times New Roman" w:hAnsi="Times New Roman" w:cs="Times New Roman"/>
                <w:kern w:val="0"/>
                <w:lang w:eastAsia="en-GB"/>
                <w14:ligatures w14:val="none"/>
              </w:rPr>
              <w:t xml:space="preserve">  AND  rhegmatogenous  AND  retinal  AND  detachment  OR  </w:t>
            </w:r>
            <w:proofErr w:type="spellStart"/>
            <w:r w:rsidRPr="00ED61D3">
              <w:rPr>
                <w:rFonts w:ascii="Times New Roman" w:eastAsia="Times New Roman" w:hAnsi="Times New Roman" w:cs="Times New Roman"/>
                <w:kern w:val="0"/>
                <w:lang w:eastAsia="en-GB"/>
                <w14:ligatures w14:val="none"/>
              </w:rPr>
              <w:t>rrd</w:t>
            </w:r>
            <w:proofErr w:type="spellEnd"/>
            <w:r w:rsidRPr="00ED61D3">
              <w:rPr>
                <w:rFonts w:ascii="Times New Roman" w:eastAsia="Times New Roman" w:hAnsi="Times New Roman" w:cs="Times New Roman"/>
                <w:kern w:val="0"/>
                <w:lang w:eastAsia="en-GB"/>
                <w14:ligatures w14:val="none"/>
              </w:rPr>
              <w:t xml:space="preserve">  AND  surgical  AND  approaches  OR  complications  OR  pars  AND  plana  AND  vitrectomy  OR  </w:t>
            </w:r>
            <w:proofErr w:type="spellStart"/>
            <w:r w:rsidRPr="00ED61D3">
              <w:rPr>
                <w:rFonts w:ascii="Times New Roman" w:eastAsia="Times New Roman" w:hAnsi="Times New Roman" w:cs="Times New Roman"/>
                <w:kern w:val="0"/>
                <w:lang w:eastAsia="en-GB"/>
                <w14:ligatures w14:val="none"/>
              </w:rPr>
              <w:t>ppv</w:t>
            </w:r>
            <w:proofErr w:type="spellEnd"/>
            <w:r w:rsidRPr="00ED61D3">
              <w:rPr>
                <w:rFonts w:ascii="Times New Roman" w:eastAsia="Times New Roman" w:hAnsi="Times New Roman" w:cs="Times New Roman"/>
                <w:kern w:val="0"/>
                <w:lang w:eastAsia="en-GB"/>
                <w14:ligatures w14:val="none"/>
              </w:rPr>
              <w:t xml:space="preserve">  OR  scleral  AND  buckling  OR  </w:t>
            </w:r>
            <w:proofErr w:type="spellStart"/>
            <w:r w:rsidRPr="00ED61D3">
              <w:rPr>
                <w:rFonts w:ascii="Times New Roman" w:eastAsia="Times New Roman" w:hAnsi="Times New Roman" w:cs="Times New Roman"/>
                <w:kern w:val="0"/>
                <w:lang w:eastAsia="en-GB"/>
                <w14:ligatures w14:val="none"/>
              </w:rPr>
              <w:t>sb</w:t>
            </w:r>
            <w:proofErr w:type="spellEnd"/>
            <w:r w:rsidRPr="00ED61D3">
              <w:rPr>
                <w:rFonts w:ascii="Times New Roman" w:eastAsia="Times New Roman" w:hAnsi="Times New Roman" w:cs="Times New Roman"/>
                <w:kern w:val="0"/>
                <w:lang w:eastAsia="en-GB"/>
                <w14:ligatures w14:val="none"/>
              </w:rPr>
              <w:t xml:space="preserve">  OR  tamponade  OR  gas  OR  silicon  OR  best  AND  visual  AND  acuity  OR  </w:t>
            </w:r>
            <w:proofErr w:type="spellStart"/>
            <w:r w:rsidRPr="00ED61D3">
              <w:rPr>
                <w:rFonts w:ascii="Times New Roman" w:eastAsia="Times New Roman" w:hAnsi="Times New Roman" w:cs="Times New Roman"/>
                <w:kern w:val="0"/>
                <w:lang w:eastAsia="en-GB"/>
                <w14:ligatures w14:val="none"/>
              </w:rPr>
              <w:t>bva</w:t>
            </w:r>
            <w:proofErr w:type="spellEnd"/>
            <w:r w:rsidRPr="00ED61D3">
              <w:rPr>
                <w:rFonts w:ascii="Times New Roman" w:eastAsia="Times New Roman" w:hAnsi="Times New Roman" w:cs="Times New Roman"/>
                <w:kern w:val="0"/>
                <w:lang w:eastAsia="en-GB"/>
                <w14:ligatures w14:val="none"/>
              </w:rPr>
              <w:t>  AND  ( LIMIT-TO ( DOCTYPE ,  "</w:t>
            </w:r>
            <w:proofErr w:type="spellStart"/>
            <w:r w:rsidRPr="00ED61D3">
              <w:rPr>
                <w:rFonts w:ascii="Times New Roman" w:eastAsia="Times New Roman" w:hAnsi="Times New Roman" w:cs="Times New Roman"/>
                <w:kern w:val="0"/>
                <w:lang w:eastAsia="en-GB"/>
                <w14:ligatures w14:val="none"/>
              </w:rPr>
              <w:t>ar</w:t>
            </w:r>
            <w:proofErr w:type="spellEnd"/>
            <w:r w:rsidRPr="00ED61D3">
              <w:rPr>
                <w:rFonts w:ascii="Times New Roman" w:eastAsia="Times New Roman" w:hAnsi="Times New Roman" w:cs="Times New Roman"/>
                <w:kern w:val="0"/>
                <w:lang w:eastAsia="en-GB"/>
                <w14:ligatures w14:val="none"/>
              </w:rPr>
              <w:t xml:space="preserve">" )  OR  LIMIT-TO ( DOCTYPE ,  "cp" ) )  AND  ( LIMIT-TO ( LANGUAGE ,  "English" )  OR  LIMIT-TO ( LANGUAGE ,  "Turkish" )  OR  LIMIT-TO ( LANGUAGE ,  "Chinese" )  OR  LIMIT-TO ( LANGUAGE ,  "Czech" )  OR  LIMIT-TO ( LANGUAGE ,  "Japanese" )  OR  LIMIT-TO ( LANGUAGE ,  "Russian" ) )  AND  ( LIMIT-TO ( PUBYEAR ,  2023 )  OR  LIMIT-TO ( PUBYEAR ,  2022 )  OR  LIMIT-TO ( PUBYEAR ,  2021 )  OR  LIMIT-TO ( PUBYEAR ,  2020 )  OR  LIMIT-TO ( PUBYEAR ,  2019 )  OR  LIMIT-TO ( PUBYEAR ,  2018 )  OR  LIMIT-TO ( PUBYEAR ,  2017 )  OR  LIMIT-TO ( PUBYEAR ,  2016 )  OR  LIMIT-TO ( PUBYEAR ,  2015 )  OR  LIMIT-TO ( PUBYEAR ,  2014 )  OR  LIMIT-TO ( PUBYEAR ,  2013 )  OR  LIMIT-TO ( PUBYEAR ,  2012 )  OR  LIMIT-TO ( PUBYEAR ,  2011 )  OR  LIMIT-TO ( PUBYEAR ,  2010 )  OR  LIMIT-TO ( PUBYEAR </w:t>
            </w:r>
            <w:r w:rsidRPr="00ED61D3">
              <w:rPr>
                <w:rFonts w:ascii="Times New Roman" w:eastAsia="Times New Roman" w:hAnsi="Times New Roman" w:cs="Times New Roman"/>
                <w:kern w:val="0"/>
                <w:lang w:eastAsia="en-GB"/>
                <w14:ligatures w14:val="none"/>
              </w:rPr>
              <w:lastRenderedPageBreak/>
              <w:t>,  2009 )  OR  LIMIT-TO ( PUBYEAR ,  2008 )  OR  LIMIT-TO ( PUBYEAR ,  2007 )  OR  LIMIT-TO ( PUBYEAR ,  2006 )  OR  LIMIT-TO ( PUBYEAR ,  2005 )  OR  LIMIT-TO ( PUBYEAR ,  2004 )  OR  LIMIT-TO ( PUBYEAR ,  2003 )  OR  LIMIT-TO ( PUBYEAR ,  2002 )  OR  LIMIT-TO ( PUBYEAR ,  2001 ) )  AND  ( EXCLUDE ( LANGUAGE ,  "Turkish" )  OR  EXCLUDE ( LANGUAGE ,  "Chinese" )  OR  EXCLUDE ( LANGUAGE ,  "Czech" )  OR  EXCLUDE ( LANGUAGE ,  "Japanese" )  OR  EXCLUDE ( LANGUAGE ,  "Russian" ) ) </w:t>
            </w:r>
          </w:p>
        </w:tc>
      </w:tr>
      <w:tr w:rsidR="003A4529" w:rsidRPr="00ED61D3" w14:paraId="086AE159" w14:textId="77777777" w:rsidTr="00BE5E51">
        <w:trPr>
          <w:trHeight w:val="370"/>
        </w:trPr>
        <w:tc>
          <w:tcPr>
            <w:tcW w:w="1276" w:type="dxa"/>
          </w:tcPr>
          <w:p w14:paraId="0580358F" w14:textId="77777777" w:rsidR="003A4529" w:rsidRPr="00ED61D3" w:rsidRDefault="003A4529" w:rsidP="00BE5E51">
            <w:pPr>
              <w:spacing w:line="360" w:lineRule="auto"/>
              <w:jc w:val="both"/>
              <w:rPr>
                <w:rFonts w:ascii="Times New Roman" w:hAnsi="Times New Roman" w:cs="Times New Roman"/>
                <w:b/>
                <w:bCs/>
              </w:rPr>
            </w:pPr>
            <w:r w:rsidRPr="00ED61D3">
              <w:rPr>
                <w:rFonts w:ascii="Times New Roman" w:eastAsia="Times New Roman" w:hAnsi="Times New Roman" w:cs="Times New Roman"/>
                <w:b/>
                <w:bCs/>
                <w:color w:val="000000"/>
                <w:kern w:val="0"/>
                <w:lang w:eastAsia="en-GB"/>
                <w14:ligatures w14:val="none"/>
              </w:rPr>
              <w:lastRenderedPageBreak/>
              <w:t>Google scholar  </w:t>
            </w:r>
          </w:p>
        </w:tc>
        <w:tc>
          <w:tcPr>
            <w:tcW w:w="7087" w:type="dxa"/>
          </w:tcPr>
          <w:p w14:paraId="22934FD8" w14:textId="77777777" w:rsidR="003A4529" w:rsidRPr="00ED61D3" w:rsidRDefault="003A4529" w:rsidP="00BE5E51">
            <w:pPr>
              <w:spacing w:line="360" w:lineRule="auto"/>
              <w:jc w:val="both"/>
              <w:textAlignment w:val="baseline"/>
              <w:rPr>
                <w:rFonts w:ascii="Times New Roman" w:eastAsia="Times New Roman" w:hAnsi="Times New Roman" w:cs="Times New Roman"/>
                <w:kern w:val="0"/>
                <w:lang w:eastAsia="en-GB"/>
                <w14:ligatures w14:val="none"/>
              </w:rPr>
            </w:pPr>
            <w:r w:rsidRPr="00ED61D3">
              <w:rPr>
                <w:rFonts w:ascii="Times New Roman" w:eastAsia="Times New Roman" w:hAnsi="Times New Roman" w:cs="Times New Roman"/>
                <w:color w:val="000000"/>
                <w:kern w:val="0"/>
                <w:lang w:eastAsia="en-GB"/>
                <w14:ligatures w14:val="none"/>
              </w:rPr>
              <w:t>Giant retinal tears OR GRT AND rhegmatogenous retinal detachment OR RRD AND surgical approaches OR complications OR pars plana vitrectomy OR PPV OR scleral buckling OR SB OR tamponade OR gas OR silicon OR best visual acuity OR BVA </w:t>
            </w:r>
          </w:p>
        </w:tc>
      </w:tr>
      <w:tr w:rsidR="003A4529" w:rsidRPr="00ED61D3" w14:paraId="7790E12C" w14:textId="77777777" w:rsidTr="00BE5E51">
        <w:trPr>
          <w:trHeight w:val="406"/>
        </w:trPr>
        <w:tc>
          <w:tcPr>
            <w:tcW w:w="1276" w:type="dxa"/>
          </w:tcPr>
          <w:p w14:paraId="0753B893" w14:textId="77777777" w:rsidR="003A4529" w:rsidRPr="00ED61D3" w:rsidRDefault="003A4529" w:rsidP="00BE5E51">
            <w:pPr>
              <w:spacing w:line="360" w:lineRule="auto"/>
              <w:jc w:val="both"/>
              <w:rPr>
                <w:rFonts w:ascii="Times New Roman" w:hAnsi="Times New Roman" w:cs="Times New Roman"/>
                <w:b/>
                <w:bCs/>
              </w:rPr>
            </w:pPr>
            <w:r w:rsidRPr="00ED61D3">
              <w:rPr>
                <w:rFonts w:ascii="Times New Roman" w:eastAsia="Times New Roman" w:hAnsi="Times New Roman" w:cs="Times New Roman"/>
                <w:b/>
                <w:bCs/>
                <w:color w:val="000000"/>
                <w:kern w:val="0"/>
                <w:lang w:eastAsia="en-GB"/>
                <w14:ligatures w14:val="none"/>
              </w:rPr>
              <w:t>Springer Link  </w:t>
            </w:r>
          </w:p>
        </w:tc>
        <w:tc>
          <w:tcPr>
            <w:tcW w:w="7087" w:type="dxa"/>
          </w:tcPr>
          <w:p w14:paraId="31DC9D72" w14:textId="77777777" w:rsidR="003A4529" w:rsidRPr="00ED61D3" w:rsidRDefault="003A4529" w:rsidP="00BE5E51">
            <w:pPr>
              <w:spacing w:line="360" w:lineRule="auto"/>
              <w:jc w:val="both"/>
              <w:rPr>
                <w:rFonts w:ascii="Times New Roman" w:hAnsi="Times New Roman" w:cs="Times New Roman"/>
              </w:rPr>
            </w:pPr>
            <w:r w:rsidRPr="00ED61D3">
              <w:rPr>
                <w:rFonts w:ascii="Times New Roman" w:eastAsia="Times New Roman" w:hAnsi="Times New Roman" w:cs="Times New Roman"/>
                <w:color w:val="000000"/>
                <w:kern w:val="0"/>
                <w:lang w:eastAsia="en-GB"/>
                <w14:ligatures w14:val="none"/>
              </w:rPr>
              <w:t>Giant retinal tears OR GRT AND rhegmatogenous retinal detachment OR RRD AND surgical approaches OR complications OR pars plana vitrectomy OR PPV OR scleral buckling OR SB OR tamponade OR gas OR silicon OR best visual acuity OR BVA </w:t>
            </w:r>
          </w:p>
        </w:tc>
      </w:tr>
    </w:tbl>
    <w:p w14:paraId="0C1B4F1F" w14:textId="77777777" w:rsidR="003A4529" w:rsidRDefault="003A4529" w:rsidP="003A4529"/>
    <w:p w14:paraId="7E28A878" w14:textId="77777777" w:rsidR="003A4529" w:rsidRDefault="003A4529" w:rsidP="003A4529">
      <w:pPr>
        <w:rPr>
          <w:rFonts w:ascii="Times New Roman" w:hAnsi="Times New Roman" w:cs="Times New Roman"/>
        </w:rPr>
      </w:pPr>
      <w:r>
        <w:rPr>
          <w:rFonts w:ascii="Times New Roman" w:hAnsi="Times New Roman" w:cs="Times New Roman"/>
          <w:b/>
          <w:bCs/>
        </w:rPr>
        <w:t xml:space="preserve">Table S2. </w:t>
      </w:r>
      <w:r>
        <w:rPr>
          <w:rFonts w:ascii="Times New Roman" w:hAnsi="Times New Roman" w:cs="Times New Roman"/>
        </w:rPr>
        <w:t xml:space="preserve">Characteristics of Study such as Country, Study Design, Setting, Inclusion Criteria, Exclusion Criteria, Surgical Repair, Comparison, Presence of Giant Retinal Tears, Postoperative Follow-up Period, Number of Patients, and Number of Eyes </w:t>
      </w:r>
    </w:p>
    <w:p w14:paraId="78D3FBB3" w14:textId="77777777" w:rsidR="003A4529" w:rsidRDefault="003A4529" w:rsidP="003A4529"/>
    <w:tbl>
      <w:tblPr>
        <w:tblStyle w:val="TableGrid1"/>
        <w:tblW w:w="14460" w:type="dxa"/>
        <w:tblInd w:w="-431" w:type="dxa"/>
        <w:tblLayout w:type="fixed"/>
        <w:tblLook w:val="04A0" w:firstRow="1" w:lastRow="0" w:firstColumn="1" w:lastColumn="0" w:noHBand="0" w:noVBand="1"/>
      </w:tblPr>
      <w:tblGrid>
        <w:gridCol w:w="1419"/>
        <w:gridCol w:w="992"/>
        <w:gridCol w:w="1134"/>
        <w:gridCol w:w="897"/>
        <w:gridCol w:w="1440"/>
        <w:gridCol w:w="1440"/>
        <w:gridCol w:w="1468"/>
        <w:gridCol w:w="1417"/>
        <w:gridCol w:w="992"/>
        <w:gridCol w:w="1276"/>
        <w:gridCol w:w="992"/>
        <w:gridCol w:w="993"/>
      </w:tblGrid>
      <w:tr w:rsidR="003A4529" w14:paraId="247ABFC4"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776C08D2" w14:textId="77777777" w:rsidR="003A4529" w:rsidRDefault="003A4529">
            <w:pPr>
              <w:spacing w:line="276" w:lineRule="auto"/>
              <w:rPr>
                <w:rFonts w:ascii="Times New Roman" w:hAnsi="Times New Roman" w:cs="Times New Roman"/>
                <w:b/>
                <w:bCs/>
                <w:kern w:val="0"/>
                <w:sz w:val="16"/>
                <w:szCs w:val="16"/>
                <w:lang w:val="en-US"/>
                <w14:ligatures w14:val="none"/>
              </w:rPr>
            </w:pPr>
            <w:r>
              <w:rPr>
                <w:rFonts w:ascii="Times New Roman" w:hAnsi="Times New Roman" w:cs="Times New Roman"/>
                <w:b/>
                <w:bCs/>
                <w:kern w:val="0"/>
                <w:sz w:val="16"/>
                <w:szCs w:val="16"/>
                <w:lang w:val="en-US"/>
                <w14:ligatures w14:val="none"/>
              </w:rPr>
              <w:t xml:space="preserve">Reference </w:t>
            </w:r>
          </w:p>
        </w:tc>
        <w:tc>
          <w:tcPr>
            <w:tcW w:w="992" w:type="dxa"/>
            <w:tcBorders>
              <w:top w:val="single" w:sz="4" w:space="0" w:color="auto"/>
              <w:left w:val="single" w:sz="4" w:space="0" w:color="auto"/>
              <w:bottom w:val="single" w:sz="4" w:space="0" w:color="auto"/>
              <w:right w:val="single" w:sz="4" w:space="0" w:color="auto"/>
            </w:tcBorders>
            <w:hideMark/>
          </w:tcPr>
          <w:p w14:paraId="069B57CE" w14:textId="77777777" w:rsidR="003A4529" w:rsidRDefault="003A4529">
            <w:pPr>
              <w:spacing w:line="276" w:lineRule="auto"/>
              <w:rPr>
                <w:rFonts w:ascii="Times New Roman" w:hAnsi="Times New Roman" w:cs="Times New Roman"/>
                <w:b/>
                <w:bCs/>
                <w:sz w:val="16"/>
                <w:szCs w:val="16"/>
                <w:lang w:val="en-US"/>
              </w:rPr>
            </w:pPr>
            <w:r>
              <w:rPr>
                <w:rFonts w:ascii="Times New Roman" w:hAnsi="Times New Roman" w:cs="Times New Roman"/>
                <w:b/>
                <w:bCs/>
                <w:sz w:val="16"/>
                <w:szCs w:val="16"/>
                <w:lang w:val="en-US"/>
              </w:rPr>
              <w:t xml:space="preserve">Country </w:t>
            </w:r>
          </w:p>
        </w:tc>
        <w:tc>
          <w:tcPr>
            <w:tcW w:w="1134" w:type="dxa"/>
            <w:tcBorders>
              <w:top w:val="single" w:sz="4" w:space="0" w:color="auto"/>
              <w:left w:val="single" w:sz="4" w:space="0" w:color="auto"/>
              <w:bottom w:val="single" w:sz="4" w:space="0" w:color="auto"/>
              <w:right w:val="single" w:sz="4" w:space="0" w:color="auto"/>
            </w:tcBorders>
            <w:hideMark/>
          </w:tcPr>
          <w:p w14:paraId="10842286" w14:textId="77777777" w:rsidR="003A4529" w:rsidRDefault="003A4529">
            <w:pPr>
              <w:spacing w:line="276" w:lineRule="auto"/>
              <w:rPr>
                <w:rFonts w:ascii="Times New Roman" w:hAnsi="Times New Roman" w:cs="Times New Roman"/>
                <w:b/>
                <w:bCs/>
                <w:sz w:val="16"/>
                <w:szCs w:val="16"/>
                <w:lang w:val="en-US"/>
              </w:rPr>
            </w:pPr>
            <w:r>
              <w:rPr>
                <w:rFonts w:ascii="Times New Roman" w:hAnsi="Times New Roman" w:cs="Times New Roman"/>
                <w:b/>
                <w:bCs/>
                <w:sz w:val="16"/>
                <w:szCs w:val="16"/>
                <w:lang w:val="en-US"/>
              </w:rPr>
              <w:t xml:space="preserve">Study design </w:t>
            </w:r>
          </w:p>
        </w:tc>
        <w:tc>
          <w:tcPr>
            <w:tcW w:w="897" w:type="dxa"/>
            <w:tcBorders>
              <w:top w:val="single" w:sz="4" w:space="0" w:color="auto"/>
              <w:left w:val="single" w:sz="4" w:space="0" w:color="auto"/>
              <w:bottom w:val="single" w:sz="4" w:space="0" w:color="auto"/>
              <w:right w:val="single" w:sz="4" w:space="0" w:color="auto"/>
            </w:tcBorders>
            <w:hideMark/>
          </w:tcPr>
          <w:p w14:paraId="382D3A5C" w14:textId="77777777" w:rsidR="003A4529" w:rsidRDefault="003A4529">
            <w:pPr>
              <w:spacing w:line="276" w:lineRule="auto"/>
              <w:rPr>
                <w:rFonts w:ascii="Times New Roman" w:hAnsi="Times New Roman" w:cs="Times New Roman"/>
                <w:b/>
                <w:bCs/>
                <w:sz w:val="16"/>
                <w:szCs w:val="16"/>
                <w:lang w:val="en-US"/>
              </w:rPr>
            </w:pPr>
            <w:r>
              <w:rPr>
                <w:rFonts w:ascii="Times New Roman" w:hAnsi="Times New Roman" w:cs="Times New Roman"/>
                <w:b/>
                <w:bCs/>
                <w:sz w:val="16"/>
                <w:szCs w:val="16"/>
                <w:lang w:val="en-US"/>
              </w:rPr>
              <w:t xml:space="preserve">Study setting </w:t>
            </w:r>
          </w:p>
        </w:tc>
        <w:tc>
          <w:tcPr>
            <w:tcW w:w="1440" w:type="dxa"/>
            <w:tcBorders>
              <w:top w:val="single" w:sz="4" w:space="0" w:color="auto"/>
              <w:left w:val="single" w:sz="4" w:space="0" w:color="auto"/>
              <w:bottom w:val="single" w:sz="4" w:space="0" w:color="auto"/>
              <w:right w:val="single" w:sz="4" w:space="0" w:color="auto"/>
            </w:tcBorders>
            <w:hideMark/>
          </w:tcPr>
          <w:p w14:paraId="3A24A06E" w14:textId="77777777" w:rsidR="003A4529" w:rsidRDefault="003A4529">
            <w:pPr>
              <w:spacing w:line="276" w:lineRule="auto"/>
              <w:rPr>
                <w:rFonts w:ascii="Times New Roman" w:hAnsi="Times New Roman" w:cs="Times New Roman"/>
                <w:b/>
                <w:bCs/>
                <w:sz w:val="16"/>
                <w:szCs w:val="16"/>
                <w:lang w:val="en-US"/>
              </w:rPr>
            </w:pPr>
            <w:r>
              <w:rPr>
                <w:rFonts w:ascii="Times New Roman" w:hAnsi="Times New Roman" w:cs="Times New Roman"/>
                <w:b/>
                <w:bCs/>
                <w:sz w:val="16"/>
                <w:szCs w:val="16"/>
                <w:lang w:val="en-US"/>
              </w:rPr>
              <w:t xml:space="preserve">Inclusion criteria </w:t>
            </w:r>
          </w:p>
        </w:tc>
        <w:tc>
          <w:tcPr>
            <w:tcW w:w="1440" w:type="dxa"/>
            <w:tcBorders>
              <w:top w:val="single" w:sz="4" w:space="0" w:color="auto"/>
              <w:left w:val="single" w:sz="4" w:space="0" w:color="auto"/>
              <w:bottom w:val="single" w:sz="4" w:space="0" w:color="auto"/>
              <w:right w:val="single" w:sz="4" w:space="0" w:color="auto"/>
            </w:tcBorders>
            <w:hideMark/>
          </w:tcPr>
          <w:p w14:paraId="2A2B80F7" w14:textId="77777777" w:rsidR="003A4529" w:rsidRDefault="003A4529">
            <w:pPr>
              <w:spacing w:line="276" w:lineRule="auto"/>
              <w:rPr>
                <w:rFonts w:ascii="Times New Roman" w:hAnsi="Times New Roman" w:cs="Times New Roman"/>
                <w:b/>
                <w:bCs/>
                <w:sz w:val="16"/>
                <w:szCs w:val="16"/>
                <w:lang w:val="en-US"/>
              </w:rPr>
            </w:pPr>
            <w:r>
              <w:rPr>
                <w:rFonts w:ascii="Times New Roman" w:hAnsi="Times New Roman" w:cs="Times New Roman"/>
                <w:b/>
                <w:bCs/>
                <w:sz w:val="16"/>
                <w:szCs w:val="16"/>
                <w:lang w:val="en-US"/>
              </w:rPr>
              <w:t xml:space="preserve">Exclusion criteria </w:t>
            </w:r>
          </w:p>
        </w:tc>
        <w:tc>
          <w:tcPr>
            <w:tcW w:w="1468" w:type="dxa"/>
            <w:tcBorders>
              <w:top w:val="single" w:sz="4" w:space="0" w:color="auto"/>
              <w:left w:val="single" w:sz="4" w:space="0" w:color="auto"/>
              <w:bottom w:val="single" w:sz="4" w:space="0" w:color="auto"/>
              <w:right w:val="single" w:sz="4" w:space="0" w:color="auto"/>
            </w:tcBorders>
            <w:hideMark/>
          </w:tcPr>
          <w:p w14:paraId="61FF57E0" w14:textId="77777777" w:rsidR="003A4529" w:rsidRDefault="003A4529">
            <w:pPr>
              <w:spacing w:line="276" w:lineRule="auto"/>
              <w:rPr>
                <w:rFonts w:ascii="Times New Roman" w:hAnsi="Times New Roman" w:cs="Times New Roman"/>
                <w:b/>
                <w:bCs/>
                <w:sz w:val="16"/>
                <w:szCs w:val="16"/>
                <w:lang w:val="en-US"/>
              </w:rPr>
            </w:pPr>
            <w:r>
              <w:rPr>
                <w:rFonts w:ascii="Times New Roman" w:hAnsi="Times New Roman" w:cs="Times New Roman"/>
                <w:b/>
                <w:bCs/>
                <w:sz w:val="16"/>
                <w:szCs w:val="16"/>
                <w:lang w:val="en-US"/>
              </w:rPr>
              <w:t xml:space="preserve">Surgical repair </w:t>
            </w:r>
          </w:p>
        </w:tc>
        <w:tc>
          <w:tcPr>
            <w:tcW w:w="1417" w:type="dxa"/>
            <w:tcBorders>
              <w:top w:val="single" w:sz="4" w:space="0" w:color="auto"/>
              <w:left w:val="single" w:sz="4" w:space="0" w:color="auto"/>
              <w:bottom w:val="single" w:sz="4" w:space="0" w:color="auto"/>
              <w:right w:val="single" w:sz="4" w:space="0" w:color="auto"/>
            </w:tcBorders>
            <w:hideMark/>
          </w:tcPr>
          <w:p w14:paraId="1BDB058B" w14:textId="77777777" w:rsidR="003A4529" w:rsidRDefault="003A4529">
            <w:pPr>
              <w:spacing w:line="276" w:lineRule="auto"/>
              <w:rPr>
                <w:rFonts w:ascii="Times New Roman" w:hAnsi="Times New Roman" w:cs="Times New Roman"/>
                <w:b/>
                <w:bCs/>
                <w:sz w:val="16"/>
                <w:szCs w:val="16"/>
                <w:lang w:val="en-US"/>
              </w:rPr>
            </w:pPr>
            <w:r>
              <w:rPr>
                <w:rFonts w:ascii="Times New Roman" w:hAnsi="Times New Roman" w:cs="Times New Roman"/>
                <w:b/>
                <w:bCs/>
                <w:sz w:val="16"/>
                <w:szCs w:val="16"/>
                <w:lang w:val="en-US"/>
              </w:rPr>
              <w:t>Comparisons</w:t>
            </w:r>
          </w:p>
        </w:tc>
        <w:tc>
          <w:tcPr>
            <w:tcW w:w="992" w:type="dxa"/>
            <w:tcBorders>
              <w:top w:val="single" w:sz="4" w:space="0" w:color="auto"/>
              <w:left w:val="single" w:sz="4" w:space="0" w:color="auto"/>
              <w:bottom w:val="single" w:sz="4" w:space="0" w:color="auto"/>
              <w:right w:val="single" w:sz="4" w:space="0" w:color="auto"/>
            </w:tcBorders>
            <w:hideMark/>
          </w:tcPr>
          <w:p w14:paraId="3C705ED1" w14:textId="77777777" w:rsidR="003A4529" w:rsidRDefault="003A4529">
            <w:pPr>
              <w:spacing w:line="276" w:lineRule="auto"/>
              <w:rPr>
                <w:rFonts w:ascii="Times New Roman" w:hAnsi="Times New Roman" w:cs="Times New Roman"/>
                <w:b/>
                <w:bCs/>
                <w:sz w:val="16"/>
                <w:szCs w:val="16"/>
                <w:lang w:val="en-US"/>
              </w:rPr>
            </w:pPr>
            <w:r>
              <w:rPr>
                <w:rFonts w:ascii="Times New Roman" w:hAnsi="Times New Roman" w:cs="Times New Roman"/>
                <w:b/>
                <w:bCs/>
                <w:sz w:val="16"/>
                <w:szCs w:val="16"/>
                <w:lang w:val="en-US"/>
              </w:rPr>
              <w:t>Presence of GRT</w:t>
            </w:r>
          </w:p>
        </w:tc>
        <w:tc>
          <w:tcPr>
            <w:tcW w:w="1276" w:type="dxa"/>
            <w:tcBorders>
              <w:top w:val="single" w:sz="4" w:space="0" w:color="auto"/>
              <w:left w:val="single" w:sz="4" w:space="0" w:color="auto"/>
              <w:bottom w:val="single" w:sz="4" w:space="0" w:color="auto"/>
              <w:right w:val="single" w:sz="4" w:space="0" w:color="auto"/>
            </w:tcBorders>
            <w:hideMark/>
          </w:tcPr>
          <w:p w14:paraId="3DF2500B" w14:textId="77777777" w:rsidR="003A4529" w:rsidRDefault="003A4529">
            <w:pPr>
              <w:spacing w:line="276" w:lineRule="auto"/>
              <w:rPr>
                <w:rFonts w:ascii="Times New Roman" w:hAnsi="Times New Roman" w:cs="Times New Roman"/>
                <w:b/>
                <w:bCs/>
                <w:sz w:val="16"/>
                <w:szCs w:val="16"/>
                <w:lang w:val="en-US"/>
              </w:rPr>
            </w:pPr>
            <w:r>
              <w:rPr>
                <w:rFonts w:ascii="Times New Roman" w:hAnsi="Times New Roman" w:cs="Times New Roman"/>
                <w:b/>
                <w:bCs/>
                <w:sz w:val="16"/>
                <w:szCs w:val="16"/>
                <w:lang w:val="en-US"/>
              </w:rPr>
              <w:t>Postoperative follow-up period</w:t>
            </w:r>
          </w:p>
        </w:tc>
        <w:tc>
          <w:tcPr>
            <w:tcW w:w="992" w:type="dxa"/>
            <w:tcBorders>
              <w:top w:val="single" w:sz="4" w:space="0" w:color="auto"/>
              <w:left w:val="single" w:sz="4" w:space="0" w:color="auto"/>
              <w:bottom w:val="single" w:sz="4" w:space="0" w:color="auto"/>
              <w:right w:val="single" w:sz="4" w:space="0" w:color="auto"/>
            </w:tcBorders>
            <w:hideMark/>
          </w:tcPr>
          <w:p w14:paraId="13F580DA" w14:textId="77777777" w:rsidR="003A4529" w:rsidRDefault="003A4529">
            <w:pPr>
              <w:spacing w:line="276" w:lineRule="auto"/>
              <w:rPr>
                <w:rFonts w:ascii="Times New Roman" w:hAnsi="Times New Roman" w:cs="Times New Roman"/>
                <w:b/>
                <w:bCs/>
                <w:sz w:val="16"/>
                <w:szCs w:val="16"/>
                <w:lang w:val="en-US"/>
              </w:rPr>
            </w:pPr>
            <w:r>
              <w:rPr>
                <w:rFonts w:ascii="Times New Roman" w:hAnsi="Times New Roman" w:cs="Times New Roman"/>
                <w:b/>
                <w:bCs/>
                <w:sz w:val="16"/>
                <w:szCs w:val="16"/>
                <w:lang w:val="en-US"/>
              </w:rPr>
              <w:t xml:space="preserve">Number of patients </w:t>
            </w:r>
          </w:p>
        </w:tc>
        <w:tc>
          <w:tcPr>
            <w:tcW w:w="993" w:type="dxa"/>
            <w:tcBorders>
              <w:top w:val="single" w:sz="4" w:space="0" w:color="auto"/>
              <w:left w:val="single" w:sz="4" w:space="0" w:color="auto"/>
              <w:bottom w:val="single" w:sz="4" w:space="0" w:color="auto"/>
              <w:right w:val="single" w:sz="4" w:space="0" w:color="auto"/>
            </w:tcBorders>
            <w:hideMark/>
          </w:tcPr>
          <w:p w14:paraId="4C5CF047" w14:textId="77777777" w:rsidR="003A4529" w:rsidRDefault="003A4529">
            <w:pPr>
              <w:spacing w:line="276" w:lineRule="auto"/>
              <w:rPr>
                <w:rFonts w:ascii="Times New Roman" w:hAnsi="Times New Roman" w:cs="Times New Roman"/>
                <w:b/>
                <w:bCs/>
                <w:sz w:val="16"/>
                <w:szCs w:val="16"/>
                <w:lang w:val="en-US"/>
              </w:rPr>
            </w:pPr>
            <w:r>
              <w:rPr>
                <w:rFonts w:ascii="Times New Roman" w:hAnsi="Times New Roman" w:cs="Times New Roman"/>
                <w:b/>
                <w:bCs/>
                <w:sz w:val="16"/>
                <w:szCs w:val="16"/>
                <w:lang w:val="en-US"/>
              </w:rPr>
              <w:t xml:space="preserve">Number of eyes </w:t>
            </w:r>
          </w:p>
        </w:tc>
      </w:tr>
      <w:tr w:rsidR="003A4529" w14:paraId="486B4649"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141B923B"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lastRenderedPageBreak/>
              <w:t xml:space="preserve">Sung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2020  </w:t>
            </w:r>
            <w:sdt>
              <w:sdtPr>
                <w:rPr>
                  <w:rFonts w:ascii="Times New Roman" w:hAnsi="Times New Roman" w:cs="Times New Roman"/>
                  <w:sz w:val="16"/>
                  <w:szCs w:val="16"/>
                  <w:lang w:val="en-US"/>
                </w:rPr>
                <w:tag w:val="MENDELEY_CITATION_v3_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"/>
                <w:id w:val="-1400207599"/>
                <w:placeholder>
                  <w:docPart w:val="33BD129A35D34ED0BE35B593F7D2E5F3"/>
                </w:placeholder>
              </w:sdtPr>
              <w:sdtContent>
                <w:r>
                  <w:rPr>
                    <w:rFonts w:ascii="Times New Roman" w:hAnsi="Times New Roman" w:cs="Times New Roman"/>
                    <w:sz w:val="16"/>
                    <w:szCs w:val="16"/>
                    <w:lang w:val="en-US"/>
                  </w:rPr>
                  <w:t>[36]</w:t>
                </w:r>
              </w:sdtContent>
            </w:sdt>
          </w:p>
        </w:tc>
        <w:tc>
          <w:tcPr>
            <w:tcW w:w="992" w:type="dxa"/>
            <w:tcBorders>
              <w:top w:val="single" w:sz="4" w:space="0" w:color="auto"/>
              <w:left w:val="single" w:sz="4" w:space="0" w:color="auto"/>
              <w:bottom w:val="single" w:sz="4" w:space="0" w:color="auto"/>
              <w:right w:val="single" w:sz="4" w:space="0" w:color="auto"/>
            </w:tcBorders>
            <w:hideMark/>
          </w:tcPr>
          <w:p w14:paraId="00C5949D"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South Korea </w:t>
            </w:r>
          </w:p>
        </w:tc>
        <w:tc>
          <w:tcPr>
            <w:tcW w:w="1134" w:type="dxa"/>
            <w:tcBorders>
              <w:top w:val="single" w:sz="4" w:space="0" w:color="auto"/>
              <w:left w:val="single" w:sz="4" w:space="0" w:color="auto"/>
              <w:bottom w:val="single" w:sz="4" w:space="0" w:color="auto"/>
              <w:right w:val="single" w:sz="4" w:space="0" w:color="auto"/>
            </w:tcBorders>
            <w:hideMark/>
          </w:tcPr>
          <w:p w14:paraId="36E300D6"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shd w:val="clear" w:color="auto" w:fill="FFFFFF"/>
                <w:lang w:val="en-US"/>
              </w:rPr>
              <w:t>A retrospective cohort study</w:t>
            </w:r>
          </w:p>
        </w:tc>
        <w:tc>
          <w:tcPr>
            <w:tcW w:w="897" w:type="dxa"/>
            <w:tcBorders>
              <w:top w:val="single" w:sz="4" w:space="0" w:color="auto"/>
              <w:left w:val="single" w:sz="4" w:space="0" w:color="auto"/>
              <w:bottom w:val="single" w:sz="4" w:space="0" w:color="auto"/>
              <w:right w:val="single" w:sz="4" w:space="0" w:color="auto"/>
            </w:tcBorders>
          </w:tcPr>
          <w:p w14:paraId="3DA3D54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Ophthalmology, </w:t>
            </w:r>
            <w:proofErr w:type="spellStart"/>
            <w:r>
              <w:rPr>
                <w:rFonts w:ascii="Times New Roman" w:eastAsia="Times New Roman" w:hAnsi="Times New Roman" w:cs="Times New Roman"/>
                <w:sz w:val="16"/>
                <w:szCs w:val="16"/>
                <w:lang w:val="en-US"/>
              </w:rPr>
              <w:t>Chungnam</w:t>
            </w:r>
            <w:proofErr w:type="spellEnd"/>
            <w:r>
              <w:rPr>
                <w:rFonts w:ascii="Times New Roman" w:eastAsia="Times New Roman" w:hAnsi="Times New Roman" w:cs="Times New Roman"/>
                <w:sz w:val="16"/>
                <w:szCs w:val="16"/>
                <w:lang w:val="en-US"/>
              </w:rPr>
              <w:t xml:space="preserve"> National University</w:t>
            </w:r>
          </w:p>
          <w:p w14:paraId="5138F6CE"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Hospital. </w:t>
            </w:r>
          </w:p>
          <w:p w14:paraId="11610EA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p w14:paraId="537C2A5B" w14:textId="77777777" w:rsidR="003A4529" w:rsidRDefault="003A4529">
            <w:pPr>
              <w:spacing w:line="276" w:lineRule="auto"/>
              <w:rPr>
                <w:rFonts w:ascii="Times New Roman" w:hAnsi="Times New Roman" w:cs="Times New Roman"/>
                <w:sz w:val="16"/>
                <w:szCs w:val="16"/>
                <w:lang w:val="en-US"/>
              </w:rPr>
            </w:pPr>
          </w:p>
        </w:tc>
        <w:tc>
          <w:tcPr>
            <w:tcW w:w="1440" w:type="dxa"/>
            <w:tcBorders>
              <w:top w:val="single" w:sz="4" w:space="0" w:color="auto"/>
              <w:left w:val="single" w:sz="4" w:space="0" w:color="auto"/>
              <w:bottom w:val="single" w:sz="4" w:space="0" w:color="auto"/>
              <w:right w:val="single" w:sz="4" w:space="0" w:color="auto"/>
            </w:tcBorders>
            <w:hideMark/>
          </w:tcPr>
          <w:p w14:paraId="5D71D167"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This study enrolled patients who had undergone surgery for RRD and had a follow-up period of at least six months after the surgery, based on the review of medical records from January 2007 to June 2016.</w:t>
            </w:r>
          </w:p>
        </w:tc>
        <w:tc>
          <w:tcPr>
            <w:tcW w:w="1440" w:type="dxa"/>
            <w:tcBorders>
              <w:top w:val="single" w:sz="4" w:space="0" w:color="auto"/>
              <w:left w:val="single" w:sz="4" w:space="0" w:color="auto"/>
              <w:bottom w:val="single" w:sz="4" w:space="0" w:color="auto"/>
              <w:right w:val="single" w:sz="4" w:space="0" w:color="auto"/>
            </w:tcBorders>
            <w:hideMark/>
          </w:tcPr>
          <w:p w14:paraId="727B4F48" w14:textId="77777777" w:rsidR="003A4529" w:rsidRDefault="003A4529">
            <w:pPr>
              <w:shd w:val="clear" w:color="auto" w:fill="FFFFFF"/>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The study excluded patients who had undergone ocular surgery other than simple cataract surgery and those with other ocular diseases such as tractional or exudative RD, macular degeneration, and retinal vein occlusion.</w:t>
            </w:r>
          </w:p>
        </w:tc>
        <w:tc>
          <w:tcPr>
            <w:tcW w:w="1468" w:type="dxa"/>
            <w:tcBorders>
              <w:top w:val="single" w:sz="4" w:space="0" w:color="auto"/>
              <w:left w:val="single" w:sz="4" w:space="0" w:color="auto"/>
              <w:bottom w:val="single" w:sz="4" w:space="0" w:color="auto"/>
              <w:right w:val="single" w:sz="4" w:space="0" w:color="auto"/>
            </w:tcBorders>
            <w:hideMark/>
          </w:tcPr>
          <w:p w14:paraId="7F9D6873"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shd w:val="clear" w:color="auto" w:fill="FFFFFF"/>
                <w:lang w:val="en-US"/>
              </w:rPr>
              <w:t>Combined PPV with SB were done for patients who had total RRD with preoperative PVR, trauma, or multiple retinal tears. Either a sponge or band was used for combined SB and PPV. The PPV surgery was done using a 23-g instrument. In the total RRD group, PPV alone was conducted in 38 (86.4%) eyes, while combined PPV and SB were conducted in 6 (13.6%) eyes. In the total RRD group, gas (SF</w:t>
            </w:r>
            <w:r>
              <w:rPr>
                <w:rFonts w:ascii="Times New Roman" w:hAnsi="Times New Roman" w:cs="Times New Roman"/>
                <w:sz w:val="16"/>
                <w:szCs w:val="16"/>
                <w:shd w:val="clear" w:color="auto" w:fill="FFFFFF"/>
                <w:vertAlign w:val="subscript"/>
                <w:lang w:val="en-US"/>
              </w:rPr>
              <w:t>6</w:t>
            </w:r>
            <w:r>
              <w:rPr>
                <w:rFonts w:ascii="Times New Roman" w:hAnsi="Times New Roman" w:cs="Times New Roman"/>
                <w:sz w:val="16"/>
                <w:szCs w:val="16"/>
                <w:shd w:val="clear" w:color="auto" w:fill="FFFFFF"/>
                <w:lang w:val="en-US"/>
              </w:rPr>
              <w:t>, C</w:t>
            </w:r>
            <w:r>
              <w:rPr>
                <w:rFonts w:ascii="Times New Roman" w:hAnsi="Times New Roman" w:cs="Times New Roman"/>
                <w:sz w:val="16"/>
                <w:szCs w:val="16"/>
                <w:shd w:val="clear" w:color="auto" w:fill="FFFFFF"/>
                <w:vertAlign w:val="subscript"/>
                <w:lang w:val="en-US"/>
              </w:rPr>
              <w:t>3</w:t>
            </w:r>
            <w:r>
              <w:rPr>
                <w:rFonts w:ascii="Times New Roman" w:hAnsi="Times New Roman" w:cs="Times New Roman"/>
                <w:sz w:val="16"/>
                <w:szCs w:val="16"/>
                <w:shd w:val="clear" w:color="auto" w:fill="FFFFFF"/>
                <w:lang w:val="en-US"/>
              </w:rPr>
              <w:t>F</w:t>
            </w:r>
            <w:r>
              <w:rPr>
                <w:rFonts w:ascii="Times New Roman" w:hAnsi="Times New Roman" w:cs="Times New Roman"/>
                <w:sz w:val="16"/>
                <w:szCs w:val="16"/>
                <w:shd w:val="clear" w:color="auto" w:fill="FFFFFF"/>
                <w:vertAlign w:val="subscript"/>
                <w:lang w:val="en-US"/>
              </w:rPr>
              <w:t>8</w:t>
            </w:r>
            <w:r>
              <w:rPr>
                <w:rFonts w:ascii="Times New Roman" w:hAnsi="Times New Roman" w:cs="Times New Roman"/>
                <w:sz w:val="16"/>
                <w:szCs w:val="16"/>
                <w:shd w:val="clear" w:color="auto" w:fill="FFFFFF"/>
                <w:lang w:val="en-US"/>
              </w:rPr>
              <w:t xml:space="preserve">) tamponade was used in 23 (52.3%) eyes, while SO tamponade was used in 21 (47.7%) eyes. Data on the number of surgeries conducted for partial RRD group was not available. </w:t>
            </w:r>
          </w:p>
        </w:tc>
        <w:tc>
          <w:tcPr>
            <w:tcW w:w="1417" w:type="dxa"/>
            <w:tcBorders>
              <w:top w:val="single" w:sz="4" w:space="0" w:color="auto"/>
              <w:left w:val="single" w:sz="4" w:space="0" w:color="auto"/>
              <w:bottom w:val="single" w:sz="4" w:space="0" w:color="auto"/>
              <w:right w:val="single" w:sz="4" w:space="0" w:color="auto"/>
            </w:tcBorders>
            <w:hideMark/>
          </w:tcPr>
          <w:p w14:paraId="54BD082D"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88 patients with partial RRD (control group): 44 patients with total RRD.</w:t>
            </w:r>
          </w:p>
        </w:tc>
        <w:tc>
          <w:tcPr>
            <w:tcW w:w="992" w:type="dxa"/>
            <w:tcBorders>
              <w:top w:val="single" w:sz="4" w:space="0" w:color="auto"/>
              <w:left w:val="single" w:sz="4" w:space="0" w:color="auto"/>
              <w:bottom w:val="single" w:sz="4" w:space="0" w:color="auto"/>
              <w:right w:val="single" w:sz="4" w:space="0" w:color="auto"/>
            </w:tcBorders>
            <w:hideMark/>
          </w:tcPr>
          <w:p w14:paraId="72EF7EAF"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shd w:val="clear" w:color="auto" w:fill="FFFFFF"/>
                <w:lang w:val="en-US"/>
              </w:rPr>
              <w:t xml:space="preserve">In the total RRD group, six out of 44 eyes have GRT. In the partial RRD group, two out of 88 eyes have GRT. 34.8% of the total 132 eyes were presented with GRT. </w:t>
            </w:r>
          </w:p>
        </w:tc>
        <w:tc>
          <w:tcPr>
            <w:tcW w:w="1276" w:type="dxa"/>
            <w:tcBorders>
              <w:top w:val="single" w:sz="4" w:space="0" w:color="auto"/>
              <w:left w:val="single" w:sz="4" w:space="0" w:color="auto"/>
              <w:bottom w:val="single" w:sz="4" w:space="0" w:color="auto"/>
              <w:right w:val="single" w:sz="4" w:space="0" w:color="auto"/>
            </w:tcBorders>
            <w:hideMark/>
          </w:tcPr>
          <w:p w14:paraId="68DC05B2"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Mean = 28.61 months </w:t>
            </w:r>
          </w:p>
        </w:tc>
        <w:tc>
          <w:tcPr>
            <w:tcW w:w="992" w:type="dxa"/>
            <w:tcBorders>
              <w:top w:val="single" w:sz="4" w:space="0" w:color="auto"/>
              <w:left w:val="single" w:sz="4" w:space="0" w:color="auto"/>
              <w:bottom w:val="single" w:sz="4" w:space="0" w:color="auto"/>
              <w:right w:val="single" w:sz="4" w:space="0" w:color="auto"/>
            </w:tcBorders>
            <w:hideMark/>
          </w:tcPr>
          <w:p w14:paraId="5BD35CE6"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shd w:val="clear" w:color="auto" w:fill="FFFFFF"/>
                <w:lang w:val="en-US"/>
              </w:rPr>
              <w:t>44 patients with total RRD whereas 88 patients with partial RRD</w:t>
            </w:r>
          </w:p>
        </w:tc>
        <w:tc>
          <w:tcPr>
            <w:tcW w:w="993" w:type="dxa"/>
            <w:tcBorders>
              <w:top w:val="single" w:sz="4" w:space="0" w:color="auto"/>
              <w:left w:val="single" w:sz="4" w:space="0" w:color="auto"/>
              <w:bottom w:val="single" w:sz="4" w:space="0" w:color="auto"/>
              <w:right w:val="single" w:sz="4" w:space="0" w:color="auto"/>
            </w:tcBorders>
            <w:hideMark/>
          </w:tcPr>
          <w:p w14:paraId="569FB839"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shd w:val="clear" w:color="auto" w:fill="FFFFFF"/>
                <w:lang w:val="en-US"/>
              </w:rPr>
              <w:t>44 eyes with total RRD whereas 88 eyes with partial RRD</w:t>
            </w:r>
          </w:p>
        </w:tc>
      </w:tr>
      <w:tr w:rsidR="003A4529" w14:paraId="434C71CD"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567447B8"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Li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2021 </w:t>
            </w:r>
            <w:sdt>
              <w:sdtPr>
                <w:rPr>
                  <w:rFonts w:ascii="Times New Roman" w:hAnsi="Times New Roman" w:cs="Times New Roman"/>
                  <w:sz w:val="16"/>
                  <w:szCs w:val="16"/>
                  <w:lang w:val="en-US"/>
                </w:rPr>
                <w:tag w:val="MENDELEY_CITATION_v3_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"/>
                <w:id w:val="-929729102"/>
                <w:placeholder>
                  <w:docPart w:val="33BD129A35D34ED0BE35B593F7D2E5F3"/>
                </w:placeholder>
              </w:sdtPr>
              <w:sdtContent>
                <w:r>
                  <w:rPr>
                    <w:rFonts w:ascii="Times New Roman" w:hAnsi="Times New Roman" w:cs="Times New Roman"/>
                    <w:sz w:val="16"/>
                    <w:szCs w:val="16"/>
                    <w:lang w:val="en-US"/>
                  </w:rPr>
                  <w:t>[10]</w:t>
                </w:r>
              </w:sdtContent>
            </w:sdt>
          </w:p>
        </w:tc>
        <w:tc>
          <w:tcPr>
            <w:tcW w:w="992" w:type="dxa"/>
            <w:tcBorders>
              <w:top w:val="single" w:sz="4" w:space="0" w:color="auto"/>
              <w:left w:val="single" w:sz="4" w:space="0" w:color="auto"/>
              <w:bottom w:val="single" w:sz="4" w:space="0" w:color="auto"/>
              <w:right w:val="single" w:sz="4" w:space="0" w:color="auto"/>
            </w:tcBorders>
            <w:hideMark/>
          </w:tcPr>
          <w:p w14:paraId="45F03895"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The United States of America </w:t>
            </w:r>
          </w:p>
        </w:tc>
        <w:tc>
          <w:tcPr>
            <w:tcW w:w="1134" w:type="dxa"/>
            <w:tcBorders>
              <w:top w:val="single" w:sz="4" w:space="0" w:color="auto"/>
              <w:left w:val="single" w:sz="4" w:space="0" w:color="auto"/>
              <w:bottom w:val="single" w:sz="4" w:space="0" w:color="auto"/>
              <w:right w:val="single" w:sz="4" w:space="0" w:color="auto"/>
            </w:tcBorders>
            <w:hideMark/>
          </w:tcPr>
          <w:p w14:paraId="2BB784B2"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 retrospective, non-consecutive interventional case series</w:t>
            </w:r>
          </w:p>
        </w:tc>
        <w:tc>
          <w:tcPr>
            <w:tcW w:w="897" w:type="dxa"/>
            <w:tcBorders>
              <w:top w:val="single" w:sz="4" w:space="0" w:color="auto"/>
              <w:left w:val="single" w:sz="4" w:space="0" w:color="auto"/>
              <w:bottom w:val="single" w:sz="4" w:space="0" w:color="auto"/>
              <w:right w:val="single" w:sz="4" w:space="0" w:color="auto"/>
            </w:tcBorders>
            <w:hideMark/>
          </w:tcPr>
          <w:p w14:paraId="3A6A6EF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the University of Michigan W.K. Kellogg Eye Center</w:t>
            </w:r>
          </w:p>
        </w:tc>
        <w:tc>
          <w:tcPr>
            <w:tcW w:w="1440" w:type="dxa"/>
            <w:tcBorders>
              <w:top w:val="single" w:sz="4" w:space="0" w:color="auto"/>
              <w:left w:val="single" w:sz="4" w:space="0" w:color="auto"/>
              <w:bottom w:val="single" w:sz="4" w:space="0" w:color="auto"/>
              <w:right w:val="single" w:sz="4" w:space="0" w:color="auto"/>
            </w:tcBorders>
            <w:hideMark/>
          </w:tcPr>
          <w:p w14:paraId="202FCC74"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Between January 2011 and July 2020, this study included patients, including children, who were diagnosed with GRT-related </w:t>
            </w:r>
            <w:r>
              <w:rPr>
                <w:rFonts w:ascii="Times New Roman" w:hAnsi="Times New Roman" w:cs="Times New Roman"/>
                <w:sz w:val="16"/>
                <w:szCs w:val="16"/>
                <w:lang w:val="en-US"/>
              </w:rPr>
              <w:lastRenderedPageBreak/>
              <w:t>RRDs and underwent primary surgical repair with PPV, SB, or PPV/SB. The patients also included those with a history of trauma such as open globe injury, hereditary vitreoretinopathies, or grade C PVR.</w:t>
            </w:r>
          </w:p>
        </w:tc>
        <w:tc>
          <w:tcPr>
            <w:tcW w:w="1440" w:type="dxa"/>
            <w:tcBorders>
              <w:top w:val="single" w:sz="4" w:space="0" w:color="auto"/>
              <w:left w:val="single" w:sz="4" w:space="0" w:color="auto"/>
              <w:bottom w:val="single" w:sz="4" w:space="0" w:color="auto"/>
              <w:right w:val="single" w:sz="4" w:space="0" w:color="auto"/>
            </w:tcBorders>
            <w:hideMark/>
          </w:tcPr>
          <w:p w14:paraId="64C345F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lastRenderedPageBreak/>
              <w:t xml:space="preserve">Patients who have a follow-up period of less than 90 days. </w:t>
            </w:r>
          </w:p>
        </w:tc>
        <w:tc>
          <w:tcPr>
            <w:tcW w:w="1468" w:type="dxa"/>
            <w:tcBorders>
              <w:top w:val="single" w:sz="4" w:space="0" w:color="auto"/>
              <w:left w:val="single" w:sz="4" w:space="0" w:color="auto"/>
              <w:bottom w:val="single" w:sz="4" w:space="0" w:color="auto"/>
              <w:right w:val="single" w:sz="4" w:space="0" w:color="auto"/>
            </w:tcBorders>
            <w:hideMark/>
          </w:tcPr>
          <w:p w14:paraId="326128E5"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83% involved only PPV, while 15% of the eyes had a combined PPV/SB surgery, and only 2% had a primary SB surgery. Only one eye with a </w:t>
            </w:r>
            <w:r>
              <w:rPr>
                <w:rFonts w:ascii="Times New Roman" w:hAnsi="Times New Roman" w:cs="Times New Roman"/>
                <w:sz w:val="16"/>
                <w:szCs w:val="16"/>
                <w:shd w:val="clear" w:color="auto" w:fill="FFFFFF"/>
                <w:lang w:val="en-US"/>
              </w:rPr>
              <w:lastRenderedPageBreak/>
              <w:t xml:space="preserve">superior GRT received an SB, while seven eyes with inferior GRTs received SBs. The surgeries were performed using either 23-g (38%) or 25-g (62%) instrumentation, and most of the surgeries involved the use of </w:t>
            </w:r>
            <w:proofErr w:type="gramStart"/>
            <w:r>
              <w:rPr>
                <w:rFonts w:ascii="Times New Roman" w:hAnsi="Times New Roman" w:cs="Times New Roman"/>
                <w:sz w:val="16"/>
                <w:szCs w:val="16"/>
                <w:shd w:val="clear" w:color="auto" w:fill="FFFFFF"/>
                <w:lang w:val="en-US"/>
              </w:rPr>
              <w:t>PFCL</w:t>
            </w:r>
            <w:proofErr w:type="gramEnd"/>
          </w:p>
          <w:p w14:paraId="546AAA30"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(90%). C</w:t>
            </w:r>
            <w:r>
              <w:rPr>
                <w:rFonts w:ascii="Times New Roman" w:hAnsi="Times New Roman" w:cs="Times New Roman"/>
                <w:sz w:val="16"/>
                <w:szCs w:val="16"/>
                <w:shd w:val="clear" w:color="auto" w:fill="FFFFFF"/>
                <w:vertAlign w:val="subscript"/>
                <w:lang w:val="en-US"/>
              </w:rPr>
              <w:t>3</w:t>
            </w:r>
            <w:r>
              <w:rPr>
                <w:rFonts w:ascii="Times New Roman" w:hAnsi="Times New Roman" w:cs="Times New Roman"/>
                <w:sz w:val="16"/>
                <w:szCs w:val="16"/>
                <w:shd w:val="clear" w:color="auto" w:fill="FFFFFF"/>
                <w:lang w:val="en-US"/>
              </w:rPr>
              <w:t>F</w:t>
            </w:r>
            <w:r>
              <w:rPr>
                <w:rFonts w:ascii="Times New Roman" w:hAnsi="Times New Roman" w:cs="Times New Roman"/>
                <w:sz w:val="16"/>
                <w:szCs w:val="16"/>
                <w:shd w:val="clear" w:color="auto" w:fill="FFFFFF"/>
                <w:vertAlign w:val="subscript"/>
                <w:lang w:val="en-US"/>
              </w:rPr>
              <w:t>8</w:t>
            </w:r>
            <w:r>
              <w:rPr>
                <w:rFonts w:ascii="Times New Roman" w:hAnsi="Times New Roman" w:cs="Times New Roman"/>
                <w:sz w:val="16"/>
                <w:szCs w:val="16"/>
                <w:shd w:val="clear" w:color="auto" w:fill="FFFFFF"/>
                <w:lang w:val="en-US"/>
              </w:rPr>
              <w:t xml:space="preserve"> was the </w:t>
            </w:r>
            <w:proofErr w:type="gramStart"/>
            <w:r>
              <w:rPr>
                <w:rFonts w:ascii="Times New Roman" w:hAnsi="Times New Roman" w:cs="Times New Roman"/>
                <w:sz w:val="16"/>
                <w:szCs w:val="16"/>
                <w:shd w:val="clear" w:color="auto" w:fill="FFFFFF"/>
                <w:lang w:val="en-US"/>
              </w:rPr>
              <w:t>most commonly used</w:t>
            </w:r>
            <w:proofErr w:type="gramEnd"/>
            <w:r>
              <w:rPr>
                <w:rFonts w:ascii="Times New Roman" w:hAnsi="Times New Roman" w:cs="Times New Roman"/>
                <w:sz w:val="16"/>
                <w:szCs w:val="16"/>
                <w:shd w:val="clear" w:color="auto" w:fill="FFFFFF"/>
                <w:lang w:val="en-US"/>
              </w:rPr>
              <w:t xml:space="preserve"> internal tamponade (81%), and SO was used in only 19% of cases after a fluid-air exchange.</w:t>
            </w:r>
          </w:p>
        </w:tc>
        <w:tc>
          <w:tcPr>
            <w:tcW w:w="1417" w:type="dxa"/>
            <w:tcBorders>
              <w:top w:val="single" w:sz="4" w:space="0" w:color="auto"/>
              <w:left w:val="single" w:sz="4" w:space="0" w:color="auto"/>
              <w:bottom w:val="single" w:sz="4" w:space="0" w:color="auto"/>
              <w:right w:val="single" w:sz="4" w:space="0" w:color="auto"/>
            </w:tcBorders>
            <w:hideMark/>
          </w:tcPr>
          <w:p w14:paraId="1B0FDAD7"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 xml:space="preserve">Not applicable. </w:t>
            </w:r>
          </w:p>
        </w:tc>
        <w:tc>
          <w:tcPr>
            <w:tcW w:w="992" w:type="dxa"/>
            <w:tcBorders>
              <w:top w:val="single" w:sz="4" w:space="0" w:color="auto"/>
              <w:left w:val="single" w:sz="4" w:space="0" w:color="auto"/>
              <w:bottom w:val="single" w:sz="4" w:space="0" w:color="auto"/>
              <w:right w:val="single" w:sz="4" w:space="0" w:color="auto"/>
            </w:tcBorders>
            <w:hideMark/>
          </w:tcPr>
          <w:p w14:paraId="4A4B370E"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All the included eyes. The extent of the GRT was &lt;180° in 35 eyes (73%) and </w:t>
            </w:r>
            <w:r>
              <w:rPr>
                <w:rFonts w:ascii="Times New Roman" w:hAnsi="Times New Roman" w:cs="Times New Roman"/>
                <w:sz w:val="16"/>
                <w:szCs w:val="16"/>
                <w:shd w:val="clear" w:color="auto" w:fill="FFFFFF"/>
                <w:lang w:val="en-US"/>
              </w:rPr>
              <w:lastRenderedPageBreak/>
              <w:t>located inferiorly in 29 eyes (60%)</w:t>
            </w:r>
          </w:p>
        </w:tc>
        <w:tc>
          <w:tcPr>
            <w:tcW w:w="1276" w:type="dxa"/>
            <w:tcBorders>
              <w:top w:val="single" w:sz="4" w:space="0" w:color="auto"/>
              <w:left w:val="single" w:sz="4" w:space="0" w:color="auto"/>
              <w:bottom w:val="single" w:sz="4" w:space="0" w:color="auto"/>
              <w:right w:val="single" w:sz="4" w:space="0" w:color="auto"/>
            </w:tcBorders>
            <w:hideMark/>
          </w:tcPr>
          <w:p w14:paraId="428C02D5"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lastRenderedPageBreak/>
              <w:t>Median = 28 months</w:t>
            </w:r>
          </w:p>
        </w:tc>
        <w:tc>
          <w:tcPr>
            <w:tcW w:w="992" w:type="dxa"/>
            <w:tcBorders>
              <w:top w:val="single" w:sz="4" w:space="0" w:color="auto"/>
              <w:left w:val="single" w:sz="4" w:space="0" w:color="auto"/>
              <w:bottom w:val="single" w:sz="4" w:space="0" w:color="auto"/>
              <w:right w:val="single" w:sz="4" w:space="0" w:color="auto"/>
            </w:tcBorders>
            <w:hideMark/>
          </w:tcPr>
          <w:p w14:paraId="10556AB1"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47</w:t>
            </w:r>
          </w:p>
        </w:tc>
        <w:tc>
          <w:tcPr>
            <w:tcW w:w="993" w:type="dxa"/>
            <w:tcBorders>
              <w:top w:val="single" w:sz="4" w:space="0" w:color="auto"/>
              <w:left w:val="single" w:sz="4" w:space="0" w:color="auto"/>
              <w:bottom w:val="single" w:sz="4" w:space="0" w:color="auto"/>
              <w:right w:val="single" w:sz="4" w:space="0" w:color="auto"/>
            </w:tcBorders>
            <w:hideMark/>
          </w:tcPr>
          <w:p w14:paraId="37EABC74"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48</w:t>
            </w:r>
          </w:p>
        </w:tc>
      </w:tr>
      <w:tr w:rsidR="003A4529" w14:paraId="3A89A3D4"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66B6A022" w14:textId="77777777" w:rsidR="003A4529" w:rsidRDefault="003A4529">
            <w:pPr>
              <w:spacing w:line="276" w:lineRule="auto"/>
              <w:rPr>
                <w:rFonts w:ascii="Times New Roman" w:hAnsi="Times New Roman" w:cs="Times New Roman"/>
                <w:sz w:val="16"/>
                <w:szCs w:val="16"/>
                <w:lang w:val="en-US"/>
              </w:rPr>
            </w:pPr>
            <w:proofErr w:type="spellStart"/>
            <w:r>
              <w:rPr>
                <w:rFonts w:ascii="Times New Roman" w:eastAsia="Times New Roman" w:hAnsi="Times New Roman" w:cs="Times New Roman"/>
                <w:sz w:val="16"/>
                <w:szCs w:val="16"/>
                <w:lang w:val="en-US"/>
              </w:rPr>
              <w:t>Oderinlo</w:t>
            </w:r>
            <w:proofErr w:type="spellEnd"/>
            <w:r>
              <w:rPr>
                <w:rFonts w:ascii="Times New Roman" w:eastAsia="Times New Roman" w:hAnsi="Times New Roman" w:cs="Times New Roman"/>
                <w:sz w:val="16"/>
                <w:szCs w:val="16"/>
                <w:lang w:val="en-US"/>
              </w:rPr>
              <w:t xml:space="preserve"> </w:t>
            </w:r>
            <w:r>
              <w:rPr>
                <w:rFonts w:ascii="Times New Roman" w:eastAsia="Times New Roman" w:hAnsi="Times New Roman" w:cs="Times New Roman"/>
                <w:i/>
                <w:iCs/>
                <w:sz w:val="16"/>
                <w:szCs w:val="16"/>
                <w:lang w:val="en-US"/>
              </w:rPr>
              <w:t>et al</w:t>
            </w:r>
            <w:r>
              <w:rPr>
                <w:rFonts w:ascii="Times New Roman" w:eastAsia="Times New Roman" w:hAnsi="Times New Roman" w:cs="Times New Roman"/>
                <w:sz w:val="16"/>
                <w:szCs w:val="16"/>
                <w:lang w:val="en-US"/>
              </w:rPr>
              <w:t>., 2020</w:t>
            </w:r>
            <w:r>
              <w:rPr>
                <w:rFonts w:ascii="Times New Roman" w:hAnsi="Times New Roman" w:cs="Times New Roman"/>
                <w:sz w:val="16"/>
                <w:szCs w:val="16"/>
                <w:lang w:val="en-US"/>
              </w:rPr>
              <w:t xml:space="preserve"> </w:t>
            </w:r>
            <w:sdt>
              <w:sdtPr>
                <w:rPr>
                  <w:rFonts w:ascii="Times New Roman" w:hAnsi="Times New Roman" w:cs="Times New Roman"/>
                  <w:sz w:val="16"/>
                  <w:szCs w:val="16"/>
                  <w:lang w:val="en-US"/>
                </w:rPr>
                <w:tag w:val="MENDELEY_CITATION_v3_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"/>
                <w:id w:val="-1445764932"/>
                <w:placeholder>
                  <w:docPart w:val="33BD129A35D34ED0BE35B593F7D2E5F3"/>
                </w:placeholder>
              </w:sdtPr>
              <w:sdtContent>
                <w:r>
                  <w:rPr>
                    <w:rFonts w:ascii="Times New Roman" w:hAnsi="Times New Roman" w:cs="Times New Roman"/>
                    <w:sz w:val="16"/>
                    <w:szCs w:val="16"/>
                    <w:lang w:val="en-US"/>
                  </w:rPr>
                  <w:t>[37]</w:t>
                </w:r>
              </w:sdtContent>
            </w:sdt>
          </w:p>
        </w:tc>
        <w:tc>
          <w:tcPr>
            <w:tcW w:w="992" w:type="dxa"/>
            <w:tcBorders>
              <w:top w:val="single" w:sz="4" w:space="0" w:color="auto"/>
              <w:left w:val="single" w:sz="4" w:space="0" w:color="auto"/>
              <w:bottom w:val="single" w:sz="4" w:space="0" w:color="auto"/>
              <w:right w:val="single" w:sz="4" w:space="0" w:color="auto"/>
            </w:tcBorders>
            <w:hideMark/>
          </w:tcPr>
          <w:p w14:paraId="072A3051"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Africa </w:t>
            </w:r>
          </w:p>
        </w:tc>
        <w:tc>
          <w:tcPr>
            <w:tcW w:w="1134" w:type="dxa"/>
            <w:tcBorders>
              <w:top w:val="single" w:sz="4" w:space="0" w:color="auto"/>
              <w:left w:val="single" w:sz="4" w:space="0" w:color="auto"/>
              <w:bottom w:val="single" w:sz="4" w:space="0" w:color="auto"/>
              <w:right w:val="single" w:sz="4" w:space="0" w:color="auto"/>
            </w:tcBorders>
            <w:hideMark/>
          </w:tcPr>
          <w:p w14:paraId="788C3F7B"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 retrospective non-comparable case series</w:t>
            </w:r>
          </w:p>
        </w:tc>
        <w:tc>
          <w:tcPr>
            <w:tcW w:w="897" w:type="dxa"/>
            <w:tcBorders>
              <w:top w:val="single" w:sz="4" w:space="0" w:color="auto"/>
              <w:left w:val="single" w:sz="4" w:space="0" w:color="auto"/>
              <w:bottom w:val="single" w:sz="4" w:space="0" w:color="auto"/>
              <w:right w:val="single" w:sz="4" w:space="0" w:color="auto"/>
            </w:tcBorders>
            <w:hideMark/>
          </w:tcPr>
          <w:p w14:paraId="376C4A6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Eye Foundation Hospital Retina Institute</w:t>
            </w:r>
          </w:p>
        </w:tc>
        <w:tc>
          <w:tcPr>
            <w:tcW w:w="1440" w:type="dxa"/>
            <w:tcBorders>
              <w:top w:val="single" w:sz="4" w:space="0" w:color="auto"/>
              <w:left w:val="single" w:sz="4" w:space="0" w:color="auto"/>
              <w:bottom w:val="single" w:sz="4" w:space="0" w:color="auto"/>
              <w:right w:val="single" w:sz="4" w:space="0" w:color="auto"/>
            </w:tcBorders>
          </w:tcPr>
          <w:p w14:paraId="506ED02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Patients</w:t>
            </w:r>
          </w:p>
          <w:p w14:paraId="4633F1E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undergoing primary RD repair for RRD between January 2014 and December 2018. </w:t>
            </w:r>
          </w:p>
          <w:p w14:paraId="51D442A6" w14:textId="77777777" w:rsidR="003A4529" w:rsidRDefault="003A4529">
            <w:pPr>
              <w:spacing w:line="276" w:lineRule="auto"/>
              <w:rPr>
                <w:rFonts w:ascii="Times New Roman" w:hAnsi="Times New Roman" w:cs="Times New Roman"/>
                <w:sz w:val="16"/>
                <w:szCs w:val="16"/>
                <w:shd w:val="clear" w:color="auto" w:fill="FFFFFF"/>
                <w:lang w:val="en-US"/>
              </w:rPr>
            </w:pPr>
          </w:p>
        </w:tc>
        <w:tc>
          <w:tcPr>
            <w:tcW w:w="1440" w:type="dxa"/>
            <w:tcBorders>
              <w:top w:val="single" w:sz="4" w:space="0" w:color="auto"/>
              <w:left w:val="single" w:sz="4" w:space="0" w:color="auto"/>
              <w:bottom w:val="single" w:sz="4" w:space="0" w:color="auto"/>
              <w:right w:val="single" w:sz="4" w:space="0" w:color="auto"/>
            </w:tcBorders>
            <w:hideMark/>
          </w:tcPr>
          <w:p w14:paraId="570DAD53"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History of retinopathy of prematurity, tractional RD from diabetic retinopathy, sickle cell retinopathy, choroidal exudative RDs, and RDs from posterior uveitis were excluded from this study</w:t>
            </w:r>
          </w:p>
        </w:tc>
        <w:tc>
          <w:tcPr>
            <w:tcW w:w="1468" w:type="dxa"/>
            <w:tcBorders>
              <w:top w:val="single" w:sz="4" w:space="0" w:color="auto"/>
              <w:left w:val="single" w:sz="4" w:space="0" w:color="auto"/>
              <w:bottom w:val="single" w:sz="4" w:space="0" w:color="auto"/>
              <w:right w:val="single" w:sz="4" w:space="0" w:color="auto"/>
            </w:tcBorders>
          </w:tcPr>
          <w:p w14:paraId="42BF2CE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Four different types of surgical interventions were done, combined three port PPV with SO exchange and SB was done in 12 eyes (14.8%) in group A and 33 eyes (17.0%) in group B, only SB with or without drainage of subretinal fluid was done in no group A eye and 15 eyes (7.7%) in group B, PPV with SO exchange was done in 68 eyes (84%) in group A and 138 eyes (71.1%) in group </w:t>
            </w:r>
            <w:r>
              <w:rPr>
                <w:rFonts w:ascii="Times New Roman" w:eastAsia="Times New Roman" w:hAnsi="Times New Roman" w:cs="Times New Roman"/>
                <w:sz w:val="16"/>
                <w:szCs w:val="16"/>
                <w:lang w:val="en-US"/>
              </w:rPr>
              <w:lastRenderedPageBreak/>
              <w:t>B, PPV with gas for</w:t>
            </w:r>
          </w:p>
          <w:p w14:paraId="3B29AAE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tamponade gas was done in one eye (1.2%) in group A and 8 eyes (4.1%) in group B. Surgery was done using 23-g or 25-g instruments, PFCLs were used at the </w:t>
            </w:r>
            <w:proofErr w:type="gramStart"/>
            <w:r>
              <w:rPr>
                <w:rFonts w:ascii="Times New Roman" w:eastAsia="Times New Roman" w:hAnsi="Times New Roman" w:cs="Times New Roman"/>
                <w:sz w:val="16"/>
                <w:szCs w:val="16"/>
                <w:lang w:val="en-US"/>
              </w:rPr>
              <w:t>surgeons’</w:t>
            </w:r>
            <w:proofErr w:type="gramEnd"/>
          </w:p>
          <w:p w14:paraId="488D25D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discretion for both GRT and other holes or tears.</w:t>
            </w:r>
          </w:p>
          <w:p w14:paraId="69F2B553"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p w14:paraId="1F231EC6" w14:textId="77777777" w:rsidR="003A4529" w:rsidRDefault="003A4529">
            <w:pPr>
              <w:spacing w:line="276" w:lineRule="auto"/>
              <w:rPr>
                <w:rFonts w:ascii="Times New Roman" w:hAnsi="Times New Roman" w:cs="Times New Roman"/>
                <w:sz w:val="16"/>
                <w:szCs w:val="16"/>
                <w:shd w:val="clear" w:color="auto" w:fill="FFFFFF"/>
                <w:lang w:val="en-US"/>
              </w:rPr>
            </w:pPr>
          </w:p>
        </w:tc>
        <w:tc>
          <w:tcPr>
            <w:tcW w:w="1417" w:type="dxa"/>
            <w:tcBorders>
              <w:top w:val="single" w:sz="4" w:space="0" w:color="auto"/>
              <w:left w:val="single" w:sz="4" w:space="0" w:color="auto"/>
              <w:bottom w:val="single" w:sz="4" w:space="0" w:color="auto"/>
              <w:right w:val="single" w:sz="4" w:space="0" w:color="auto"/>
            </w:tcBorders>
            <w:hideMark/>
          </w:tcPr>
          <w:p w14:paraId="216061CE"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To compare the outcomes of RRD surgeries between the group with GRT and other types of tears. Group A (N=7, 9.7%) is the GRT group, while group B (N =27, 14.8%) is other holes group</w:t>
            </w:r>
          </w:p>
        </w:tc>
        <w:tc>
          <w:tcPr>
            <w:tcW w:w="992" w:type="dxa"/>
            <w:tcBorders>
              <w:top w:val="single" w:sz="4" w:space="0" w:color="auto"/>
              <w:left w:val="single" w:sz="4" w:space="0" w:color="auto"/>
              <w:bottom w:val="single" w:sz="4" w:space="0" w:color="auto"/>
              <w:right w:val="single" w:sz="4" w:space="0" w:color="auto"/>
            </w:tcBorders>
            <w:hideMark/>
          </w:tcPr>
          <w:p w14:paraId="0994E771"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81 eyes (29.4%)</w:t>
            </w:r>
          </w:p>
        </w:tc>
        <w:tc>
          <w:tcPr>
            <w:tcW w:w="1276" w:type="dxa"/>
            <w:tcBorders>
              <w:top w:val="single" w:sz="4" w:space="0" w:color="auto"/>
              <w:left w:val="single" w:sz="4" w:space="0" w:color="auto"/>
              <w:bottom w:val="single" w:sz="4" w:space="0" w:color="auto"/>
              <w:right w:val="single" w:sz="4" w:space="0" w:color="auto"/>
            </w:tcBorders>
            <w:hideMark/>
          </w:tcPr>
          <w:p w14:paraId="307F9818"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Not stated </w:t>
            </w:r>
          </w:p>
        </w:tc>
        <w:tc>
          <w:tcPr>
            <w:tcW w:w="992" w:type="dxa"/>
            <w:tcBorders>
              <w:top w:val="single" w:sz="4" w:space="0" w:color="auto"/>
              <w:left w:val="single" w:sz="4" w:space="0" w:color="auto"/>
              <w:bottom w:val="single" w:sz="4" w:space="0" w:color="auto"/>
              <w:right w:val="single" w:sz="4" w:space="0" w:color="auto"/>
            </w:tcBorders>
            <w:hideMark/>
          </w:tcPr>
          <w:p w14:paraId="29FA937B"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275</w:t>
            </w:r>
          </w:p>
        </w:tc>
        <w:tc>
          <w:tcPr>
            <w:tcW w:w="993" w:type="dxa"/>
            <w:tcBorders>
              <w:top w:val="single" w:sz="4" w:space="0" w:color="auto"/>
              <w:left w:val="single" w:sz="4" w:space="0" w:color="auto"/>
              <w:bottom w:val="single" w:sz="4" w:space="0" w:color="auto"/>
              <w:right w:val="single" w:sz="4" w:space="0" w:color="auto"/>
            </w:tcBorders>
            <w:hideMark/>
          </w:tcPr>
          <w:p w14:paraId="0CF8A975"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275</w:t>
            </w:r>
          </w:p>
        </w:tc>
      </w:tr>
      <w:tr w:rsidR="003A4529" w14:paraId="78D646D1"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4D5EC9F1"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Ting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2020 </w:t>
            </w:r>
            <w:sdt>
              <w:sdtPr>
                <w:rPr>
                  <w:rFonts w:ascii="Times New Roman" w:hAnsi="Times New Roman" w:cs="Times New Roman"/>
                  <w:sz w:val="16"/>
                  <w:szCs w:val="16"/>
                  <w:lang w:val="en-US"/>
                </w:rPr>
                <w:tag w:val="MENDELEY_CITATION_v3_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"/>
                <w:id w:val="574637358"/>
                <w:placeholder>
                  <w:docPart w:val="102606E8DF364B53BB4A63877D9736E1"/>
                </w:placeholder>
              </w:sdtPr>
              <w:sdtContent>
                <w:r>
                  <w:rPr>
                    <w:rFonts w:ascii="Times New Roman" w:hAnsi="Times New Roman" w:cs="Times New Roman"/>
                    <w:sz w:val="16"/>
                    <w:szCs w:val="16"/>
                    <w:lang w:val="en-US"/>
                  </w:rPr>
                  <w:t>[38]</w:t>
                </w:r>
              </w:sdtContent>
            </w:sdt>
          </w:p>
        </w:tc>
        <w:tc>
          <w:tcPr>
            <w:tcW w:w="992" w:type="dxa"/>
            <w:tcBorders>
              <w:top w:val="single" w:sz="4" w:space="0" w:color="auto"/>
              <w:left w:val="single" w:sz="4" w:space="0" w:color="auto"/>
              <w:bottom w:val="single" w:sz="4" w:space="0" w:color="auto"/>
              <w:right w:val="single" w:sz="4" w:space="0" w:color="auto"/>
            </w:tcBorders>
            <w:hideMark/>
          </w:tcPr>
          <w:p w14:paraId="4875F8CB"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Singapore </w:t>
            </w:r>
          </w:p>
        </w:tc>
        <w:tc>
          <w:tcPr>
            <w:tcW w:w="1134" w:type="dxa"/>
            <w:tcBorders>
              <w:top w:val="single" w:sz="4" w:space="0" w:color="auto"/>
              <w:left w:val="single" w:sz="4" w:space="0" w:color="auto"/>
              <w:bottom w:val="single" w:sz="4" w:space="0" w:color="auto"/>
              <w:right w:val="single" w:sz="4" w:space="0" w:color="auto"/>
            </w:tcBorders>
            <w:hideMark/>
          </w:tcPr>
          <w:p w14:paraId="70D66034"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A retrospective cohort study </w:t>
            </w:r>
          </w:p>
        </w:tc>
        <w:tc>
          <w:tcPr>
            <w:tcW w:w="897" w:type="dxa"/>
            <w:tcBorders>
              <w:top w:val="single" w:sz="4" w:space="0" w:color="auto"/>
              <w:left w:val="single" w:sz="4" w:space="0" w:color="auto"/>
              <w:bottom w:val="single" w:sz="4" w:space="0" w:color="auto"/>
              <w:right w:val="single" w:sz="4" w:space="0" w:color="auto"/>
            </w:tcBorders>
            <w:hideMark/>
          </w:tcPr>
          <w:p w14:paraId="6B35B0A3"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Singapore National Eye Centre</w:t>
            </w:r>
          </w:p>
        </w:tc>
        <w:tc>
          <w:tcPr>
            <w:tcW w:w="1440" w:type="dxa"/>
            <w:tcBorders>
              <w:top w:val="single" w:sz="4" w:space="0" w:color="auto"/>
              <w:left w:val="single" w:sz="4" w:space="0" w:color="auto"/>
              <w:bottom w:val="single" w:sz="4" w:space="0" w:color="auto"/>
              <w:right w:val="single" w:sz="4" w:space="0" w:color="auto"/>
            </w:tcBorders>
            <w:hideMark/>
          </w:tcPr>
          <w:p w14:paraId="05C63FE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All patients with GRT-related RRD</w:t>
            </w:r>
          </w:p>
        </w:tc>
        <w:tc>
          <w:tcPr>
            <w:tcW w:w="1440" w:type="dxa"/>
            <w:tcBorders>
              <w:top w:val="single" w:sz="4" w:space="0" w:color="auto"/>
              <w:left w:val="single" w:sz="4" w:space="0" w:color="auto"/>
              <w:bottom w:val="single" w:sz="4" w:space="0" w:color="auto"/>
              <w:right w:val="single" w:sz="4" w:space="0" w:color="auto"/>
            </w:tcBorders>
            <w:hideMark/>
          </w:tcPr>
          <w:p w14:paraId="218E1693"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468" w:type="dxa"/>
            <w:tcBorders>
              <w:top w:val="single" w:sz="4" w:space="0" w:color="auto"/>
              <w:left w:val="single" w:sz="4" w:space="0" w:color="auto"/>
              <w:bottom w:val="single" w:sz="4" w:space="0" w:color="auto"/>
              <w:right w:val="single" w:sz="4" w:space="0" w:color="auto"/>
            </w:tcBorders>
            <w:hideMark/>
          </w:tcPr>
          <w:p w14:paraId="6304CBD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33.1% eyes underwent PPV from 1991-2015, in which the number of cases during 1991-2005 recorded a higher number of cases as compared to 2006-2015, corresponding to 28 (35.9%) eyes and 14 (28.6%) eyes respectively. On the other hand, 85 (66.9%) eyes underwent combined PPV and SB, 50 (64.1%) eyes for the period of 1991-2005, and 35 (71.4%) eyes recorded for the period of 2006-2015. PFCL had been used in </w:t>
            </w:r>
          </w:p>
          <w:p w14:paraId="4A0CA0B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 xml:space="preserve">102 (80.3%) eyes, the number of cases increased from 73.1% (1991-2005) to 91.8% (2006-2015). For the </w:t>
            </w:r>
            <w:proofErr w:type="spellStart"/>
            <w:r>
              <w:rPr>
                <w:rFonts w:ascii="Times New Roman" w:eastAsia="Times New Roman" w:hAnsi="Times New Roman" w:cs="Times New Roman"/>
                <w:sz w:val="16"/>
                <w:szCs w:val="16"/>
                <w:lang w:val="en-US"/>
              </w:rPr>
              <w:t>endotamponade</w:t>
            </w:r>
            <w:proofErr w:type="spellEnd"/>
            <w:r>
              <w:rPr>
                <w:rFonts w:ascii="Times New Roman" w:eastAsia="Times New Roman" w:hAnsi="Times New Roman" w:cs="Times New Roman"/>
                <w:sz w:val="16"/>
                <w:szCs w:val="16"/>
                <w:lang w:val="en-US"/>
              </w:rPr>
              <w:t>, 30 (23.6%) eyes used SF6, 24 (18.9%) eyes used C</w:t>
            </w:r>
            <w:r>
              <w:rPr>
                <w:rFonts w:ascii="Times New Roman" w:eastAsia="Times New Roman" w:hAnsi="Times New Roman" w:cs="Times New Roman"/>
                <w:sz w:val="16"/>
                <w:szCs w:val="16"/>
                <w:vertAlign w:val="subscript"/>
                <w:lang w:val="en-US"/>
              </w:rPr>
              <w:t>2</w:t>
            </w:r>
            <w:r>
              <w:rPr>
                <w:rFonts w:ascii="Times New Roman" w:eastAsia="Times New Roman" w:hAnsi="Times New Roman" w:cs="Times New Roman"/>
                <w:sz w:val="16"/>
                <w:szCs w:val="16"/>
                <w:lang w:val="en-US"/>
              </w:rPr>
              <w:t>F</w:t>
            </w:r>
            <w:r>
              <w:rPr>
                <w:rFonts w:ascii="Times New Roman" w:eastAsia="Times New Roman" w:hAnsi="Times New Roman" w:cs="Times New Roman"/>
                <w:sz w:val="16"/>
                <w:szCs w:val="16"/>
                <w:vertAlign w:val="subscript"/>
                <w:lang w:val="en-US"/>
              </w:rPr>
              <w:t>6</w:t>
            </w:r>
            <w:r>
              <w:rPr>
                <w:rFonts w:ascii="Times New Roman" w:eastAsia="Times New Roman" w:hAnsi="Times New Roman" w:cs="Times New Roman"/>
                <w:sz w:val="16"/>
                <w:szCs w:val="16"/>
                <w:lang w:val="en-US"/>
              </w:rPr>
              <w:t xml:space="preserve">, 41 (32.3%) eyes used C3F8, and 32 (25.2%) eyes used SO. </w:t>
            </w:r>
          </w:p>
        </w:tc>
        <w:tc>
          <w:tcPr>
            <w:tcW w:w="1417" w:type="dxa"/>
            <w:tcBorders>
              <w:top w:val="single" w:sz="4" w:space="0" w:color="auto"/>
              <w:left w:val="single" w:sz="4" w:space="0" w:color="auto"/>
              <w:bottom w:val="single" w:sz="4" w:space="0" w:color="auto"/>
              <w:right w:val="single" w:sz="4" w:space="0" w:color="auto"/>
            </w:tcBorders>
          </w:tcPr>
          <w:p w14:paraId="617D78D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To compare the functional and anatomical outcome of GRT-related RRD surgical approaches that were conducted between the year of 1991-2015 (Group A, n=127);1991–2005 (Group B, n=78)</w:t>
            </w:r>
          </w:p>
          <w:p w14:paraId="2592E34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and 2006–2015 (Group C, n=49)</w:t>
            </w:r>
          </w:p>
          <w:p w14:paraId="0F269DC0" w14:textId="77777777" w:rsidR="003A4529" w:rsidRDefault="003A4529">
            <w:pPr>
              <w:spacing w:line="276" w:lineRule="auto"/>
              <w:rPr>
                <w:rFonts w:ascii="Times New Roman" w:hAnsi="Times New Roman" w:cs="Times New Roman"/>
                <w:sz w:val="16"/>
                <w:szCs w:val="16"/>
                <w:shd w:val="clear" w:color="auto" w:fill="FFFFFF"/>
                <w:lang w:val="en-US"/>
              </w:rPr>
            </w:pPr>
          </w:p>
        </w:tc>
        <w:tc>
          <w:tcPr>
            <w:tcW w:w="992" w:type="dxa"/>
            <w:tcBorders>
              <w:top w:val="single" w:sz="4" w:space="0" w:color="auto"/>
              <w:left w:val="single" w:sz="4" w:space="0" w:color="auto"/>
              <w:bottom w:val="single" w:sz="4" w:space="0" w:color="auto"/>
              <w:right w:val="single" w:sz="4" w:space="0" w:color="auto"/>
            </w:tcBorders>
            <w:hideMark/>
          </w:tcPr>
          <w:p w14:paraId="577E78A2"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All the included eyes </w:t>
            </w:r>
          </w:p>
        </w:tc>
        <w:tc>
          <w:tcPr>
            <w:tcW w:w="1276" w:type="dxa"/>
            <w:tcBorders>
              <w:top w:val="single" w:sz="4" w:space="0" w:color="auto"/>
              <w:left w:val="single" w:sz="4" w:space="0" w:color="auto"/>
              <w:bottom w:val="single" w:sz="4" w:space="0" w:color="auto"/>
              <w:right w:val="single" w:sz="4" w:space="0" w:color="auto"/>
            </w:tcBorders>
            <w:hideMark/>
          </w:tcPr>
          <w:p w14:paraId="29E6CD4C"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A minimum of five years </w:t>
            </w:r>
          </w:p>
        </w:tc>
        <w:tc>
          <w:tcPr>
            <w:tcW w:w="992" w:type="dxa"/>
            <w:tcBorders>
              <w:top w:val="single" w:sz="4" w:space="0" w:color="auto"/>
              <w:left w:val="single" w:sz="4" w:space="0" w:color="auto"/>
              <w:bottom w:val="single" w:sz="4" w:space="0" w:color="auto"/>
              <w:right w:val="single" w:sz="4" w:space="0" w:color="auto"/>
            </w:tcBorders>
            <w:hideMark/>
          </w:tcPr>
          <w:p w14:paraId="165EAC69"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127</w:t>
            </w:r>
          </w:p>
        </w:tc>
        <w:tc>
          <w:tcPr>
            <w:tcW w:w="993" w:type="dxa"/>
            <w:tcBorders>
              <w:top w:val="single" w:sz="4" w:space="0" w:color="auto"/>
              <w:left w:val="single" w:sz="4" w:space="0" w:color="auto"/>
              <w:bottom w:val="single" w:sz="4" w:space="0" w:color="auto"/>
              <w:right w:val="single" w:sz="4" w:space="0" w:color="auto"/>
            </w:tcBorders>
            <w:hideMark/>
          </w:tcPr>
          <w:p w14:paraId="4908FCC7"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127</w:t>
            </w:r>
          </w:p>
        </w:tc>
      </w:tr>
      <w:tr w:rsidR="003A4529" w14:paraId="6E2B3CCF"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4F67A8AD"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Mikhail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2017 </w:t>
            </w:r>
            <w:sdt>
              <w:sdtPr>
                <w:rPr>
                  <w:rFonts w:ascii="Times New Roman" w:hAnsi="Times New Roman" w:cs="Times New Roman"/>
                  <w:sz w:val="16"/>
                  <w:szCs w:val="16"/>
                  <w:lang w:val="en-US"/>
                </w:rPr>
                <w:tag w:val="MENDELEY_CITATION_v3_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"/>
                <w:id w:val="855852892"/>
                <w:placeholder>
                  <w:docPart w:val="102606E8DF364B53BB4A63877D9736E1"/>
                </w:placeholder>
              </w:sdtPr>
              <w:sdtContent>
                <w:r>
                  <w:rPr>
                    <w:rFonts w:ascii="Times New Roman" w:hAnsi="Times New Roman" w:cs="Times New Roman"/>
                    <w:sz w:val="16"/>
                    <w:szCs w:val="16"/>
                    <w:lang w:val="en-US"/>
                  </w:rPr>
                  <w:t>[39]</w:t>
                </w:r>
              </w:sdtContent>
            </w:sdt>
          </w:p>
        </w:tc>
        <w:tc>
          <w:tcPr>
            <w:tcW w:w="992" w:type="dxa"/>
            <w:tcBorders>
              <w:top w:val="single" w:sz="4" w:space="0" w:color="auto"/>
              <w:left w:val="single" w:sz="4" w:space="0" w:color="auto"/>
              <w:bottom w:val="single" w:sz="4" w:space="0" w:color="auto"/>
              <w:right w:val="single" w:sz="4" w:space="0" w:color="auto"/>
            </w:tcBorders>
            <w:hideMark/>
          </w:tcPr>
          <w:p w14:paraId="56BECC4A"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The United Kingdom </w:t>
            </w:r>
          </w:p>
        </w:tc>
        <w:tc>
          <w:tcPr>
            <w:tcW w:w="1134" w:type="dxa"/>
            <w:tcBorders>
              <w:top w:val="single" w:sz="4" w:space="0" w:color="auto"/>
              <w:left w:val="single" w:sz="4" w:space="0" w:color="auto"/>
              <w:bottom w:val="single" w:sz="4" w:space="0" w:color="auto"/>
              <w:right w:val="single" w:sz="4" w:space="0" w:color="auto"/>
            </w:tcBorders>
            <w:hideMark/>
          </w:tcPr>
          <w:p w14:paraId="70B00BBF"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A retrospective case series </w:t>
            </w:r>
          </w:p>
        </w:tc>
        <w:tc>
          <w:tcPr>
            <w:tcW w:w="897" w:type="dxa"/>
            <w:tcBorders>
              <w:top w:val="single" w:sz="4" w:space="0" w:color="auto"/>
              <w:left w:val="single" w:sz="4" w:space="0" w:color="auto"/>
              <w:bottom w:val="single" w:sz="4" w:space="0" w:color="auto"/>
              <w:right w:val="single" w:sz="4" w:space="0" w:color="auto"/>
            </w:tcBorders>
            <w:hideMark/>
          </w:tcPr>
          <w:p w14:paraId="2CBF8890"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Vitreoretinal service, Royal Victoria Hospital, Belfast, Northern Ireland.</w:t>
            </w:r>
          </w:p>
        </w:tc>
        <w:tc>
          <w:tcPr>
            <w:tcW w:w="1440" w:type="dxa"/>
            <w:tcBorders>
              <w:top w:val="single" w:sz="4" w:space="0" w:color="auto"/>
              <w:left w:val="single" w:sz="4" w:space="0" w:color="auto"/>
              <w:bottom w:val="single" w:sz="4" w:space="0" w:color="auto"/>
              <w:right w:val="single" w:sz="4" w:space="0" w:color="auto"/>
            </w:tcBorders>
            <w:hideMark/>
          </w:tcPr>
          <w:p w14:paraId="4AE6BEA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 xml:space="preserve">Patients who underwent surgeries for primary RRD between January 2013 and December 2013. </w:t>
            </w:r>
          </w:p>
        </w:tc>
        <w:tc>
          <w:tcPr>
            <w:tcW w:w="1440" w:type="dxa"/>
            <w:tcBorders>
              <w:top w:val="single" w:sz="4" w:space="0" w:color="auto"/>
              <w:left w:val="single" w:sz="4" w:space="0" w:color="auto"/>
              <w:bottom w:val="single" w:sz="4" w:space="0" w:color="auto"/>
              <w:right w:val="single" w:sz="4" w:space="0" w:color="auto"/>
            </w:tcBorders>
          </w:tcPr>
          <w:p w14:paraId="112BD07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Cases of other types of retinal detachment or cases with</w:t>
            </w:r>
          </w:p>
          <w:p w14:paraId="58E89AD3"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previous history of vitreoretinal procedures was excluded.</w:t>
            </w:r>
          </w:p>
          <w:p w14:paraId="6E8882B1"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468" w:type="dxa"/>
            <w:tcBorders>
              <w:top w:val="single" w:sz="4" w:space="0" w:color="auto"/>
              <w:left w:val="single" w:sz="4" w:space="0" w:color="auto"/>
              <w:bottom w:val="single" w:sz="4" w:space="0" w:color="auto"/>
              <w:right w:val="single" w:sz="4" w:space="0" w:color="auto"/>
            </w:tcBorders>
            <w:hideMark/>
          </w:tcPr>
          <w:p w14:paraId="060AABAD"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82.5% (175) of the cases had PPV, 12.5% (27) had SB and 5% (10) had PR as a primary procedure. Of those who had PPV as a primary procedure, 67% were operated by classic 20-g PPV and the remainder by 23-g transconjunctival </w:t>
            </w:r>
            <w:proofErr w:type="spellStart"/>
            <w:r>
              <w:rPr>
                <w:rFonts w:ascii="Times New Roman" w:hAnsi="Times New Roman" w:cs="Times New Roman"/>
                <w:sz w:val="16"/>
                <w:szCs w:val="16"/>
                <w:shd w:val="clear" w:color="auto" w:fill="FFFFFF"/>
                <w:lang w:val="en-US"/>
              </w:rPr>
              <w:t>sutureless</w:t>
            </w:r>
            <w:proofErr w:type="spellEnd"/>
            <w:r>
              <w:rPr>
                <w:rFonts w:ascii="Times New Roman" w:hAnsi="Times New Roman" w:cs="Times New Roman"/>
                <w:sz w:val="16"/>
                <w:szCs w:val="16"/>
                <w:shd w:val="clear" w:color="auto" w:fill="FFFFFF"/>
                <w:lang w:val="en-US"/>
              </w:rPr>
              <w:t xml:space="preserve"> technique. Two patients had combined cataract and PPV. SBs were circumferential in 55%, segmental in 38% and radial in 7%; 28% had subretinal fluid drainage with buckling. PR as a primary procedure was only used in </w:t>
            </w:r>
            <w:r>
              <w:rPr>
                <w:rFonts w:ascii="Times New Roman" w:hAnsi="Times New Roman" w:cs="Times New Roman"/>
                <w:sz w:val="16"/>
                <w:szCs w:val="16"/>
                <w:shd w:val="clear" w:color="auto" w:fill="FFFFFF"/>
                <w:lang w:val="en-US"/>
              </w:rPr>
              <w:lastRenderedPageBreak/>
              <w:t>uncomplicated phakic detachments.</w:t>
            </w:r>
          </w:p>
        </w:tc>
        <w:tc>
          <w:tcPr>
            <w:tcW w:w="1417" w:type="dxa"/>
            <w:tcBorders>
              <w:top w:val="single" w:sz="4" w:space="0" w:color="auto"/>
              <w:left w:val="single" w:sz="4" w:space="0" w:color="auto"/>
              <w:bottom w:val="single" w:sz="4" w:space="0" w:color="auto"/>
              <w:right w:val="single" w:sz="4" w:space="0" w:color="auto"/>
            </w:tcBorders>
            <w:hideMark/>
          </w:tcPr>
          <w:p w14:paraId="6268CA9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Not applicable</w:t>
            </w:r>
          </w:p>
        </w:tc>
        <w:tc>
          <w:tcPr>
            <w:tcW w:w="992" w:type="dxa"/>
            <w:tcBorders>
              <w:top w:val="single" w:sz="4" w:space="0" w:color="auto"/>
              <w:left w:val="single" w:sz="4" w:space="0" w:color="auto"/>
              <w:bottom w:val="single" w:sz="4" w:space="0" w:color="auto"/>
              <w:right w:val="single" w:sz="4" w:space="0" w:color="auto"/>
            </w:tcBorders>
            <w:hideMark/>
          </w:tcPr>
          <w:p w14:paraId="692FD16C"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Three patients (1.4%)</w:t>
            </w:r>
          </w:p>
        </w:tc>
        <w:tc>
          <w:tcPr>
            <w:tcW w:w="1276" w:type="dxa"/>
            <w:tcBorders>
              <w:top w:val="single" w:sz="4" w:space="0" w:color="auto"/>
              <w:left w:val="single" w:sz="4" w:space="0" w:color="auto"/>
              <w:bottom w:val="single" w:sz="4" w:space="0" w:color="auto"/>
              <w:right w:val="single" w:sz="4" w:space="0" w:color="auto"/>
            </w:tcBorders>
            <w:hideMark/>
          </w:tcPr>
          <w:p w14:paraId="6A8217A4"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Mean = nine months </w:t>
            </w:r>
          </w:p>
        </w:tc>
        <w:tc>
          <w:tcPr>
            <w:tcW w:w="992" w:type="dxa"/>
            <w:tcBorders>
              <w:top w:val="single" w:sz="4" w:space="0" w:color="auto"/>
              <w:left w:val="single" w:sz="4" w:space="0" w:color="auto"/>
              <w:bottom w:val="single" w:sz="4" w:space="0" w:color="auto"/>
              <w:right w:val="single" w:sz="4" w:space="0" w:color="auto"/>
            </w:tcBorders>
            <w:hideMark/>
          </w:tcPr>
          <w:p w14:paraId="1BD1CEA4"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211</w:t>
            </w:r>
          </w:p>
        </w:tc>
        <w:tc>
          <w:tcPr>
            <w:tcW w:w="993" w:type="dxa"/>
            <w:tcBorders>
              <w:top w:val="single" w:sz="4" w:space="0" w:color="auto"/>
              <w:left w:val="single" w:sz="4" w:space="0" w:color="auto"/>
              <w:bottom w:val="single" w:sz="4" w:space="0" w:color="auto"/>
              <w:right w:val="single" w:sz="4" w:space="0" w:color="auto"/>
            </w:tcBorders>
            <w:hideMark/>
          </w:tcPr>
          <w:p w14:paraId="5AF117CF"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212</w:t>
            </w:r>
          </w:p>
        </w:tc>
      </w:tr>
      <w:tr w:rsidR="003A4529" w14:paraId="5F91FEDA"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0BC8BE86"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Ghasemi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2017 </w:t>
            </w:r>
            <w:sdt>
              <w:sdtPr>
                <w:rPr>
                  <w:rFonts w:ascii="Times New Roman" w:hAnsi="Times New Roman" w:cs="Times New Roman"/>
                  <w:sz w:val="16"/>
                  <w:szCs w:val="16"/>
                  <w:lang w:val="en-US"/>
                </w:rPr>
                <w:tag w:val="MENDELEY_CITATION_v3_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"/>
                <w:id w:val="-2125997736"/>
                <w:placeholder>
                  <w:docPart w:val="102606E8DF364B53BB4A63877D9736E1"/>
                </w:placeholder>
              </w:sdtPr>
              <w:sdtContent>
                <w:r>
                  <w:rPr>
                    <w:rFonts w:ascii="Times New Roman" w:hAnsi="Times New Roman" w:cs="Times New Roman"/>
                    <w:sz w:val="16"/>
                    <w:szCs w:val="16"/>
                    <w:lang w:val="en-US"/>
                  </w:rPr>
                  <w:t>[40]</w:t>
                </w:r>
              </w:sdtContent>
            </w:sdt>
          </w:p>
        </w:tc>
        <w:tc>
          <w:tcPr>
            <w:tcW w:w="992" w:type="dxa"/>
            <w:tcBorders>
              <w:top w:val="single" w:sz="4" w:space="0" w:color="auto"/>
              <w:left w:val="single" w:sz="4" w:space="0" w:color="auto"/>
              <w:bottom w:val="single" w:sz="4" w:space="0" w:color="auto"/>
              <w:right w:val="single" w:sz="4" w:space="0" w:color="auto"/>
            </w:tcBorders>
            <w:hideMark/>
          </w:tcPr>
          <w:p w14:paraId="2F41CEC2"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Iran </w:t>
            </w:r>
          </w:p>
        </w:tc>
        <w:tc>
          <w:tcPr>
            <w:tcW w:w="1134" w:type="dxa"/>
            <w:tcBorders>
              <w:top w:val="single" w:sz="4" w:space="0" w:color="auto"/>
              <w:left w:val="single" w:sz="4" w:space="0" w:color="auto"/>
              <w:bottom w:val="single" w:sz="4" w:space="0" w:color="auto"/>
              <w:right w:val="single" w:sz="4" w:space="0" w:color="auto"/>
            </w:tcBorders>
            <w:hideMark/>
          </w:tcPr>
          <w:p w14:paraId="0AA5A52C"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 retrospective non-comparative case series</w:t>
            </w:r>
          </w:p>
        </w:tc>
        <w:tc>
          <w:tcPr>
            <w:tcW w:w="897" w:type="dxa"/>
            <w:tcBorders>
              <w:top w:val="single" w:sz="4" w:space="0" w:color="auto"/>
              <w:left w:val="single" w:sz="4" w:space="0" w:color="auto"/>
              <w:bottom w:val="single" w:sz="4" w:space="0" w:color="auto"/>
              <w:right w:val="single" w:sz="4" w:space="0" w:color="auto"/>
            </w:tcBorders>
            <w:hideMark/>
          </w:tcPr>
          <w:p w14:paraId="0FBE4169"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Rassoul Akram Hospital</w:t>
            </w:r>
          </w:p>
        </w:tc>
        <w:tc>
          <w:tcPr>
            <w:tcW w:w="1440" w:type="dxa"/>
            <w:tcBorders>
              <w:top w:val="single" w:sz="4" w:space="0" w:color="auto"/>
              <w:left w:val="single" w:sz="4" w:space="0" w:color="auto"/>
              <w:bottom w:val="single" w:sz="4" w:space="0" w:color="auto"/>
              <w:right w:val="single" w:sz="4" w:space="0" w:color="auto"/>
            </w:tcBorders>
            <w:hideMark/>
          </w:tcPr>
          <w:p w14:paraId="10E00402"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All the patients with the diagnosis of RRD associated with GRT and underwent surgery with at least three months of follow up from 2005 to 2015.</w:t>
            </w:r>
          </w:p>
        </w:tc>
        <w:tc>
          <w:tcPr>
            <w:tcW w:w="1440" w:type="dxa"/>
            <w:tcBorders>
              <w:top w:val="single" w:sz="4" w:space="0" w:color="auto"/>
              <w:left w:val="single" w:sz="4" w:space="0" w:color="auto"/>
              <w:bottom w:val="single" w:sz="4" w:space="0" w:color="auto"/>
              <w:right w:val="single" w:sz="4" w:space="0" w:color="auto"/>
            </w:tcBorders>
            <w:hideMark/>
          </w:tcPr>
          <w:p w14:paraId="7D06704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Concomitant presence of any other ocular pathology which could decrease VA such as diabetic retinopathy, advanced glaucoma, and previous uveitis at presentation.</w:t>
            </w:r>
          </w:p>
        </w:tc>
        <w:tc>
          <w:tcPr>
            <w:tcW w:w="1468" w:type="dxa"/>
            <w:tcBorders>
              <w:top w:val="single" w:sz="4" w:space="0" w:color="auto"/>
              <w:left w:val="single" w:sz="4" w:space="0" w:color="auto"/>
              <w:bottom w:val="single" w:sz="4" w:space="0" w:color="auto"/>
              <w:right w:val="single" w:sz="4" w:space="0" w:color="auto"/>
            </w:tcBorders>
            <w:hideMark/>
          </w:tcPr>
          <w:p w14:paraId="7B0F4749"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PPV alone was performed in 44 eyes (71.0%) and simultaneous PPV and phacoemulsification surgery was performed in 18 eyes (29.0%). An encircling SB was placed in seven eyes (11.3%). All eyes received SO tamponade and had 360-degree laser photocoagulation of the peripheral retina, intraoperatively. Heavy SO was injected in 10 (16.1%) eyes.</w:t>
            </w:r>
          </w:p>
        </w:tc>
        <w:tc>
          <w:tcPr>
            <w:tcW w:w="1417" w:type="dxa"/>
            <w:tcBorders>
              <w:top w:val="single" w:sz="4" w:space="0" w:color="auto"/>
              <w:left w:val="single" w:sz="4" w:space="0" w:color="auto"/>
              <w:bottom w:val="single" w:sz="4" w:space="0" w:color="auto"/>
              <w:right w:val="single" w:sz="4" w:space="0" w:color="auto"/>
            </w:tcBorders>
            <w:hideMark/>
          </w:tcPr>
          <w:p w14:paraId="142EAB8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Not applicable</w:t>
            </w:r>
          </w:p>
        </w:tc>
        <w:tc>
          <w:tcPr>
            <w:tcW w:w="992" w:type="dxa"/>
            <w:tcBorders>
              <w:top w:val="single" w:sz="4" w:space="0" w:color="auto"/>
              <w:left w:val="single" w:sz="4" w:space="0" w:color="auto"/>
              <w:bottom w:val="single" w:sz="4" w:space="0" w:color="auto"/>
              <w:right w:val="single" w:sz="4" w:space="0" w:color="auto"/>
            </w:tcBorders>
            <w:hideMark/>
          </w:tcPr>
          <w:p w14:paraId="5D7795E3"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All the included eyes, while the GRT was 180° or greater in 20 (32.2%) eyes and less than 180° in 42 (67.8%) eyes.</w:t>
            </w:r>
          </w:p>
        </w:tc>
        <w:tc>
          <w:tcPr>
            <w:tcW w:w="1276" w:type="dxa"/>
            <w:tcBorders>
              <w:top w:val="single" w:sz="4" w:space="0" w:color="auto"/>
              <w:left w:val="single" w:sz="4" w:space="0" w:color="auto"/>
              <w:bottom w:val="single" w:sz="4" w:space="0" w:color="auto"/>
              <w:right w:val="single" w:sz="4" w:space="0" w:color="auto"/>
            </w:tcBorders>
            <w:hideMark/>
          </w:tcPr>
          <w:p w14:paraId="4FBE0D9D"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shd w:val="clear" w:color="auto" w:fill="FFFFFF"/>
                <w:lang w:val="en-US"/>
              </w:rPr>
              <w:t>Mean = 21.54 ± 27.73 (three –126) months</w:t>
            </w:r>
          </w:p>
        </w:tc>
        <w:tc>
          <w:tcPr>
            <w:tcW w:w="992" w:type="dxa"/>
            <w:tcBorders>
              <w:top w:val="single" w:sz="4" w:space="0" w:color="auto"/>
              <w:left w:val="single" w:sz="4" w:space="0" w:color="auto"/>
              <w:bottom w:val="single" w:sz="4" w:space="0" w:color="auto"/>
              <w:right w:val="single" w:sz="4" w:space="0" w:color="auto"/>
            </w:tcBorders>
            <w:hideMark/>
          </w:tcPr>
          <w:p w14:paraId="491D2C4E"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61</w:t>
            </w:r>
          </w:p>
        </w:tc>
        <w:tc>
          <w:tcPr>
            <w:tcW w:w="993" w:type="dxa"/>
            <w:tcBorders>
              <w:top w:val="single" w:sz="4" w:space="0" w:color="auto"/>
              <w:left w:val="single" w:sz="4" w:space="0" w:color="auto"/>
              <w:bottom w:val="single" w:sz="4" w:space="0" w:color="auto"/>
              <w:right w:val="single" w:sz="4" w:space="0" w:color="auto"/>
            </w:tcBorders>
            <w:hideMark/>
          </w:tcPr>
          <w:p w14:paraId="7F39983B"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62</w:t>
            </w:r>
          </w:p>
        </w:tc>
      </w:tr>
      <w:tr w:rsidR="003A4529" w14:paraId="09827132"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7EEACEED"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Lumi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2016 </w:t>
            </w:r>
            <w:sdt>
              <w:sdtPr>
                <w:rPr>
                  <w:rFonts w:ascii="Times New Roman" w:hAnsi="Times New Roman" w:cs="Times New Roman"/>
                  <w:sz w:val="16"/>
                  <w:szCs w:val="16"/>
                  <w:lang w:val="en-US"/>
                </w:rPr>
                <w:tag w:val="MENDELEY_CITATION_v3_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"/>
                <w:id w:val="499401192"/>
                <w:placeholder>
                  <w:docPart w:val="102606E8DF364B53BB4A63877D9736E1"/>
                </w:placeholder>
              </w:sdtPr>
              <w:sdtContent>
                <w:r>
                  <w:rPr>
                    <w:rFonts w:ascii="Times New Roman" w:hAnsi="Times New Roman" w:cs="Times New Roman"/>
                    <w:sz w:val="16"/>
                    <w:szCs w:val="16"/>
                    <w:lang w:val="en-US"/>
                  </w:rPr>
                  <w:t>[41]</w:t>
                </w:r>
              </w:sdtContent>
            </w:sdt>
          </w:p>
        </w:tc>
        <w:tc>
          <w:tcPr>
            <w:tcW w:w="992" w:type="dxa"/>
            <w:tcBorders>
              <w:top w:val="single" w:sz="4" w:space="0" w:color="auto"/>
              <w:left w:val="single" w:sz="4" w:space="0" w:color="auto"/>
              <w:bottom w:val="single" w:sz="4" w:space="0" w:color="auto"/>
              <w:right w:val="single" w:sz="4" w:space="0" w:color="auto"/>
            </w:tcBorders>
            <w:hideMark/>
          </w:tcPr>
          <w:p w14:paraId="11116338"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Slovenia </w:t>
            </w:r>
          </w:p>
        </w:tc>
        <w:tc>
          <w:tcPr>
            <w:tcW w:w="1134" w:type="dxa"/>
            <w:tcBorders>
              <w:top w:val="single" w:sz="4" w:space="0" w:color="auto"/>
              <w:left w:val="single" w:sz="4" w:space="0" w:color="auto"/>
              <w:bottom w:val="single" w:sz="4" w:space="0" w:color="auto"/>
              <w:right w:val="single" w:sz="4" w:space="0" w:color="auto"/>
            </w:tcBorders>
            <w:hideMark/>
          </w:tcPr>
          <w:p w14:paraId="63181E67"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A retrospective cohort study </w:t>
            </w:r>
          </w:p>
        </w:tc>
        <w:tc>
          <w:tcPr>
            <w:tcW w:w="897" w:type="dxa"/>
            <w:tcBorders>
              <w:top w:val="single" w:sz="4" w:space="0" w:color="auto"/>
              <w:left w:val="single" w:sz="4" w:space="0" w:color="auto"/>
              <w:bottom w:val="single" w:sz="4" w:space="0" w:color="auto"/>
              <w:right w:val="single" w:sz="4" w:space="0" w:color="auto"/>
            </w:tcBorders>
            <w:hideMark/>
          </w:tcPr>
          <w:p w14:paraId="2F534510"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Eye Hospital, University Medical Centre Ljubljana, Slovenia</w:t>
            </w:r>
          </w:p>
        </w:tc>
        <w:tc>
          <w:tcPr>
            <w:tcW w:w="1440" w:type="dxa"/>
            <w:tcBorders>
              <w:top w:val="single" w:sz="4" w:space="0" w:color="auto"/>
              <w:left w:val="single" w:sz="4" w:space="0" w:color="auto"/>
              <w:bottom w:val="single" w:sz="4" w:space="0" w:color="auto"/>
              <w:right w:val="single" w:sz="4" w:space="0" w:color="auto"/>
            </w:tcBorders>
            <w:hideMark/>
          </w:tcPr>
          <w:p w14:paraId="288D4304"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Patients with subtotal or total RRD with a GRT, retinal dialysis, multiple retinal breaks, posterior breaks, RRD with vitreous hemorrhage, RRD after penetrating eye injury and RDs with preoperative PVR grade C1 or higher, who underwent vitrectomy were included in the study</w:t>
            </w:r>
          </w:p>
        </w:tc>
        <w:tc>
          <w:tcPr>
            <w:tcW w:w="1440" w:type="dxa"/>
            <w:tcBorders>
              <w:top w:val="single" w:sz="4" w:space="0" w:color="auto"/>
              <w:left w:val="single" w:sz="4" w:space="0" w:color="auto"/>
              <w:bottom w:val="single" w:sz="4" w:space="0" w:color="auto"/>
              <w:right w:val="single" w:sz="4" w:space="0" w:color="auto"/>
            </w:tcBorders>
            <w:hideMark/>
          </w:tcPr>
          <w:p w14:paraId="4E50BFE0"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Patients younger than 16 years old, aphakic, having PDR or retinal dystrophies and three patients with incomplete follow-up period</w:t>
            </w:r>
          </w:p>
        </w:tc>
        <w:tc>
          <w:tcPr>
            <w:tcW w:w="1468" w:type="dxa"/>
            <w:tcBorders>
              <w:top w:val="single" w:sz="4" w:space="0" w:color="auto"/>
              <w:left w:val="single" w:sz="4" w:space="0" w:color="auto"/>
              <w:bottom w:val="single" w:sz="4" w:space="0" w:color="auto"/>
              <w:right w:val="single" w:sz="4" w:space="0" w:color="auto"/>
            </w:tcBorders>
          </w:tcPr>
          <w:p w14:paraId="0ADDE2E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In all cases, 23- or 25-g PPV was performed. PPV alone was performed in 117 cases. 89 (76.1%) eyes using (non-expansile C</w:t>
            </w:r>
            <w:r>
              <w:rPr>
                <w:rFonts w:ascii="Times New Roman" w:eastAsia="Times New Roman" w:hAnsi="Times New Roman" w:cs="Times New Roman"/>
                <w:sz w:val="16"/>
                <w:szCs w:val="16"/>
                <w:vertAlign w:val="subscript"/>
                <w:lang w:val="en-US"/>
              </w:rPr>
              <w:t>3</w:t>
            </w:r>
            <w:r>
              <w:rPr>
                <w:rFonts w:ascii="Times New Roman" w:eastAsia="Times New Roman" w:hAnsi="Times New Roman" w:cs="Times New Roman"/>
                <w:sz w:val="16"/>
                <w:szCs w:val="16"/>
                <w:lang w:val="en-US"/>
              </w:rPr>
              <w:t>F</w:t>
            </w:r>
            <w:r>
              <w:rPr>
                <w:rFonts w:ascii="Times New Roman" w:eastAsia="Times New Roman" w:hAnsi="Times New Roman" w:cs="Times New Roman"/>
                <w:sz w:val="16"/>
                <w:szCs w:val="16"/>
                <w:vertAlign w:val="subscript"/>
                <w:lang w:val="en-US"/>
              </w:rPr>
              <w:t>8</w:t>
            </w:r>
            <w:r>
              <w:rPr>
                <w:rFonts w:ascii="Times New Roman" w:eastAsia="Times New Roman" w:hAnsi="Times New Roman" w:cs="Times New Roman"/>
                <w:sz w:val="16"/>
                <w:szCs w:val="16"/>
                <w:lang w:val="en-US"/>
              </w:rPr>
              <w:t xml:space="preserve"> tamponade as gas tamponade and 28 (23.9%) eyes using SO tamponade. PPV with phacoemulsification and IOL implantation was only performed in three cases with dense cataract.</w:t>
            </w:r>
          </w:p>
          <w:p w14:paraId="7D5641F4"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417" w:type="dxa"/>
            <w:tcBorders>
              <w:top w:val="single" w:sz="4" w:space="0" w:color="auto"/>
              <w:left w:val="single" w:sz="4" w:space="0" w:color="auto"/>
              <w:bottom w:val="single" w:sz="4" w:space="0" w:color="auto"/>
              <w:right w:val="single" w:sz="4" w:space="0" w:color="auto"/>
            </w:tcBorders>
          </w:tcPr>
          <w:p w14:paraId="712D3AE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To compare the surgical outcomes in different groups. Group one (n = 46): PPV in phakic eyes + gas</w:t>
            </w:r>
          </w:p>
          <w:p w14:paraId="6F38B2B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Tamponade</w:t>
            </w:r>
          </w:p>
          <w:p w14:paraId="6D2CDC63"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p w14:paraId="6D0FADE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Group two (n = 43): PPV in pseudophakic eyes + gas</w:t>
            </w:r>
          </w:p>
          <w:p w14:paraId="0D90A04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Tamponade</w:t>
            </w:r>
          </w:p>
          <w:p w14:paraId="0061F11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p w14:paraId="486B517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Group three (n = 13): PPV in phakic eyes + SO</w:t>
            </w:r>
          </w:p>
          <w:p w14:paraId="5820B54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Tamponade</w:t>
            </w:r>
          </w:p>
          <w:p w14:paraId="79D6F00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p w14:paraId="45C3463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Group four (n = 15): PPV in pseudophakic eyes + SO</w:t>
            </w:r>
          </w:p>
          <w:p w14:paraId="6F686CD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tamponade. </w:t>
            </w:r>
          </w:p>
          <w:p w14:paraId="14243FF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p w14:paraId="4DB586C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The second classification was done according to the lens status and the presence or absence of preoperative PVR grade C1 or more:</w:t>
            </w:r>
          </w:p>
          <w:p w14:paraId="4800105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p w14:paraId="457F3B6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Group five (n = 43): PPV in phakic eye without preoperative PVR C1</w:t>
            </w:r>
          </w:p>
          <w:p w14:paraId="3D16FD4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p w14:paraId="35FEF68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Group six (n = 48): PPV in pseudophakic eye without preoperative PVR C1</w:t>
            </w:r>
          </w:p>
          <w:p w14:paraId="1144E80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p w14:paraId="1B84EFA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Group seven (n = 16): PPV in phakic eye with preoperative PVR ≥ C1</w:t>
            </w:r>
          </w:p>
          <w:p w14:paraId="55EA1D6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p w14:paraId="1177B6F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Group eight (n = 10): PPV in pseudophakic eye with preoperative PVR ≥ C1</w:t>
            </w:r>
          </w:p>
          <w:p w14:paraId="38B1F4F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p w14:paraId="1E0EC70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Additionally, the eyes were classified </w:t>
            </w:r>
            <w:r>
              <w:rPr>
                <w:rFonts w:ascii="Times New Roman" w:eastAsia="Times New Roman" w:hAnsi="Times New Roman" w:cs="Times New Roman"/>
                <w:sz w:val="16"/>
                <w:szCs w:val="16"/>
                <w:lang w:val="en-US"/>
              </w:rPr>
              <w:lastRenderedPageBreak/>
              <w:t>according to their AL (n = 93):</w:t>
            </w:r>
          </w:p>
          <w:p w14:paraId="37F511B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p w14:paraId="4FB61EC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Group nine (n = 40): PPV in eyes with </w:t>
            </w:r>
            <w:proofErr w:type="gramStart"/>
            <w:r>
              <w:rPr>
                <w:rFonts w:ascii="Times New Roman" w:eastAsia="Times New Roman" w:hAnsi="Times New Roman" w:cs="Times New Roman"/>
                <w:sz w:val="16"/>
                <w:szCs w:val="16"/>
                <w:lang w:val="en-US"/>
              </w:rPr>
              <w:t>AL  ≤</w:t>
            </w:r>
            <w:proofErr w:type="gramEnd"/>
            <w:r>
              <w:rPr>
                <w:rFonts w:ascii="Times New Roman" w:eastAsia="Times New Roman" w:hAnsi="Times New Roman" w:cs="Times New Roman"/>
                <w:sz w:val="16"/>
                <w:szCs w:val="16"/>
                <w:lang w:val="en-US"/>
              </w:rPr>
              <w:t> 24 mm</w:t>
            </w:r>
          </w:p>
          <w:p w14:paraId="18C6BA9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p w14:paraId="1AF0081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Group 10 (n = 53): PPV in eyes with AL &gt; 24 mm</w:t>
            </w:r>
          </w:p>
        </w:tc>
        <w:tc>
          <w:tcPr>
            <w:tcW w:w="992" w:type="dxa"/>
            <w:tcBorders>
              <w:top w:val="single" w:sz="4" w:space="0" w:color="auto"/>
              <w:left w:val="single" w:sz="4" w:space="0" w:color="auto"/>
              <w:bottom w:val="single" w:sz="4" w:space="0" w:color="auto"/>
              <w:right w:val="single" w:sz="4" w:space="0" w:color="auto"/>
            </w:tcBorders>
            <w:hideMark/>
          </w:tcPr>
          <w:p w14:paraId="05735C23"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 xml:space="preserve">Yes, but the number of cases were not stated. </w:t>
            </w:r>
          </w:p>
        </w:tc>
        <w:tc>
          <w:tcPr>
            <w:tcW w:w="1276" w:type="dxa"/>
            <w:tcBorders>
              <w:top w:val="single" w:sz="4" w:space="0" w:color="auto"/>
              <w:left w:val="single" w:sz="4" w:space="0" w:color="auto"/>
              <w:bottom w:val="single" w:sz="4" w:space="0" w:color="auto"/>
              <w:right w:val="single" w:sz="4" w:space="0" w:color="auto"/>
            </w:tcBorders>
            <w:hideMark/>
          </w:tcPr>
          <w:p w14:paraId="35A24EE8"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At least 12 months post-operatively.</w:t>
            </w:r>
          </w:p>
        </w:tc>
        <w:tc>
          <w:tcPr>
            <w:tcW w:w="992" w:type="dxa"/>
            <w:tcBorders>
              <w:top w:val="single" w:sz="4" w:space="0" w:color="auto"/>
              <w:left w:val="single" w:sz="4" w:space="0" w:color="auto"/>
              <w:bottom w:val="single" w:sz="4" w:space="0" w:color="auto"/>
              <w:right w:val="single" w:sz="4" w:space="0" w:color="auto"/>
            </w:tcBorders>
            <w:hideMark/>
          </w:tcPr>
          <w:p w14:paraId="2EB9E9DB"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117</w:t>
            </w:r>
          </w:p>
        </w:tc>
        <w:tc>
          <w:tcPr>
            <w:tcW w:w="993" w:type="dxa"/>
            <w:tcBorders>
              <w:top w:val="single" w:sz="4" w:space="0" w:color="auto"/>
              <w:left w:val="single" w:sz="4" w:space="0" w:color="auto"/>
              <w:bottom w:val="single" w:sz="4" w:space="0" w:color="auto"/>
              <w:right w:val="single" w:sz="4" w:space="0" w:color="auto"/>
            </w:tcBorders>
            <w:hideMark/>
          </w:tcPr>
          <w:p w14:paraId="2D4D4CA7"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117</w:t>
            </w:r>
          </w:p>
        </w:tc>
      </w:tr>
      <w:tr w:rsidR="003A4529" w14:paraId="7159A67E"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6C3D4C6D"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lastRenderedPageBreak/>
              <w:t xml:space="preserve">Barth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2023 </w:t>
            </w:r>
            <w:sdt>
              <w:sdtPr>
                <w:rPr>
                  <w:rFonts w:ascii="Times New Roman" w:hAnsi="Times New Roman" w:cs="Times New Roman"/>
                  <w:sz w:val="16"/>
                  <w:szCs w:val="16"/>
                  <w:lang w:val="en-US"/>
                </w:rPr>
                <w:tag w:val="MENDELEY_CITATION_v3_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"/>
                <w:id w:val="-1460957476"/>
                <w:placeholder>
                  <w:docPart w:val="102606E8DF364B53BB4A63877D9736E1"/>
                </w:placeholder>
              </w:sdtPr>
              <w:sdtContent>
                <w:r>
                  <w:rPr>
                    <w:rFonts w:ascii="Times New Roman" w:hAnsi="Times New Roman" w:cs="Times New Roman"/>
                    <w:sz w:val="16"/>
                    <w:szCs w:val="16"/>
                    <w:lang w:val="en-US"/>
                  </w:rPr>
                  <w:t>[42]</w:t>
                </w:r>
              </w:sdtContent>
            </w:sdt>
          </w:p>
        </w:tc>
        <w:tc>
          <w:tcPr>
            <w:tcW w:w="992" w:type="dxa"/>
            <w:tcBorders>
              <w:top w:val="single" w:sz="4" w:space="0" w:color="auto"/>
              <w:left w:val="single" w:sz="4" w:space="0" w:color="auto"/>
              <w:bottom w:val="single" w:sz="4" w:space="0" w:color="auto"/>
              <w:right w:val="single" w:sz="4" w:space="0" w:color="auto"/>
            </w:tcBorders>
            <w:hideMark/>
          </w:tcPr>
          <w:p w14:paraId="06A9D375"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Germany </w:t>
            </w:r>
          </w:p>
        </w:tc>
        <w:tc>
          <w:tcPr>
            <w:tcW w:w="1134" w:type="dxa"/>
            <w:tcBorders>
              <w:top w:val="single" w:sz="4" w:space="0" w:color="auto"/>
              <w:left w:val="single" w:sz="4" w:space="0" w:color="auto"/>
              <w:bottom w:val="single" w:sz="4" w:space="0" w:color="auto"/>
              <w:right w:val="single" w:sz="4" w:space="0" w:color="auto"/>
            </w:tcBorders>
            <w:hideMark/>
          </w:tcPr>
          <w:p w14:paraId="3C21EBAC"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A retrospective cohort study </w:t>
            </w:r>
          </w:p>
        </w:tc>
        <w:tc>
          <w:tcPr>
            <w:tcW w:w="897" w:type="dxa"/>
            <w:tcBorders>
              <w:top w:val="single" w:sz="4" w:space="0" w:color="auto"/>
              <w:left w:val="single" w:sz="4" w:space="0" w:color="auto"/>
              <w:bottom w:val="single" w:sz="4" w:space="0" w:color="auto"/>
              <w:right w:val="single" w:sz="4" w:space="0" w:color="auto"/>
            </w:tcBorders>
            <w:hideMark/>
          </w:tcPr>
          <w:p w14:paraId="7C5AF9DA"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Data was obtained from patients' surgical logbooks</w:t>
            </w:r>
          </w:p>
        </w:tc>
        <w:tc>
          <w:tcPr>
            <w:tcW w:w="1440" w:type="dxa"/>
            <w:tcBorders>
              <w:top w:val="single" w:sz="4" w:space="0" w:color="auto"/>
              <w:left w:val="single" w:sz="4" w:space="0" w:color="auto"/>
              <w:bottom w:val="single" w:sz="4" w:space="0" w:color="auto"/>
              <w:right w:val="single" w:sz="4" w:space="0" w:color="auto"/>
            </w:tcBorders>
            <w:hideMark/>
          </w:tcPr>
          <w:p w14:paraId="49300E44"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Patients with good preoperative Snellen's VA of ≥ 0.3, RRD with macula on status and SO as primary tamponade and at least three months of follow-up after SO removal</w:t>
            </w:r>
          </w:p>
        </w:tc>
        <w:tc>
          <w:tcPr>
            <w:tcW w:w="1440" w:type="dxa"/>
            <w:tcBorders>
              <w:top w:val="single" w:sz="4" w:space="0" w:color="auto"/>
              <w:left w:val="single" w:sz="4" w:space="0" w:color="auto"/>
              <w:bottom w:val="single" w:sz="4" w:space="0" w:color="auto"/>
              <w:right w:val="single" w:sz="4" w:space="0" w:color="auto"/>
            </w:tcBorders>
            <w:hideMark/>
          </w:tcPr>
          <w:p w14:paraId="53A01A19"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Patients with recurrent RRD after primary PPV, PVR grade C or higher, history of trauma or previous intraocular surgery, glaucomatous optic disc changes or other pre-existing ocular diseases affecting visual outcome as well as postoperative complications such as endophthalmitis, ERM or outer retinal layer defects, distinct macular edema, or subretinal PFCL remnants</w:t>
            </w:r>
          </w:p>
        </w:tc>
        <w:tc>
          <w:tcPr>
            <w:tcW w:w="1468" w:type="dxa"/>
            <w:tcBorders>
              <w:top w:val="single" w:sz="4" w:space="0" w:color="auto"/>
              <w:left w:val="single" w:sz="4" w:space="0" w:color="auto"/>
              <w:bottom w:val="single" w:sz="4" w:space="0" w:color="auto"/>
              <w:right w:val="single" w:sz="4" w:space="0" w:color="auto"/>
            </w:tcBorders>
            <w:hideMark/>
          </w:tcPr>
          <w:p w14:paraId="4016114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All 22 eyes had been primarily treated with a standard 20-g (until 2010) or a 23-g PPV (from 2011 onwards) with SO tamponade. After vitrectomy and drainage of subretinal fluid with PFCL, retinal breaks and tears were treated with cryo- or laser-photocoagulation, or both. Afterwards, PFCL was removed completely and exchanged first for air and afterwards air for SO.</w:t>
            </w:r>
          </w:p>
        </w:tc>
        <w:tc>
          <w:tcPr>
            <w:tcW w:w="1417" w:type="dxa"/>
            <w:tcBorders>
              <w:top w:val="single" w:sz="4" w:space="0" w:color="auto"/>
              <w:left w:val="single" w:sz="4" w:space="0" w:color="auto"/>
              <w:bottom w:val="single" w:sz="4" w:space="0" w:color="auto"/>
              <w:right w:val="single" w:sz="4" w:space="0" w:color="auto"/>
            </w:tcBorders>
            <w:hideMark/>
          </w:tcPr>
          <w:p w14:paraId="29A2266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To compare the surgical outcomes of patients with unexplained visual loss during or after SO tamponade for macula on RD repair were compared to patients with good functional outcome.</w:t>
            </w:r>
          </w:p>
        </w:tc>
        <w:tc>
          <w:tcPr>
            <w:tcW w:w="992" w:type="dxa"/>
            <w:tcBorders>
              <w:top w:val="single" w:sz="4" w:space="0" w:color="auto"/>
              <w:left w:val="single" w:sz="4" w:space="0" w:color="auto"/>
              <w:bottom w:val="single" w:sz="4" w:space="0" w:color="auto"/>
              <w:right w:val="single" w:sz="4" w:space="0" w:color="auto"/>
            </w:tcBorders>
            <w:hideMark/>
          </w:tcPr>
          <w:p w14:paraId="4CA884E0"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20 eyes; 91%</w:t>
            </w:r>
          </w:p>
        </w:tc>
        <w:tc>
          <w:tcPr>
            <w:tcW w:w="1276" w:type="dxa"/>
            <w:tcBorders>
              <w:top w:val="single" w:sz="4" w:space="0" w:color="auto"/>
              <w:left w:val="single" w:sz="4" w:space="0" w:color="auto"/>
              <w:bottom w:val="single" w:sz="4" w:space="0" w:color="auto"/>
              <w:right w:val="single" w:sz="4" w:space="0" w:color="auto"/>
            </w:tcBorders>
            <w:hideMark/>
          </w:tcPr>
          <w:p w14:paraId="77FE7371"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Mean = 20 months (SD 30.6) after SO removal</w:t>
            </w:r>
          </w:p>
        </w:tc>
        <w:tc>
          <w:tcPr>
            <w:tcW w:w="992" w:type="dxa"/>
            <w:tcBorders>
              <w:top w:val="single" w:sz="4" w:space="0" w:color="auto"/>
              <w:left w:val="single" w:sz="4" w:space="0" w:color="auto"/>
              <w:bottom w:val="single" w:sz="4" w:space="0" w:color="auto"/>
              <w:right w:val="single" w:sz="4" w:space="0" w:color="auto"/>
            </w:tcBorders>
            <w:hideMark/>
          </w:tcPr>
          <w:p w14:paraId="779FAFBB"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993" w:type="dxa"/>
            <w:tcBorders>
              <w:top w:val="single" w:sz="4" w:space="0" w:color="auto"/>
              <w:left w:val="single" w:sz="4" w:space="0" w:color="auto"/>
              <w:bottom w:val="single" w:sz="4" w:space="0" w:color="auto"/>
              <w:right w:val="single" w:sz="4" w:space="0" w:color="auto"/>
            </w:tcBorders>
            <w:hideMark/>
          </w:tcPr>
          <w:p w14:paraId="44259889"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22</w:t>
            </w:r>
          </w:p>
        </w:tc>
      </w:tr>
      <w:tr w:rsidR="003A4529" w14:paraId="0AB54A08"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1755311A"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 Murtagh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2020 </w:t>
            </w:r>
            <w:sdt>
              <w:sdtPr>
                <w:rPr>
                  <w:rFonts w:ascii="Times New Roman" w:hAnsi="Times New Roman" w:cs="Times New Roman"/>
                  <w:sz w:val="16"/>
                  <w:szCs w:val="16"/>
                  <w:lang w:val="en-US"/>
                </w:rPr>
                <w:tag w:val="MENDELEY_CITATION_v3_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"/>
                <w:id w:val="1367874576"/>
                <w:placeholder>
                  <w:docPart w:val="102606E8DF364B53BB4A63877D9736E1"/>
                </w:placeholder>
              </w:sdtPr>
              <w:sdtContent>
                <w:r>
                  <w:rPr>
                    <w:rFonts w:ascii="Times New Roman" w:hAnsi="Times New Roman" w:cs="Times New Roman"/>
                    <w:sz w:val="16"/>
                    <w:szCs w:val="16"/>
                    <w:lang w:val="en-US"/>
                  </w:rPr>
                  <w:t>[43]</w:t>
                </w:r>
              </w:sdtContent>
            </w:sdt>
          </w:p>
        </w:tc>
        <w:tc>
          <w:tcPr>
            <w:tcW w:w="992" w:type="dxa"/>
            <w:tcBorders>
              <w:top w:val="single" w:sz="4" w:space="0" w:color="auto"/>
              <w:left w:val="single" w:sz="4" w:space="0" w:color="auto"/>
              <w:bottom w:val="single" w:sz="4" w:space="0" w:color="auto"/>
              <w:right w:val="single" w:sz="4" w:space="0" w:color="auto"/>
            </w:tcBorders>
            <w:hideMark/>
          </w:tcPr>
          <w:p w14:paraId="3A4979B4"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Ireland </w:t>
            </w:r>
          </w:p>
        </w:tc>
        <w:tc>
          <w:tcPr>
            <w:tcW w:w="1134" w:type="dxa"/>
            <w:tcBorders>
              <w:top w:val="single" w:sz="4" w:space="0" w:color="auto"/>
              <w:left w:val="single" w:sz="4" w:space="0" w:color="auto"/>
              <w:bottom w:val="single" w:sz="4" w:space="0" w:color="auto"/>
              <w:right w:val="single" w:sz="4" w:space="0" w:color="auto"/>
            </w:tcBorders>
            <w:hideMark/>
          </w:tcPr>
          <w:p w14:paraId="2FCEBE44"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A retrospective cohort study </w:t>
            </w:r>
          </w:p>
        </w:tc>
        <w:tc>
          <w:tcPr>
            <w:tcW w:w="897" w:type="dxa"/>
            <w:tcBorders>
              <w:top w:val="single" w:sz="4" w:space="0" w:color="auto"/>
              <w:left w:val="single" w:sz="4" w:space="0" w:color="auto"/>
              <w:bottom w:val="single" w:sz="4" w:space="0" w:color="auto"/>
              <w:right w:val="single" w:sz="4" w:space="0" w:color="auto"/>
            </w:tcBorders>
            <w:hideMark/>
          </w:tcPr>
          <w:p w14:paraId="2966024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The Mater</w:t>
            </w:r>
          </w:p>
          <w:p w14:paraId="49734EB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Misericordiae University Hospital and the Mater Private</w:t>
            </w:r>
          </w:p>
          <w:p w14:paraId="67A091C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Hospital</w:t>
            </w:r>
          </w:p>
        </w:tc>
        <w:tc>
          <w:tcPr>
            <w:tcW w:w="1440" w:type="dxa"/>
            <w:tcBorders>
              <w:top w:val="single" w:sz="4" w:space="0" w:color="auto"/>
              <w:left w:val="single" w:sz="4" w:space="0" w:color="auto"/>
              <w:bottom w:val="single" w:sz="4" w:space="0" w:color="auto"/>
              <w:right w:val="single" w:sz="4" w:space="0" w:color="auto"/>
            </w:tcBorders>
            <w:hideMark/>
          </w:tcPr>
          <w:p w14:paraId="16059FC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A diagnosis of primary</w:t>
            </w:r>
          </w:p>
          <w:p w14:paraId="70CFE51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RRD in patients aged 16 </w:t>
            </w:r>
            <w:proofErr w:type="gramStart"/>
            <w:r>
              <w:rPr>
                <w:rFonts w:ascii="Times New Roman" w:eastAsia="Times New Roman" w:hAnsi="Times New Roman" w:cs="Times New Roman"/>
                <w:sz w:val="16"/>
                <w:szCs w:val="16"/>
                <w:lang w:val="en-US"/>
              </w:rPr>
              <w:t>years</w:t>
            </w:r>
            <w:proofErr w:type="gramEnd"/>
          </w:p>
          <w:p w14:paraId="7293B17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and over. </w:t>
            </w:r>
          </w:p>
        </w:tc>
        <w:tc>
          <w:tcPr>
            <w:tcW w:w="1440" w:type="dxa"/>
            <w:tcBorders>
              <w:top w:val="single" w:sz="4" w:space="0" w:color="auto"/>
              <w:left w:val="single" w:sz="4" w:space="0" w:color="auto"/>
              <w:bottom w:val="single" w:sz="4" w:space="0" w:color="auto"/>
              <w:right w:val="single" w:sz="4" w:space="0" w:color="auto"/>
            </w:tcBorders>
            <w:hideMark/>
          </w:tcPr>
          <w:p w14:paraId="270BF87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Previous RD</w:t>
            </w:r>
          </w:p>
          <w:p w14:paraId="1148167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surgery, tractional or exudative RD and patients less than 16 years old. </w:t>
            </w:r>
          </w:p>
        </w:tc>
        <w:tc>
          <w:tcPr>
            <w:tcW w:w="1468" w:type="dxa"/>
            <w:tcBorders>
              <w:top w:val="single" w:sz="4" w:space="0" w:color="auto"/>
              <w:left w:val="single" w:sz="4" w:space="0" w:color="auto"/>
              <w:bottom w:val="single" w:sz="4" w:space="0" w:color="auto"/>
              <w:right w:val="single" w:sz="4" w:space="0" w:color="auto"/>
            </w:tcBorders>
            <w:hideMark/>
          </w:tcPr>
          <w:p w14:paraId="1593C62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Over the four years recorded, 331 cases out of the 613 (54.00%) cases of PPV alone were performed. PPV-SB consisted of 153 (24.96%) </w:t>
            </w:r>
            <w:r>
              <w:rPr>
                <w:rFonts w:ascii="Times New Roman" w:eastAsia="Times New Roman" w:hAnsi="Times New Roman" w:cs="Times New Roman"/>
                <w:sz w:val="16"/>
                <w:szCs w:val="16"/>
                <w:lang w:val="en-US"/>
              </w:rPr>
              <w:lastRenderedPageBreak/>
              <w:t>cases and SB with the remaining 129 (21.04%) surgeries.</w:t>
            </w:r>
          </w:p>
          <w:p w14:paraId="6124981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The type of tamponade used in the vitrectomy surgery included 207 (42.77%) C</w:t>
            </w:r>
            <w:r>
              <w:rPr>
                <w:rFonts w:ascii="Times New Roman" w:eastAsia="Times New Roman" w:hAnsi="Times New Roman" w:cs="Times New Roman"/>
                <w:sz w:val="16"/>
                <w:szCs w:val="16"/>
                <w:vertAlign w:val="subscript"/>
                <w:lang w:val="en-US"/>
              </w:rPr>
              <w:t>2</w:t>
            </w:r>
            <w:r>
              <w:rPr>
                <w:rFonts w:ascii="Times New Roman" w:eastAsia="Times New Roman" w:hAnsi="Times New Roman" w:cs="Times New Roman"/>
                <w:sz w:val="16"/>
                <w:szCs w:val="16"/>
                <w:lang w:val="en-US"/>
              </w:rPr>
              <w:t>F</w:t>
            </w:r>
            <w:r>
              <w:rPr>
                <w:rFonts w:ascii="Times New Roman" w:eastAsia="Times New Roman" w:hAnsi="Times New Roman" w:cs="Times New Roman"/>
                <w:sz w:val="16"/>
                <w:szCs w:val="16"/>
                <w:vertAlign w:val="subscript"/>
                <w:lang w:val="en-US"/>
              </w:rPr>
              <w:t>6</w:t>
            </w:r>
            <w:r>
              <w:rPr>
                <w:rFonts w:ascii="Times New Roman" w:eastAsia="Times New Roman" w:hAnsi="Times New Roman" w:cs="Times New Roman"/>
                <w:sz w:val="16"/>
                <w:szCs w:val="16"/>
                <w:lang w:val="en-US"/>
              </w:rPr>
              <w:t>, 97 (20.04%)</w:t>
            </w:r>
          </w:p>
          <w:p w14:paraId="53EC45E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C</w:t>
            </w:r>
            <w:r>
              <w:rPr>
                <w:rFonts w:ascii="Times New Roman" w:eastAsia="Times New Roman" w:hAnsi="Times New Roman" w:cs="Times New Roman"/>
                <w:sz w:val="16"/>
                <w:szCs w:val="16"/>
                <w:vertAlign w:val="subscript"/>
                <w:lang w:val="en-US"/>
              </w:rPr>
              <w:t>3</w:t>
            </w:r>
            <w:r>
              <w:rPr>
                <w:rFonts w:ascii="Times New Roman" w:eastAsia="Times New Roman" w:hAnsi="Times New Roman" w:cs="Times New Roman"/>
                <w:sz w:val="16"/>
                <w:szCs w:val="16"/>
                <w:lang w:val="en-US"/>
              </w:rPr>
              <w:t>F</w:t>
            </w:r>
            <w:r>
              <w:rPr>
                <w:rFonts w:ascii="Times New Roman" w:eastAsia="Times New Roman" w:hAnsi="Times New Roman" w:cs="Times New Roman"/>
                <w:sz w:val="16"/>
                <w:szCs w:val="16"/>
                <w:vertAlign w:val="subscript"/>
                <w:lang w:val="en-US"/>
              </w:rPr>
              <w:t>8</w:t>
            </w:r>
            <w:r>
              <w:rPr>
                <w:rFonts w:ascii="Times New Roman" w:eastAsia="Times New Roman" w:hAnsi="Times New Roman" w:cs="Times New Roman"/>
                <w:sz w:val="16"/>
                <w:szCs w:val="16"/>
                <w:lang w:val="en-US"/>
              </w:rPr>
              <w:t>, 58 (11.98%) SF</w:t>
            </w:r>
            <w:r>
              <w:rPr>
                <w:rFonts w:ascii="Times New Roman" w:eastAsia="Times New Roman" w:hAnsi="Times New Roman" w:cs="Times New Roman"/>
                <w:sz w:val="16"/>
                <w:szCs w:val="16"/>
                <w:vertAlign w:val="subscript"/>
                <w:lang w:val="en-US"/>
              </w:rPr>
              <w:t>6</w:t>
            </w:r>
            <w:r>
              <w:rPr>
                <w:rFonts w:ascii="Times New Roman" w:eastAsia="Times New Roman" w:hAnsi="Times New Roman" w:cs="Times New Roman"/>
                <w:sz w:val="16"/>
                <w:szCs w:val="16"/>
                <w:lang w:val="en-US"/>
              </w:rPr>
              <w:t xml:space="preserve">, 99 (20.45%) used SO. 51 used 1000 </w:t>
            </w:r>
            <w:proofErr w:type="spellStart"/>
            <w:r>
              <w:rPr>
                <w:rFonts w:ascii="Times New Roman" w:eastAsia="Times New Roman" w:hAnsi="Times New Roman" w:cs="Times New Roman"/>
                <w:sz w:val="16"/>
                <w:szCs w:val="16"/>
                <w:lang w:val="en-US"/>
              </w:rPr>
              <w:t>cSt</w:t>
            </w:r>
            <w:proofErr w:type="spellEnd"/>
            <w:r>
              <w:rPr>
                <w:rFonts w:ascii="Times New Roman" w:eastAsia="Times New Roman" w:hAnsi="Times New Roman" w:cs="Times New Roman"/>
                <w:sz w:val="16"/>
                <w:szCs w:val="16"/>
                <w:lang w:val="en-US"/>
              </w:rPr>
              <w:t>,</w:t>
            </w:r>
          </w:p>
          <w:p w14:paraId="2A41D58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11 had 5000 </w:t>
            </w:r>
            <w:proofErr w:type="spellStart"/>
            <w:r>
              <w:rPr>
                <w:rFonts w:ascii="Times New Roman" w:eastAsia="Times New Roman" w:hAnsi="Times New Roman" w:cs="Times New Roman"/>
                <w:sz w:val="16"/>
                <w:szCs w:val="16"/>
                <w:lang w:val="en-US"/>
              </w:rPr>
              <w:t>cSt</w:t>
            </w:r>
            <w:proofErr w:type="spellEnd"/>
            <w:r>
              <w:rPr>
                <w:rFonts w:ascii="Times New Roman" w:eastAsia="Times New Roman" w:hAnsi="Times New Roman" w:cs="Times New Roman"/>
                <w:sz w:val="16"/>
                <w:szCs w:val="16"/>
                <w:lang w:val="en-US"/>
              </w:rPr>
              <w:t xml:space="preserve"> inserted, nine had heavy SO, 28 had an undefined type of SO injected and air was used </w:t>
            </w:r>
            <w:proofErr w:type="gramStart"/>
            <w:r>
              <w:rPr>
                <w:rFonts w:ascii="Times New Roman" w:eastAsia="Times New Roman" w:hAnsi="Times New Roman" w:cs="Times New Roman"/>
                <w:sz w:val="16"/>
                <w:szCs w:val="16"/>
                <w:lang w:val="en-US"/>
              </w:rPr>
              <w:t>in</w:t>
            </w:r>
            <w:proofErr w:type="gramEnd"/>
          </w:p>
          <w:p w14:paraId="3AA9817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23 (4.75%) of the surgeries. In 245 (50.62%) of the vitrectomies, 23-g</w:t>
            </w:r>
          </w:p>
          <w:p w14:paraId="13D9BCB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sclerostomies were used, while the remaining 239 (49.38%) cases utilized 20-g sclerostomies. </w:t>
            </w:r>
          </w:p>
        </w:tc>
        <w:tc>
          <w:tcPr>
            <w:tcW w:w="1417" w:type="dxa"/>
            <w:tcBorders>
              <w:top w:val="single" w:sz="4" w:space="0" w:color="auto"/>
              <w:left w:val="single" w:sz="4" w:space="0" w:color="auto"/>
              <w:bottom w:val="single" w:sz="4" w:space="0" w:color="auto"/>
              <w:right w:val="single" w:sz="4" w:space="0" w:color="auto"/>
            </w:tcBorders>
            <w:hideMark/>
          </w:tcPr>
          <w:p w14:paraId="232A1260"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 xml:space="preserve">Not stated </w:t>
            </w:r>
          </w:p>
        </w:tc>
        <w:tc>
          <w:tcPr>
            <w:tcW w:w="992" w:type="dxa"/>
            <w:tcBorders>
              <w:top w:val="single" w:sz="4" w:space="0" w:color="auto"/>
              <w:left w:val="single" w:sz="4" w:space="0" w:color="auto"/>
              <w:bottom w:val="single" w:sz="4" w:space="0" w:color="auto"/>
              <w:right w:val="single" w:sz="4" w:space="0" w:color="auto"/>
            </w:tcBorders>
            <w:hideMark/>
          </w:tcPr>
          <w:p w14:paraId="200FA872"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22 eyes </w:t>
            </w:r>
          </w:p>
        </w:tc>
        <w:tc>
          <w:tcPr>
            <w:tcW w:w="1276" w:type="dxa"/>
            <w:tcBorders>
              <w:top w:val="single" w:sz="4" w:space="0" w:color="auto"/>
              <w:left w:val="single" w:sz="4" w:space="0" w:color="auto"/>
              <w:bottom w:val="single" w:sz="4" w:space="0" w:color="auto"/>
              <w:right w:val="single" w:sz="4" w:space="0" w:color="auto"/>
            </w:tcBorders>
            <w:hideMark/>
          </w:tcPr>
          <w:p w14:paraId="13BDE067"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Six months </w:t>
            </w:r>
          </w:p>
        </w:tc>
        <w:tc>
          <w:tcPr>
            <w:tcW w:w="992" w:type="dxa"/>
            <w:tcBorders>
              <w:top w:val="single" w:sz="4" w:space="0" w:color="auto"/>
              <w:left w:val="single" w:sz="4" w:space="0" w:color="auto"/>
              <w:bottom w:val="single" w:sz="4" w:space="0" w:color="auto"/>
              <w:right w:val="single" w:sz="4" w:space="0" w:color="auto"/>
            </w:tcBorders>
            <w:hideMark/>
          </w:tcPr>
          <w:p w14:paraId="765691BA"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602</w:t>
            </w:r>
          </w:p>
        </w:tc>
        <w:tc>
          <w:tcPr>
            <w:tcW w:w="993" w:type="dxa"/>
            <w:tcBorders>
              <w:top w:val="single" w:sz="4" w:space="0" w:color="auto"/>
              <w:left w:val="single" w:sz="4" w:space="0" w:color="auto"/>
              <w:bottom w:val="single" w:sz="4" w:space="0" w:color="auto"/>
              <w:right w:val="single" w:sz="4" w:space="0" w:color="auto"/>
            </w:tcBorders>
            <w:hideMark/>
          </w:tcPr>
          <w:p w14:paraId="72218341"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613</w:t>
            </w:r>
          </w:p>
        </w:tc>
      </w:tr>
      <w:tr w:rsidR="003A4529" w14:paraId="2C4C8BE5"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67E5BA4B"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Al-Wadani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2014 </w:t>
            </w:r>
            <w:sdt>
              <w:sdtPr>
                <w:rPr>
                  <w:rFonts w:ascii="Times New Roman" w:hAnsi="Times New Roman" w:cs="Times New Roman"/>
                  <w:sz w:val="16"/>
                  <w:szCs w:val="16"/>
                  <w:lang w:val="en-US"/>
                </w:rPr>
                <w:tag w:val="MENDELEY_CITATION_v3_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"/>
                <w:id w:val="-2032489111"/>
                <w:placeholder>
                  <w:docPart w:val="102606E8DF364B53BB4A63877D9736E1"/>
                </w:placeholder>
              </w:sdtPr>
              <w:sdtContent>
                <w:r>
                  <w:rPr>
                    <w:rFonts w:ascii="Times New Roman" w:hAnsi="Times New Roman" w:cs="Times New Roman"/>
                    <w:sz w:val="16"/>
                    <w:szCs w:val="16"/>
                    <w:lang w:val="en-US"/>
                  </w:rPr>
                  <w:t>[44]</w:t>
                </w:r>
              </w:sdtContent>
            </w:sdt>
          </w:p>
        </w:tc>
        <w:tc>
          <w:tcPr>
            <w:tcW w:w="992" w:type="dxa"/>
            <w:tcBorders>
              <w:top w:val="single" w:sz="4" w:space="0" w:color="auto"/>
              <w:left w:val="single" w:sz="4" w:space="0" w:color="auto"/>
              <w:bottom w:val="single" w:sz="4" w:space="0" w:color="auto"/>
              <w:right w:val="single" w:sz="4" w:space="0" w:color="auto"/>
            </w:tcBorders>
            <w:hideMark/>
          </w:tcPr>
          <w:p w14:paraId="7328C195"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Saudi Arabia </w:t>
            </w:r>
          </w:p>
        </w:tc>
        <w:tc>
          <w:tcPr>
            <w:tcW w:w="1134" w:type="dxa"/>
            <w:tcBorders>
              <w:top w:val="single" w:sz="4" w:space="0" w:color="auto"/>
              <w:left w:val="single" w:sz="4" w:space="0" w:color="auto"/>
              <w:bottom w:val="single" w:sz="4" w:space="0" w:color="auto"/>
              <w:right w:val="single" w:sz="4" w:space="0" w:color="auto"/>
            </w:tcBorders>
            <w:hideMark/>
          </w:tcPr>
          <w:p w14:paraId="7D97785F"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A retrospective case series </w:t>
            </w:r>
          </w:p>
        </w:tc>
        <w:tc>
          <w:tcPr>
            <w:tcW w:w="897" w:type="dxa"/>
            <w:tcBorders>
              <w:top w:val="single" w:sz="4" w:space="0" w:color="auto"/>
              <w:left w:val="single" w:sz="4" w:space="0" w:color="auto"/>
              <w:bottom w:val="single" w:sz="4" w:space="0" w:color="auto"/>
              <w:right w:val="single" w:sz="4" w:space="0" w:color="auto"/>
            </w:tcBorders>
            <w:hideMark/>
          </w:tcPr>
          <w:p w14:paraId="36F1CF7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Department of Ophthalmology at San Gerardo Hospital, Monza, Italy</w:t>
            </w:r>
          </w:p>
        </w:tc>
        <w:tc>
          <w:tcPr>
            <w:tcW w:w="1440" w:type="dxa"/>
            <w:tcBorders>
              <w:top w:val="single" w:sz="4" w:space="0" w:color="auto"/>
              <w:left w:val="single" w:sz="4" w:space="0" w:color="auto"/>
              <w:bottom w:val="single" w:sz="4" w:space="0" w:color="auto"/>
              <w:right w:val="single" w:sz="4" w:space="0" w:color="auto"/>
            </w:tcBorders>
          </w:tcPr>
          <w:p w14:paraId="75B10B4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Patients who underwent SO removal between 2000 and 2010.</w:t>
            </w:r>
          </w:p>
          <w:p w14:paraId="240A971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440" w:type="dxa"/>
            <w:tcBorders>
              <w:top w:val="single" w:sz="4" w:space="0" w:color="auto"/>
              <w:left w:val="single" w:sz="4" w:space="0" w:color="auto"/>
              <w:bottom w:val="single" w:sz="4" w:space="0" w:color="auto"/>
              <w:right w:val="single" w:sz="4" w:space="0" w:color="auto"/>
            </w:tcBorders>
            <w:hideMark/>
          </w:tcPr>
          <w:p w14:paraId="4552D6D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stated </w:t>
            </w:r>
          </w:p>
        </w:tc>
        <w:tc>
          <w:tcPr>
            <w:tcW w:w="1468" w:type="dxa"/>
            <w:tcBorders>
              <w:top w:val="single" w:sz="4" w:space="0" w:color="auto"/>
              <w:left w:val="single" w:sz="4" w:space="0" w:color="auto"/>
              <w:bottom w:val="single" w:sz="4" w:space="0" w:color="auto"/>
              <w:right w:val="single" w:sz="4" w:space="0" w:color="auto"/>
            </w:tcBorders>
          </w:tcPr>
          <w:p w14:paraId="160A057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All eyes underwent </w:t>
            </w:r>
            <w:proofErr w:type="gramStart"/>
            <w:r>
              <w:rPr>
                <w:rFonts w:ascii="Times New Roman" w:eastAsia="Times New Roman" w:hAnsi="Times New Roman" w:cs="Times New Roman"/>
                <w:sz w:val="16"/>
                <w:szCs w:val="16"/>
                <w:lang w:val="en-US"/>
              </w:rPr>
              <w:t>prophylactic</w:t>
            </w:r>
            <w:proofErr w:type="gramEnd"/>
          </w:p>
          <w:p w14:paraId="1980D25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360º laser retinopexy and 360º SB at the</w:t>
            </w:r>
          </w:p>
          <w:p w14:paraId="7E12363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time of primary surgery. Fluid-SO exchange</w:t>
            </w:r>
          </w:p>
          <w:p w14:paraId="1BB690F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was performed using an automated pump. In all patients, SO removal was </w:t>
            </w:r>
            <w:proofErr w:type="gramStart"/>
            <w:r>
              <w:rPr>
                <w:rFonts w:ascii="Times New Roman" w:eastAsia="Times New Roman" w:hAnsi="Times New Roman" w:cs="Times New Roman"/>
                <w:sz w:val="16"/>
                <w:szCs w:val="16"/>
                <w:lang w:val="en-US"/>
              </w:rPr>
              <w:t>performed</w:t>
            </w:r>
            <w:proofErr w:type="gramEnd"/>
          </w:p>
          <w:p w14:paraId="45E3CAA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through a pars plana incision</w:t>
            </w:r>
          </w:p>
          <w:p w14:paraId="4EE2B66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using a 19-g needle connected to a vacuum </w:t>
            </w:r>
            <w:proofErr w:type="gramStart"/>
            <w:r>
              <w:rPr>
                <w:rFonts w:ascii="Times New Roman" w:eastAsia="Times New Roman" w:hAnsi="Times New Roman" w:cs="Times New Roman"/>
                <w:sz w:val="16"/>
                <w:szCs w:val="16"/>
                <w:lang w:val="en-US"/>
              </w:rPr>
              <w:t>pump</w:t>
            </w:r>
            <w:proofErr w:type="gramEnd"/>
          </w:p>
          <w:p w14:paraId="6A7D1ED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417" w:type="dxa"/>
            <w:tcBorders>
              <w:top w:val="single" w:sz="4" w:space="0" w:color="auto"/>
              <w:left w:val="single" w:sz="4" w:space="0" w:color="auto"/>
              <w:bottom w:val="single" w:sz="4" w:space="0" w:color="auto"/>
              <w:right w:val="single" w:sz="4" w:space="0" w:color="auto"/>
            </w:tcBorders>
            <w:hideMark/>
          </w:tcPr>
          <w:p w14:paraId="5D14A3CC"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 xml:space="preserve">Not stated </w:t>
            </w:r>
          </w:p>
        </w:tc>
        <w:tc>
          <w:tcPr>
            <w:tcW w:w="992" w:type="dxa"/>
            <w:tcBorders>
              <w:top w:val="single" w:sz="4" w:space="0" w:color="auto"/>
              <w:left w:val="single" w:sz="4" w:space="0" w:color="auto"/>
              <w:bottom w:val="single" w:sz="4" w:space="0" w:color="auto"/>
              <w:right w:val="single" w:sz="4" w:space="0" w:color="auto"/>
            </w:tcBorders>
            <w:hideMark/>
          </w:tcPr>
          <w:p w14:paraId="7BDCC1D1"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13 eyes (7.1%)</w:t>
            </w:r>
          </w:p>
        </w:tc>
        <w:tc>
          <w:tcPr>
            <w:tcW w:w="1276" w:type="dxa"/>
            <w:tcBorders>
              <w:top w:val="single" w:sz="4" w:space="0" w:color="auto"/>
              <w:left w:val="single" w:sz="4" w:space="0" w:color="auto"/>
              <w:bottom w:val="single" w:sz="4" w:space="0" w:color="auto"/>
              <w:right w:val="single" w:sz="4" w:space="0" w:color="auto"/>
            </w:tcBorders>
            <w:hideMark/>
          </w:tcPr>
          <w:p w14:paraId="5F0460AA"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66.9 weeks after SO removal</w:t>
            </w:r>
          </w:p>
        </w:tc>
        <w:tc>
          <w:tcPr>
            <w:tcW w:w="992" w:type="dxa"/>
            <w:tcBorders>
              <w:top w:val="single" w:sz="4" w:space="0" w:color="auto"/>
              <w:left w:val="single" w:sz="4" w:space="0" w:color="auto"/>
              <w:bottom w:val="single" w:sz="4" w:space="0" w:color="auto"/>
              <w:right w:val="single" w:sz="4" w:space="0" w:color="auto"/>
            </w:tcBorders>
            <w:hideMark/>
          </w:tcPr>
          <w:p w14:paraId="45FD4FC5"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177</w:t>
            </w:r>
          </w:p>
        </w:tc>
        <w:tc>
          <w:tcPr>
            <w:tcW w:w="993" w:type="dxa"/>
            <w:tcBorders>
              <w:top w:val="single" w:sz="4" w:space="0" w:color="auto"/>
              <w:left w:val="single" w:sz="4" w:space="0" w:color="auto"/>
              <w:bottom w:val="single" w:sz="4" w:space="0" w:color="auto"/>
              <w:right w:val="single" w:sz="4" w:space="0" w:color="auto"/>
            </w:tcBorders>
            <w:hideMark/>
          </w:tcPr>
          <w:p w14:paraId="21EA15A1"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184</w:t>
            </w:r>
          </w:p>
        </w:tc>
      </w:tr>
      <w:tr w:rsidR="003A4529" w14:paraId="55E702FD"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0F9F91D5"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 </w:t>
            </w:r>
            <w:proofErr w:type="spellStart"/>
            <w:r>
              <w:rPr>
                <w:rFonts w:ascii="Times New Roman" w:hAnsi="Times New Roman" w:cs="Times New Roman"/>
                <w:sz w:val="16"/>
                <w:szCs w:val="16"/>
                <w:lang w:val="en-US"/>
              </w:rPr>
              <w:t>Zanzottera</w:t>
            </w:r>
            <w:proofErr w:type="spellEnd"/>
            <w:r>
              <w:rPr>
                <w:rFonts w:ascii="Times New Roman" w:hAnsi="Times New Roman" w:cs="Times New Roman"/>
                <w:sz w:val="16"/>
                <w:szCs w:val="16"/>
                <w:lang w:val="en-US"/>
              </w:rPr>
              <w:t xml:space="preserve">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2022 </w:t>
            </w:r>
            <w:sdt>
              <w:sdtPr>
                <w:rPr>
                  <w:rFonts w:ascii="Times New Roman" w:hAnsi="Times New Roman" w:cs="Times New Roman"/>
                  <w:sz w:val="16"/>
                  <w:szCs w:val="16"/>
                  <w:lang w:val="en-US"/>
                </w:rPr>
                <w:tag w:val="MENDELEY_CITATION_v3_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"/>
                <w:id w:val="1036696884"/>
                <w:placeholder>
                  <w:docPart w:val="102606E8DF364B53BB4A63877D9736E1"/>
                </w:placeholder>
              </w:sdtPr>
              <w:sdtContent>
                <w:r>
                  <w:rPr>
                    <w:rFonts w:ascii="Times New Roman" w:hAnsi="Times New Roman" w:cs="Times New Roman"/>
                    <w:sz w:val="16"/>
                    <w:szCs w:val="16"/>
                    <w:lang w:val="en-US"/>
                  </w:rPr>
                  <w:t>[45]</w:t>
                </w:r>
              </w:sdtContent>
            </w:sdt>
          </w:p>
        </w:tc>
        <w:tc>
          <w:tcPr>
            <w:tcW w:w="992" w:type="dxa"/>
            <w:tcBorders>
              <w:top w:val="single" w:sz="4" w:space="0" w:color="auto"/>
              <w:left w:val="single" w:sz="4" w:space="0" w:color="auto"/>
              <w:bottom w:val="single" w:sz="4" w:space="0" w:color="auto"/>
              <w:right w:val="single" w:sz="4" w:space="0" w:color="auto"/>
            </w:tcBorders>
            <w:hideMark/>
          </w:tcPr>
          <w:p w14:paraId="77AA5059"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Italy </w:t>
            </w:r>
          </w:p>
        </w:tc>
        <w:tc>
          <w:tcPr>
            <w:tcW w:w="1134" w:type="dxa"/>
            <w:tcBorders>
              <w:top w:val="single" w:sz="4" w:space="0" w:color="auto"/>
              <w:left w:val="single" w:sz="4" w:space="0" w:color="auto"/>
              <w:bottom w:val="single" w:sz="4" w:space="0" w:color="auto"/>
              <w:right w:val="single" w:sz="4" w:space="0" w:color="auto"/>
            </w:tcBorders>
            <w:hideMark/>
          </w:tcPr>
          <w:p w14:paraId="5BD95A78"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A retrospective case series  </w:t>
            </w:r>
          </w:p>
        </w:tc>
        <w:tc>
          <w:tcPr>
            <w:tcW w:w="897" w:type="dxa"/>
            <w:tcBorders>
              <w:top w:val="single" w:sz="4" w:space="0" w:color="auto"/>
              <w:left w:val="single" w:sz="4" w:space="0" w:color="auto"/>
              <w:bottom w:val="single" w:sz="4" w:space="0" w:color="auto"/>
              <w:right w:val="single" w:sz="4" w:space="0" w:color="auto"/>
            </w:tcBorders>
            <w:hideMark/>
          </w:tcPr>
          <w:p w14:paraId="3C709C6A"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Department of Ophthalmology at San Gerardo Hospital, Monza, Italy</w:t>
            </w:r>
          </w:p>
        </w:tc>
        <w:tc>
          <w:tcPr>
            <w:tcW w:w="1440" w:type="dxa"/>
            <w:tcBorders>
              <w:top w:val="single" w:sz="4" w:space="0" w:color="auto"/>
              <w:left w:val="single" w:sz="4" w:space="0" w:color="auto"/>
              <w:bottom w:val="single" w:sz="4" w:space="0" w:color="auto"/>
              <w:right w:val="single" w:sz="4" w:space="0" w:color="auto"/>
            </w:tcBorders>
            <w:hideMark/>
          </w:tcPr>
          <w:p w14:paraId="472D5AC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All the consecutive patients with complicated RD underwent 25- or 23-g PPV and DF.</w:t>
            </w:r>
            <w:r>
              <w:rPr>
                <w:rFonts w:ascii="Times New Roman" w:hAnsi="Times New Roman" w:cs="Times New Roman"/>
                <w:sz w:val="16"/>
                <w:szCs w:val="16"/>
                <w:lang w:val="en-US"/>
              </w:rPr>
              <w:t xml:space="preserve"> </w:t>
            </w:r>
            <w:r>
              <w:rPr>
                <w:rFonts w:ascii="Times New Roman" w:hAnsi="Times New Roman" w:cs="Times New Roman"/>
                <w:sz w:val="16"/>
                <w:szCs w:val="16"/>
                <w:shd w:val="clear" w:color="auto" w:fill="FFFFFF"/>
                <w:lang w:val="en-US"/>
              </w:rPr>
              <w:t xml:space="preserve">between December 2018 and February 2021. DF consists of the use of both PFCL and SO to temporarily stabilize the retina before exchanging with SO. Both types of PFCL used in this study </w:t>
            </w:r>
            <w:proofErr w:type="gramStart"/>
            <w:r>
              <w:rPr>
                <w:rFonts w:ascii="Times New Roman" w:hAnsi="Times New Roman" w:cs="Times New Roman"/>
                <w:sz w:val="16"/>
                <w:szCs w:val="16"/>
                <w:shd w:val="clear" w:color="auto" w:fill="FFFFFF"/>
                <w:lang w:val="en-US"/>
              </w:rPr>
              <w:t>were  (</w:t>
            </w:r>
            <w:proofErr w:type="gramEnd"/>
            <w:r>
              <w:rPr>
                <w:rFonts w:ascii="Times New Roman" w:hAnsi="Times New Roman" w:cs="Times New Roman"/>
                <w:sz w:val="16"/>
                <w:szCs w:val="16"/>
                <w:shd w:val="clear" w:color="auto" w:fill="FFFFFF"/>
                <w:lang w:val="en-US"/>
              </w:rPr>
              <w:t>C</w:t>
            </w:r>
            <w:r>
              <w:rPr>
                <w:rFonts w:ascii="Times New Roman" w:hAnsi="Times New Roman" w:cs="Times New Roman"/>
                <w:sz w:val="16"/>
                <w:szCs w:val="16"/>
                <w:shd w:val="clear" w:color="auto" w:fill="FFFFFF"/>
                <w:vertAlign w:val="subscript"/>
                <w:lang w:val="en-US"/>
              </w:rPr>
              <w:t>10</w:t>
            </w:r>
            <w:r>
              <w:rPr>
                <w:rFonts w:ascii="Times New Roman" w:hAnsi="Times New Roman" w:cs="Times New Roman"/>
                <w:sz w:val="16"/>
                <w:szCs w:val="16"/>
                <w:shd w:val="clear" w:color="auto" w:fill="FFFFFF"/>
                <w:lang w:val="en-US"/>
              </w:rPr>
              <w:t>F</w:t>
            </w:r>
            <w:r>
              <w:rPr>
                <w:rFonts w:ascii="Times New Roman" w:hAnsi="Times New Roman" w:cs="Times New Roman"/>
                <w:sz w:val="16"/>
                <w:szCs w:val="16"/>
                <w:shd w:val="clear" w:color="auto" w:fill="FFFFFF"/>
                <w:vertAlign w:val="subscript"/>
                <w:lang w:val="en-US"/>
              </w:rPr>
              <w:t>18</w:t>
            </w:r>
            <w:r>
              <w:rPr>
                <w:rFonts w:ascii="Times New Roman" w:hAnsi="Times New Roman" w:cs="Times New Roman"/>
                <w:sz w:val="16"/>
                <w:szCs w:val="16"/>
                <w:shd w:val="clear" w:color="auto" w:fill="FFFFFF"/>
                <w:lang w:val="en-US"/>
              </w:rPr>
              <w:t xml:space="preserve">) and PDMS. </w:t>
            </w:r>
          </w:p>
        </w:tc>
        <w:tc>
          <w:tcPr>
            <w:tcW w:w="1440" w:type="dxa"/>
            <w:tcBorders>
              <w:top w:val="single" w:sz="4" w:space="0" w:color="auto"/>
              <w:left w:val="single" w:sz="4" w:space="0" w:color="auto"/>
              <w:bottom w:val="single" w:sz="4" w:space="0" w:color="auto"/>
              <w:right w:val="single" w:sz="4" w:space="0" w:color="auto"/>
            </w:tcBorders>
            <w:hideMark/>
          </w:tcPr>
          <w:p w14:paraId="3200A76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Eyes missing detailed data or achieving good anatomical results with less than three months follow up, tractional RDs in proliferative diabetic retinopathy were excluded.</w:t>
            </w:r>
          </w:p>
        </w:tc>
        <w:tc>
          <w:tcPr>
            <w:tcW w:w="1468" w:type="dxa"/>
            <w:tcBorders>
              <w:top w:val="single" w:sz="4" w:space="0" w:color="auto"/>
              <w:left w:val="single" w:sz="4" w:space="0" w:color="auto"/>
              <w:bottom w:val="single" w:sz="4" w:space="0" w:color="auto"/>
              <w:right w:val="single" w:sz="4" w:space="0" w:color="auto"/>
            </w:tcBorders>
            <w:hideMark/>
          </w:tcPr>
          <w:p w14:paraId="5E23518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All patients underwent small gauge PPV, with 13 (86.7%) eyes received 25-g PPV, two (13.3%) eyes 23-g PPV, internal tamponade with C</w:t>
            </w:r>
            <w:r>
              <w:rPr>
                <w:rFonts w:ascii="Times New Roman" w:hAnsi="Times New Roman" w:cs="Times New Roman"/>
                <w:sz w:val="16"/>
                <w:szCs w:val="16"/>
                <w:shd w:val="clear" w:color="auto" w:fill="FFFFFF"/>
                <w:vertAlign w:val="subscript"/>
                <w:lang w:val="en-US"/>
              </w:rPr>
              <w:t>10</w:t>
            </w:r>
            <w:r>
              <w:rPr>
                <w:rFonts w:ascii="Times New Roman" w:hAnsi="Times New Roman" w:cs="Times New Roman"/>
                <w:sz w:val="16"/>
                <w:szCs w:val="16"/>
                <w:shd w:val="clear" w:color="auto" w:fill="FFFFFF"/>
                <w:lang w:val="en-US"/>
              </w:rPr>
              <w:t>F</w:t>
            </w:r>
            <w:r>
              <w:rPr>
                <w:rFonts w:ascii="Times New Roman" w:hAnsi="Times New Roman" w:cs="Times New Roman"/>
                <w:sz w:val="16"/>
                <w:szCs w:val="16"/>
                <w:shd w:val="clear" w:color="auto" w:fill="FFFFFF"/>
                <w:vertAlign w:val="subscript"/>
                <w:lang w:val="en-US"/>
              </w:rPr>
              <w:t>18</w:t>
            </w:r>
            <w:r>
              <w:rPr>
                <w:rFonts w:ascii="Times New Roman" w:hAnsi="Times New Roman" w:cs="Times New Roman"/>
                <w:sz w:val="16"/>
                <w:szCs w:val="16"/>
                <w:shd w:val="clear" w:color="auto" w:fill="FFFFFF"/>
                <w:lang w:val="en-US"/>
              </w:rPr>
              <w:t xml:space="preserve"> (60% of vitreous cavity) and PDMS (40% of vitreous cavity), </w:t>
            </w:r>
            <w:proofErr w:type="spellStart"/>
            <w:r>
              <w:rPr>
                <w:rFonts w:ascii="Times New Roman" w:hAnsi="Times New Roman" w:cs="Times New Roman"/>
                <w:sz w:val="16"/>
                <w:szCs w:val="16"/>
                <w:shd w:val="clear" w:color="auto" w:fill="FFFFFF"/>
                <w:lang w:val="en-US"/>
              </w:rPr>
              <w:t>endolaser</w:t>
            </w:r>
            <w:proofErr w:type="spellEnd"/>
            <w:r>
              <w:rPr>
                <w:rFonts w:ascii="Times New Roman" w:hAnsi="Times New Roman" w:cs="Times New Roman"/>
                <w:sz w:val="16"/>
                <w:szCs w:val="16"/>
                <w:shd w:val="clear" w:color="auto" w:fill="FFFFFF"/>
                <w:lang w:val="en-US"/>
              </w:rPr>
              <w:t xml:space="preserve"> photocoagulation, and postoperative supine positioning until PFCL removal.</w:t>
            </w:r>
          </w:p>
        </w:tc>
        <w:tc>
          <w:tcPr>
            <w:tcW w:w="1417" w:type="dxa"/>
            <w:tcBorders>
              <w:top w:val="single" w:sz="4" w:space="0" w:color="auto"/>
              <w:left w:val="single" w:sz="4" w:space="0" w:color="auto"/>
              <w:bottom w:val="single" w:sz="4" w:space="0" w:color="auto"/>
              <w:right w:val="single" w:sz="4" w:space="0" w:color="auto"/>
            </w:tcBorders>
            <w:hideMark/>
          </w:tcPr>
          <w:p w14:paraId="0BFC18A4"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applicable </w:t>
            </w:r>
          </w:p>
        </w:tc>
        <w:tc>
          <w:tcPr>
            <w:tcW w:w="992" w:type="dxa"/>
            <w:tcBorders>
              <w:top w:val="single" w:sz="4" w:space="0" w:color="auto"/>
              <w:left w:val="single" w:sz="4" w:space="0" w:color="auto"/>
              <w:bottom w:val="single" w:sz="4" w:space="0" w:color="auto"/>
              <w:right w:val="single" w:sz="4" w:space="0" w:color="auto"/>
            </w:tcBorders>
            <w:hideMark/>
          </w:tcPr>
          <w:p w14:paraId="614A0891"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Six out of 15 eyes (40%)</w:t>
            </w:r>
          </w:p>
        </w:tc>
        <w:tc>
          <w:tcPr>
            <w:tcW w:w="1276" w:type="dxa"/>
            <w:tcBorders>
              <w:top w:val="single" w:sz="4" w:space="0" w:color="auto"/>
              <w:left w:val="single" w:sz="4" w:space="0" w:color="auto"/>
              <w:bottom w:val="single" w:sz="4" w:space="0" w:color="auto"/>
              <w:right w:val="single" w:sz="4" w:space="0" w:color="auto"/>
            </w:tcBorders>
            <w:hideMark/>
          </w:tcPr>
          <w:p w14:paraId="70379D55"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Median = six months (range one –22, mean = 9,4 months)</w:t>
            </w:r>
          </w:p>
        </w:tc>
        <w:tc>
          <w:tcPr>
            <w:tcW w:w="992" w:type="dxa"/>
            <w:tcBorders>
              <w:top w:val="single" w:sz="4" w:space="0" w:color="auto"/>
              <w:left w:val="single" w:sz="4" w:space="0" w:color="auto"/>
              <w:bottom w:val="single" w:sz="4" w:space="0" w:color="auto"/>
              <w:right w:val="single" w:sz="4" w:space="0" w:color="auto"/>
            </w:tcBorders>
            <w:hideMark/>
          </w:tcPr>
          <w:p w14:paraId="209BACFC"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15</w:t>
            </w:r>
          </w:p>
        </w:tc>
        <w:tc>
          <w:tcPr>
            <w:tcW w:w="993" w:type="dxa"/>
            <w:tcBorders>
              <w:top w:val="single" w:sz="4" w:space="0" w:color="auto"/>
              <w:left w:val="single" w:sz="4" w:space="0" w:color="auto"/>
              <w:bottom w:val="single" w:sz="4" w:space="0" w:color="auto"/>
              <w:right w:val="single" w:sz="4" w:space="0" w:color="auto"/>
            </w:tcBorders>
            <w:hideMark/>
          </w:tcPr>
          <w:p w14:paraId="0F47F0A1"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15</w:t>
            </w:r>
          </w:p>
        </w:tc>
      </w:tr>
      <w:tr w:rsidR="003A4529" w14:paraId="0CF2A87A"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1A6A8E16"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Bai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2022 </w:t>
            </w:r>
            <w:sdt>
              <w:sdtPr>
                <w:rPr>
                  <w:rFonts w:ascii="Times New Roman" w:hAnsi="Times New Roman" w:cs="Times New Roman"/>
                  <w:sz w:val="16"/>
                  <w:szCs w:val="16"/>
                  <w:lang w:val="en-US"/>
                </w:rPr>
                <w:tag w:val="MENDELEY_CITATION_v3_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"/>
                <w:id w:val="-1369825905"/>
                <w:placeholder>
                  <w:docPart w:val="102606E8DF364B53BB4A63877D9736E1"/>
                </w:placeholder>
              </w:sdtPr>
              <w:sdtContent>
                <w:r>
                  <w:rPr>
                    <w:rFonts w:ascii="Times New Roman" w:hAnsi="Times New Roman" w:cs="Times New Roman"/>
                    <w:sz w:val="16"/>
                    <w:szCs w:val="16"/>
                    <w:lang w:val="en-US"/>
                  </w:rPr>
                  <w:t>[46]</w:t>
                </w:r>
              </w:sdtContent>
            </w:sdt>
          </w:p>
        </w:tc>
        <w:tc>
          <w:tcPr>
            <w:tcW w:w="992" w:type="dxa"/>
            <w:tcBorders>
              <w:top w:val="single" w:sz="4" w:space="0" w:color="auto"/>
              <w:left w:val="single" w:sz="4" w:space="0" w:color="auto"/>
              <w:bottom w:val="single" w:sz="4" w:space="0" w:color="auto"/>
              <w:right w:val="single" w:sz="4" w:space="0" w:color="auto"/>
            </w:tcBorders>
            <w:hideMark/>
          </w:tcPr>
          <w:p w14:paraId="04D9A43C"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China </w:t>
            </w:r>
          </w:p>
        </w:tc>
        <w:tc>
          <w:tcPr>
            <w:tcW w:w="1134" w:type="dxa"/>
            <w:tcBorders>
              <w:top w:val="single" w:sz="4" w:space="0" w:color="auto"/>
              <w:left w:val="single" w:sz="4" w:space="0" w:color="auto"/>
              <w:bottom w:val="single" w:sz="4" w:space="0" w:color="auto"/>
              <w:right w:val="single" w:sz="4" w:space="0" w:color="auto"/>
            </w:tcBorders>
            <w:hideMark/>
          </w:tcPr>
          <w:p w14:paraId="2C7E34CA"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A retrospective case series </w:t>
            </w:r>
          </w:p>
        </w:tc>
        <w:tc>
          <w:tcPr>
            <w:tcW w:w="897" w:type="dxa"/>
            <w:tcBorders>
              <w:top w:val="single" w:sz="4" w:space="0" w:color="auto"/>
              <w:left w:val="single" w:sz="4" w:space="0" w:color="auto"/>
              <w:bottom w:val="single" w:sz="4" w:space="0" w:color="auto"/>
              <w:right w:val="single" w:sz="4" w:space="0" w:color="auto"/>
            </w:tcBorders>
            <w:hideMark/>
          </w:tcPr>
          <w:p w14:paraId="00BBFC8F"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roofErr w:type="spellStart"/>
            <w:r>
              <w:rPr>
                <w:rFonts w:ascii="Times New Roman" w:hAnsi="Times New Roman" w:cs="Times New Roman"/>
                <w:sz w:val="16"/>
                <w:szCs w:val="16"/>
                <w:shd w:val="clear" w:color="auto" w:fill="FFFFFF"/>
                <w:lang w:val="en-US"/>
              </w:rPr>
              <w:t>Qilu</w:t>
            </w:r>
            <w:proofErr w:type="spellEnd"/>
            <w:r>
              <w:rPr>
                <w:rFonts w:ascii="Times New Roman" w:hAnsi="Times New Roman" w:cs="Times New Roman"/>
                <w:sz w:val="16"/>
                <w:szCs w:val="16"/>
                <w:shd w:val="clear" w:color="auto" w:fill="FFFFFF"/>
                <w:lang w:val="en-US"/>
              </w:rPr>
              <w:t xml:space="preserve"> Hospital, Shandong University and other four hospitals included one tertiary general hospital, one hospital focused on ophthalmology and </w:t>
            </w:r>
            <w:r>
              <w:rPr>
                <w:rFonts w:ascii="Times New Roman" w:hAnsi="Times New Roman" w:cs="Times New Roman"/>
                <w:sz w:val="16"/>
                <w:szCs w:val="16"/>
                <w:shd w:val="clear" w:color="auto" w:fill="FFFFFF"/>
                <w:lang w:val="en-US"/>
              </w:rPr>
              <w:lastRenderedPageBreak/>
              <w:t>two were local general hospitals</w:t>
            </w:r>
          </w:p>
        </w:tc>
        <w:tc>
          <w:tcPr>
            <w:tcW w:w="1440" w:type="dxa"/>
            <w:tcBorders>
              <w:top w:val="single" w:sz="4" w:space="0" w:color="auto"/>
              <w:left w:val="single" w:sz="4" w:space="0" w:color="auto"/>
              <w:bottom w:val="single" w:sz="4" w:space="0" w:color="auto"/>
              <w:right w:val="single" w:sz="4" w:space="0" w:color="auto"/>
            </w:tcBorders>
            <w:hideMark/>
          </w:tcPr>
          <w:p w14:paraId="46D49EE4"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 xml:space="preserve">Two kinds of case series between 2012 to 2020 were presented in this study. The first case series involved patients with RDs, who were treated by vitrectomy and the use of PFCLs, while the second case series included patients who were treated by </w:t>
            </w:r>
            <w:r>
              <w:rPr>
                <w:rFonts w:ascii="Times New Roman" w:hAnsi="Times New Roman"/>
                <w:bCs/>
                <w:sz w:val="16"/>
                <w:szCs w:val="16"/>
                <w:lang w:val="en-US"/>
              </w:rPr>
              <w:t>VWTPL</w:t>
            </w:r>
            <w:r>
              <w:rPr>
                <w:rFonts w:ascii="Times New Roman" w:hAnsi="Times New Roman" w:cs="Times New Roman"/>
                <w:sz w:val="16"/>
                <w:szCs w:val="16"/>
                <w:shd w:val="clear" w:color="auto" w:fill="FFFFFF"/>
                <w:lang w:val="en-US"/>
              </w:rPr>
              <w:t xml:space="preserve">. </w:t>
            </w:r>
          </w:p>
        </w:tc>
        <w:tc>
          <w:tcPr>
            <w:tcW w:w="1440" w:type="dxa"/>
            <w:tcBorders>
              <w:top w:val="single" w:sz="4" w:space="0" w:color="auto"/>
              <w:left w:val="single" w:sz="4" w:space="0" w:color="auto"/>
              <w:bottom w:val="single" w:sz="4" w:space="0" w:color="auto"/>
              <w:right w:val="single" w:sz="4" w:space="0" w:color="auto"/>
            </w:tcBorders>
            <w:hideMark/>
          </w:tcPr>
          <w:p w14:paraId="65E0595C"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The second case series excluded the cases in which PFCL was used to flatten the retina intraoperatively if the flattening was failed by using air-fluid exchange even after retinotomy.</w:t>
            </w:r>
          </w:p>
        </w:tc>
        <w:tc>
          <w:tcPr>
            <w:tcW w:w="1468" w:type="dxa"/>
            <w:tcBorders>
              <w:top w:val="single" w:sz="4" w:space="0" w:color="auto"/>
              <w:left w:val="single" w:sz="4" w:space="0" w:color="auto"/>
              <w:bottom w:val="single" w:sz="4" w:space="0" w:color="auto"/>
              <w:right w:val="single" w:sz="4" w:space="0" w:color="auto"/>
            </w:tcBorders>
            <w:hideMark/>
          </w:tcPr>
          <w:p w14:paraId="6AD0FD21"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PPVs were conducted in all the cases by complete removal of proliferative membrane and posterior vitreous membrane (with the aid of triamcinolone acetonide), air-fluid exchange, in situ photocoagulation and SO tamponade (when necessary)</w:t>
            </w:r>
          </w:p>
        </w:tc>
        <w:tc>
          <w:tcPr>
            <w:tcW w:w="1417" w:type="dxa"/>
            <w:tcBorders>
              <w:top w:val="single" w:sz="4" w:space="0" w:color="auto"/>
              <w:left w:val="single" w:sz="4" w:space="0" w:color="auto"/>
              <w:bottom w:val="single" w:sz="4" w:space="0" w:color="auto"/>
              <w:right w:val="single" w:sz="4" w:space="0" w:color="auto"/>
            </w:tcBorders>
            <w:hideMark/>
          </w:tcPr>
          <w:p w14:paraId="6E8BCB9A"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992" w:type="dxa"/>
            <w:tcBorders>
              <w:top w:val="single" w:sz="4" w:space="0" w:color="auto"/>
              <w:left w:val="single" w:sz="4" w:space="0" w:color="auto"/>
              <w:bottom w:val="single" w:sz="4" w:space="0" w:color="auto"/>
              <w:right w:val="single" w:sz="4" w:space="0" w:color="auto"/>
            </w:tcBorders>
            <w:hideMark/>
          </w:tcPr>
          <w:p w14:paraId="040ED374"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20 eyes (6.3%)</w:t>
            </w:r>
          </w:p>
        </w:tc>
        <w:tc>
          <w:tcPr>
            <w:tcW w:w="1276" w:type="dxa"/>
            <w:tcBorders>
              <w:top w:val="single" w:sz="4" w:space="0" w:color="auto"/>
              <w:left w:val="single" w:sz="4" w:space="0" w:color="auto"/>
              <w:bottom w:val="single" w:sz="4" w:space="0" w:color="auto"/>
              <w:right w:val="single" w:sz="4" w:space="0" w:color="auto"/>
            </w:tcBorders>
            <w:hideMark/>
          </w:tcPr>
          <w:p w14:paraId="47D2AA09"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Range = One -26 months</w:t>
            </w:r>
          </w:p>
        </w:tc>
        <w:tc>
          <w:tcPr>
            <w:tcW w:w="992" w:type="dxa"/>
            <w:tcBorders>
              <w:top w:val="single" w:sz="4" w:space="0" w:color="auto"/>
              <w:left w:val="single" w:sz="4" w:space="0" w:color="auto"/>
              <w:bottom w:val="single" w:sz="4" w:space="0" w:color="auto"/>
              <w:right w:val="single" w:sz="4" w:space="0" w:color="auto"/>
            </w:tcBorders>
            <w:hideMark/>
          </w:tcPr>
          <w:p w14:paraId="77D1EB24"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320</w:t>
            </w:r>
          </w:p>
        </w:tc>
        <w:tc>
          <w:tcPr>
            <w:tcW w:w="993" w:type="dxa"/>
            <w:tcBorders>
              <w:top w:val="single" w:sz="4" w:space="0" w:color="auto"/>
              <w:left w:val="single" w:sz="4" w:space="0" w:color="auto"/>
              <w:bottom w:val="single" w:sz="4" w:space="0" w:color="auto"/>
              <w:right w:val="single" w:sz="4" w:space="0" w:color="auto"/>
            </w:tcBorders>
            <w:hideMark/>
          </w:tcPr>
          <w:p w14:paraId="4B36B60B"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320</w:t>
            </w:r>
          </w:p>
        </w:tc>
      </w:tr>
      <w:tr w:rsidR="003A4529" w14:paraId="1202D8F5"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54361A0D"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 Quiroz-Reyes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2022 </w:t>
            </w:r>
            <w:sdt>
              <w:sdtPr>
                <w:rPr>
                  <w:rFonts w:ascii="Times New Roman" w:hAnsi="Times New Roman" w:cs="Times New Roman"/>
                  <w:sz w:val="16"/>
                  <w:szCs w:val="16"/>
                  <w:lang w:val="en-US"/>
                </w:rPr>
                <w:tag w:val="MENDELEY_CITATION_v3_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"/>
                <w:id w:val="-442683325"/>
                <w:placeholder>
                  <w:docPart w:val="102606E8DF364B53BB4A63877D9736E1"/>
                </w:placeholder>
              </w:sdtPr>
              <w:sdtContent>
                <w:r>
                  <w:rPr>
                    <w:rFonts w:ascii="Times New Roman" w:hAnsi="Times New Roman" w:cs="Times New Roman"/>
                    <w:sz w:val="16"/>
                    <w:szCs w:val="16"/>
                    <w:lang w:val="en-US"/>
                  </w:rPr>
                  <w:t>[47]</w:t>
                </w:r>
              </w:sdtContent>
            </w:sdt>
          </w:p>
        </w:tc>
        <w:tc>
          <w:tcPr>
            <w:tcW w:w="992" w:type="dxa"/>
            <w:tcBorders>
              <w:top w:val="single" w:sz="4" w:space="0" w:color="auto"/>
              <w:left w:val="single" w:sz="4" w:space="0" w:color="auto"/>
              <w:bottom w:val="single" w:sz="4" w:space="0" w:color="auto"/>
              <w:right w:val="single" w:sz="4" w:space="0" w:color="auto"/>
            </w:tcBorders>
            <w:hideMark/>
          </w:tcPr>
          <w:p w14:paraId="3A92345F"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Mexico </w:t>
            </w:r>
          </w:p>
        </w:tc>
        <w:tc>
          <w:tcPr>
            <w:tcW w:w="1134" w:type="dxa"/>
            <w:tcBorders>
              <w:top w:val="single" w:sz="4" w:space="0" w:color="auto"/>
              <w:left w:val="single" w:sz="4" w:space="0" w:color="auto"/>
              <w:bottom w:val="single" w:sz="4" w:space="0" w:color="auto"/>
              <w:right w:val="single" w:sz="4" w:space="0" w:color="auto"/>
            </w:tcBorders>
            <w:hideMark/>
          </w:tcPr>
          <w:p w14:paraId="15EFFD93"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A retrospective, consecutive, multicenter cohort study </w:t>
            </w:r>
          </w:p>
        </w:tc>
        <w:tc>
          <w:tcPr>
            <w:tcW w:w="897" w:type="dxa"/>
            <w:tcBorders>
              <w:top w:val="single" w:sz="4" w:space="0" w:color="auto"/>
              <w:left w:val="single" w:sz="4" w:space="0" w:color="auto"/>
              <w:bottom w:val="single" w:sz="4" w:space="0" w:color="auto"/>
              <w:right w:val="single" w:sz="4" w:space="0" w:color="auto"/>
            </w:tcBorders>
            <w:hideMark/>
          </w:tcPr>
          <w:p w14:paraId="32DFBACF"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Retina</w:t>
            </w:r>
          </w:p>
          <w:p w14:paraId="4C0E58D6"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Specialists Unit at </w:t>
            </w:r>
            <w:proofErr w:type="spellStart"/>
            <w:r>
              <w:rPr>
                <w:rFonts w:ascii="Times New Roman" w:hAnsi="Times New Roman" w:cs="Times New Roman"/>
                <w:sz w:val="16"/>
                <w:szCs w:val="16"/>
                <w:shd w:val="clear" w:color="auto" w:fill="FFFFFF"/>
                <w:lang w:val="en-US"/>
              </w:rPr>
              <w:t>Oftalmologia</w:t>
            </w:r>
            <w:proofErr w:type="spellEnd"/>
            <w:r>
              <w:rPr>
                <w:rFonts w:ascii="Times New Roman" w:hAnsi="Times New Roman" w:cs="Times New Roman"/>
                <w:sz w:val="16"/>
                <w:szCs w:val="16"/>
                <w:shd w:val="clear" w:color="auto" w:fill="FFFFFF"/>
                <w:lang w:val="en-US"/>
              </w:rPr>
              <w:t xml:space="preserve"> Integral ABC in</w:t>
            </w:r>
          </w:p>
          <w:p w14:paraId="5D72E813"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Mexico City</w:t>
            </w:r>
          </w:p>
        </w:tc>
        <w:tc>
          <w:tcPr>
            <w:tcW w:w="1440" w:type="dxa"/>
            <w:tcBorders>
              <w:top w:val="single" w:sz="4" w:space="0" w:color="auto"/>
              <w:left w:val="single" w:sz="4" w:space="0" w:color="auto"/>
              <w:bottom w:val="single" w:sz="4" w:space="0" w:color="auto"/>
              <w:right w:val="single" w:sz="4" w:space="0" w:color="auto"/>
            </w:tcBorders>
            <w:hideMark/>
          </w:tcPr>
          <w:p w14:paraId="1C3E150B"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Only the charts of patients aged ≥18 years had GRT-associated with RRD, evidence of PVR grade B or less, retina attached at the last follow-up examination visit, postoperative BCVA in the functional range (20/800 or better), absence of intraocular SO in the last follow-up visit, at least six months of follow-up, and a well-serial documented structural and functional assessment of the macula during follow-up were included.</w:t>
            </w:r>
          </w:p>
        </w:tc>
        <w:tc>
          <w:tcPr>
            <w:tcW w:w="1440" w:type="dxa"/>
            <w:tcBorders>
              <w:top w:val="single" w:sz="4" w:space="0" w:color="auto"/>
              <w:left w:val="single" w:sz="4" w:space="0" w:color="auto"/>
              <w:bottom w:val="single" w:sz="4" w:space="0" w:color="auto"/>
              <w:right w:val="single" w:sz="4" w:space="0" w:color="auto"/>
            </w:tcBorders>
            <w:hideMark/>
          </w:tcPr>
          <w:p w14:paraId="14BA0F4E"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Patients were excluded from the study if they had a history of complicated vitreoretinal surgery or intravitreal injections, GRT-related RRD due to penetrating or perforating open-eye injury, GRT-related RRD combined with MHRD due to myopic traction maculopathy, postoperative BCVA of 20/800 or worse, presence of intraocular SO at the last follow-up evaluation visit, severe grade C posterior PVR or anterior PVR with evidence of recurrent, complicated RRD at the last follow-up visit, history of active glaucoma, impossibility to follow-up, loss of follow-up, surgery in a non-designated institution, presence of severe </w:t>
            </w:r>
            <w:r>
              <w:rPr>
                <w:rFonts w:ascii="Times New Roman" w:hAnsi="Times New Roman" w:cs="Times New Roman"/>
                <w:sz w:val="16"/>
                <w:szCs w:val="16"/>
                <w:shd w:val="clear" w:color="auto" w:fill="FFFFFF"/>
                <w:lang w:val="en-US"/>
              </w:rPr>
              <w:lastRenderedPageBreak/>
              <w:t>complications such as endophthalmitis, recurrent, complicated severe PVR RRD at the last follow-up visit evaluation, and refractory corneal opacity development during follow-up.</w:t>
            </w:r>
          </w:p>
        </w:tc>
        <w:tc>
          <w:tcPr>
            <w:tcW w:w="1468" w:type="dxa"/>
            <w:tcBorders>
              <w:top w:val="single" w:sz="4" w:space="0" w:color="auto"/>
              <w:left w:val="single" w:sz="4" w:space="0" w:color="auto"/>
              <w:bottom w:val="single" w:sz="4" w:space="0" w:color="auto"/>
              <w:right w:val="single" w:sz="4" w:space="0" w:color="auto"/>
            </w:tcBorders>
            <w:hideMark/>
          </w:tcPr>
          <w:p w14:paraId="40E9E1AD"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A standard 23- or 25-g PPV was performed in all the eyes. The retina was reattached by a PFCL-assisted technique to effectively perform hydropneumatics retinal manipulation and assisted subretinal fluid expression to completely dry out the subretinal space, a second air-fluid exchange was performed, and as the last surgical step, a non-expandable bubble containing 15% C</w:t>
            </w:r>
            <w:r>
              <w:rPr>
                <w:rFonts w:ascii="Times New Roman" w:hAnsi="Times New Roman" w:cs="Times New Roman"/>
                <w:sz w:val="16"/>
                <w:szCs w:val="16"/>
                <w:shd w:val="clear" w:color="auto" w:fill="FFFFFF"/>
                <w:vertAlign w:val="subscript"/>
                <w:lang w:val="en-US"/>
              </w:rPr>
              <w:t>3</w:t>
            </w:r>
            <w:r>
              <w:rPr>
                <w:rFonts w:ascii="Times New Roman" w:hAnsi="Times New Roman" w:cs="Times New Roman"/>
                <w:sz w:val="16"/>
                <w:szCs w:val="16"/>
                <w:shd w:val="clear" w:color="auto" w:fill="FFFFFF"/>
                <w:lang w:val="en-US"/>
              </w:rPr>
              <w:t>F</w:t>
            </w:r>
            <w:r>
              <w:rPr>
                <w:rFonts w:ascii="Times New Roman" w:hAnsi="Times New Roman" w:cs="Times New Roman"/>
                <w:sz w:val="16"/>
                <w:szCs w:val="16"/>
                <w:shd w:val="clear" w:color="auto" w:fill="FFFFFF"/>
                <w:vertAlign w:val="subscript"/>
                <w:lang w:val="en-US"/>
              </w:rPr>
              <w:t>8</w:t>
            </w:r>
            <w:r>
              <w:rPr>
                <w:rFonts w:ascii="Times New Roman" w:hAnsi="Times New Roman" w:cs="Times New Roman"/>
                <w:sz w:val="16"/>
                <w:szCs w:val="16"/>
                <w:shd w:val="clear" w:color="auto" w:fill="FFFFFF"/>
                <w:lang w:val="en-US"/>
              </w:rPr>
              <w:t xml:space="preserve"> gas mixture or lighter than water SO was used as a long-acting tamponade at the end of the procedures in all cases.</w:t>
            </w:r>
          </w:p>
        </w:tc>
        <w:tc>
          <w:tcPr>
            <w:tcW w:w="1417" w:type="dxa"/>
            <w:tcBorders>
              <w:top w:val="single" w:sz="4" w:space="0" w:color="auto"/>
              <w:left w:val="single" w:sz="4" w:space="0" w:color="auto"/>
              <w:bottom w:val="single" w:sz="4" w:space="0" w:color="auto"/>
              <w:right w:val="single" w:sz="4" w:space="0" w:color="auto"/>
            </w:tcBorders>
            <w:hideMark/>
          </w:tcPr>
          <w:p w14:paraId="6783887B"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To compare anatomical and functional outcomes in successfully operated eyes with analysis of the subset depending upon the </w:t>
            </w:r>
            <w:r>
              <w:rPr>
                <w:rFonts w:ascii="Times New Roman" w:hAnsi="Times New Roman" w:cs="Times New Roman"/>
                <w:sz w:val="16"/>
                <w:szCs w:val="16"/>
                <w:shd w:val="clear" w:color="auto" w:fill="FFFFFF"/>
              </w:rPr>
              <w:t>degree of GRT-associated RRD extension classified as follows: group 1 (n = 42 eyes) with GRT-associated RRD extension &lt; 180°; group 2 (n = 23 eyes) with GRT-associated RRD extension = 180°-270°; and group 3 (n = 11 eyes) with GRT-associated RRD extension &gt; 270°.</w:t>
            </w:r>
          </w:p>
        </w:tc>
        <w:tc>
          <w:tcPr>
            <w:tcW w:w="992" w:type="dxa"/>
            <w:tcBorders>
              <w:top w:val="single" w:sz="4" w:space="0" w:color="auto"/>
              <w:left w:val="single" w:sz="4" w:space="0" w:color="auto"/>
              <w:bottom w:val="single" w:sz="4" w:space="0" w:color="auto"/>
              <w:right w:val="single" w:sz="4" w:space="0" w:color="auto"/>
            </w:tcBorders>
            <w:hideMark/>
          </w:tcPr>
          <w:p w14:paraId="3C17C055"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76 eyes presented with GRT. Of the 76 eyes, 42 eyes associated with circumferential retinal tears &lt;180° (group 1), 23 eyes had RRD associated with circumferential retinal tears between 180 °and 270° (group 2), and 11 eyes had RRD associated with circumferential GRTs &gt;270° (group 3).</w:t>
            </w:r>
          </w:p>
        </w:tc>
        <w:tc>
          <w:tcPr>
            <w:tcW w:w="1276" w:type="dxa"/>
            <w:tcBorders>
              <w:top w:val="single" w:sz="4" w:space="0" w:color="auto"/>
              <w:left w:val="single" w:sz="4" w:space="0" w:color="auto"/>
              <w:bottom w:val="single" w:sz="4" w:space="0" w:color="auto"/>
              <w:right w:val="single" w:sz="4" w:space="0" w:color="auto"/>
            </w:tcBorders>
            <w:hideMark/>
          </w:tcPr>
          <w:p w14:paraId="763A5B10"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Mean = 28.1 months </w:t>
            </w:r>
          </w:p>
        </w:tc>
        <w:tc>
          <w:tcPr>
            <w:tcW w:w="992" w:type="dxa"/>
            <w:tcBorders>
              <w:top w:val="single" w:sz="4" w:space="0" w:color="auto"/>
              <w:left w:val="single" w:sz="4" w:space="0" w:color="auto"/>
              <w:bottom w:val="single" w:sz="4" w:space="0" w:color="auto"/>
              <w:right w:val="single" w:sz="4" w:space="0" w:color="auto"/>
            </w:tcBorders>
            <w:hideMark/>
          </w:tcPr>
          <w:p w14:paraId="37C45B04"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66</w:t>
            </w:r>
          </w:p>
        </w:tc>
        <w:tc>
          <w:tcPr>
            <w:tcW w:w="993" w:type="dxa"/>
            <w:tcBorders>
              <w:top w:val="single" w:sz="4" w:space="0" w:color="auto"/>
              <w:left w:val="single" w:sz="4" w:space="0" w:color="auto"/>
              <w:bottom w:val="single" w:sz="4" w:space="0" w:color="auto"/>
              <w:right w:val="single" w:sz="4" w:space="0" w:color="auto"/>
            </w:tcBorders>
            <w:hideMark/>
          </w:tcPr>
          <w:p w14:paraId="02E47901"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76</w:t>
            </w:r>
          </w:p>
        </w:tc>
      </w:tr>
      <w:tr w:rsidR="003A4529" w14:paraId="5BA8653A"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1249EE53"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 </w:t>
            </w:r>
            <w:proofErr w:type="spellStart"/>
            <w:r>
              <w:rPr>
                <w:rFonts w:ascii="Times New Roman" w:hAnsi="Times New Roman" w:cs="Times New Roman"/>
                <w:sz w:val="16"/>
                <w:szCs w:val="16"/>
                <w:lang w:val="en-US"/>
              </w:rPr>
              <w:t>Oderinlo</w:t>
            </w:r>
            <w:proofErr w:type="spellEnd"/>
            <w:r>
              <w:rPr>
                <w:rFonts w:ascii="Times New Roman" w:hAnsi="Times New Roman" w:cs="Times New Roman"/>
                <w:sz w:val="16"/>
                <w:szCs w:val="16"/>
                <w:lang w:val="en-US"/>
              </w:rPr>
              <w:t xml:space="preserve">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2012 </w:t>
            </w:r>
            <w:sdt>
              <w:sdtPr>
                <w:rPr>
                  <w:rFonts w:ascii="Times New Roman" w:hAnsi="Times New Roman" w:cs="Times New Roman"/>
                  <w:sz w:val="16"/>
                  <w:szCs w:val="16"/>
                  <w:lang w:val="en-US"/>
                </w:rPr>
                <w:tag w:val="MENDELEY_CITATION_v3_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"/>
                <w:id w:val="1388151657"/>
                <w:placeholder>
                  <w:docPart w:val="102606E8DF364B53BB4A63877D9736E1"/>
                </w:placeholder>
              </w:sdtPr>
              <w:sdtContent>
                <w:r>
                  <w:rPr>
                    <w:rFonts w:ascii="Times New Roman" w:hAnsi="Times New Roman" w:cs="Times New Roman"/>
                    <w:sz w:val="16"/>
                    <w:szCs w:val="16"/>
                    <w:lang w:val="en-US"/>
                  </w:rPr>
                  <w:t>[48]</w:t>
                </w:r>
              </w:sdtContent>
            </w:sdt>
          </w:p>
        </w:tc>
        <w:tc>
          <w:tcPr>
            <w:tcW w:w="992" w:type="dxa"/>
            <w:tcBorders>
              <w:top w:val="single" w:sz="4" w:space="0" w:color="auto"/>
              <w:left w:val="single" w:sz="4" w:space="0" w:color="auto"/>
              <w:bottom w:val="single" w:sz="4" w:space="0" w:color="auto"/>
              <w:right w:val="single" w:sz="4" w:space="0" w:color="auto"/>
            </w:tcBorders>
            <w:hideMark/>
          </w:tcPr>
          <w:p w14:paraId="39489CED"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Nigeria </w:t>
            </w:r>
          </w:p>
        </w:tc>
        <w:tc>
          <w:tcPr>
            <w:tcW w:w="1134" w:type="dxa"/>
            <w:tcBorders>
              <w:top w:val="single" w:sz="4" w:space="0" w:color="auto"/>
              <w:left w:val="single" w:sz="4" w:space="0" w:color="auto"/>
              <w:bottom w:val="single" w:sz="4" w:space="0" w:color="auto"/>
              <w:right w:val="single" w:sz="4" w:space="0" w:color="auto"/>
            </w:tcBorders>
            <w:hideMark/>
          </w:tcPr>
          <w:p w14:paraId="31B90179"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 retrospective non-comparative interventional case series</w:t>
            </w:r>
          </w:p>
        </w:tc>
        <w:tc>
          <w:tcPr>
            <w:tcW w:w="897" w:type="dxa"/>
            <w:tcBorders>
              <w:top w:val="single" w:sz="4" w:space="0" w:color="auto"/>
              <w:left w:val="single" w:sz="4" w:space="0" w:color="auto"/>
              <w:bottom w:val="single" w:sz="4" w:space="0" w:color="auto"/>
              <w:right w:val="single" w:sz="4" w:space="0" w:color="auto"/>
            </w:tcBorders>
          </w:tcPr>
          <w:p w14:paraId="217A3C7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Eye</w:t>
            </w:r>
          </w:p>
          <w:p w14:paraId="696ECCA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Foundation Hospital, Lagos</w:t>
            </w:r>
          </w:p>
          <w:p w14:paraId="5AAE8660"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440" w:type="dxa"/>
            <w:tcBorders>
              <w:top w:val="single" w:sz="4" w:space="0" w:color="auto"/>
              <w:left w:val="single" w:sz="4" w:space="0" w:color="auto"/>
              <w:bottom w:val="single" w:sz="4" w:space="0" w:color="auto"/>
              <w:right w:val="single" w:sz="4" w:space="0" w:color="auto"/>
            </w:tcBorders>
            <w:hideMark/>
          </w:tcPr>
          <w:p w14:paraId="7465EAF0"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Patients who had surgery for RRD between June 2006 and December 2007. </w:t>
            </w:r>
          </w:p>
        </w:tc>
        <w:tc>
          <w:tcPr>
            <w:tcW w:w="1440" w:type="dxa"/>
            <w:tcBorders>
              <w:top w:val="single" w:sz="4" w:space="0" w:color="auto"/>
              <w:left w:val="single" w:sz="4" w:space="0" w:color="auto"/>
              <w:bottom w:val="single" w:sz="4" w:space="0" w:color="auto"/>
              <w:right w:val="single" w:sz="4" w:space="0" w:color="auto"/>
            </w:tcBorders>
            <w:hideMark/>
          </w:tcPr>
          <w:p w14:paraId="04F2DFC5"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Not stated</w:t>
            </w:r>
          </w:p>
        </w:tc>
        <w:tc>
          <w:tcPr>
            <w:tcW w:w="1468" w:type="dxa"/>
            <w:tcBorders>
              <w:top w:val="single" w:sz="4" w:space="0" w:color="auto"/>
              <w:left w:val="single" w:sz="4" w:space="0" w:color="auto"/>
              <w:bottom w:val="single" w:sz="4" w:space="0" w:color="auto"/>
              <w:right w:val="single" w:sz="4" w:space="0" w:color="auto"/>
            </w:tcBorders>
          </w:tcPr>
          <w:p w14:paraId="747F2F4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Four different types of surgical interventions were done. Combined 20-g PPV with SO exchange and SB was done in 11eyes (10.7%) while only SB with or without the drainage of subretinal fluid was done in 14 (13.6%) eyes, 77 eyes (74.8%) had 3PPV with SO exchange, while one eye (0.9%) had PPV with C</w:t>
            </w:r>
            <w:r>
              <w:rPr>
                <w:rFonts w:ascii="Times New Roman" w:eastAsia="Times New Roman" w:hAnsi="Times New Roman" w:cs="Times New Roman"/>
                <w:sz w:val="16"/>
                <w:szCs w:val="16"/>
                <w:vertAlign w:val="subscript"/>
                <w:lang w:val="en-US"/>
              </w:rPr>
              <w:t>3</w:t>
            </w:r>
            <w:r>
              <w:rPr>
                <w:rFonts w:ascii="Times New Roman" w:eastAsia="Times New Roman" w:hAnsi="Times New Roman" w:cs="Times New Roman"/>
                <w:sz w:val="16"/>
                <w:szCs w:val="16"/>
                <w:lang w:val="en-US"/>
              </w:rPr>
              <w:t>F</w:t>
            </w:r>
            <w:r>
              <w:rPr>
                <w:rFonts w:ascii="Times New Roman" w:eastAsia="Times New Roman" w:hAnsi="Times New Roman" w:cs="Times New Roman"/>
                <w:sz w:val="16"/>
                <w:szCs w:val="16"/>
                <w:vertAlign w:val="subscript"/>
                <w:lang w:val="en-US"/>
              </w:rPr>
              <w:t>8</w:t>
            </w:r>
            <w:r>
              <w:rPr>
                <w:rFonts w:ascii="Times New Roman" w:eastAsia="Times New Roman" w:hAnsi="Times New Roman" w:cs="Times New Roman"/>
                <w:sz w:val="16"/>
                <w:szCs w:val="16"/>
                <w:lang w:val="en-US"/>
              </w:rPr>
              <w:t xml:space="preserve"> gas for tamponade. </w:t>
            </w:r>
          </w:p>
          <w:p w14:paraId="4E4699A7"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417" w:type="dxa"/>
            <w:tcBorders>
              <w:top w:val="single" w:sz="4" w:space="0" w:color="auto"/>
              <w:left w:val="single" w:sz="4" w:space="0" w:color="auto"/>
              <w:bottom w:val="single" w:sz="4" w:space="0" w:color="auto"/>
              <w:right w:val="single" w:sz="4" w:space="0" w:color="auto"/>
            </w:tcBorders>
            <w:hideMark/>
          </w:tcPr>
          <w:p w14:paraId="05817F1A"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applicable </w:t>
            </w:r>
          </w:p>
        </w:tc>
        <w:tc>
          <w:tcPr>
            <w:tcW w:w="992" w:type="dxa"/>
            <w:tcBorders>
              <w:top w:val="single" w:sz="4" w:space="0" w:color="auto"/>
              <w:left w:val="single" w:sz="4" w:space="0" w:color="auto"/>
              <w:bottom w:val="single" w:sz="4" w:space="0" w:color="auto"/>
              <w:right w:val="single" w:sz="4" w:space="0" w:color="auto"/>
            </w:tcBorders>
            <w:hideMark/>
          </w:tcPr>
          <w:p w14:paraId="53F5BD58"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Nine eyes (8.7%)</w:t>
            </w:r>
          </w:p>
        </w:tc>
        <w:tc>
          <w:tcPr>
            <w:tcW w:w="1276" w:type="dxa"/>
            <w:tcBorders>
              <w:top w:val="single" w:sz="4" w:space="0" w:color="auto"/>
              <w:left w:val="single" w:sz="4" w:space="0" w:color="auto"/>
              <w:bottom w:val="single" w:sz="4" w:space="0" w:color="auto"/>
              <w:right w:val="single" w:sz="4" w:space="0" w:color="auto"/>
            </w:tcBorders>
          </w:tcPr>
          <w:p w14:paraId="156DBBF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Range = Three </w:t>
            </w:r>
            <w:r>
              <w:rPr>
                <w:rFonts w:ascii="Times New Roman" w:hAnsi="Times New Roman" w:cs="Times New Roman"/>
                <w:sz w:val="16"/>
                <w:szCs w:val="16"/>
                <w:shd w:val="clear" w:color="auto" w:fill="FFFFFF"/>
                <w:lang w:val="en-US"/>
              </w:rPr>
              <w:t>-</w:t>
            </w:r>
            <w:r>
              <w:rPr>
                <w:rFonts w:ascii="Times New Roman" w:eastAsia="Times New Roman" w:hAnsi="Times New Roman" w:cs="Times New Roman"/>
                <w:sz w:val="16"/>
                <w:szCs w:val="16"/>
                <w:lang w:val="en-US"/>
              </w:rPr>
              <w:t>24 months,</w:t>
            </w:r>
          </w:p>
          <w:p w14:paraId="2DD0311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mean = 8.3 </w:t>
            </w:r>
            <w:r>
              <w:rPr>
                <w:rFonts w:ascii="Times New Roman" w:hAnsi="Times New Roman" w:cs="Times New Roman"/>
                <w:sz w:val="16"/>
                <w:szCs w:val="16"/>
                <w:shd w:val="clear" w:color="auto" w:fill="FFFFFF"/>
                <w:lang w:val="en-US"/>
              </w:rPr>
              <w:t xml:space="preserve">± </w:t>
            </w:r>
            <w:r>
              <w:rPr>
                <w:rFonts w:ascii="Times New Roman" w:eastAsia="Times New Roman" w:hAnsi="Times New Roman" w:cs="Times New Roman"/>
                <w:sz w:val="16"/>
                <w:szCs w:val="16"/>
                <w:lang w:val="en-US"/>
              </w:rPr>
              <w:t xml:space="preserve">5.9 months. </w:t>
            </w:r>
          </w:p>
          <w:p w14:paraId="26F83B10" w14:textId="77777777" w:rsidR="003A4529" w:rsidRDefault="003A4529">
            <w:pPr>
              <w:spacing w:line="276" w:lineRule="auto"/>
              <w:rPr>
                <w:rFonts w:ascii="Times New Roman" w:hAnsi="Times New Roman" w:cs="Times New Roman"/>
                <w:sz w:val="16"/>
                <w:szCs w:val="16"/>
                <w:shd w:val="clear" w:color="auto" w:fill="FFFFFF"/>
                <w:lang w:val="en-US"/>
              </w:rPr>
            </w:pPr>
          </w:p>
        </w:tc>
        <w:tc>
          <w:tcPr>
            <w:tcW w:w="992" w:type="dxa"/>
            <w:tcBorders>
              <w:top w:val="single" w:sz="4" w:space="0" w:color="auto"/>
              <w:left w:val="single" w:sz="4" w:space="0" w:color="auto"/>
              <w:bottom w:val="single" w:sz="4" w:space="0" w:color="auto"/>
              <w:right w:val="single" w:sz="4" w:space="0" w:color="auto"/>
            </w:tcBorders>
            <w:hideMark/>
          </w:tcPr>
          <w:p w14:paraId="1BFEAA62"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103</w:t>
            </w:r>
          </w:p>
        </w:tc>
        <w:tc>
          <w:tcPr>
            <w:tcW w:w="993" w:type="dxa"/>
            <w:tcBorders>
              <w:top w:val="single" w:sz="4" w:space="0" w:color="auto"/>
              <w:left w:val="single" w:sz="4" w:space="0" w:color="auto"/>
              <w:bottom w:val="single" w:sz="4" w:space="0" w:color="auto"/>
              <w:right w:val="single" w:sz="4" w:space="0" w:color="auto"/>
            </w:tcBorders>
            <w:hideMark/>
          </w:tcPr>
          <w:p w14:paraId="13DB35B7"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103</w:t>
            </w:r>
          </w:p>
        </w:tc>
      </w:tr>
      <w:tr w:rsidR="003A4529" w14:paraId="3CDA7CF3"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6640414D"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 Ambiya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2018 </w:t>
            </w:r>
            <w:sdt>
              <w:sdtPr>
                <w:rPr>
                  <w:rFonts w:ascii="Times New Roman" w:hAnsi="Times New Roman" w:cs="Times New Roman"/>
                  <w:sz w:val="16"/>
                  <w:szCs w:val="16"/>
                  <w:lang w:val="en-US"/>
                </w:rPr>
                <w:tag w:val="MENDELEY_CITATION_v3_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"/>
                <w:id w:val="703441842"/>
                <w:placeholder>
                  <w:docPart w:val="102606E8DF364B53BB4A63877D9736E1"/>
                </w:placeholder>
              </w:sdtPr>
              <w:sdtContent>
                <w:r>
                  <w:rPr>
                    <w:rFonts w:ascii="Times New Roman" w:hAnsi="Times New Roman" w:cs="Times New Roman"/>
                    <w:sz w:val="16"/>
                    <w:szCs w:val="16"/>
                    <w:lang w:val="en-US"/>
                  </w:rPr>
                  <w:t>[49]</w:t>
                </w:r>
              </w:sdtContent>
            </w:sdt>
          </w:p>
        </w:tc>
        <w:tc>
          <w:tcPr>
            <w:tcW w:w="992" w:type="dxa"/>
            <w:tcBorders>
              <w:top w:val="single" w:sz="4" w:space="0" w:color="auto"/>
              <w:left w:val="single" w:sz="4" w:space="0" w:color="auto"/>
              <w:bottom w:val="single" w:sz="4" w:space="0" w:color="auto"/>
              <w:right w:val="single" w:sz="4" w:space="0" w:color="auto"/>
            </w:tcBorders>
            <w:hideMark/>
          </w:tcPr>
          <w:p w14:paraId="4A162201"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India </w:t>
            </w:r>
          </w:p>
        </w:tc>
        <w:tc>
          <w:tcPr>
            <w:tcW w:w="1134" w:type="dxa"/>
            <w:tcBorders>
              <w:top w:val="single" w:sz="4" w:space="0" w:color="auto"/>
              <w:left w:val="single" w:sz="4" w:space="0" w:color="auto"/>
              <w:bottom w:val="single" w:sz="4" w:space="0" w:color="auto"/>
              <w:right w:val="single" w:sz="4" w:space="0" w:color="auto"/>
            </w:tcBorders>
            <w:hideMark/>
          </w:tcPr>
          <w:p w14:paraId="4E2363F1"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A retrospective cohort study </w:t>
            </w:r>
          </w:p>
        </w:tc>
        <w:tc>
          <w:tcPr>
            <w:tcW w:w="897" w:type="dxa"/>
            <w:tcBorders>
              <w:top w:val="single" w:sz="4" w:space="0" w:color="auto"/>
              <w:left w:val="single" w:sz="4" w:space="0" w:color="auto"/>
              <w:bottom w:val="single" w:sz="4" w:space="0" w:color="auto"/>
              <w:right w:val="single" w:sz="4" w:space="0" w:color="auto"/>
            </w:tcBorders>
          </w:tcPr>
          <w:p w14:paraId="3EBDFDC0" w14:textId="77777777" w:rsidR="003A4529" w:rsidRDefault="003A4529">
            <w:pPr>
              <w:shd w:val="clear" w:color="auto" w:fill="FFFFFF"/>
              <w:spacing w:line="276" w:lineRule="auto"/>
              <w:rPr>
                <w:rFonts w:ascii="Times New Roman" w:eastAsia="Times New Roman" w:hAnsi="Times New Roman" w:cs="Times New Roman"/>
                <w:sz w:val="16"/>
                <w:szCs w:val="16"/>
                <w:lang w:val="es-MX"/>
              </w:rPr>
            </w:pPr>
            <w:r>
              <w:rPr>
                <w:rFonts w:ascii="Times New Roman" w:eastAsia="Times New Roman" w:hAnsi="Times New Roman" w:cs="Times New Roman"/>
                <w:sz w:val="16"/>
                <w:szCs w:val="16"/>
                <w:lang w:val="es-MX"/>
              </w:rPr>
              <w:t xml:space="preserve">L. V. </w:t>
            </w:r>
            <w:proofErr w:type="spellStart"/>
            <w:r>
              <w:rPr>
                <w:rFonts w:ascii="Times New Roman" w:eastAsia="Times New Roman" w:hAnsi="Times New Roman" w:cs="Times New Roman"/>
                <w:sz w:val="16"/>
                <w:szCs w:val="16"/>
                <w:lang w:val="es-MX"/>
              </w:rPr>
              <w:t>Prasad</w:t>
            </w:r>
            <w:proofErr w:type="spellEnd"/>
            <w:r>
              <w:rPr>
                <w:rFonts w:ascii="Times New Roman" w:eastAsia="Times New Roman" w:hAnsi="Times New Roman" w:cs="Times New Roman"/>
                <w:sz w:val="16"/>
                <w:szCs w:val="16"/>
                <w:lang w:val="es-MX"/>
              </w:rPr>
              <w:t xml:space="preserve"> </w:t>
            </w:r>
            <w:proofErr w:type="spellStart"/>
            <w:r>
              <w:rPr>
                <w:rFonts w:ascii="Times New Roman" w:eastAsia="Times New Roman" w:hAnsi="Times New Roman" w:cs="Times New Roman"/>
                <w:sz w:val="16"/>
                <w:szCs w:val="16"/>
                <w:lang w:val="es-MX"/>
              </w:rPr>
              <w:t>Eye</w:t>
            </w:r>
            <w:proofErr w:type="spellEnd"/>
            <w:r>
              <w:rPr>
                <w:rFonts w:ascii="Times New Roman" w:eastAsia="Times New Roman" w:hAnsi="Times New Roman" w:cs="Times New Roman"/>
                <w:sz w:val="16"/>
                <w:szCs w:val="16"/>
                <w:lang w:val="es-MX"/>
              </w:rPr>
              <w:t xml:space="preserve"> </w:t>
            </w:r>
            <w:proofErr w:type="spellStart"/>
            <w:r>
              <w:rPr>
                <w:rFonts w:ascii="Times New Roman" w:eastAsia="Times New Roman" w:hAnsi="Times New Roman" w:cs="Times New Roman"/>
                <w:sz w:val="16"/>
                <w:szCs w:val="16"/>
                <w:lang w:val="es-MX"/>
              </w:rPr>
              <w:t>Institute</w:t>
            </w:r>
            <w:proofErr w:type="spellEnd"/>
            <w:r>
              <w:rPr>
                <w:rFonts w:ascii="Times New Roman" w:eastAsia="Times New Roman" w:hAnsi="Times New Roman" w:cs="Times New Roman"/>
                <w:sz w:val="16"/>
                <w:szCs w:val="16"/>
                <w:lang w:val="es-MX"/>
              </w:rPr>
              <w:t>,</w:t>
            </w:r>
          </w:p>
          <w:p w14:paraId="19BC897E"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Hyderabad</w:t>
            </w:r>
          </w:p>
          <w:p w14:paraId="70F358F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440" w:type="dxa"/>
            <w:tcBorders>
              <w:top w:val="single" w:sz="4" w:space="0" w:color="auto"/>
              <w:left w:val="single" w:sz="4" w:space="0" w:color="auto"/>
              <w:bottom w:val="single" w:sz="4" w:space="0" w:color="auto"/>
              <w:right w:val="single" w:sz="4" w:space="0" w:color="auto"/>
            </w:tcBorders>
          </w:tcPr>
          <w:p w14:paraId="42A93D1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Patients</w:t>
            </w:r>
          </w:p>
          <w:p w14:paraId="719AA10E"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≥18 years; recurrent RD following PPV with or</w:t>
            </w:r>
          </w:p>
          <w:p w14:paraId="54218B4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without encircling band for RRD; etiologies for RRD being primary rhegmatogenous, trauma, GRT, high myopia, and </w:t>
            </w:r>
            <w:r>
              <w:rPr>
                <w:rFonts w:ascii="Times New Roman" w:eastAsia="Times New Roman" w:hAnsi="Times New Roman" w:cs="Times New Roman"/>
                <w:sz w:val="16"/>
                <w:szCs w:val="16"/>
                <w:lang w:val="en-US"/>
              </w:rPr>
              <w:lastRenderedPageBreak/>
              <w:t>cataract/cornea/glaucoma-related surgical</w:t>
            </w:r>
          </w:p>
          <w:p w14:paraId="25E8D99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procedures.</w:t>
            </w:r>
          </w:p>
          <w:p w14:paraId="70EF610C"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440" w:type="dxa"/>
            <w:tcBorders>
              <w:top w:val="single" w:sz="4" w:space="0" w:color="auto"/>
              <w:left w:val="single" w:sz="4" w:space="0" w:color="auto"/>
              <w:bottom w:val="single" w:sz="4" w:space="0" w:color="auto"/>
              <w:right w:val="single" w:sz="4" w:space="0" w:color="auto"/>
            </w:tcBorders>
          </w:tcPr>
          <w:p w14:paraId="2A6AED3E"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 xml:space="preserve">Patients were excluded if their age </w:t>
            </w:r>
            <w:proofErr w:type="gramStart"/>
            <w:r>
              <w:rPr>
                <w:rFonts w:ascii="Times New Roman" w:eastAsia="Times New Roman" w:hAnsi="Times New Roman" w:cs="Times New Roman"/>
                <w:sz w:val="16"/>
                <w:szCs w:val="16"/>
                <w:lang w:val="en-US"/>
              </w:rPr>
              <w:t>was</w:t>
            </w:r>
            <w:proofErr w:type="gramEnd"/>
          </w:p>
          <w:p w14:paraId="631C1BF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&lt;18 years, RD was tractional, exudative, combined,</w:t>
            </w:r>
          </w:p>
          <w:p w14:paraId="4868E423"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post-scleral-buckle or secondary to</w:t>
            </w:r>
          </w:p>
          <w:p w14:paraId="7B04E8A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endophthalmitis</w:t>
            </w:r>
          </w:p>
          <w:p w14:paraId="065E5BFD"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468" w:type="dxa"/>
            <w:tcBorders>
              <w:top w:val="single" w:sz="4" w:space="0" w:color="auto"/>
              <w:left w:val="single" w:sz="4" w:space="0" w:color="auto"/>
              <w:bottom w:val="single" w:sz="4" w:space="0" w:color="auto"/>
              <w:right w:val="single" w:sz="4" w:space="0" w:color="auto"/>
            </w:tcBorders>
            <w:hideMark/>
          </w:tcPr>
          <w:p w14:paraId="6CFB9C33"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PPV with or without encircling band </w:t>
            </w:r>
          </w:p>
        </w:tc>
        <w:tc>
          <w:tcPr>
            <w:tcW w:w="1417" w:type="dxa"/>
            <w:tcBorders>
              <w:top w:val="single" w:sz="4" w:space="0" w:color="auto"/>
              <w:left w:val="single" w:sz="4" w:space="0" w:color="auto"/>
              <w:bottom w:val="single" w:sz="4" w:space="0" w:color="auto"/>
              <w:right w:val="single" w:sz="4" w:space="0" w:color="auto"/>
            </w:tcBorders>
            <w:hideMark/>
          </w:tcPr>
          <w:p w14:paraId="0BA43F93"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Not applicable</w:t>
            </w:r>
          </w:p>
        </w:tc>
        <w:tc>
          <w:tcPr>
            <w:tcW w:w="992" w:type="dxa"/>
            <w:tcBorders>
              <w:top w:val="single" w:sz="4" w:space="0" w:color="auto"/>
              <w:left w:val="single" w:sz="4" w:space="0" w:color="auto"/>
              <w:bottom w:val="single" w:sz="4" w:space="0" w:color="auto"/>
              <w:right w:val="single" w:sz="4" w:space="0" w:color="auto"/>
            </w:tcBorders>
            <w:hideMark/>
          </w:tcPr>
          <w:p w14:paraId="3727A55F"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Six (4.51%) eyes</w:t>
            </w:r>
          </w:p>
        </w:tc>
        <w:tc>
          <w:tcPr>
            <w:tcW w:w="1276" w:type="dxa"/>
            <w:tcBorders>
              <w:top w:val="single" w:sz="4" w:space="0" w:color="auto"/>
              <w:left w:val="single" w:sz="4" w:space="0" w:color="auto"/>
              <w:bottom w:val="single" w:sz="4" w:space="0" w:color="auto"/>
              <w:right w:val="single" w:sz="4" w:space="0" w:color="auto"/>
            </w:tcBorders>
          </w:tcPr>
          <w:p w14:paraId="0700057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Mean ± SD = 20.06 ± 12.54months</w:t>
            </w:r>
          </w:p>
          <w:p w14:paraId="26DEFC9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992" w:type="dxa"/>
            <w:tcBorders>
              <w:top w:val="single" w:sz="4" w:space="0" w:color="auto"/>
              <w:left w:val="single" w:sz="4" w:space="0" w:color="auto"/>
              <w:bottom w:val="single" w:sz="4" w:space="0" w:color="auto"/>
              <w:right w:val="single" w:sz="4" w:space="0" w:color="auto"/>
            </w:tcBorders>
            <w:hideMark/>
          </w:tcPr>
          <w:p w14:paraId="538D6D45"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993" w:type="dxa"/>
            <w:tcBorders>
              <w:top w:val="single" w:sz="4" w:space="0" w:color="auto"/>
              <w:left w:val="single" w:sz="4" w:space="0" w:color="auto"/>
              <w:bottom w:val="single" w:sz="4" w:space="0" w:color="auto"/>
              <w:right w:val="single" w:sz="4" w:space="0" w:color="auto"/>
            </w:tcBorders>
            <w:hideMark/>
          </w:tcPr>
          <w:p w14:paraId="73A5DB49"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133</w:t>
            </w:r>
          </w:p>
        </w:tc>
      </w:tr>
      <w:tr w:rsidR="003A4529" w14:paraId="00443FE8"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24F852D1"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Tabandeh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2019 </w:t>
            </w:r>
            <w:sdt>
              <w:sdtPr>
                <w:rPr>
                  <w:rFonts w:ascii="Times New Roman" w:hAnsi="Times New Roman" w:cs="Times New Roman"/>
                  <w:sz w:val="16"/>
                  <w:szCs w:val="16"/>
                  <w:lang w:val="en-US"/>
                </w:rPr>
                <w:tag w:val="MENDELEY_CITATION_v3_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"/>
                <w:id w:val="280689147"/>
                <w:placeholder>
                  <w:docPart w:val="102606E8DF364B53BB4A63877D9736E1"/>
                </w:placeholder>
              </w:sdtPr>
              <w:sdtContent>
                <w:r>
                  <w:rPr>
                    <w:rFonts w:ascii="Times New Roman" w:hAnsi="Times New Roman" w:cs="Times New Roman"/>
                    <w:sz w:val="16"/>
                    <w:szCs w:val="16"/>
                    <w:lang w:val="en-US"/>
                  </w:rPr>
                  <w:t>[50]</w:t>
                </w:r>
              </w:sdtContent>
            </w:sdt>
          </w:p>
        </w:tc>
        <w:tc>
          <w:tcPr>
            <w:tcW w:w="992" w:type="dxa"/>
            <w:tcBorders>
              <w:top w:val="single" w:sz="4" w:space="0" w:color="auto"/>
              <w:left w:val="single" w:sz="4" w:space="0" w:color="auto"/>
              <w:bottom w:val="single" w:sz="4" w:space="0" w:color="auto"/>
              <w:right w:val="single" w:sz="4" w:space="0" w:color="auto"/>
            </w:tcBorders>
            <w:hideMark/>
          </w:tcPr>
          <w:p w14:paraId="658DDBEA"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shd w:val="clear" w:color="auto" w:fill="FFFFFF"/>
                <w:lang w:val="en-US"/>
              </w:rPr>
              <w:t>The United States of America</w:t>
            </w:r>
          </w:p>
        </w:tc>
        <w:tc>
          <w:tcPr>
            <w:tcW w:w="1134" w:type="dxa"/>
            <w:tcBorders>
              <w:top w:val="single" w:sz="4" w:space="0" w:color="auto"/>
              <w:left w:val="single" w:sz="4" w:space="0" w:color="auto"/>
              <w:bottom w:val="single" w:sz="4" w:space="0" w:color="auto"/>
              <w:right w:val="single" w:sz="4" w:space="0" w:color="auto"/>
            </w:tcBorders>
            <w:hideMark/>
          </w:tcPr>
          <w:p w14:paraId="0E3A7E7F"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 retrospective, consecutive case series</w:t>
            </w:r>
          </w:p>
        </w:tc>
        <w:tc>
          <w:tcPr>
            <w:tcW w:w="897" w:type="dxa"/>
            <w:tcBorders>
              <w:top w:val="single" w:sz="4" w:space="0" w:color="auto"/>
              <w:left w:val="single" w:sz="4" w:space="0" w:color="auto"/>
              <w:bottom w:val="single" w:sz="4" w:space="0" w:color="auto"/>
              <w:right w:val="single" w:sz="4" w:space="0" w:color="auto"/>
            </w:tcBorders>
          </w:tcPr>
          <w:p w14:paraId="7513837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Good Samaritan</w:t>
            </w:r>
          </w:p>
          <w:p w14:paraId="08A8127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Hospital, Los Angeles, California, USA</w:t>
            </w:r>
          </w:p>
          <w:p w14:paraId="32D9917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440" w:type="dxa"/>
            <w:tcBorders>
              <w:top w:val="single" w:sz="4" w:space="0" w:color="auto"/>
              <w:left w:val="single" w:sz="4" w:space="0" w:color="auto"/>
              <w:bottom w:val="single" w:sz="4" w:space="0" w:color="auto"/>
              <w:right w:val="single" w:sz="4" w:space="0" w:color="auto"/>
            </w:tcBorders>
          </w:tcPr>
          <w:p w14:paraId="5FAF209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Patients who underwent PPV for the management</w:t>
            </w:r>
          </w:p>
          <w:p w14:paraId="5C82BCF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of RRD between January 2007 and September 2016, including RD associated with high myopia, GRT and </w:t>
            </w:r>
            <w:proofErr w:type="gramStart"/>
            <w:r>
              <w:rPr>
                <w:rFonts w:ascii="Times New Roman" w:eastAsia="Times New Roman" w:hAnsi="Times New Roman" w:cs="Times New Roman"/>
                <w:sz w:val="16"/>
                <w:szCs w:val="16"/>
                <w:lang w:val="en-US"/>
              </w:rPr>
              <w:t>failed</w:t>
            </w:r>
            <w:proofErr w:type="gramEnd"/>
          </w:p>
          <w:p w14:paraId="1E99183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previous RD surgeries.</w:t>
            </w:r>
          </w:p>
          <w:p w14:paraId="7242DBCE"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440" w:type="dxa"/>
            <w:tcBorders>
              <w:top w:val="single" w:sz="4" w:space="0" w:color="auto"/>
              <w:left w:val="single" w:sz="4" w:space="0" w:color="auto"/>
              <w:bottom w:val="single" w:sz="4" w:space="0" w:color="auto"/>
              <w:right w:val="single" w:sz="4" w:space="0" w:color="auto"/>
            </w:tcBorders>
          </w:tcPr>
          <w:p w14:paraId="09F7684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Patients younger</w:t>
            </w:r>
          </w:p>
          <w:p w14:paraId="7367F16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than 18 years, eyes with PDR, RD associated with open globe injury and cases with follow-up period less than three months </w:t>
            </w:r>
            <w:proofErr w:type="gramStart"/>
            <w:r>
              <w:rPr>
                <w:rFonts w:ascii="Times New Roman" w:eastAsia="Times New Roman" w:hAnsi="Times New Roman" w:cs="Times New Roman"/>
                <w:sz w:val="16"/>
                <w:szCs w:val="16"/>
                <w:lang w:val="en-US"/>
              </w:rPr>
              <w:t>were</w:t>
            </w:r>
            <w:proofErr w:type="gramEnd"/>
          </w:p>
          <w:p w14:paraId="75A53AE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excluded from the study. </w:t>
            </w:r>
          </w:p>
          <w:p w14:paraId="5ED0E61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468" w:type="dxa"/>
            <w:tcBorders>
              <w:top w:val="single" w:sz="4" w:space="0" w:color="auto"/>
              <w:left w:val="single" w:sz="4" w:space="0" w:color="auto"/>
              <w:bottom w:val="single" w:sz="4" w:space="0" w:color="auto"/>
              <w:right w:val="single" w:sz="4" w:space="0" w:color="auto"/>
            </w:tcBorders>
          </w:tcPr>
          <w:p w14:paraId="0F18C3A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The surgical technique included 27-g PPV (10), 25-g PPV (103) and 23-g PPV (199). Adjunct SB procedure </w:t>
            </w:r>
            <w:proofErr w:type="gramStart"/>
            <w:r>
              <w:rPr>
                <w:rFonts w:ascii="Times New Roman" w:eastAsia="Times New Roman" w:hAnsi="Times New Roman" w:cs="Times New Roman"/>
                <w:sz w:val="16"/>
                <w:szCs w:val="16"/>
                <w:lang w:val="en-US"/>
              </w:rPr>
              <w:t>was</w:t>
            </w:r>
            <w:proofErr w:type="gramEnd"/>
          </w:p>
          <w:p w14:paraId="44176ED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performed in 106 (34%) eyes. Tamponade agents </w:t>
            </w:r>
            <w:proofErr w:type="gramStart"/>
            <w:r>
              <w:rPr>
                <w:rFonts w:ascii="Times New Roman" w:eastAsia="Times New Roman" w:hAnsi="Times New Roman" w:cs="Times New Roman"/>
                <w:sz w:val="16"/>
                <w:szCs w:val="16"/>
                <w:lang w:val="en-US"/>
              </w:rPr>
              <w:t>included  SF</w:t>
            </w:r>
            <w:proofErr w:type="gramEnd"/>
            <w:r>
              <w:rPr>
                <w:rFonts w:ascii="Times New Roman" w:eastAsia="Times New Roman" w:hAnsi="Times New Roman" w:cs="Times New Roman"/>
                <w:sz w:val="16"/>
                <w:szCs w:val="16"/>
                <w:vertAlign w:val="subscript"/>
                <w:lang w:val="en-US"/>
              </w:rPr>
              <w:t>6</w:t>
            </w:r>
            <w:r>
              <w:rPr>
                <w:rFonts w:ascii="Times New Roman" w:eastAsia="Times New Roman" w:hAnsi="Times New Roman" w:cs="Times New Roman"/>
                <w:sz w:val="16"/>
                <w:szCs w:val="16"/>
                <w:lang w:val="en-US"/>
              </w:rPr>
              <w:t xml:space="preserve"> gas in 16 (5%) eyes, C</w:t>
            </w:r>
            <w:r>
              <w:rPr>
                <w:rFonts w:ascii="Times New Roman" w:eastAsia="Times New Roman" w:hAnsi="Times New Roman" w:cs="Times New Roman"/>
                <w:sz w:val="16"/>
                <w:szCs w:val="16"/>
                <w:vertAlign w:val="subscript"/>
                <w:lang w:val="en-US"/>
              </w:rPr>
              <w:t>3</w:t>
            </w:r>
            <w:r>
              <w:rPr>
                <w:rFonts w:ascii="Times New Roman" w:eastAsia="Times New Roman" w:hAnsi="Times New Roman" w:cs="Times New Roman"/>
                <w:sz w:val="16"/>
                <w:szCs w:val="16"/>
                <w:lang w:val="en-US"/>
              </w:rPr>
              <w:t>F</w:t>
            </w:r>
            <w:r>
              <w:rPr>
                <w:rFonts w:ascii="Times New Roman" w:eastAsia="Times New Roman" w:hAnsi="Times New Roman" w:cs="Times New Roman"/>
                <w:sz w:val="16"/>
                <w:szCs w:val="16"/>
                <w:vertAlign w:val="subscript"/>
                <w:lang w:val="en-US"/>
              </w:rPr>
              <w:t>8</w:t>
            </w:r>
            <w:r>
              <w:rPr>
                <w:rFonts w:ascii="Times New Roman" w:eastAsia="Times New Roman" w:hAnsi="Times New Roman" w:cs="Times New Roman"/>
                <w:sz w:val="16"/>
                <w:szCs w:val="16"/>
                <w:lang w:val="en-US"/>
              </w:rPr>
              <w:t xml:space="preserve"> gas in 206 (66%) eyes, SO in 89 (29%) eyes and air in one eye</w:t>
            </w:r>
          </w:p>
          <w:p w14:paraId="5204AB7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417" w:type="dxa"/>
            <w:tcBorders>
              <w:top w:val="single" w:sz="4" w:space="0" w:color="auto"/>
              <w:left w:val="single" w:sz="4" w:space="0" w:color="auto"/>
              <w:bottom w:val="single" w:sz="4" w:space="0" w:color="auto"/>
              <w:right w:val="single" w:sz="4" w:space="0" w:color="auto"/>
            </w:tcBorders>
            <w:hideMark/>
          </w:tcPr>
          <w:p w14:paraId="1831C666"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applicable </w:t>
            </w:r>
          </w:p>
        </w:tc>
        <w:tc>
          <w:tcPr>
            <w:tcW w:w="992" w:type="dxa"/>
            <w:tcBorders>
              <w:top w:val="single" w:sz="4" w:space="0" w:color="auto"/>
              <w:left w:val="single" w:sz="4" w:space="0" w:color="auto"/>
              <w:bottom w:val="single" w:sz="4" w:space="0" w:color="auto"/>
              <w:right w:val="single" w:sz="4" w:space="0" w:color="auto"/>
            </w:tcBorders>
            <w:hideMark/>
          </w:tcPr>
          <w:p w14:paraId="4895014F"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14 eyes (5%)</w:t>
            </w:r>
          </w:p>
        </w:tc>
        <w:tc>
          <w:tcPr>
            <w:tcW w:w="1276" w:type="dxa"/>
            <w:tcBorders>
              <w:top w:val="single" w:sz="4" w:space="0" w:color="auto"/>
              <w:left w:val="single" w:sz="4" w:space="0" w:color="auto"/>
              <w:bottom w:val="single" w:sz="4" w:space="0" w:color="auto"/>
              <w:right w:val="single" w:sz="4" w:space="0" w:color="auto"/>
            </w:tcBorders>
            <w:hideMark/>
          </w:tcPr>
          <w:p w14:paraId="17600DC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Mean = 23.1 months</w:t>
            </w:r>
          </w:p>
        </w:tc>
        <w:tc>
          <w:tcPr>
            <w:tcW w:w="992" w:type="dxa"/>
            <w:tcBorders>
              <w:top w:val="single" w:sz="4" w:space="0" w:color="auto"/>
              <w:left w:val="single" w:sz="4" w:space="0" w:color="auto"/>
              <w:bottom w:val="single" w:sz="4" w:space="0" w:color="auto"/>
              <w:right w:val="single" w:sz="4" w:space="0" w:color="auto"/>
            </w:tcBorders>
            <w:hideMark/>
          </w:tcPr>
          <w:p w14:paraId="5AFCD86A"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302</w:t>
            </w:r>
          </w:p>
        </w:tc>
        <w:tc>
          <w:tcPr>
            <w:tcW w:w="993" w:type="dxa"/>
            <w:tcBorders>
              <w:top w:val="single" w:sz="4" w:space="0" w:color="auto"/>
              <w:left w:val="single" w:sz="4" w:space="0" w:color="auto"/>
              <w:bottom w:val="single" w:sz="4" w:space="0" w:color="auto"/>
              <w:right w:val="single" w:sz="4" w:space="0" w:color="auto"/>
            </w:tcBorders>
            <w:hideMark/>
          </w:tcPr>
          <w:p w14:paraId="31074DE6"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312</w:t>
            </w:r>
          </w:p>
        </w:tc>
      </w:tr>
      <w:tr w:rsidR="003A4529" w14:paraId="46AB6C40"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55546878"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 Ali TR. 2014 </w:t>
            </w:r>
            <w:sdt>
              <w:sdtPr>
                <w:rPr>
                  <w:rFonts w:ascii="Times New Roman" w:hAnsi="Times New Roman" w:cs="Times New Roman"/>
                  <w:sz w:val="16"/>
                  <w:szCs w:val="16"/>
                  <w:lang w:val="en-US"/>
                </w:rPr>
                <w:tag w:val="MENDELEY_CITATION_v3_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"/>
                <w:id w:val="-1143817202"/>
                <w:placeholder>
                  <w:docPart w:val="102606E8DF364B53BB4A63877D9736E1"/>
                </w:placeholder>
              </w:sdtPr>
              <w:sdtContent>
                <w:r>
                  <w:rPr>
                    <w:rFonts w:ascii="Times New Roman" w:hAnsi="Times New Roman" w:cs="Times New Roman"/>
                    <w:sz w:val="16"/>
                    <w:szCs w:val="16"/>
                    <w:lang w:val="en-US"/>
                  </w:rPr>
                  <w:t>[51]</w:t>
                </w:r>
              </w:sdtContent>
            </w:sdt>
          </w:p>
        </w:tc>
        <w:tc>
          <w:tcPr>
            <w:tcW w:w="992" w:type="dxa"/>
            <w:tcBorders>
              <w:top w:val="single" w:sz="4" w:space="0" w:color="auto"/>
              <w:left w:val="single" w:sz="4" w:space="0" w:color="auto"/>
              <w:bottom w:val="single" w:sz="4" w:space="0" w:color="auto"/>
              <w:right w:val="single" w:sz="4" w:space="0" w:color="auto"/>
            </w:tcBorders>
            <w:hideMark/>
          </w:tcPr>
          <w:p w14:paraId="22389E7C"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Bangladesh</w:t>
            </w:r>
          </w:p>
        </w:tc>
        <w:tc>
          <w:tcPr>
            <w:tcW w:w="1134" w:type="dxa"/>
            <w:tcBorders>
              <w:top w:val="single" w:sz="4" w:space="0" w:color="auto"/>
              <w:left w:val="single" w:sz="4" w:space="0" w:color="auto"/>
              <w:bottom w:val="single" w:sz="4" w:space="0" w:color="auto"/>
              <w:right w:val="single" w:sz="4" w:space="0" w:color="auto"/>
            </w:tcBorders>
            <w:hideMark/>
          </w:tcPr>
          <w:p w14:paraId="7124C992"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 prospective cohort study</w:t>
            </w:r>
          </w:p>
        </w:tc>
        <w:tc>
          <w:tcPr>
            <w:tcW w:w="897" w:type="dxa"/>
            <w:tcBorders>
              <w:top w:val="single" w:sz="4" w:space="0" w:color="auto"/>
              <w:left w:val="single" w:sz="4" w:space="0" w:color="auto"/>
              <w:bottom w:val="single" w:sz="4" w:space="0" w:color="auto"/>
              <w:right w:val="single" w:sz="4" w:space="0" w:color="auto"/>
            </w:tcBorders>
            <w:hideMark/>
          </w:tcPr>
          <w:p w14:paraId="2B55CDA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stated </w:t>
            </w:r>
          </w:p>
        </w:tc>
        <w:tc>
          <w:tcPr>
            <w:tcW w:w="1440" w:type="dxa"/>
            <w:tcBorders>
              <w:top w:val="single" w:sz="4" w:space="0" w:color="auto"/>
              <w:left w:val="single" w:sz="4" w:space="0" w:color="auto"/>
              <w:bottom w:val="single" w:sz="4" w:space="0" w:color="auto"/>
              <w:right w:val="single" w:sz="4" w:space="0" w:color="auto"/>
            </w:tcBorders>
            <w:hideMark/>
          </w:tcPr>
          <w:p w14:paraId="15BFD4B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Cases with at least six months of follow-up, retinal breaks comprised any of the following:</w:t>
            </w:r>
          </w:p>
          <w:p w14:paraId="7B4F4D4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roofErr w:type="spellStart"/>
            <w:r>
              <w:rPr>
                <w:rFonts w:ascii="Times New Roman" w:eastAsia="Times New Roman" w:hAnsi="Times New Roman" w:cs="Times New Roman"/>
                <w:sz w:val="16"/>
                <w:szCs w:val="16"/>
                <w:lang w:val="en-US"/>
              </w:rPr>
              <w:t>i</w:t>
            </w:r>
            <w:proofErr w:type="spellEnd"/>
            <w:r>
              <w:rPr>
                <w:rFonts w:ascii="Times New Roman" w:eastAsia="Times New Roman" w:hAnsi="Times New Roman" w:cs="Times New Roman"/>
                <w:sz w:val="16"/>
                <w:szCs w:val="16"/>
                <w:lang w:val="en-US"/>
              </w:rPr>
              <w:t>) A GRT (a break ≥ three retinal clock hours)</w:t>
            </w:r>
          </w:p>
          <w:p w14:paraId="2C54D23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ii) Breaks of any size or number, so long as at</w:t>
            </w:r>
          </w:p>
          <w:p w14:paraId="4D10989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least one is in the inferior </w:t>
            </w:r>
            <w:proofErr w:type="gramStart"/>
            <w:r>
              <w:rPr>
                <w:rFonts w:ascii="Times New Roman" w:eastAsia="Times New Roman" w:hAnsi="Times New Roman" w:cs="Times New Roman"/>
                <w:sz w:val="16"/>
                <w:szCs w:val="16"/>
                <w:lang w:val="en-US"/>
              </w:rPr>
              <w:t>retina</w:t>
            </w:r>
            <w:proofErr w:type="gramEnd"/>
          </w:p>
          <w:p w14:paraId="10B9A25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(between the five- and seven-o’clock position), ≥ two breaks of any size (if not in the inferior retina) located at least ≥three retinal </w:t>
            </w:r>
            <w:r>
              <w:rPr>
                <w:rFonts w:ascii="Times New Roman" w:eastAsia="Times New Roman" w:hAnsi="Times New Roman" w:cs="Times New Roman"/>
                <w:sz w:val="16"/>
                <w:szCs w:val="16"/>
                <w:lang w:val="en-US"/>
              </w:rPr>
              <w:lastRenderedPageBreak/>
              <w:t>clock hours away from one another (breaks in multiple retinal quadrants), underwent PPV with postoperative</w:t>
            </w:r>
            <w:r>
              <w:rPr>
                <w:rFonts w:ascii="Times New Roman" w:hAnsi="Times New Roman" w:cs="Times New Roman"/>
                <w:sz w:val="16"/>
                <w:szCs w:val="16"/>
                <w:lang w:val="en-US"/>
              </w:rPr>
              <w:t xml:space="preserve"> </w:t>
            </w:r>
            <w:r>
              <w:rPr>
                <w:rFonts w:ascii="Times New Roman" w:eastAsia="Times New Roman" w:hAnsi="Times New Roman" w:cs="Times New Roman"/>
                <w:sz w:val="16"/>
                <w:szCs w:val="16"/>
                <w:lang w:val="en-US"/>
              </w:rPr>
              <w:t xml:space="preserve">PFO retention was performed as the primary (initial) retinal reattachment procedure. </w:t>
            </w:r>
          </w:p>
        </w:tc>
        <w:tc>
          <w:tcPr>
            <w:tcW w:w="1440" w:type="dxa"/>
            <w:tcBorders>
              <w:top w:val="single" w:sz="4" w:space="0" w:color="auto"/>
              <w:left w:val="single" w:sz="4" w:space="0" w:color="auto"/>
              <w:bottom w:val="single" w:sz="4" w:space="0" w:color="auto"/>
              <w:right w:val="single" w:sz="4" w:space="0" w:color="auto"/>
            </w:tcBorders>
            <w:hideMark/>
          </w:tcPr>
          <w:p w14:paraId="3C955E7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 xml:space="preserve">The cases with RRD that were repaired by PPV with postoperative PFO were excluded from the study if they met any of the following criteria: (1) had macular disease before the retinal detachment was clinically evident or had been previously documented; (2) involved endophthalmitis or a penetrating eye injury; (3) had a previous vitrectomy </w:t>
            </w:r>
            <w:r>
              <w:rPr>
                <w:rFonts w:ascii="Times New Roman" w:eastAsia="Times New Roman" w:hAnsi="Times New Roman" w:cs="Times New Roman"/>
                <w:sz w:val="16"/>
                <w:szCs w:val="16"/>
                <w:lang w:val="en-US"/>
              </w:rPr>
              <w:lastRenderedPageBreak/>
              <w:t>performed in the study eye for any indication.</w:t>
            </w:r>
          </w:p>
        </w:tc>
        <w:tc>
          <w:tcPr>
            <w:tcW w:w="1468" w:type="dxa"/>
            <w:tcBorders>
              <w:top w:val="single" w:sz="4" w:space="0" w:color="auto"/>
              <w:left w:val="single" w:sz="4" w:space="0" w:color="auto"/>
              <w:bottom w:val="single" w:sz="4" w:space="0" w:color="auto"/>
              <w:right w:val="single" w:sz="4" w:space="0" w:color="auto"/>
            </w:tcBorders>
          </w:tcPr>
          <w:p w14:paraId="4954B41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All the eyes underwent a standard three-port 20-g vitrectomy with scleral buckling procedure. In 43 patients (Group one) PFO was exchanged with SO in the same surgical procedure and in 22 patients (Group two) PFO was kept for three days and then exchanged with silicon oil by a separate surgical</w:t>
            </w:r>
          </w:p>
          <w:p w14:paraId="518CF80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procedure.</w:t>
            </w:r>
          </w:p>
          <w:p w14:paraId="2813BDB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417" w:type="dxa"/>
            <w:tcBorders>
              <w:top w:val="single" w:sz="4" w:space="0" w:color="auto"/>
              <w:left w:val="single" w:sz="4" w:space="0" w:color="auto"/>
              <w:bottom w:val="single" w:sz="4" w:space="0" w:color="auto"/>
              <w:right w:val="single" w:sz="4" w:space="0" w:color="auto"/>
            </w:tcBorders>
          </w:tcPr>
          <w:p w14:paraId="186216E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To compare between group one, n=43, in which PFO was exchanged with silicon</w:t>
            </w:r>
          </w:p>
          <w:p w14:paraId="0614AA2E"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oil in the same surgical procedure and group two, n = 22, in which PFO was kept for three days and then exchanged with SO by a separate surgical</w:t>
            </w:r>
          </w:p>
          <w:p w14:paraId="61D1648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procedure.</w:t>
            </w:r>
          </w:p>
          <w:p w14:paraId="390A6343"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992" w:type="dxa"/>
            <w:tcBorders>
              <w:top w:val="single" w:sz="4" w:space="0" w:color="auto"/>
              <w:left w:val="single" w:sz="4" w:space="0" w:color="auto"/>
              <w:bottom w:val="single" w:sz="4" w:space="0" w:color="auto"/>
              <w:right w:val="single" w:sz="4" w:space="0" w:color="auto"/>
            </w:tcBorders>
            <w:hideMark/>
          </w:tcPr>
          <w:p w14:paraId="5E8EE179"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Yes, but the exact numbers are not stated. </w:t>
            </w:r>
          </w:p>
        </w:tc>
        <w:tc>
          <w:tcPr>
            <w:tcW w:w="1276" w:type="dxa"/>
            <w:tcBorders>
              <w:top w:val="single" w:sz="4" w:space="0" w:color="auto"/>
              <w:left w:val="single" w:sz="4" w:space="0" w:color="auto"/>
              <w:bottom w:val="single" w:sz="4" w:space="0" w:color="auto"/>
              <w:right w:val="single" w:sz="4" w:space="0" w:color="auto"/>
            </w:tcBorders>
            <w:hideMark/>
          </w:tcPr>
          <w:p w14:paraId="2A6CBA85"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Range = six -19 months </w:t>
            </w:r>
          </w:p>
        </w:tc>
        <w:tc>
          <w:tcPr>
            <w:tcW w:w="992" w:type="dxa"/>
            <w:tcBorders>
              <w:top w:val="single" w:sz="4" w:space="0" w:color="auto"/>
              <w:left w:val="single" w:sz="4" w:space="0" w:color="auto"/>
              <w:bottom w:val="single" w:sz="4" w:space="0" w:color="auto"/>
              <w:right w:val="single" w:sz="4" w:space="0" w:color="auto"/>
            </w:tcBorders>
            <w:hideMark/>
          </w:tcPr>
          <w:p w14:paraId="283C58CF"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65</w:t>
            </w:r>
          </w:p>
        </w:tc>
        <w:tc>
          <w:tcPr>
            <w:tcW w:w="993" w:type="dxa"/>
            <w:tcBorders>
              <w:top w:val="single" w:sz="4" w:space="0" w:color="auto"/>
              <w:left w:val="single" w:sz="4" w:space="0" w:color="auto"/>
              <w:bottom w:val="single" w:sz="4" w:space="0" w:color="auto"/>
              <w:right w:val="single" w:sz="4" w:space="0" w:color="auto"/>
            </w:tcBorders>
            <w:hideMark/>
          </w:tcPr>
          <w:p w14:paraId="2E27C488"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65</w:t>
            </w:r>
          </w:p>
        </w:tc>
      </w:tr>
      <w:tr w:rsidR="003A4529" w14:paraId="46FC1772"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39649ABB"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 Haugstad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2017 </w:t>
            </w:r>
            <w:sdt>
              <w:sdtPr>
                <w:rPr>
                  <w:rFonts w:ascii="Times New Roman" w:hAnsi="Times New Roman" w:cs="Times New Roman"/>
                  <w:sz w:val="16"/>
                  <w:szCs w:val="16"/>
                  <w:lang w:val="en-US"/>
                </w:rPr>
                <w:tag w:val="MENDELEY_CITATION_v3_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"/>
                <w:id w:val="1124263755"/>
                <w:placeholder>
                  <w:docPart w:val="102606E8DF364B53BB4A63877D9736E1"/>
                </w:placeholder>
              </w:sdtPr>
              <w:sdtContent>
                <w:r>
                  <w:rPr>
                    <w:rFonts w:ascii="Times New Roman" w:hAnsi="Times New Roman" w:cs="Times New Roman"/>
                    <w:sz w:val="16"/>
                    <w:szCs w:val="16"/>
                    <w:lang w:val="en-US"/>
                  </w:rPr>
                  <w:t>[52]</w:t>
                </w:r>
              </w:sdtContent>
            </w:sdt>
          </w:p>
        </w:tc>
        <w:tc>
          <w:tcPr>
            <w:tcW w:w="992" w:type="dxa"/>
            <w:tcBorders>
              <w:top w:val="single" w:sz="4" w:space="0" w:color="auto"/>
              <w:left w:val="single" w:sz="4" w:space="0" w:color="auto"/>
              <w:bottom w:val="single" w:sz="4" w:space="0" w:color="auto"/>
              <w:right w:val="single" w:sz="4" w:space="0" w:color="auto"/>
            </w:tcBorders>
            <w:hideMark/>
          </w:tcPr>
          <w:p w14:paraId="6390DCB6"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Norway</w:t>
            </w:r>
          </w:p>
        </w:tc>
        <w:tc>
          <w:tcPr>
            <w:tcW w:w="1134" w:type="dxa"/>
            <w:tcBorders>
              <w:top w:val="single" w:sz="4" w:space="0" w:color="auto"/>
              <w:left w:val="single" w:sz="4" w:space="0" w:color="auto"/>
              <w:bottom w:val="single" w:sz="4" w:space="0" w:color="auto"/>
              <w:right w:val="single" w:sz="4" w:space="0" w:color="auto"/>
            </w:tcBorders>
            <w:hideMark/>
          </w:tcPr>
          <w:p w14:paraId="477017B8"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A retrospective cohort study </w:t>
            </w:r>
          </w:p>
        </w:tc>
        <w:tc>
          <w:tcPr>
            <w:tcW w:w="897" w:type="dxa"/>
            <w:tcBorders>
              <w:top w:val="single" w:sz="4" w:space="0" w:color="auto"/>
              <w:left w:val="single" w:sz="4" w:space="0" w:color="auto"/>
              <w:bottom w:val="single" w:sz="4" w:space="0" w:color="auto"/>
              <w:right w:val="single" w:sz="4" w:space="0" w:color="auto"/>
            </w:tcBorders>
            <w:hideMark/>
          </w:tcPr>
          <w:p w14:paraId="324AD35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Department of Ophthalmology, Oslo University Hospital (OUH), Oslo</w:t>
            </w:r>
          </w:p>
        </w:tc>
        <w:tc>
          <w:tcPr>
            <w:tcW w:w="1440" w:type="dxa"/>
            <w:tcBorders>
              <w:top w:val="single" w:sz="4" w:space="0" w:color="auto"/>
              <w:left w:val="single" w:sz="4" w:space="0" w:color="auto"/>
              <w:bottom w:val="single" w:sz="4" w:space="0" w:color="auto"/>
              <w:right w:val="single" w:sz="4" w:space="0" w:color="auto"/>
            </w:tcBorders>
            <w:hideMark/>
          </w:tcPr>
          <w:p w14:paraId="7B9BC21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 xml:space="preserve">A clinical diagnosis of primary RRD including severe PVR grade B and C. </w:t>
            </w:r>
          </w:p>
        </w:tc>
        <w:tc>
          <w:tcPr>
            <w:tcW w:w="1440" w:type="dxa"/>
            <w:tcBorders>
              <w:top w:val="single" w:sz="4" w:space="0" w:color="auto"/>
              <w:left w:val="single" w:sz="4" w:space="0" w:color="auto"/>
              <w:bottom w:val="single" w:sz="4" w:space="0" w:color="auto"/>
              <w:right w:val="single" w:sz="4" w:space="0" w:color="auto"/>
            </w:tcBorders>
            <w:hideMark/>
          </w:tcPr>
          <w:p w14:paraId="21710F3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Previous vitreoretinal surgery and penetrating ocular trauma</w:t>
            </w:r>
          </w:p>
        </w:tc>
        <w:tc>
          <w:tcPr>
            <w:tcW w:w="1468" w:type="dxa"/>
            <w:tcBorders>
              <w:top w:val="single" w:sz="4" w:space="0" w:color="auto"/>
              <w:left w:val="single" w:sz="4" w:space="0" w:color="auto"/>
              <w:bottom w:val="single" w:sz="4" w:space="0" w:color="auto"/>
              <w:right w:val="single" w:sz="4" w:space="0" w:color="auto"/>
            </w:tcBorders>
            <w:hideMark/>
          </w:tcPr>
          <w:p w14:paraId="0961B9B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PPV in 317 eyes (61.3%), PPV-SB in 23 eyes (4.5%), SB in 175 eyes (33.9%) and PR in two eyes (0.4%). In the PPV cases, 93.4% used Gas (SF</w:t>
            </w:r>
            <w:r>
              <w:rPr>
                <w:rFonts w:ascii="Times New Roman" w:hAnsi="Times New Roman" w:cs="Times New Roman"/>
                <w:sz w:val="16"/>
                <w:szCs w:val="16"/>
                <w:shd w:val="clear" w:color="auto" w:fill="FFFFFF"/>
                <w:vertAlign w:val="subscript"/>
                <w:lang w:val="en-US"/>
              </w:rPr>
              <w:t>6</w:t>
            </w:r>
            <w:r>
              <w:rPr>
                <w:rFonts w:ascii="Times New Roman" w:hAnsi="Times New Roman" w:cs="Times New Roman"/>
                <w:sz w:val="16"/>
                <w:szCs w:val="16"/>
                <w:shd w:val="clear" w:color="auto" w:fill="FFFFFF"/>
                <w:lang w:val="en-US"/>
              </w:rPr>
              <w:t>, C</w:t>
            </w:r>
            <w:r>
              <w:rPr>
                <w:rFonts w:ascii="Times New Roman" w:hAnsi="Times New Roman" w:cs="Times New Roman"/>
                <w:sz w:val="16"/>
                <w:szCs w:val="16"/>
                <w:shd w:val="clear" w:color="auto" w:fill="FFFFFF"/>
                <w:vertAlign w:val="subscript"/>
                <w:lang w:val="en-US"/>
              </w:rPr>
              <w:t>3</w:t>
            </w:r>
            <w:r>
              <w:rPr>
                <w:rFonts w:ascii="Times New Roman" w:hAnsi="Times New Roman" w:cs="Times New Roman"/>
                <w:sz w:val="16"/>
                <w:szCs w:val="16"/>
                <w:shd w:val="clear" w:color="auto" w:fill="FFFFFF"/>
                <w:lang w:val="en-US"/>
              </w:rPr>
              <w:t>F</w:t>
            </w:r>
            <w:r>
              <w:rPr>
                <w:rFonts w:ascii="Times New Roman" w:hAnsi="Times New Roman" w:cs="Times New Roman"/>
                <w:sz w:val="16"/>
                <w:szCs w:val="16"/>
                <w:shd w:val="clear" w:color="auto" w:fill="FFFFFF"/>
                <w:vertAlign w:val="subscript"/>
                <w:lang w:val="en-US"/>
              </w:rPr>
              <w:t>8</w:t>
            </w:r>
            <w:r>
              <w:rPr>
                <w:rFonts w:ascii="Times New Roman" w:hAnsi="Times New Roman" w:cs="Times New Roman"/>
                <w:sz w:val="16"/>
                <w:szCs w:val="16"/>
                <w:shd w:val="clear" w:color="auto" w:fill="FFFFFF"/>
                <w:lang w:val="en-US"/>
              </w:rPr>
              <w:t>, C</w:t>
            </w:r>
            <w:r>
              <w:rPr>
                <w:rFonts w:ascii="Times New Roman" w:hAnsi="Times New Roman" w:cs="Times New Roman"/>
                <w:sz w:val="16"/>
                <w:szCs w:val="16"/>
                <w:shd w:val="clear" w:color="auto" w:fill="FFFFFF"/>
                <w:vertAlign w:val="subscript"/>
                <w:lang w:val="en-US"/>
              </w:rPr>
              <w:t>2</w:t>
            </w:r>
            <w:r>
              <w:rPr>
                <w:rFonts w:ascii="Times New Roman" w:hAnsi="Times New Roman" w:cs="Times New Roman"/>
                <w:sz w:val="16"/>
                <w:szCs w:val="16"/>
                <w:shd w:val="clear" w:color="auto" w:fill="FFFFFF"/>
                <w:lang w:val="en-US"/>
              </w:rPr>
              <w:t>F</w:t>
            </w:r>
            <w:r>
              <w:rPr>
                <w:rFonts w:ascii="Times New Roman" w:hAnsi="Times New Roman" w:cs="Times New Roman"/>
                <w:sz w:val="16"/>
                <w:szCs w:val="16"/>
                <w:shd w:val="clear" w:color="auto" w:fill="FFFFFF"/>
                <w:vertAlign w:val="subscript"/>
                <w:lang w:val="en-US"/>
              </w:rPr>
              <w:t>6</w:t>
            </w:r>
            <w:r>
              <w:rPr>
                <w:rFonts w:ascii="Times New Roman" w:hAnsi="Times New Roman" w:cs="Times New Roman"/>
                <w:sz w:val="16"/>
                <w:szCs w:val="16"/>
                <w:shd w:val="clear" w:color="auto" w:fill="FFFFFF"/>
                <w:lang w:val="en-US"/>
              </w:rPr>
              <w:t>) tamponade, 2.2% employed air tamponade, 4.4% used SO tamponade. For PPV-SB cases, 82.6% used gas (SF</w:t>
            </w:r>
            <w:r>
              <w:rPr>
                <w:rFonts w:ascii="Times New Roman" w:hAnsi="Times New Roman" w:cs="Times New Roman"/>
                <w:sz w:val="16"/>
                <w:szCs w:val="16"/>
                <w:shd w:val="clear" w:color="auto" w:fill="FFFFFF"/>
                <w:vertAlign w:val="subscript"/>
                <w:lang w:val="en-US"/>
              </w:rPr>
              <w:t>6</w:t>
            </w:r>
            <w:r>
              <w:rPr>
                <w:rFonts w:ascii="Times New Roman" w:hAnsi="Times New Roman" w:cs="Times New Roman"/>
                <w:sz w:val="16"/>
                <w:szCs w:val="16"/>
                <w:shd w:val="clear" w:color="auto" w:fill="FFFFFF"/>
                <w:lang w:val="en-US"/>
              </w:rPr>
              <w:t>, C</w:t>
            </w:r>
            <w:r>
              <w:rPr>
                <w:rFonts w:ascii="Times New Roman" w:hAnsi="Times New Roman" w:cs="Times New Roman"/>
                <w:sz w:val="16"/>
                <w:szCs w:val="16"/>
                <w:shd w:val="clear" w:color="auto" w:fill="FFFFFF"/>
                <w:vertAlign w:val="subscript"/>
                <w:lang w:val="en-US"/>
              </w:rPr>
              <w:t>3</w:t>
            </w:r>
            <w:r>
              <w:rPr>
                <w:rFonts w:ascii="Times New Roman" w:hAnsi="Times New Roman" w:cs="Times New Roman"/>
                <w:sz w:val="16"/>
                <w:szCs w:val="16"/>
                <w:shd w:val="clear" w:color="auto" w:fill="FFFFFF"/>
                <w:lang w:val="en-US"/>
              </w:rPr>
              <w:t>F</w:t>
            </w:r>
            <w:r>
              <w:rPr>
                <w:rFonts w:ascii="Times New Roman" w:hAnsi="Times New Roman" w:cs="Times New Roman"/>
                <w:sz w:val="16"/>
                <w:szCs w:val="16"/>
                <w:shd w:val="clear" w:color="auto" w:fill="FFFFFF"/>
                <w:vertAlign w:val="subscript"/>
                <w:lang w:val="en-US"/>
              </w:rPr>
              <w:t>8</w:t>
            </w:r>
            <w:r>
              <w:rPr>
                <w:rFonts w:ascii="Times New Roman" w:hAnsi="Times New Roman" w:cs="Times New Roman"/>
                <w:sz w:val="16"/>
                <w:szCs w:val="16"/>
                <w:shd w:val="clear" w:color="auto" w:fill="FFFFFF"/>
                <w:lang w:val="en-US"/>
              </w:rPr>
              <w:t>, C</w:t>
            </w:r>
            <w:r>
              <w:rPr>
                <w:rFonts w:ascii="Times New Roman" w:hAnsi="Times New Roman" w:cs="Times New Roman"/>
                <w:sz w:val="16"/>
                <w:szCs w:val="16"/>
                <w:shd w:val="clear" w:color="auto" w:fill="FFFFFF"/>
                <w:vertAlign w:val="subscript"/>
                <w:lang w:val="en-US"/>
              </w:rPr>
              <w:t>2</w:t>
            </w:r>
            <w:r>
              <w:rPr>
                <w:rFonts w:ascii="Times New Roman" w:hAnsi="Times New Roman" w:cs="Times New Roman"/>
                <w:sz w:val="16"/>
                <w:szCs w:val="16"/>
                <w:shd w:val="clear" w:color="auto" w:fill="FFFFFF"/>
                <w:lang w:val="en-US"/>
              </w:rPr>
              <w:t>F</w:t>
            </w:r>
            <w:r>
              <w:rPr>
                <w:rFonts w:ascii="Times New Roman" w:hAnsi="Times New Roman" w:cs="Times New Roman"/>
                <w:sz w:val="16"/>
                <w:szCs w:val="16"/>
                <w:shd w:val="clear" w:color="auto" w:fill="FFFFFF"/>
                <w:vertAlign w:val="subscript"/>
                <w:lang w:val="en-US"/>
              </w:rPr>
              <w:t>6</w:t>
            </w:r>
            <w:r>
              <w:rPr>
                <w:rFonts w:ascii="Times New Roman" w:hAnsi="Times New Roman" w:cs="Times New Roman"/>
                <w:sz w:val="16"/>
                <w:szCs w:val="16"/>
                <w:shd w:val="clear" w:color="auto" w:fill="FFFFFF"/>
                <w:lang w:val="en-US"/>
              </w:rPr>
              <w:t>) tamponade, 17.4% used SO tamponade. In SB cases, 11.4% used gas tamponade, 2.3% used air tamponade, while 86.3% used no tamponade. In PR cases, 100% employed gas (SF</w:t>
            </w:r>
            <w:r>
              <w:rPr>
                <w:rFonts w:ascii="Times New Roman" w:hAnsi="Times New Roman" w:cs="Times New Roman"/>
                <w:sz w:val="16"/>
                <w:szCs w:val="16"/>
                <w:shd w:val="clear" w:color="auto" w:fill="FFFFFF"/>
                <w:vertAlign w:val="subscript"/>
                <w:lang w:val="en-US"/>
              </w:rPr>
              <w:t>6</w:t>
            </w:r>
            <w:r>
              <w:rPr>
                <w:rFonts w:ascii="Times New Roman" w:hAnsi="Times New Roman" w:cs="Times New Roman"/>
                <w:sz w:val="16"/>
                <w:szCs w:val="16"/>
                <w:shd w:val="clear" w:color="auto" w:fill="FFFFFF"/>
                <w:lang w:val="en-US"/>
              </w:rPr>
              <w:t>, C</w:t>
            </w:r>
            <w:r>
              <w:rPr>
                <w:rFonts w:ascii="Times New Roman" w:hAnsi="Times New Roman" w:cs="Times New Roman"/>
                <w:sz w:val="16"/>
                <w:szCs w:val="16"/>
                <w:shd w:val="clear" w:color="auto" w:fill="FFFFFF"/>
                <w:vertAlign w:val="subscript"/>
                <w:lang w:val="en-US"/>
              </w:rPr>
              <w:t>3</w:t>
            </w:r>
            <w:r>
              <w:rPr>
                <w:rFonts w:ascii="Times New Roman" w:hAnsi="Times New Roman" w:cs="Times New Roman"/>
                <w:sz w:val="16"/>
                <w:szCs w:val="16"/>
                <w:shd w:val="clear" w:color="auto" w:fill="FFFFFF"/>
                <w:lang w:val="en-US"/>
              </w:rPr>
              <w:t>F</w:t>
            </w:r>
            <w:r>
              <w:rPr>
                <w:rFonts w:ascii="Times New Roman" w:hAnsi="Times New Roman" w:cs="Times New Roman"/>
                <w:sz w:val="16"/>
                <w:szCs w:val="16"/>
                <w:shd w:val="clear" w:color="auto" w:fill="FFFFFF"/>
                <w:vertAlign w:val="subscript"/>
                <w:lang w:val="en-US"/>
              </w:rPr>
              <w:t>8</w:t>
            </w:r>
            <w:r>
              <w:rPr>
                <w:rFonts w:ascii="Times New Roman" w:hAnsi="Times New Roman" w:cs="Times New Roman"/>
                <w:sz w:val="16"/>
                <w:szCs w:val="16"/>
                <w:shd w:val="clear" w:color="auto" w:fill="FFFFFF"/>
                <w:lang w:val="en-US"/>
              </w:rPr>
              <w:t>, C</w:t>
            </w:r>
            <w:r>
              <w:rPr>
                <w:rFonts w:ascii="Times New Roman" w:hAnsi="Times New Roman" w:cs="Times New Roman"/>
                <w:sz w:val="16"/>
                <w:szCs w:val="16"/>
                <w:shd w:val="clear" w:color="auto" w:fill="FFFFFF"/>
                <w:vertAlign w:val="subscript"/>
                <w:lang w:val="en-US"/>
              </w:rPr>
              <w:t>2</w:t>
            </w:r>
            <w:r>
              <w:rPr>
                <w:rFonts w:ascii="Times New Roman" w:hAnsi="Times New Roman" w:cs="Times New Roman"/>
                <w:sz w:val="16"/>
                <w:szCs w:val="16"/>
                <w:shd w:val="clear" w:color="auto" w:fill="FFFFFF"/>
                <w:lang w:val="en-US"/>
              </w:rPr>
              <w:t>F</w:t>
            </w:r>
            <w:r>
              <w:rPr>
                <w:rFonts w:ascii="Times New Roman" w:hAnsi="Times New Roman" w:cs="Times New Roman"/>
                <w:sz w:val="16"/>
                <w:szCs w:val="16"/>
                <w:shd w:val="clear" w:color="auto" w:fill="FFFFFF"/>
                <w:vertAlign w:val="subscript"/>
                <w:lang w:val="en-US"/>
              </w:rPr>
              <w:t>6</w:t>
            </w:r>
            <w:r>
              <w:rPr>
                <w:rFonts w:ascii="Times New Roman" w:hAnsi="Times New Roman" w:cs="Times New Roman"/>
                <w:sz w:val="16"/>
                <w:szCs w:val="16"/>
                <w:shd w:val="clear" w:color="auto" w:fill="FFFFFF"/>
                <w:lang w:val="en-US"/>
              </w:rPr>
              <w:t>) tamponade</w:t>
            </w:r>
          </w:p>
        </w:tc>
        <w:tc>
          <w:tcPr>
            <w:tcW w:w="1417" w:type="dxa"/>
            <w:tcBorders>
              <w:top w:val="single" w:sz="4" w:space="0" w:color="auto"/>
              <w:left w:val="single" w:sz="4" w:space="0" w:color="auto"/>
              <w:bottom w:val="single" w:sz="4" w:space="0" w:color="auto"/>
              <w:right w:val="single" w:sz="4" w:space="0" w:color="auto"/>
            </w:tcBorders>
            <w:hideMark/>
          </w:tcPr>
          <w:p w14:paraId="051EDB0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applicable </w:t>
            </w:r>
          </w:p>
        </w:tc>
        <w:tc>
          <w:tcPr>
            <w:tcW w:w="992" w:type="dxa"/>
            <w:tcBorders>
              <w:top w:val="single" w:sz="4" w:space="0" w:color="auto"/>
              <w:left w:val="single" w:sz="4" w:space="0" w:color="auto"/>
              <w:bottom w:val="single" w:sz="4" w:space="0" w:color="auto"/>
              <w:right w:val="single" w:sz="4" w:space="0" w:color="auto"/>
            </w:tcBorders>
            <w:hideMark/>
          </w:tcPr>
          <w:p w14:paraId="0BC48551"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n=11 (2.1%)</w:t>
            </w:r>
          </w:p>
        </w:tc>
        <w:tc>
          <w:tcPr>
            <w:tcW w:w="1276" w:type="dxa"/>
            <w:tcBorders>
              <w:top w:val="single" w:sz="4" w:space="0" w:color="auto"/>
              <w:left w:val="single" w:sz="4" w:space="0" w:color="auto"/>
              <w:bottom w:val="single" w:sz="4" w:space="0" w:color="auto"/>
              <w:right w:val="single" w:sz="4" w:space="0" w:color="auto"/>
            </w:tcBorders>
            <w:hideMark/>
          </w:tcPr>
          <w:p w14:paraId="0D3B20A3"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Six months </w:t>
            </w:r>
          </w:p>
        </w:tc>
        <w:tc>
          <w:tcPr>
            <w:tcW w:w="992" w:type="dxa"/>
            <w:tcBorders>
              <w:top w:val="single" w:sz="4" w:space="0" w:color="auto"/>
              <w:left w:val="single" w:sz="4" w:space="0" w:color="auto"/>
              <w:bottom w:val="single" w:sz="4" w:space="0" w:color="auto"/>
              <w:right w:val="single" w:sz="4" w:space="0" w:color="auto"/>
            </w:tcBorders>
            <w:hideMark/>
          </w:tcPr>
          <w:p w14:paraId="305FC723"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514</w:t>
            </w:r>
          </w:p>
        </w:tc>
        <w:tc>
          <w:tcPr>
            <w:tcW w:w="993" w:type="dxa"/>
            <w:tcBorders>
              <w:top w:val="single" w:sz="4" w:space="0" w:color="auto"/>
              <w:left w:val="single" w:sz="4" w:space="0" w:color="auto"/>
              <w:bottom w:val="single" w:sz="4" w:space="0" w:color="auto"/>
              <w:right w:val="single" w:sz="4" w:space="0" w:color="auto"/>
            </w:tcBorders>
            <w:hideMark/>
          </w:tcPr>
          <w:p w14:paraId="65674CD9"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517</w:t>
            </w:r>
          </w:p>
        </w:tc>
      </w:tr>
      <w:tr w:rsidR="003A4529" w14:paraId="127B11F9"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501C387F" w14:textId="77777777" w:rsidR="003A4529" w:rsidRDefault="003A4529">
            <w:pPr>
              <w:spacing w:line="276" w:lineRule="auto"/>
              <w:rPr>
                <w:rFonts w:ascii="Times New Roman" w:hAnsi="Times New Roman" w:cs="Times New Roman"/>
                <w:sz w:val="16"/>
                <w:szCs w:val="16"/>
                <w:lang w:val="en-US"/>
              </w:rPr>
            </w:pPr>
            <w:proofErr w:type="spellStart"/>
            <w:r>
              <w:rPr>
                <w:rFonts w:ascii="Times New Roman" w:hAnsi="Times New Roman" w:cs="Times New Roman"/>
                <w:sz w:val="16"/>
                <w:szCs w:val="16"/>
                <w:lang w:val="en-US"/>
              </w:rPr>
              <w:t>Scheerlinck</w:t>
            </w:r>
            <w:proofErr w:type="spellEnd"/>
            <w:r>
              <w:rPr>
                <w:rFonts w:ascii="Times New Roman" w:hAnsi="Times New Roman" w:cs="Times New Roman"/>
                <w:sz w:val="16"/>
                <w:szCs w:val="16"/>
                <w:lang w:val="en-US"/>
              </w:rPr>
              <w:t xml:space="preserve">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2018 </w:t>
            </w:r>
            <w:sdt>
              <w:sdtPr>
                <w:rPr>
                  <w:rFonts w:ascii="Times New Roman" w:hAnsi="Times New Roman" w:cs="Times New Roman"/>
                  <w:sz w:val="16"/>
                  <w:szCs w:val="16"/>
                  <w:lang w:val="en-US"/>
                </w:rPr>
                <w:tag w:val="MENDELEY_CITATION_v3_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"/>
                <w:id w:val="-1368064058"/>
                <w:placeholder>
                  <w:docPart w:val="102606E8DF364B53BB4A63877D9736E1"/>
                </w:placeholder>
              </w:sdtPr>
              <w:sdtContent>
                <w:r>
                  <w:rPr>
                    <w:rFonts w:ascii="Times New Roman" w:hAnsi="Times New Roman" w:cs="Times New Roman"/>
                    <w:sz w:val="16"/>
                    <w:szCs w:val="16"/>
                    <w:lang w:val="en-US"/>
                  </w:rPr>
                  <w:t>[53]</w:t>
                </w:r>
              </w:sdtContent>
            </w:sdt>
          </w:p>
        </w:tc>
        <w:tc>
          <w:tcPr>
            <w:tcW w:w="992" w:type="dxa"/>
            <w:tcBorders>
              <w:top w:val="single" w:sz="4" w:space="0" w:color="auto"/>
              <w:left w:val="single" w:sz="4" w:space="0" w:color="auto"/>
              <w:bottom w:val="single" w:sz="4" w:space="0" w:color="auto"/>
              <w:right w:val="single" w:sz="4" w:space="0" w:color="auto"/>
            </w:tcBorders>
            <w:hideMark/>
          </w:tcPr>
          <w:p w14:paraId="65B02FEF"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Netherlands</w:t>
            </w:r>
          </w:p>
        </w:tc>
        <w:tc>
          <w:tcPr>
            <w:tcW w:w="1134" w:type="dxa"/>
            <w:tcBorders>
              <w:top w:val="single" w:sz="4" w:space="0" w:color="auto"/>
              <w:left w:val="single" w:sz="4" w:space="0" w:color="auto"/>
              <w:bottom w:val="single" w:sz="4" w:space="0" w:color="auto"/>
              <w:right w:val="single" w:sz="4" w:space="0" w:color="auto"/>
            </w:tcBorders>
            <w:hideMark/>
          </w:tcPr>
          <w:p w14:paraId="332BCED3"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A prospective, </w:t>
            </w:r>
            <w:r>
              <w:rPr>
                <w:rFonts w:ascii="Times New Roman" w:hAnsi="Times New Roman" w:cs="Times New Roman"/>
                <w:sz w:val="16"/>
                <w:szCs w:val="16"/>
                <w:shd w:val="clear" w:color="auto" w:fill="FFFFFF"/>
                <w:lang w:val="en-US"/>
              </w:rPr>
              <w:lastRenderedPageBreak/>
              <w:t>observational cohort study</w:t>
            </w:r>
          </w:p>
        </w:tc>
        <w:tc>
          <w:tcPr>
            <w:tcW w:w="897" w:type="dxa"/>
            <w:tcBorders>
              <w:top w:val="single" w:sz="4" w:space="0" w:color="auto"/>
              <w:left w:val="single" w:sz="4" w:space="0" w:color="auto"/>
              <w:bottom w:val="single" w:sz="4" w:space="0" w:color="auto"/>
              <w:right w:val="single" w:sz="4" w:space="0" w:color="auto"/>
            </w:tcBorders>
            <w:hideMark/>
          </w:tcPr>
          <w:p w14:paraId="32AA36D1"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 xml:space="preserve">University Medical </w:t>
            </w:r>
            <w:r>
              <w:rPr>
                <w:rFonts w:ascii="Times New Roman" w:hAnsi="Times New Roman" w:cs="Times New Roman"/>
                <w:sz w:val="16"/>
                <w:szCs w:val="16"/>
                <w:shd w:val="clear" w:color="auto" w:fill="FFFFFF"/>
                <w:lang w:val="en-US"/>
              </w:rPr>
              <w:lastRenderedPageBreak/>
              <w:t>Center Utrecht, a tertiary referral center</w:t>
            </w:r>
          </w:p>
        </w:tc>
        <w:tc>
          <w:tcPr>
            <w:tcW w:w="1440" w:type="dxa"/>
            <w:tcBorders>
              <w:top w:val="single" w:sz="4" w:space="0" w:color="auto"/>
              <w:left w:val="single" w:sz="4" w:space="0" w:color="auto"/>
              <w:bottom w:val="single" w:sz="4" w:space="0" w:color="auto"/>
              <w:right w:val="single" w:sz="4" w:space="0" w:color="auto"/>
            </w:tcBorders>
            <w:hideMark/>
          </w:tcPr>
          <w:p w14:paraId="4705B250"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 xml:space="preserve">Patients with a RRD who were </w:t>
            </w:r>
            <w:r>
              <w:rPr>
                <w:rFonts w:ascii="Times New Roman" w:hAnsi="Times New Roman" w:cs="Times New Roman"/>
                <w:sz w:val="16"/>
                <w:szCs w:val="16"/>
                <w:shd w:val="clear" w:color="auto" w:fill="FFFFFF"/>
                <w:lang w:val="en-US"/>
              </w:rPr>
              <w:lastRenderedPageBreak/>
              <w:t>scheduled for vitrectomy with gas or SO tamponade were eligible, and consecutive patients were included to form four different groups of 10 patients each: macula on with gas; macula on with SO; macula off with gas; and macula-off with SO</w:t>
            </w:r>
          </w:p>
        </w:tc>
        <w:tc>
          <w:tcPr>
            <w:tcW w:w="1440" w:type="dxa"/>
            <w:tcBorders>
              <w:top w:val="single" w:sz="4" w:space="0" w:color="auto"/>
              <w:left w:val="single" w:sz="4" w:space="0" w:color="auto"/>
              <w:bottom w:val="single" w:sz="4" w:space="0" w:color="auto"/>
              <w:right w:val="single" w:sz="4" w:space="0" w:color="auto"/>
            </w:tcBorders>
            <w:hideMark/>
          </w:tcPr>
          <w:p w14:paraId="40967E5B"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 xml:space="preserve">Pre-existing diseases affecting </w:t>
            </w:r>
            <w:r>
              <w:rPr>
                <w:rFonts w:ascii="Times New Roman" w:hAnsi="Times New Roman" w:cs="Times New Roman"/>
                <w:sz w:val="16"/>
                <w:szCs w:val="16"/>
                <w:shd w:val="clear" w:color="auto" w:fill="FFFFFF"/>
                <w:lang w:val="en-US"/>
              </w:rPr>
              <w:lastRenderedPageBreak/>
              <w:t xml:space="preserve">the macula or the optic nerve, </w:t>
            </w:r>
            <w:proofErr w:type="spellStart"/>
            <w:r>
              <w:rPr>
                <w:rFonts w:ascii="Times New Roman" w:hAnsi="Times New Roman" w:cs="Times New Roman"/>
                <w:sz w:val="16"/>
                <w:szCs w:val="16"/>
                <w:shd w:val="clear" w:color="auto" w:fill="FFFFFF"/>
                <w:lang w:val="en-US"/>
              </w:rPr>
              <w:t>redetachment</w:t>
            </w:r>
            <w:proofErr w:type="spellEnd"/>
            <w:r>
              <w:rPr>
                <w:rFonts w:ascii="Times New Roman" w:hAnsi="Times New Roman" w:cs="Times New Roman"/>
                <w:sz w:val="16"/>
                <w:szCs w:val="16"/>
                <w:shd w:val="clear" w:color="auto" w:fill="FFFFFF"/>
                <w:lang w:val="en-US"/>
              </w:rPr>
              <w:t xml:space="preserve"> with macular involvement and age &lt;18 years, structural abnormalities on the postoperative OCT-scan that possibly affected visual acuity (e.g., macular edema, </w:t>
            </w:r>
            <w:proofErr w:type="spellStart"/>
            <w:r>
              <w:rPr>
                <w:rFonts w:ascii="Times New Roman" w:hAnsi="Times New Roman" w:cs="Times New Roman"/>
                <w:sz w:val="16"/>
                <w:szCs w:val="16"/>
                <w:shd w:val="clear" w:color="auto" w:fill="FFFFFF"/>
                <w:lang w:val="en-US"/>
              </w:rPr>
              <w:t>subfoveal</w:t>
            </w:r>
            <w:proofErr w:type="spellEnd"/>
            <w:r>
              <w:rPr>
                <w:rFonts w:ascii="Times New Roman" w:hAnsi="Times New Roman" w:cs="Times New Roman"/>
                <w:sz w:val="16"/>
                <w:szCs w:val="16"/>
                <w:shd w:val="clear" w:color="auto" w:fill="FFFFFF"/>
                <w:lang w:val="en-US"/>
              </w:rPr>
              <w:t xml:space="preserve"> fluid, ERM and with postoperative cataract that affected visual acuity</w:t>
            </w:r>
          </w:p>
        </w:tc>
        <w:tc>
          <w:tcPr>
            <w:tcW w:w="1468" w:type="dxa"/>
            <w:tcBorders>
              <w:top w:val="single" w:sz="4" w:space="0" w:color="auto"/>
              <w:left w:val="single" w:sz="4" w:space="0" w:color="auto"/>
              <w:bottom w:val="single" w:sz="4" w:space="0" w:color="auto"/>
              <w:right w:val="single" w:sz="4" w:space="0" w:color="auto"/>
            </w:tcBorders>
            <w:hideMark/>
          </w:tcPr>
          <w:p w14:paraId="687A33FC"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 xml:space="preserve">20- or 25-g PPV were conducted for </w:t>
            </w:r>
            <w:r>
              <w:rPr>
                <w:rFonts w:ascii="Times New Roman" w:hAnsi="Times New Roman" w:cs="Times New Roman"/>
                <w:sz w:val="16"/>
                <w:szCs w:val="16"/>
                <w:shd w:val="clear" w:color="auto" w:fill="FFFFFF"/>
                <w:lang w:val="en-US"/>
              </w:rPr>
              <w:lastRenderedPageBreak/>
              <w:t>all the patients. Air, SF</w:t>
            </w:r>
            <w:r>
              <w:rPr>
                <w:rFonts w:ascii="Times New Roman" w:hAnsi="Times New Roman" w:cs="Times New Roman"/>
                <w:sz w:val="16"/>
                <w:szCs w:val="16"/>
                <w:shd w:val="clear" w:color="auto" w:fill="FFFFFF"/>
                <w:vertAlign w:val="subscript"/>
                <w:lang w:val="en-US"/>
              </w:rPr>
              <w:t>6</w:t>
            </w:r>
            <w:r>
              <w:rPr>
                <w:rFonts w:ascii="Times New Roman" w:hAnsi="Times New Roman" w:cs="Times New Roman"/>
                <w:sz w:val="16"/>
                <w:szCs w:val="16"/>
                <w:shd w:val="clear" w:color="auto" w:fill="FFFFFF"/>
                <w:lang w:val="en-US"/>
              </w:rPr>
              <w:t xml:space="preserve"> or C</w:t>
            </w:r>
            <w:r>
              <w:rPr>
                <w:rFonts w:ascii="Times New Roman" w:hAnsi="Times New Roman" w:cs="Times New Roman"/>
                <w:sz w:val="16"/>
                <w:szCs w:val="16"/>
                <w:shd w:val="clear" w:color="auto" w:fill="FFFFFF"/>
                <w:vertAlign w:val="subscript"/>
                <w:lang w:val="en-US"/>
              </w:rPr>
              <w:t>3</w:t>
            </w:r>
            <w:r>
              <w:rPr>
                <w:rFonts w:ascii="Times New Roman" w:hAnsi="Times New Roman" w:cs="Times New Roman"/>
                <w:sz w:val="16"/>
                <w:szCs w:val="16"/>
                <w:shd w:val="clear" w:color="auto" w:fill="FFFFFF"/>
                <w:lang w:val="en-US"/>
              </w:rPr>
              <w:t>F</w:t>
            </w:r>
            <w:r>
              <w:rPr>
                <w:rFonts w:ascii="Times New Roman" w:hAnsi="Times New Roman" w:cs="Times New Roman"/>
                <w:sz w:val="16"/>
                <w:szCs w:val="16"/>
                <w:shd w:val="clear" w:color="auto" w:fill="FFFFFF"/>
                <w:vertAlign w:val="subscript"/>
                <w:lang w:val="en-US"/>
              </w:rPr>
              <w:t>8</w:t>
            </w:r>
            <w:r>
              <w:rPr>
                <w:rFonts w:ascii="Times New Roman" w:hAnsi="Times New Roman" w:cs="Times New Roman"/>
                <w:sz w:val="16"/>
                <w:szCs w:val="16"/>
                <w:shd w:val="clear" w:color="auto" w:fill="FFFFFF"/>
                <w:lang w:val="en-US"/>
              </w:rPr>
              <w:t xml:space="preserve"> were used for gas tamponade in 20 eyes whereas </w:t>
            </w:r>
            <w:proofErr w:type="spellStart"/>
            <w:r>
              <w:rPr>
                <w:rFonts w:ascii="Times New Roman" w:hAnsi="Times New Roman" w:cs="Times New Roman"/>
                <w:sz w:val="16"/>
                <w:szCs w:val="16"/>
                <w:shd w:val="clear" w:color="auto" w:fill="FFFFFF"/>
                <w:lang w:val="en-US"/>
              </w:rPr>
              <w:t>Siluron</w:t>
            </w:r>
            <w:proofErr w:type="spellEnd"/>
            <w:r>
              <w:rPr>
                <w:rFonts w:ascii="Times New Roman" w:hAnsi="Times New Roman" w:cs="Times New Roman"/>
                <w:sz w:val="16"/>
                <w:szCs w:val="16"/>
                <w:shd w:val="clear" w:color="auto" w:fill="FFFFFF"/>
                <w:lang w:val="en-US"/>
              </w:rPr>
              <w:t>® 2000 was the SO tamponade used in another 20 eyes.</w:t>
            </w:r>
          </w:p>
        </w:tc>
        <w:tc>
          <w:tcPr>
            <w:tcW w:w="1417" w:type="dxa"/>
            <w:tcBorders>
              <w:top w:val="single" w:sz="4" w:space="0" w:color="auto"/>
              <w:left w:val="single" w:sz="4" w:space="0" w:color="auto"/>
              <w:bottom w:val="single" w:sz="4" w:space="0" w:color="auto"/>
              <w:right w:val="single" w:sz="4" w:space="0" w:color="auto"/>
            </w:tcBorders>
            <w:hideMark/>
          </w:tcPr>
          <w:p w14:paraId="33293CF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lastRenderedPageBreak/>
              <w:t xml:space="preserve">To compare the use of gas </w:t>
            </w:r>
            <w:r>
              <w:rPr>
                <w:rFonts w:ascii="Times New Roman" w:hAnsi="Times New Roman" w:cs="Times New Roman"/>
                <w:sz w:val="16"/>
                <w:szCs w:val="16"/>
                <w:shd w:val="clear" w:color="auto" w:fill="FFFFFF"/>
                <w:lang w:val="en-US"/>
              </w:rPr>
              <w:lastRenderedPageBreak/>
              <w:t>tamponade and SO tamponade in macula-on and macula-off eyes</w:t>
            </w:r>
          </w:p>
        </w:tc>
        <w:tc>
          <w:tcPr>
            <w:tcW w:w="992" w:type="dxa"/>
            <w:tcBorders>
              <w:top w:val="single" w:sz="4" w:space="0" w:color="auto"/>
              <w:left w:val="single" w:sz="4" w:space="0" w:color="auto"/>
              <w:bottom w:val="single" w:sz="4" w:space="0" w:color="auto"/>
              <w:right w:val="single" w:sz="4" w:space="0" w:color="auto"/>
            </w:tcBorders>
            <w:hideMark/>
          </w:tcPr>
          <w:p w14:paraId="50149138"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 xml:space="preserve">Three eyes with </w:t>
            </w:r>
            <w:r>
              <w:rPr>
                <w:rFonts w:ascii="Times New Roman" w:hAnsi="Times New Roman" w:cs="Times New Roman"/>
                <w:sz w:val="16"/>
                <w:szCs w:val="16"/>
                <w:shd w:val="clear" w:color="auto" w:fill="FFFFFF"/>
                <w:lang w:val="en-US"/>
              </w:rPr>
              <w:lastRenderedPageBreak/>
              <w:t>macula-on RRD, while one eye with macula-off RRD</w:t>
            </w:r>
          </w:p>
        </w:tc>
        <w:tc>
          <w:tcPr>
            <w:tcW w:w="1276" w:type="dxa"/>
            <w:tcBorders>
              <w:top w:val="single" w:sz="4" w:space="0" w:color="auto"/>
              <w:left w:val="single" w:sz="4" w:space="0" w:color="auto"/>
              <w:bottom w:val="single" w:sz="4" w:space="0" w:color="auto"/>
              <w:right w:val="single" w:sz="4" w:space="0" w:color="auto"/>
            </w:tcBorders>
            <w:hideMark/>
          </w:tcPr>
          <w:p w14:paraId="4013E1BE"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 xml:space="preserve">Two months after the </w:t>
            </w:r>
            <w:r>
              <w:rPr>
                <w:rFonts w:ascii="Times New Roman" w:hAnsi="Times New Roman" w:cs="Times New Roman"/>
                <w:sz w:val="16"/>
                <w:szCs w:val="16"/>
                <w:shd w:val="clear" w:color="auto" w:fill="FFFFFF"/>
                <w:lang w:val="en-US"/>
              </w:rPr>
              <w:lastRenderedPageBreak/>
              <w:t>primary vitrectomy</w:t>
            </w:r>
          </w:p>
        </w:tc>
        <w:tc>
          <w:tcPr>
            <w:tcW w:w="992" w:type="dxa"/>
            <w:tcBorders>
              <w:top w:val="single" w:sz="4" w:space="0" w:color="auto"/>
              <w:left w:val="single" w:sz="4" w:space="0" w:color="auto"/>
              <w:bottom w:val="single" w:sz="4" w:space="0" w:color="auto"/>
              <w:right w:val="single" w:sz="4" w:space="0" w:color="auto"/>
            </w:tcBorders>
            <w:hideMark/>
          </w:tcPr>
          <w:p w14:paraId="55C80C0A"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40</w:t>
            </w:r>
          </w:p>
        </w:tc>
        <w:tc>
          <w:tcPr>
            <w:tcW w:w="993" w:type="dxa"/>
            <w:tcBorders>
              <w:top w:val="single" w:sz="4" w:space="0" w:color="auto"/>
              <w:left w:val="single" w:sz="4" w:space="0" w:color="auto"/>
              <w:bottom w:val="single" w:sz="4" w:space="0" w:color="auto"/>
              <w:right w:val="single" w:sz="4" w:space="0" w:color="auto"/>
            </w:tcBorders>
            <w:hideMark/>
          </w:tcPr>
          <w:p w14:paraId="7682C98D"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40</w:t>
            </w:r>
          </w:p>
        </w:tc>
      </w:tr>
      <w:tr w:rsidR="003A4529" w14:paraId="6ADF8D05"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166D38BA"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Shu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2019 </w:t>
            </w:r>
            <w:sdt>
              <w:sdtPr>
                <w:rPr>
                  <w:rFonts w:ascii="Times New Roman" w:hAnsi="Times New Roman" w:cs="Times New Roman"/>
                  <w:sz w:val="16"/>
                  <w:szCs w:val="16"/>
                  <w:lang w:val="en-US"/>
                </w:rPr>
                <w:tag w:val="MENDELEY_CITATION_v3_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"/>
                <w:id w:val="139399562"/>
                <w:placeholder>
                  <w:docPart w:val="102606E8DF364B53BB4A63877D9736E1"/>
                </w:placeholder>
              </w:sdtPr>
              <w:sdtContent>
                <w:r>
                  <w:rPr>
                    <w:rFonts w:ascii="Times New Roman" w:hAnsi="Times New Roman" w:cs="Times New Roman"/>
                    <w:sz w:val="16"/>
                    <w:szCs w:val="16"/>
                    <w:lang w:val="en-US"/>
                  </w:rPr>
                  <w:t>[54]</w:t>
                </w:r>
              </w:sdtContent>
            </w:sdt>
          </w:p>
        </w:tc>
        <w:tc>
          <w:tcPr>
            <w:tcW w:w="992" w:type="dxa"/>
            <w:tcBorders>
              <w:top w:val="single" w:sz="4" w:space="0" w:color="auto"/>
              <w:left w:val="single" w:sz="4" w:space="0" w:color="auto"/>
              <w:bottom w:val="single" w:sz="4" w:space="0" w:color="auto"/>
              <w:right w:val="single" w:sz="4" w:space="0" w:color="auto"/>
            </w:tcBorders>
            <w:hideMark/>
          </w:tcPr>
          <w:p w14:paraId="7726050B"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Japan </w:t>
            </w:r>
          </w:p>
        </w:tc>
        <w:tc>
          <w:tcPr>
            <w:tcW w:w="1134" w:type="dxa"/>
            <w:tcBorders>
              <w:top w:val="single" w:sz="4" w:space="0" w:color="auto"/>
              <w:left w:val="single" w:sz="4" w:space="0" w:color="auto"/>
              <w:bottom w:val="single" w:sz="4" w:space="0" w:color="auto"/>
              <w:right w:val="single" w:sz="4" w:space="0" w:color="auto"/>
            </w:tcBorders>
            <w:hideMark/>
          </w:tcPr>
          <w:p w14:paraId="089C7029"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 multicenter, retrospective cohort study</w:t>
            </w:r>
          </w:p>
        </w:tc>
        <w:tc>
          <w:tcPr>
            <w:tcW w:w="897" w:type="dxa"/>
            <w:tcBorders>
              <w:top w:val="single" w:sz="4" w:space="0" w:color="auto"/>
              <w:left w:val="single" w:sz="4" w:space="0" w:color="auto"/>
              <w:bottom w:val="single" w:sz="4" w:space="0" w:color="auto"/>
              <w:right w:val="single" w:sz="4" w:space="0" w:color="auto"/>
            </w:tcBorders>
            <w:hideMark/>
          </w:tcPr>
          <w:p w14:paraId="74877D6E"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Hyogo College of Medicine, Tsukuba University, Kagoshima University, Mie University, Sapporo City General Hospital, Tokushima University, Fukui University, Tokyo Medical </w:t>
            </w:r>
            <w:proofErr w:type="gramStart"/>
            <w:r>
              <w:rPr>
                <w:rFonts w:ascii="Times New Roman" w:hAnsi="Times New Roman" w:cs="Times New Roman"/>
                <w:sz w:val="16"/>
                <w:szCs w:val="16"/>
                <w:shd w:val="clear" w:color="auto" w:fill="FFFFFF"/>
                <w:lang w:val="en-US"/>
              </w:rPr>
              <w:t>University</w:t>
            </w:r>
            <w:proofErr w:type="gramEnd"/>
            <w:r>
              <w:rPr>
                <w:rFonts w:ascii="Times New Roman" w:hAnsi="Times New Roman" w:cs="Times New Roman"/>
                <w:sz w:val="16"/>
                <w:szCs w:val="16"/>
                <w:shd w:val="clear" w:color="auto" w:fill="FFFFFF"/>
                <w:lang w:val="en-US"/>
              </w:rPr>
              <w:t xml:space="preserve"> and the National </w:t>
            </w:r>
            <w:r>
              <w:rPr>
                <w:rFonts w:ascii="Times New Roman" w:hAnsi="Times New Roman" w:cs="Times New Roman"/>
                <w:sz w:val="16"/>
                <w:szCs w:val="16"/>
                <w:shd w:val="clear" w:color="auto" w:fill="FFFFFF"/>
                <w:lang w:val="en-US"/>
              </w:rPr>
              <w:lastRenderedPageBreak/>
              <w:t>Defense Medical College</w:t>
            </w:r>
          </w:p>
        </w:tc>
        <w:tc>
          <w:tcPr>
            <w:tcW w:w="1440" w:type="dxa"/>
            <w:tcBorders>
              <w:top w:val="single" w:sz="4" w:space="0" w:color="auto"/>
              <w:left w:val="single" w:sz="4" w:space="0" w:color="auto"/>
              <w:bottom w:val="single" w:sz="4" w:space="0" w:color="auto"/>
              <w:right w:val="single" w:sz="4" w:space="0" w:color="auto"/>
            </w:tcBorders>
            <w:hideMark/>
          </w:tcPr>
          <w:p w14:paraId="0CE3C912"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RRD patients &lt;50 years of age with peripheral tear</w:t>
            </w:r>
          </w:p>
        </w:tc>
        <w:tc>
          <w:tcPr>
            <w:tcW w:w="1440" w:type="dxa"/>
            <w:tcBorders>
              <w:top w:val="single" w:sz="4" w:space="0" w:color="auto"/>
              <w:left w:val="single" w:sz="4" w:space="0" w:color="auto"/>
              <w:bottom w:val="single" w:sz="4" w:space="0" w:color="auto"/>
              <w:right w:val="single" w:sz="4" w:space="0" w:color="auto"/>
            </w:tcBorders>
            <w:hideMark/>
          </w:tcPr>
          <w:p w14:paraId="19A55E6E"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Patients with a history of eye surgeries, traumatic RRD, MHRD, retinopathy of prematurity and/or PVR.</w:t>
            </w:r>
          </w:p>
        </w:tc>
        <w:tc>
          <w:tcPr>
            <w:tcW w:w="1468" w:type="dxa"/>
            <w:tcBorders>
              <w:top w:val="single" w:sz="4" w:space="0" w:color="auto"/>
              <w:left w:val="single" w:sz="4" w:space="0" w:color="auto"/>
              <w:bottom w:val="single" w:sz="4" w:space="0" w:color="auto"/>
              <w:right w:val="single" w:sz="4" w:space="0" w:color="auto"/>
            </w:tcBorders>
            <w:hideMark/>
          </w:tcPr>
          <w:p w14:paraId="78245FD9"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All patients underwent surgical procedures at the discretion of retinal surgeons in each hospital. SB was performed by silicone SB with cryopexy; PPV was performed at 25- or 27-g. The selected surgeries were SB for 295 eyes (49.7%) and PPV for 262 eyes (44.1%). Patients in the combined PPV and SB group were excluded from further analysis. Tamponade materials were air, SF</w:t>
            </w:r>
            <w:r>
              <w:rPr>
                <w:rFonts w:ascii="Times New Roman" w:hAnsi="Times New Roman" w:cs="Times New Roman"/>
                <w:sz w:val="16"/>
                <w:szCs w:val="16"/>
                <w:shd w:val="clear" w:color="auto" w:fill="FFFFFF"/>
                <w:vertAlign w:val="subscript"/>
                <w:lang w:val="en-US"/>
              </w:rPr>
              <w:t>6</w:t>
            </w:r>
            <w:r>
              <w:rPr>
                <w:rFonts w:ascii="Times New Roman" w:hAnsi="Times New Roman" w:cs="Times New Roman"/>
                <w:sz w:val="16"/>
                <w:szCs w:val="16"/>
                <w:shd w:val="clear" w:color="auto" w:fill="FFFFFF"/>
                <w:lang w:val="en-US"/>
              </w:rPr>
              <w:t>, C</w:t>
            </w:r>
            <w:r>
              <w:rPr>
                <w:rFonts w:ascii="Times New Roman" w:hAnsi="Times New Roman" w:cs="Times New Roman"/>
                <w:sz w:val="16"/>
                <w:szCs w:val="16"/>
                <w:shd w:val="clear" w:color="auto" w:fill="FFFFFF"/>
                <w:vertAlign w:val="subscript"/>
                <w:lang w:val="en-US"/>
              </w:rPr>
              <w:t>3</w:t>
            </w:r>
            <w:r>
              <w:rPr>
                <w:rFonts w:ascii="Times New Roman" w:hAnsi="Times New Roman" w:cs="Times New Roman"/>
                <w:sz w:val="16"/>
                <w:szCs w:val="16"/>
                <w:shd w:val="clear" w:color="auto" w:fill="FFFFFF"/>
                <w:lang w:val="en-US"/>
              </w:rPr>
              <w:t>F</w:t>
            </w:r>
            <w:r>
              <w:rPr>
                <w:rFonts w:ascii="Times New Roman" w:hAnsi="Times New Roman" w:cs="Times New Roman"/>
                <w:sz w:val="16"/>
                <w:szCs w:val="16"/>
                <w:shd w:val="clear" w:color="auto" w:fill="FFFFFF"/>
                <w:vertAlign w:val="subscript"/>
                <w:lang w:val="en-US"/>
              </w:rPr>
              <w:t>8</w:t>
            </w:r>
            <w:r>
              <w:rPr>
                <w:rFonts w:ascii="Times New Roman" w:hAnsi="Times New Roman" w:cs="Times New Roman"/>
                <w:sz w:val="16"/>
                <w:szCs w:val="16"/>
                <w:shd w:val="clear" w:color="auto" w:fill="FFFFFF"/>
                <w:lang w:val="en-US"/>
              </w:rPr>
              <w:t xml:space="preserve"> and SO. </w:t>
            </w:r>
          </w:p>
        </w:tc>
        <w:tc>
          <w:tcPr>
            <w:tcW w:w="1417" w:type="dxa"/>
            <w:tcBorders>
              <w:top w:val="single" w:sz="4" w:space="0" w:color="auto"/>
              <w:left w:val="single" w:sz="4" w:space="0" w:color="auto"/>
              <w:bottom w:val="single" w:sz="4" w:space="0" w:color="auto"/>
              <w:right w:val="single" w:sz="4" w:space="0" w:color="auto"/>
            </w:tcBorders>
            <w:hideMark/>
          </w:tcPr>
          <w:p w14:paraId="267E0963"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992" w:type="dxa"/>
            <w:tcBorders>
              <w:top w:val="single" w:sz="4" w:space="0" w:color="auto"/>
              <w:left w:val="single" w:sz="4" w:space="0" w:color="auto"/>
              <w:bottom w:val="single" w:sz="4" w:space="0" w:color="auto"/>
              <w:right w:val="single" w:sz="4" w:space="0" w:color="auto"/>
            </w:tcBorders>
            <w:hideMark/>
          </w:tcPr>
          <w:p w14:paraId="4C3AD0B0"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Yes, but the exact number of cases were not stated </w:t>
            </w:r>
          </w:p>
        </w:tc>
        <w:tc>
          <w:tcPr>
            <w:tcW w:w="1276" w:type="dxa"/>
            <w:tcBorders>
              <w:top w:val="single" w:sz="4" w:space="0" w:color="auto"/>
              <w:left w:val="single" w:sz="4" w:space="0" w:color="auto"/>
              <w:bottom w:val="single" w:sz="4" w:space="0" w:color="auto"/>
              <w:right w:val="single" w:sz="4" w:space="0" w:color="auto"/>
            </w:tcBorders>
            <w:hideMark/>
          </w:tcPr>
          <w:p w14:paraId="0764D2D9"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992" w:type="dxa"/>
            <w:tcBorders>
              <w:top w:val="single" w:sz="4" w:space="0" w:color="auto"/>
              <w:left w:val="single" w:sz="4" w:space="0" w:color="auto"/>
              <w:bottom w:val="single" w:sz="4" w:space="0" w:color="auto"/>
              <w:right w:val="single" w:sz="4" w:space="0" w:color="auto"/>
            </w:tcBorders>
            <w:hideMark/>
          </w:tcPr>
          <w:p w14:paraId="41F97951"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562</w:t>
            </w:r>
          </w:p>
        </w:tc>
        <w:tc>
          <w:tcPr>
            <w:tcW w:w="993" w:type="dxa"/>
            <w:tcBorders>
              <w:top w:val="single" w:sz="4" w:space="0" w:color="auto"/>
              <w:left w:val="single" w:sz="4" w:space="0" w:color="auto"/>
              <w:bottom w:val="single" w:sz="4" w:space="0" w:color="auto"/>
              <w:right w:val="single" w:sz="4" w:space="0" w:color="auto"/>
            </w:tcBorders>
            <w:hideMark/>
          </w:tcPr>
          <w:p w14:paraId="1AAFF1E5"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594</w:t>
            </w:r>
          </w:p>
        </w:tc>
      </w:tr>
      <w:tr w:rsidR="003A4529" w14:paraId="5685DABA"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1D31E6D0"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Eiger-Moscovich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2017 </w:t>
            </w:r>
            <w:sdt>
              <w:sdtPr>
                <w:rPr>
                  <w:rFonts w:ascii="Times New Roman" w:hAnsi="Times New Roman" w:cs="Times New Roman"/>
                  <w:sz w:val="16"/>
                  <w:szCs w:val="16"/>
                  <w:lang w:val="en-US"/>
                </w:rPr>
                <w:tag w:val="MENDELEY_CITATION_v3_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"/>
                <w:id w:val="-125393368"/>
                <w:placeholder>
                  <w:docPart w:val="102606E8DF364B53BB4A63877D9736E1"/>
                </w:placeholder>
              </w:sdtPr>
              <w:sdtContent>
                <w:r>
                  <w:rPr>
                    <w:rFonts w:ascii="Times New Roman" w:hAnsi="Times New Roman" w:cs="Times New Roman"/>
                    <w:sz w:val="16"/>
                    <w:szCs w:val="16"/>
                    <w:lang w:val="en-US"/>
                  </w:rPr>
                  <w:t>[55]</w:t>
                </w:r>
              </w:sdtContent>
            </w:sdt>
          </w:p>
        </w:tc>
        <w:tc>
          <w:tcPr>
            <w:tcW w:w="992" w:type="dxa"/>
            <w:tcBorders>
              <w:top w:val="single" w:sz="4" w:space="0" w:color="auto"/>
              <w:left w:val="single" w:sz="4" w:space="0" w:color="auto"/>
              <w:bottom w:val="single" w:sz="4" w:space="0" w:color="auto"/>
              <w:right w:val="single" w:sz="4" w:space="0" w:color="auto"/>
            </w:tcBorders>
            <w:hideMark/>
          </w:tcPr>
          <w:p w14:paraId="1E7085EB"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Israel</w:t>
            </w:r>
          </w:p>
        </w:tc>
        <w:tc>
          <w:tcPr>
            <w:tcW w:w="1134" w:type="dxa"/>
            <w:tcBorders>
              <w:top w:val="single" w:sz="4" w:space="0" w:color="auto"/>
              <w:left w:val="single" w:sz="4" w:space="0" w:color="auto"/>
              <w:bottom w:val="single" w:sz="4" w:space="0" w:color="auto"/>
              <w:right w:val="single" w:sz="4" w:space="0" w:color="auto"/>
            </w:tcBorders>
            <w:hideMark/>
          </w:tcPr>
          <w:p w14:paraId="5DCE3F5E"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A retrospective case series </w:t>
            </w:r>
          </w:p>
        </w:tc>
        <w:tc>
          <w:tcPr>
            <w:tcW w:w="897" w:type="dxa"/>
            <w:tcBorders>
              <w:top w:val="single" w:sz="4" w:space="0" w:color="auto"/>
              <w:left w:val="single" w:sz="4" w:space="0" w:color="auto"/>
              <w:bottom w:val="single" w:sz="4" w:space="0" w:color="auto"/>
              <w:right w:val="single" w:sz="4" w:space="0" w:color="auto"/>
            </w:tcBorders>
            <w:hideMark/>
          </w:tcPr>
          <w:p w14:paraId="4C61DF6D"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 tertiary university-affiliated medical center</w:t>
            </w:r>
          </w:p>
        </w:tc>
        <w:tc>
          <w:tcPr>
            <w:tcW w:w="1440" w:type="dxa"/>
            <w:tcBorders>
              <w:top w:val="single" w:sz="4" w:space="0" w:color="auto"/>
              <w:left w:val="single" w:sz="4" w:space="0" w:color="auto"/>
              <w:bottom w:val="single" w:sz="4" w:space="0" w:color="auto"/>
              <w:right w:val="single" w:sz="4" w:space="0" w:color="auto"/>
            </w:tcBorders>
            <w:hideMark/>
          </w:tcPr>
          <w:p w14:paraId="61C5301D"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Patients who were presented with GRT, treated by PPV with short-term PFCL tamponade from 2011 to 2015. Only patients who were followed for three months or more were included.</w:t>
            </w:r>
          </w:p>
        </w:tc>
        <w:tc>
          <w:tcPr>
            <w:tcW w:w="1440" w:type="dxa"/>
            <w:tcBorders>
              <w:top w:val="single" w:sz="4" w:space="0" w:color="auto"/>
              <w:left w:val="single" w:sz="4" w:space="0" w:color="auto"/>
              <w:bottom w:val="single" w:sz="4" w:space="0" w:color="auto"/>
              <w:right w:val="single" w:sz="4" w:space="0" w:color="auto"/>
            </w:tcBorders>
            <w:hideMark/>
          </w:tcPr>
          <w:p w14:paraId="64D3A85E"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Not stated</w:t>
            </w:r>
          </w:p>
        </w:tc>
        <w:tc>
          <w:tcPr>
            <w:tcW w:w="1468" w:type="dxa"/>
            <w:tcBorders>
              <w:top w:val="single" w:sz="4" w:space="0" w:color="auto"/>
              <w:left w:val="single" w:sz="4" w:space="0" w:color="auto"/>
              <w:bottom w:val="single" w:sz="4" w:space="0" w:color="auto"/>
              <w:right w:val="single" w:sz="4" w:space="0" w:color="auto"/>
            </w:tcBorders>
          </w:tcPr>
          <w:p w14:paraId="26EF043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All the patients were treated by PPV, either 25- or 23-g instruments were used, the retina was reattached using intravitreal </w:t>
            </w:r>
            <w:proofErr w:type="gramStart"/>
            <w:r>
              <w:rPr>
                <w:rFonts w:ascii="Times New Roman" w:eastAsia="Times New Roman" w:hAnsi="Times New Roman" w:cs="Times New Roman"/>
                <w:sz w:val="16"/>
                <w:szCs w:val="16"/>
                <w:lang w:val="en-US"/>
              </w:rPr>
              <w:t>infusion</w:t>
            </w:r>
            <w:proofErr w:type="gramEnd"/>
          </w:p>
          <w:p w14:paraId="3A81018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of PFCL followed by 360º laser photocoagulation. The PFCL remained in the vitreous cavity for approximately 10 days, unless otherwise indicated. It was then extracted and replaced. PFCL was replaced by </w:t>
            </w:r>
            <w:proofErr w:type="gramStart"/>
            <w:r>
              <w:rPr>
                <w:rFonts w:ascii="Times New Roman" w:eastAsia="Times New Roman" w:hAnsi="Times New Roman" w:cs="Times New Roman"/>
                <w:sz w:val="16"/>
                <w:szCs w:val="16"/>
                <w:lang w:val="en-US"/>
              </w:rPr>
              <w:t>SF</w:t>
            </w:r>
            <w:r>
              <w:rPr>
                <w:rFonts w:ascii="Times New Roman" w:eastAsia="Times New Roman" w:hAnsi="Times New Roman" w:cs="Times New Roman"/>
                <w:sz w:val="16"/>
                <w:szCs w:val="16"/>
                <w:vertAlign w:val="subscript"/>
                <w:lang w:val="en-US"/>
              </w:rPr>
              <w:t>6</w:t>
            </w:r>
            <w:proofErr w:type="gramEnd"/>
          </w:p>
          <w:p w14:paraId="022377B3"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gas in nine (69.2%) patients, C</w:t>
            </w:r>
            <w:r>
              <w:rPr>
                <w:rFonts w:ascii="Times New Roman" w:eastAsia="Times New Roman" w:hAnsi="Times New Roman" w:cs="Times New Roman"/>
                <w:sz w:val="16"/>
                <w:szCs w:val="16"/>
                <w:vertAlign w:val="subscript"/>
                <w:lang w:val="en-US"/>
              </w:rPr>
              <w:t>3</w:t>
            </w:r>
            <w:r>
              <w:rPr>
                <w:rFonts w:ascii="Times New Roman" w:eastAsia="Times New Roman" w:hAnsi="Times New Roman" w:cs="Times New Roman"/>
                <w:sz w:val="16"/>
                <w:szCs w:val="16"/>
                <w:lang w:val="en-US"/>
              </w:rPr>
              <w:t>F</w:t>
            </w:r>
            <w:r>
              <w:rPr>
                <w:rFonts w:ascii="Times New Roman" w:eastAsia="Times New Roman" w:hAnsi="Times New Roman" w:cs="Times New Roman"/>
                <w:sz w:val="16"/>
                <w:szCs w:val="16"/>
                <w:vertAlign w:val="subscript"/>
                <w:lang w:val="en-US"/>
              </w:rPr>
              <w:t>8</w:t>
            </w:r>
            <w:r>
              <w:rPr>
                <w:rFonts w:ascii="Times New Roman" w:eastAsia="Times New Roman" w:hAnsi="Times New Roman" w:cs="Times New Roman"/>
                <w:sz w:val="16"/>
                <w:szCs w:val="16"/>
                <w:lang w:val="en-US"/>
              </w:rPr>
              <w:t xml:space="preserve"> gas in one (7.7%) patient, and SO in one (7.7%) patient. </w:t>
            </w:r>
          </w:p>
          <w:p w14:paraId="25B3CC98"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417" w:type="dxa"/>
            <w:tcBorders>
              <w:top w:val="single" w:sz="4" w:space="0" w:color="auto"/>
              <w:left w:val="single" w:sz="4" w:space="0" w:color="auto"/>
              <w:bottom w:val="single" w:sz="4" w:space="0" w:color="auto"/>
              <w:right w:val="single" w:sz="4" w:space="0" w:color="auto"/>
            </w:tcBorders>
            <w:hideMark/>
          </w:tcPr>
          <w:p w14:paraId="7DBCB065"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applicable </w:t>
            </w:r>
          </w:p>
        </w:tc>
        <w:tc>
          <w:tcPr>
            <w:tcW w:w="992" w:type="dxa"/>
            <w:tcBorders>
              <w:top w:val="single" w:sz="4" w:space="0" w:color="auto"/>
              <w:left w:val="single" w:sz="4" w:space="0" w:color="auto"/>
              <w:bottom w:val="single" w:sz="4" w:space="0" w:color="auto"/>
              <w:right w:val="single" w:sz="4" w:space="0" w:color="auto"/>
            </w:tcBorders>
            <w:hideMark/>
          </w:tcPr>
          <w:p w14:paraId="4AC806FB"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All the 13 eyes</w:t>
            </w:r>
          </w:p>
        </w:tc>
        <w:tc>
          <w:tcPr>
            <w:tcW w:w="1276" w:type="dxa"/>
            <w:tcBorders>
              <w:top w:val="single" w:sz="4" w:space="0" w:color="auto"/>
              <w:left w:val="single" w:sz="4" w:space="0" w:color="auto"/>
              <w:bottom w:val="single" w:sz="4" w:space="0" w:color="auto"/>
              <w:right w:val="single" w:sz="4" w:space="0" w:color="auto"/>
            </w:tcBorders>
            <w:hideMark/>
          </w:tcPr>
          <w:p w14:paraId="76C0A16C" w14:textId="77777777" w:rsidR="003A4529" w:rsidRDefault="003A4529">
            <w:pPr>
              <w:shd w:val="clear" w:color="auto" w:fill="FFFFFF"/>
              <w:spacing w:line="276" w:lineRule="auto"/>
              <w:rPr>
                <w:rFonts w:ascii="Times New Roman" w:hAnsi="Times New Roman" w:cs="Times New Roman"/>
                <w:b/>
                <w:bCs/>
                <w:sz w:val="16"/>
                <w:szCs w:val="16"/>
                <w:shd w:val="clear" w:color="auto" w:fill="FFFFFF"/>
                <w:lang w:val="en-US"/>
              </w:rPr>
            </w:pPr>
            <w:r>
              <w:rPr>
                <w:rFonts w:ascii="Times New Roman" w:hAnsi="Times New Roman" w:cs="Times New Roman"/>
                <w:sz w:val="16"/>
                <w:szCs w:val="16"/>
                <w:shd w:val="clear" w:color="auto" w:fill="FFFFFF"/>
                <w:lang w:val="en-US"/>
              </w:rPr>
              <w:t>Range = three to 44 months (mean ± SD 11 ± 11 months)</w:t>
            </w:r>
          </w:p>
        </w:tc>
        <w:tc>
          <w:tcPr>
            <w:tcW w:w="992" w:type="dxa"/>
            <w:tcBorders>
              <w:top w:val="single" w:sz="4" w:space="0" w:color="auto"/>
              <w:left w:val="single" w:sz="4" w:space="0" w:color="auto"/>
              <w:bottom w:val="single" w:sz="4" w:space="0" w:color="auto"/>
              <w:right w:val="single" w:sz="4" w:space="0" w:color="auto"/>
            </w:tcBorders>
            <w:hideMark/>
          </w:tcPr>
          <w:p w14:paraId="56FDAF0F"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13</w:t>
            </w:r>
          </w:p>
        </w:tc>
        <w:tc>
          <w:tcPr>
            <w:tcW w:w="993" w:type="dxa"/>
            <w:tcBorders>
              <w:top w:val="single" w:sz="4" w:space="0" w:color="auto"/>
              <w:left w:val="single" w:sz="4" w:space="0" w:color="auto"/>
              <w:bottom w:val="single" w:sz="4" w:space="0" w:color="auto"/>
              <w:right w:val="single" w:sz="4" w:space="0" w:color="auto"/>
            </w:tcBorders>
            <w:hideMark/>
          </w:tcPr>
          <w:p w14:paraId="5D31B1FB"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13</w:t>
            </w:r>
          </w:p>
        </w:tc>
      </w:tr>
      <w:tr w:rsidR="003A4529" w14:paraId="70A5634D"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6824E4AA"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Adelman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2013 </w:t>
            </w:r>
            <w:sdt>
              <w:sdtPr>
                <w:rPr>
                  <w:rFonts w:ascii="Times New Roman" w:hAnsi="Times New Roman" w:cs="Times New Roman"/>
                  <w:sz w:val="16"/>
                  <w:szCs w:val="16"/>
                  <w:lang w:val="en-US"/>
                </w:rPr>
                <w:tag w:val="MENDELEY_CITATION_v3_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"/>
                <w:id w:val="105934371"/>
                <w:placeholder>
                  <w:docPart w:val="102606E8DF364B53BB4A63877D9736E1"/>
                </w:placeholder>
              </w:sdtPr>
              <w:sdtContent>
                <w:r>
                  <w:rPr>
                    <w:rFonts w:ascii="Times New Roman" w:hAnsi="Times New Roman" w:cs="Times New Roman"/>
                    <w:sz w:val="16"/>
                    <w:szCs w:val="16"/>
                    <w:lang w:val="en-US"/>
                  </w:rPr>
                  <w:t>[70]</w:t>
                </w:r>
              </w:sdtContent>
            </w:sdt>
          </w:p>
        </w:tc>
        <w:tc>
          <w:tcPr>
            <w:tcW w:w="992" w:type="dxa"/>
            <w:tcBorders>
              <w:top w:val="single" w:sz="4" w:space="0" w:color="auto"/>
              <w:left w:val="single" w:sz="4" w:space="0" w:color="auto"/>
              <w:bottom w:val="single" w:sz="4" w:space="0" w:color="auto"/>
              <w:right w:val="single" w:sz="4" w:space="0" w:color="auto"/>
            </w:tcBorders>
            <w:hideMark/>
          </w:tcPr>
          <w:p w14:paraId="6A653874"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48 countries </w:t>
            </w:r>
          </w:p>
        </w:tc>
        <w:tc>
          <w:tcPr>
            <w:tcW w:w="1134" w:type="dxa"/>
            <w:tcBorders>
              <w:top w:val="single" w:sz="4" w:space="0" w:color="auto"/>
              <w:left w:val="single" w:sz="4" w:space="0" w:color="auto"/>
              <w:bottom w:val="single" w:sz="4" w:space="0" w:color="auto"/>
              <w:right w:val="single" w:sz="4" w:space="0" w:color="auto"/>
            </w:tcBorders>
            <w:hideMark/>
          </w:tcPr>
          <w:p w14:paraId="4833AD28"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Non-randomized, multicenter, retrospective cohort study.</w:t>
            </w:r>
          </w:p>
        </w:tc>
        <w:tc>
          <w:tcPr>
            <w:tcW w:w="897" w:type="dxa"/>
            <w:tcBorders>
              <w:top w:val="single" w:sz="4" w:space="0" w:color="auto"/>
              <w:left w:val="single" w:sz="4" w:space="0" w:color="auto"/>
              <w:bottom w:val="single" w:sz="4" w:space="0" w:color="auto"/>
              <w:right w:val="single" w:sz="4" w:space="0" w:color="auto"/>
            </w:tcBorders>
          </w:tcPr>
          <w:p w14:paraId="0186AA6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Members of the members of the EVRS to report on the RRDs, they operated from April </w:t>
            </w:r>
            <w:r>
              <w:rPr>
                <w:rFonts w:ascii="Times New Roman" w:eastAsia="Times New Roman" w:hAnsi="Times New Roman" w:cs="Times New Roman"/>
                <w:sz w:val="16"/>
                <w:szCs w:val="16"/>
                <w:lang w:val="en-US"/>
              </w:rPr>
              <w:lastRenderedPageBreak/>
              <w:t xml:space="preserve">2010 to April 2011. </w:t>
            </w:r>
          </w:p>
          <w:p w14:paraId="26440736"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440" w:type="dxa"/>
            <w:tcBorders>
              <w:top w:val="single" w:sz="4" w:space="0" w:color="auto"/>
              <w:left w:val="single" w:sz="4" w:space="0" w:color="auto"/>
              <w:bottom w:val="single" w:sz="4" w:space="0" w:color="auto"/>
              <w:right w:val="single" w:sz="4" w:space="0" w:color="auto"/>
            </w:tcBorders>
          </w:tcPr>
          <w:p w14:paraId="1AD57BA3"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 xml:space="preserve">Due to many different RDs mentioned by the authors, only the evaluation of the treatment of </w:t>
            </w:r>
            <w:proofErr w:type="gramStart"/>
            <w:r>
              <w:rPr>
                <w:rFonts w:ascii="Times New Roman" w:eastAsia="Times New Roman" w:hAnsi="Times New Roman" w:cs="Times New Roman"/>
                <w:sz w:val="16"/>
                <w:szCs w:val="16"/>
                <w:lang w:val="en-US"/>
              </w:rPr>
              <w:t>RDs</w:t>
            </w:r>
            <w:proofErr w:type="gramEnd"/>
          </w:p>
          <w:p w14:paraId="0AF4D31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with large or GRT were focused on this systematic review. The inclusion criteria </w:t>
            </w:r>
            <w:r>
              <w:rPr>
                <w:rFonts w:ascii="Times New Roman" w:eastAsia="Times New Roman" w:hAnsi="Times New Roman" w:cs="Times New Roman"/>
                <w:sz w:val="16"/>
                <w:szCs w:val="16"/>
                <w:lang w:val="en-US"/>
              </w:rPr>
              <w:lastRenderedPageBreak/>
              <w:t xml:space="preserve">were treatments of RDs with large or GRT. </w:t>
            </w:r>
          </w:p>
          <w:p w14:paraId="6D535516"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440" w:type="dxa"/>
            <w:tcBorders>
              <w:top w:val="single" w:sz="4" w:space="0" w:color="auto"/>
              <w:left w:val="single" w:sz="4" w:space="0" w:color="auto"/>
              <w:bottom w:val="single" w:sz="4" w:space="0" w:color="auto"/>
              <w:right w:val="single" w:sz="4" w:space="0" w:color="auto"/>
            </w:tcBorders>
          </w:tcPr>
          <w:p w14:paraId="30F41DD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Only cases with choroidal detachment</w:t>
            </w:r>
          </w:p>
          <w:p w14:paraId="202AD36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or hypotony were excluded.</w:t>
            </w:r>
          </w:p>
          <w:p w14:paraId="25FCAC4D"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468" w:type="dxa"/>
            <w:tcBorders>
              <w:top w:val="single" w:sz="4" w:space="0" w:color="auto"/>
              <w:left w:val="single" w:sz="4" w:space="0" w:color="auto"/>
              <w:bottom w:val="single" w:sz="4" w:space="0" w:color="auto"/>
              <w:right w:val="single" w:sz="4" w:space="0" w:color="auto"/>
            </w:tcBorders>
            <w:hideMark/>
          </w:tcPr>
          <w:p w14:paraId="696ABAF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All the eyes were treated with either vitrectomy or SB, with either gas or SO tamponades were used.</w:t>
            </w:r>
          </w:p>
        </w:tc>
        <w:tc>
          <w:tcPr>
            <w:tcW w:w="1417" w:type="dxa"/>
            <w:tcBorders>
              <w:top w:val="single" w:sz="4" w:space="0" w:color="auto"/>
              <w:left w:val="single" w:sz="4" w:space="0" w:color="auto"/>
              <w:bottom w:val="single" w:sz="4" w:space="0" w:color="auto"/>
              <w:right w:val="single" w:sz="4" w:space="0" w:color="auto"/>
            </w:tcBorders>
          </w:tcPr>
          <w:p w14:paraId="3E92BFD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To compare the failure rates of vitrectomy alone and SB alone. </w:t>
            </w:r>
          </w:p>
          <w:p w14:paraId="1ED754FB"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992" w:type="dxa"/>
            <w:tcBorders>
              <w:top w:val="single" w:sz="4" w:space="0" w:color="auto"/>
              <w:left w:val="single" w:sz="4" w:space="0" w:color="auto"/>
              <w:bottom w:val="single" w:sz="4" w:space="0" w:color="auto"/>
              <w:right w:val="single" w:sz="4" w:space="0" w:color="auto"/>
            </w:tcBorders>
            <w:hideMark/>
          </w:tcPr>
          <w:p w14:paraId="45E3F6E7"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1167 eyes (15.2%)</w:t>
            </w:r>
          </w:p>
        </w:tc>
        <w:tc>
          <w:tcPr>
            <w:tcW w:w="1276" w:type="dxa"/>
            <w:tcBorders>
              <w:top w:val="single" w:sz="4" w:space="0" w:color="auto"/>
              <w:left w:val="single" w:sz="4" w:space="0" w:color="auto"/>
              <w:bottom w:val="single" w:sz="4" w:space="0" w:color="auto"/>
              <w:right w:val="single" w:sz="4" w:space="0" w:color="auto"/>
            </w:tcBorders>
            <w:hideMark/>
          </w:tcPr>
          <w:p w14:paraId="5583CDF7"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Range = three -12 months </w:t>
            </w:r>
          </w:p>
        </w:tc>
        <w:tc>
          <w:tcPr>
            <w:tcW w:w="992" w:type="dxa"/>
            <w:tcBorders>
              <w:top w:val="single" w:sz="4" w:space="0" w:color="auto"/>
              <w:left w:val="single" w:sz="4" w:space="0" w:color="auto"/>
              <w:bottom w:val="single" w:sz="4" w:space="0" w:color="auto"/>
              <w:right w:val="single" w:sz="4" w:space="0" w:color="auto"/>
            </w:tcBorders>
            <w:hideMark/>
          </w:tcPr>
          <w:p w14:paraId="3C815299"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993" w:type="dxa"/>
            <w:tcBorders>
              <w:top w:val="single" w:sz="4" w:space="0" w:color="auto"/>
              <w:left w:val="single" w:sz="4" w:space="0" w:color="auto"/>
              <w:bottom w:val="single" w:sz="4" w:space="0" w:color="auto"/>
              <w:right w:val="single" w:sz="4" w:space="0" w:color="auto"/>
            </w:tcBorders>
            <w:hideMark/>
          </w:tcPr>
          <w:p w14:paraId="484A9791"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7678 (all RRD cases)</w:t>
            </w:r>
          </w:p>
        </w:tc>
      </w:tr>
      <w:tr w:rsidR="003A4529" w14:paraId="76AE2017"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13DF61B5"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Li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2020 </w:t>
            </w:r>
            <w:sdt>
              <w:sdtPr>
                <w:rPr>
                  <w:rFonts w:ascii="Times New Roman" w:hAnsi="Times New Roman" w:cs="Times New Roman"/>
                  <w:sz w:val="16"/>
                  <w:szCs w:val="16"/>
                  <w:lang w:val="en-US"/>
                </w:rPr>
                <w:tag w:val="MENDELEY_CITATION_v3_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"/>
                <w:id w:val="-1587452537"/>
                <w:placeholder>
                  <w:docPart w:val="102606E8DF364B53BB4A63877D9736E1"/>
                </w:placeholder>
              </w:sdtPr>
              <w:sdtContent>
                <w:r>
                  <w:rPr>
                    <w:rFonts w:ascii="Times New Roman" w:hAnsi="Times New Roman" w:cs="Times New Roman"/>
                    <w:sz w:val="16"/>
                    <w:szCs w:val="16"/>
                    <w:lang w:val="en-US"/>
                  </w:rPr>
                  <w:t>[56]</w:t>
                </w:r>
              </w:sdtContent>
            </w:sdt>
          </w:p>
        </w:tc>
        <w:tc>
          <w:tcPr>
            <w:tcW w:w="992" w:type="dxa"/>
            <w:tcBorders>
              <w:top w:val="single" w:sz="4" w:space="0" w:color="auto"/>
              <w:left w:val="single" w:sz="4" w:space="0" w:color="auto"/>
              <w:bottom w:val="single" w:sz="4" w:space="0" w:color="auto"/>
              <w:right w:val="single" w:sz="4" w:space="0" w:color="auto"/>
            </w:tcBorders>
            <w:hideMark/>
          </w:tcPr>
          <w:p w14:paraId="7BB42368"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China </w:t>
            </w:r>
          </w:p>
        </w:tc>
        <w:tc>
          <w:tcPr>
            <w:tcW w:w="1134" w:type="dxa"/>
            <w:tcBorders>
              <w:top w:val="single" w:sz="4" w:space="0" w:color="auto"/>
              <w:left w:val="single" w:sz="4" w:space="0" w:color="auto"/>
              <w:bottom w:val="single" w:sz="4" w:space="0" w:color="auto"/>
              <w:right w:val="single" w:sz="4" w:space="0" w:color="auto"/>
            </w:tcBorders>
            <w:hideMark/>
          </w:tcPr>
          <w:p w14:paraId="48BF57FF"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A retrospective case series  </w:t>
            </w:r>
          </w:p>
        </w:tc>
        <w:tc>
          <w:tcPr>
            <w:tcW w:w="897" w:type="dxa"/>
            <w:tcBorders>
              <w:top w:val="single" w:sz="4" w:space="0" w:color="auto"/>
              <w:left w:val="single" w:sz="4" w:space="0" w:color="auto"/>
              <w:bottom w:val="single" w:sz="4" w:space="0" w:color="auto"/>
              <w:right w:val="single" w:sz="4" w:space="0" w:color="auto"/>
            </w:tcBorders>
            <w:hideMark/>
          </w:tcPr>
          <w:p w14:paraId="6F9FBE5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Beijing Tongren Eye Center</w:t>
            </w:r>
          </w:p>
        </w:tc>
        <w:tc>
          <w:tcPr>
            <w:tcW w:w="1440" w:type="dxa"/>
            <w:tcBorders>
              <w:top w:val="single" w:sz="4" w:space="0" w:color="auto"/>
              <w:left w:val="single" w:sz="4" w:space="0" w:color="auto"/>
              <w:bottom w:val="single" w:sz="4" w:space="0" w:color="auto"/>
              <w:right w:val="single" w:sz="4" w:space="0" w:color="auto"/>
            </w:tcBorders>
            <w:hideMark/>
          </w:tcPr>
          <w:p w14:paraId="5E56986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All patients who presented with primary RRD, underwent 25-g </w:t>
            </w:r>
            <w:proofErr w:type="gramStart"/>
            <w:r>
              <w:rPr>
                <w:rFonts w:ascii="Times New Roman" w:eastAsia="Times New Roman" w:hAnsi="Times New Roman" w:cs="Times New Roman"/>
                <w:sz w:val="16"/>
                <w:szCs w:val="16"/>
                <w:lang w:val="en-US"/>
              </w:rPr>
              <w:t>PPV</w:t>
            </w:r>
            <w:proofErr w:type="gramEnd"/>
          </w:p>
          <w:p w14:paraId="3B217E43"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with air tamponade from August 2016 to May 2018 were included in the study. </w:t>
            </w:r>
          </w:p>
        </w:tc>
        <w:tc>
          <w:tcPr>
            <w:tcW w:w="1440" w:type="dxa"/>
            <w:tcBorders>
              <w:top w:val="single" w:sz="4" w:space="0" w:color="auto"/>
              <w:left w:val="single" w:sz="4" w:space="0" w:color="auto"/>
              <w:bottom w:val="single" w:sz="4" w:space="0" w:color="auto"/>
              <w:right w:val="single" w:sz="4" w:space="0" w:color="auto"/>
            </w:tcBorders>
            <w:hideMark/>
          </w:tcPr>
          <w:p w14:paraId="0EF597D3"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stated </w:t>
            </w:r>
          </w:p>
        </w:tc>
        <w:tc>
          <w:tcPr>
            <w:tcW w:w="1468" w:type="dxa"/>
            <w:tcBorders>
              <w:top w:val="single" w:sz="4" w:space="0" w:color="auto"/>
              <w:left w:val="single" w:sz="4" w:space="0" w:color="auto"/>
              <w:bottom w:val="single" w:sz="4" w:space="0" w:color="auto"/>
              <w:right w:val="single" w:sz="4" w:space="0" w:color="auto"/>
            </w:tcBorders>
          </w:tcPr>
          <w:p w14:paraId="7ECE381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All the eyes were treated by standard 25-g PPV. After complete release of</w:t>
            </w:r>
          </w:p>
          <w:p w14:paraId="4849C9C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traction on retinal tears, the retina was flattened by either injection of PFCL or fluid–air exchange and the subretinal fluid was drained out through the primary breaks in all cases. After fluid–air exchange, air was left in the vitreous cavity as internal tamponade. </w:t>
            </w:r>
          </w:p>
          <w:p w14:paraId="51CEBCD2"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417" w:type="dxa"/>
            <w:tcBorders>
              <w:top w:val="single" w:sz="4" w:space="0" w:color="auto"/>
              <w:left w:val="single" w:sz="4" w:space="0" w:color="auto"/>
              <w:bottom w:val="single" w:sz="4" w:space="0" w:color="auto"/>
              <w:right w:val="single" w:sz="4" w:space="0" w:color="auto"/>
            </w:tcBorders>
            <w:hideMark/>
          </w:tcPr>
          <w:p w14:paraId="032EA2D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stated </w:t>
            </w:r>
          </w:p>
        </w:tc>
        <w:tc>
          <w:tcPr>
            <w:tcW w:w="992" w:type="dxa"/>
            <w:tcBorders>
              <w:top w:val="single" w:sz="4" w:space="0" w:color="auto"/>
              <w:left w:val="single" w:sz="4" w:space="0" w:color="auto"/>
              <w:bottom w:val="single" w:sz="4" w:space="0" w:color="auto"/>
              <w:right w:val="single" w:sz="4" w:space="0" w:color="auto"/>
            </w:tcBorders>
            <w:hideMark/>
          </w:tcPr>
          <w:p w14:paraId="2F2A4184"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Three eyes (5.1%) </w:t>
            </w:r>
          </w:p>
        </w:tc>
        <w:tc>
          <w:tcPr>
            <w:tcW w:w="1276" w:type="dxa"/>
            <w:tcBorders>
              <w:top w:val="single" w:sz="4" w:space="0" w:color="auto"/>
              <w:left w:val="single" w:sz="4" w:space="0" w:color="auto"/>
              <w:bottom w:val="single" w:sz="4" w:space="0" w:color="auto"/>
              <w:right w:val="single" w:sz="4" w:space="0" w:color="auto"/>
            </w:tcBorders>
            <w:hideMark/>
          </w:tcPr>
          <w:p w14:paraId="032020E7"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Mean = 12.90 ± 5.92 months (Range = 6.07–26.10 months</w:t>
            </w:r>
          </w:p>
        </w:tc>
        <w:tc>
          <w:tcPr>
            <w:tcW w:w="992" w:type="dxa"/>
            <w:tcBorders>
              <w:top w:val="single" w:sz="4" w:space="0" w:color="auto"/>
              <w:left w:val="single" w:sz="4" w:space="0" w:color="auto"/>
              <w:bottom w:val="single" w:sz="4" w:space="0" w:color="auto"/>
              <w:right w:val="single" w:sz="4" w:space="0" w:color="auto"/>
            </w:tcBorders>
            <w:hideMark/>
          </w:tcPr>
          <w:p w14:paraId="029AEE07"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59</w:t>
            </w:r>
          </w:p>
        </w:tc>
        <w:tc>
          <w:tcPr>
            <w:tcW w:w="993" w:type="dxa"/>
            <w:tcBorders>
              <w:top w:val="single" w:sz="4" w:space="0" w:color="auto"/>
              <w:left w:val="single" w:sz="4" w:space="0" w:color="auto"/>
              <w:bottom w:val="single" w:sz="4" w:space="0" w:color="auto"/>
              <w:right w:val="single" w:sz="4" w:space="0" w:color="auto"/>
            </w:tcBorders>
            <w:hideMark/>
          </w:tcPr>
          <w:p w14:paraId="0CAA2730"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59</w:t>
            </w:r>
          </w:p>
        </w:tc>
      </w:tr>
      <w:tr w:rsidR="003A4529" w14:paraId="2A369781"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11120BC3"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Abdala-Caballero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2022 </w:t>
            </w:r>
            <w:sdt>
              <w:sdtPr>
                <w:rPr>
                  <w:rFonts w:ascii="Times New Roman" w:hAnsi="Times New Roman" w:cs="Times New Roman"/>
                  <w:sz w:val="16"/>
                  <w:szCs w:val="16"/>
                  <w:lang w:val="en-US"/>
                </w:rPr>
                <w:tag w:val="MENDELEY_CITATION_v3_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"/>
                <w:id w:val="2084179752"/>
                <w:placeholder>
                  <w:docPart w:val="102606E8DF364B53BB4A63877D9736E1"/>
                </w:placeholder>
              </w:sdtPr>
              <w:sdtContent>
                <w:r>
                  <w:rPr>
                    <w:rFonts w:ascii="Times New Roman" w:hAnsi="Times New Roman" w:cs="Times New Roman"/>
                    <w:sz w:val="16"/>
                    <w:szCs w:val="16"/>
                    <w:lang w:val="en-US"/>
                  </w:rPr>
                  <w:t>[57]</w:t>
                </w:r>
              </w:sdtContent>
            </w:sdt>
          </w:p>
        </w:tc>
        <w:tc>
          <w:tcPr>
            <w:tcW w:w="992" w:type="dxa"/>
            <w:tcBorders>
              <w:top w:val="single" w:sz="4" w:space="0" w:color="auto"/>
              <w:left w:val="single" w:sz="4" w:space="0" w:color="auto"/>
              <w:bottom w:val="single" w:sz="4" w:space="0" w:color="auto"/>
              <w:right w:val="single" w:sz="4" w:space="0" w:color="auto"/>
            </w:tcBorders>
            <w:hideMark/>
          </w:tcPr>
          <w:p w14:paraId="7C59ED69"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Colombia</w:t>
            </w:r>
          </w:p>
        </w:tc>
        <w:tc>
          <w:tcPr>
            <w:tcW w:w="1134" w:type="dxa"/>
            <w:tcBorders>
              <w:top w:val="single" w:sz="4" w:space="0" w:color="auto"/>
              <w:left w:val="single" w:sz="4" w:space="0" w:color="auto"/>
              <w:bottom w:val="single" w:sz="4" w:space="0" w:color="auto"/>
              <w:right w:val="single" w:sz="4" w:space="0" w:color="auto"/>
            </w:tcBorders>
            <w:hideMark/>
          </w:tcPr>
          <w:p w14:paraId="20F5D07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A retrospective case series</w:t>
            </w:r>
          </w:p>
        </w:tc>
        <w:tc>
          <w:tcPr>
            <w:tcW w:w="897" w:type="dxa"/>
            <w:tcBorders>
              <w:top w:val="single" w:sz="4" w:space="0" w:color="auto"/>
              <w:left w:val="single" w:sz="4" w:space="0" w:color="auto"/>
              <w:bottom w:val="single" w:sz="4" w:space="0" w:color="auto"/>
              <w:right w:val="single" w:sz="4" w:space="0" w:color="auto"/>
            </w:tcBorders>
            <w:hideMark/>
          </w:tcPr>
          <w:p w14:paraId="114BB19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A referral center in the city of Barranquilla, Colombia</w:t>
            </w:r>
          </w:p>
        </w:tc>
        <w:tc>
          <w:tcPr>
            <w:tcW w:w="1440" w:type="dxa"/>
            <w:tcBorders>
              <w:top w:val="single" w:sz="4" w:space="0" w:color="auto"/>
              <w:left w:val="single" w:sz="4" w:space="0" w:color="auto"/>
              <w:bottom w:val="single" w:sz="4" w:space="0" w:color="auto"/>
              <w:right w:val="single" w:sz="4" w:space="0" w:color="auto"/>
            </w:tcBorders>
            <w:hideMark/>
          </w:tcPr>
          <w:p w14:paraId="1FE7A19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Patients of legal age, </w:t>
            </w:r>
            <w:proofErr w:type="gramStart"/>
            <w:r>
              <w:rPr>
                <w:rFonts w:ascii="Times New Roman" w:eastAsia="Times New Roman" w:hAnsi="Times New Roman" w:cs="Times New Roman"/>
                <w:sz w:val="16"/>
                <w:szCs w:val="16"/>
                <w:lang w:val="en-US"/>
              </w:rPr>
              <w:t>diagnosed</w:t>
            </w:r>
            <w:proofErr w:type="gramEnd"/>
          </w:p>
          <w:p w14:paraId="142F64F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with GRT-related RRD, treated between January 2009 and December 2018, and have a minimum of </w:t>
            </w:r>
            <w:proofErr w:type="gramStart"/>
            <w:r>
              <w:rPr>
                <w:rFonts w:ascii="Times New Roman" w:eastAsia="Times New Roman" w:hAnsi="Times New Roman" w:cs="Times New Roman"/>
                <w:sz w:val="16"/>
                <w:szCs w:val="16"/>
                <w:lang w:val="en-US"/>
              </w:rPr>
              <w:t>one year</w:t>
            </w:r>
            <w:proofErr w:type="gramEnd"/>
            <w:r>
              <w:rPr>
                <w:rFonts w:ascii="Times New Roman" w:eastAsia="Times New Roman" w:hAnsi="Times New Roman" w:cs="Times New Roman"/>
                <w:sz w:val="16"/>
                <w:szCs w:val="16"/>
                <w:lang w:val="en-US"/>
              </w:rPr>
              <w:t xml:space="preserve"> postoperative follow- up were included in the study. </w:t>
            </w:r>
          </w:p>
        </w:tc>
        <w:tc>
          <w:tcPr>
            <w:tcW w:w="1440" w:type="dxa"/>
            <w:tcBorders>
              <w:top w:val="single" w:sz="4" w:space="0" w:color="auto"/>
              <w:left w:val="single" w:sz="4" w:space="0" w:color="auto"/>
              <w:bottom w:val="single" w:sz="4" w:space="0" w:color="auto"/>
              <w:right w:val="single" w:sz="4" w:space="0" w:color="auto"/>
            </w:tcBorders>
            <w:hideMark/>
          </w:tcPr>
          <w:p w14:paraId="79403CC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Patients with a history of PVR grade D1 or</w:t>
            </w:r>
          </w:p>
          <w:p w14:paraId="3068863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higher, PDR, inflammatory</w:t>
            </w:r>
          </w:p>
          <w:p w14:paraId="34F1E9C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diseases, and inferior and/or temporal dialysis</w:t>
            </w:r>
          </w:p>
          <w:p w14:paraId="3FA29CE3"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presence was excluded from the study. </w:t>
            </w:r>
          </w:p>
        </w:tc>
        <w:tc>
          <w:tcPr>
            <w:tcW w:w="1468" w:type="dxa"/>
            <w:tcBorders>
              <w:top w:val="single" w:sz="4" w:space="0" w:color="auto"/>
              <w:left w:val="single" w:sz="4" w:space="0" w:color="auto"/>
              <w:bottom w:val="single" w:sz="4" w:space="0" w:color="auto"/>
              <w:right w:val="single" w:sz="4" w:space="0" w:color="auto"/>
            </w:tcBorders>
          </w:tcPr>
          <w:p w14:paraId="5C69744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All eyes underwent 23-g PPV with SB</w:t>
            </w:r>
          </w:p>
          <w:p w14:paraId="549E8A0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and SO as tamponade. The mobile retina was flattened and stabilized by injection of PFCL.</w:t>
            </w:r>
          </w:p>
          <w:p w14:paraId="61221E4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417" w:type="dxa"/>
            <w:tcBorders>
              <w:top w:val="single" w:sz="4" w:space="0" w:color="auto"/>
              <w:left w:val="single" w:sz="4" w:space="0" w:color="auto"/>
              <w:bottom w:val="single" w:sz="4" w:space="0" w:color="auto"/>
              <w:right w:val="single" w:sz="4" w:space="0" w:color="auto"/>
            </w:tcBorders>
            <w:hideMark/>
          </w:tcPr>
          <w:p w14:paraId="74EFC38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Not applicable</w:t>
            </w:r>
          </w:p>
        </w:tc>
        <w:tc>
          <w:tcPr>
            <w:tcW w:w="992" w:type="dxa"/>
            <w:tcBorders>
              <w:top w:val="single" w:sz="4" w:space="0" w:color="auto"/>
              <w:left w:val="single" w:sz="4" w:space="0" w:color="auto"/>
              <w:bottom w:val="single" w:sz="4" w:space="0" w:color="auto"/>
              <w:right w:val="single" w:sz="4" w:space="0" w:color="auto"/>
            </w:tcBorders>
          </w:tcPr>
          <w:p w14:paraId="2D2C43E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All the 32 eyes. During surgery, the size of GRT was assessed:</w:t>
            </w:r>
          </w:p>
          <w:p w14:paraId="163570C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90° in 10 patients (32%), &gt; 0° and &lt; 180°</w:t>
            </w:r>
          </w:p>
          <w:p w14:paraId="1B351C53"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in 17 patients (52%), and ≥ 180° in five (16%).</w:t>
            </w:r>
          </w:p>
          <w:p w14:paraId="5F8C6A4D" w14:textId="77777777" w:rsidR="003A4529" w:rsidRDefault="003A4529">
            <w:pPr>
              <w:spacing w:line="276" w:lineRule="auto"/>
              <w:rPr>
                <w:rFonts w:ascii="Times New Roman" w:hAnsi="Times New Roman" w:cs="Times New Roman"/>
                <w:sz w:val="16"/>
                <w:szCs w:val="16"/>
                <w:shd w:val="clear" w:color="auto" w:fill="FFFFFF"/>
                <w:lang w:val="en-US"/>
              </w:rPr>
            </w:pPr>
          </w:p>
        </w:tc>
        <w:tc>
          <w:tcPr>
            <w:tcW w:w="1276" w:type="dxa"/>
            <w:tcBorders>
              <w:top w:val="single" w:sz="4" w:space="0" w:color="auto"/>
              <w:left w:val="single" w:sz="4" w:space="0" w:color="auto"/>
              <w:bottom w:val="single" w:sz="4" w:space="0" w:color="auto"/>
              <w:right w:val="single" w:sz="4" w:space="0" w:color="auto"/>
            </w:tcBorders>
            <w:hideMark/>
          </w:tcPr>
          <w:p w14:paraId="28D6F71F"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Mean = eight months, range six –36 months</w:t>
            </w:r>
          </w:p>
        </w:tc>
        <w:tc>
          <w:tcPr>
            <w:tcW w:w="992" w:type="dxa"/>
            <w:tcBorders>
              <w:top w:val="single" w:sz="4" w:space="0" w:color="auto"/>
              <w:left w:val="single" w:sz="4" w:space="0" w:color="auto"/>
              <w:bottom w:val="single" w:sz="4" w:space="0" w:color="auto"/>
              <w:right w:val="single" w:sz="4" w:space="0" w:color="auto"/>
            </w:tcBorders>
            <w:hideMark/>
          </w:tcPr>
          <w:p w14:paraId="59D3305C"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32</w:t>
            </w:r>
          </w:p>
        </w:tc>
        <w:tc>
          <w:tcPr>
            <w:tcW w:w="993" w:type="dxa"/>
            <w:tcBorders>
              <w:top w:val="single" w:sz="4" w:space="0" w:color="auto"/>
              <w:left w:val="single" w:sz="4" w:space="0" w:color="auto"/>
              <w:bottom w:val="single" w:sz="4" w:space="0" w:color="auto"/>
              <w:right w:val="single" w:sz="4" w:space="0" w:color="auto"/>
            </w:tcBorders>
            <w:hideMark/>
          </w:tcPr>
          <w:p w14:paraId="15F319EF"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32</w:t>
            </w:r>
          </w:p>
        </w:tc>
      </w:tr>
      <w:tr w:rsidR="003A4529" w14:paraId="29BC3E6B"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0B5EF3C0"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lastRenderedPageBreak/>
              <w:t xml:space="preserve">Ghosh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2004 </w:t>
            </w:r>
            <w:sdt>
              <w:sdtPr>
                <w:rPr>
                  <w:rFonts w:ascii="Times New Roman" w:hAnsi="Times New Roman" w:cs="Times New Roman"/>
                  <w:sz w:val="16"/>
                  <w:szCs w:val="16"/>
                  <w:lang w:val="en-US"/>
                </w:rPr>
                <w:tag w:val="MENDELEY_CITATION_v3_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"/>
                <w:id w:val="395016440"/>
                <w:placeholder>
                  <w:docPart w:val="102606E8DF364B53BB4A63877D9736E1"/>
                </w:placeholder>
              </w:sdtPr>
              <w:sdtContent>
                <w:r>
                  <w:rPr>
                    <w:rFonts w:ascii="Times New Roman" w:hAnsi="Times New Roman" w:cs="Times New Roman"/>
                    <w:sz w:val="16"/>
                    <w:szCs w:val="16"/>
                    <w:lang w:val="en-US"/>
                  </w:rPr>
                  <w:t>[58]</w:t>
                </w:r>
              </w:sdtContent>
            </w:sdt>
          </w:p>
        </w:tc>
        <w:tc>
          <w:tcPr>
            <w:tcW w:w="992" w:type="dxa"/>
            <w:tcBorders>
              <w:top w:val="single" w:sz="4" w:space="0" w:color="auto"/>
              <w:left w:val="single" w:sz="4" w:space="0" w:color="auto"/>
              <w:bottom w:val="single" w:sz="4" w:space="0" w:color="auto"/>
              <w:right w:val="single" w:sz="4" w:space="0" w:color="auto"/>
            </w:tcBorders>
            <w:hideMark/>
          </w:tcPr>
          <w:p w14:paraId="54B9D5F4"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The United Kingdom</w:t>
            </w:r>
          </w:p>
        </w:tc>
        <w:tc>
          <w:tcPr>
            <w:tcW w:w="1134" w:type="dxa"/>
            <w:tcBorders>
              <w:top w:val="single" w:sz="4" w:space="0" w:color="auto"/>
              <w:left w:val="single" w:sz="4" w:space="0" w:color="auto"/>
              <w:bottom w:val="single" w:sz="4" w:space="0" w:color="auto"/>
              <w:right w:val="single" w:sz="4" w:space="0" w:color="auto"/>
            </w:tcBorders>
            <w:hideMark/>
          </w:tcPr>
          <w:p w14:paraId="7851DD3C"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 retrospective case series</w:t>
            </w:r>
          </w:p>
        </w:tc>
        <w:tc>
          <w:tcPr>
            <w:tcW w:w="897" w:type="dxa"/>
            <w:tcBorders>
              <w:top w:val="single" w:sz="4" w:space="0" w:color="auto"/>
              <w:left w:val="single" w:sz="4" w:space="0" w:color="auto"/>
              <w:bottom w:val="single" w:sz="4" w:space="0" w:color="auto"/>
              <w:right w:val="single" w:sz="4" w:space="0" w:color="auto"/>
            </w:tcBorders>
            <w:hideMark/>
          </w:tcPr>
          <w:p w14:paraId="77A140B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 xml:space="preserve">Birmingham and Midland Eye Centre. </w:t>
            </w:r>
          </w:p>
        </w:tc>
        <w:tc>
          <w:tcPr>
            <w:tcW w:w="1440" w:type="dxa"/>
            <w:tcBorders>
              <w:top w:val="single" w:sz="4" w:space="0" w:color="auto"/>
              <w:left w:val="single" w:sz="4" w:space="0" w:color="auto"/>
              <w:bottom w:val="single" w:sz="4" w:space="0" w:color="auto"/>
              <w:right w:val="single" w:sz="4" w:space="0" w:color="auto"/>
            </w:tcBorders>
            <w:hideMark/>
          </w:tcPr>
          <w:p w14:paraId="003C279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These patients underwent surgery to repair RRD due to GRT between November 1991 and June 2002.</w:t>
            </w:r>
          </w:p>
        </w:tc>
        <w:tc>
          <w:tcPr>
            <w:tcW w:w="1440" w:type="dxa"/>
            <w:tcBorders>
              <w:top w:val="single" w:sz="4" w:space="0" w:color="auto"/>
              <w:left w:val="single" w:sz="4" w:space="0" w:color="auto"/>
              <w:bottom w:val="single" w:sz="4" w:space="0" w:color="auto"/>
              <w:right w:val="single" w:sz="4" w:space="0" w:color="auto"/>
            </w:tcBorders>
            <w:hideMark/>
          </w:tcPr>
          <w:p w14:paraId="1EC86D0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stated </w:t>
            </w:r>
          </w:p>
        </w:tc>
        <w:tc>
          <w:tcPr>
            <w:tcW w:w="1468" w:type="dxa"/>
            <w:tcBorders>
              <w:top w:val="single" w:sz="4" w:space="0" w:color="auto"/>
              <w:left w:val="single" w:sz="4" w:space="0" w:color="auto"/>
              <w:bottom w:val="single" w:sz="4" w:space="0" w:color="auto"/>
              <w:right w:val="single" w:sz="4" w:space="0" w:color="auto"/>
            </w:tcBorders>
          </w:tcPr>
          <w:p w14:paraId="0A0A975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All the patients underwent a PPV. PFCL was used to flatten the retina intraoperatively in 23 patients (79.31%) and six (20.68%) had air tamponade. </w:t>
            </w:r>
            <w:proofErr w:type="gramStart"/>
            <w:r>
              <w:rPr>
                <w:rFonts w:ascii="Times New Roman" w:eastAsia="Times New Roman" w:hAnsi="Times New Roman" w:cs="Times New Roman"/>
                <w:sz w:val="16"/>
                <w:szCs w:val="16"/>
                <w:lang w:val="en-US"/>
              </w:rPr>
              <w:t>SO</w:t>
            </w:r>
            <w:proofErr w:type="gramEnd"/>
            <w:r>
              <w:rPr>
                <w:rFonts w:ascii="Times New Roman" w:eastAsia="Times New Roman" w:hAnsi="Times New Roman" w:cs="Times New Roman"/>
                <w:sz w:val="16"/>
                <w:szCs w:val="16"/>
                <w:lang w:val="en-US"/>
              </w:rPr>
              <w:t xml:space="preserve"> tamponade was used in 28 cases (96.55%). C</w:t>
            </w:r>
            <w:r>
              <w:rPr>
                <w:rFonts w:ascii="Times New Roman" w:eastAsia="Times New Roman" w:hAnsi="Times New Roman" w:cs="Times New Roman"/>
                <w:sz w:val="16"/>
                <w:szCs w:val="16"/>
                <w:vertAlign w:val="subscript"/>
                <w:lang w:val="en-US"/>
              </w:rPr>
              <w:t>3</w:t>
            </w:r>
            <w:r>
              <w:rPr>
                <w:rFonts w:ascii="Times New Roman" w:eastAsia="Times New Roman" w:hAnsi="Times New Roman" w:cs="Times New Roman"/>
                <w:sz w:val="16"/>
                <w:szCs w:val="16"/>
                <w:lang w:val="en-US"/>
              </w:rPr>
              <w:t>F</w:t>
            </w:r>
            <w:r>
              <w:rPr>
                <w:rFonts w:ascii="Times New Roman" w:eastAsia="Times New Roman" w:hAnsi="Times New Roman" w:cs="Times New Roman"/>
                <w:sz w:val="16"/>
                <w:szCs w:val="16"/>
                <w:vertAlign w:val="subscript"/>
                <w:lang w:val="en-US"/>
              </w:rPr>
              <w:t>8</w:t>
            </w:r>
            <w:r>
              <w:rPr>
                <w:rFonts w:ascii="Times New Roman" w:eastAsia="Times New Roman" w:hAnsi="Times New Roman" w:cs="Times New Roman"/>
                <w:sz w:val="16"/>
                <w:szCs w:val="16"/>
                <w:lang w:val="en-US"/>
              </w:rPr>
              <w:t>-16</w:t>
            </w:r>
            <w:proofErr w:type="gramStart"/>
            <w:r>
              <w:rPr>
                <w:rFonts w:ascii="Times New Roman" w:eastAsia="Times New Roman" w:hAnsi="Times New Roman" w:cs="Times New Roman"/>
                <w:sz w:val="16"/>
                <w:szCs w:val="16"/>
                <w:lang w:val="en-US"/>
              </w:rPr>
              <w:t>%  gas</w:t>
            </w:r>
            <w:proofErr w:type="gramEnd"/>
            <w:r>
              <w:rPr>
                <w:rFonts w:ascii="Times New Roman" w:eastAsia="Times New Roman" w:hAnsi="Times New Roman" w:cs="Times New Roman"/>
                <w:sz w:val="16"/>
                <w:szCs w:val="16"/>
                <w:lang w:val="en-US"/>
              </w:rPr>
              <w:t xml:space="preserve"> was used in one case. In all, 16 (55.17%) patients had explants, which included 12 encircling SB, one</w:t>
            </w:r>
          </w:p>
          <w:p w14:paraId="535C632E"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segmental, and three being a combination of both. </w:t>
            </w:r>
          </w:p>
          <w:p w14:paraId="1A55CA9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417" w:type="dxa"/>
            <w:tcBorders>
              <w:top w:val="single" w:sz="4" w:space="0" w:color="auto"/>
              <w:left w:val="single" w:sz="4" w:space="0" w:color="auto"/>
              <w:bottom w:val="single" w:sz="4" w:space="0" w:color="auto"/>
              <w:right w:val="single" w:sz="4" w:space="0" w:color="auto"/>
            </w:tcBorders>
            <w:hideMark/>
          </w:tcPr>
          <w:p w14:paraId="684A6F8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stated </w:t>
            </w:r>
          </w:p>
        </w:tc>
        <w:tc>
          <w:tcPr>
            <w:tcW w:w="992" w:type="dxa"/>
            <w:tcBorders>
              <w:top w:val="single" w:sz="4" w:space="0" w:color="auto"/>
              <w:left w:val="single" w:sz="4" w:space="0" w:color="auto"/>
              <w:bottom w:val="single" w:sz="4" w:space="0" w:color="auto"/>
              <w:right w:val="single" w:sz="4" w:space="0" w:color="auto"/>
            </w:tcBorders>
            <w:hideMark/>
          </w:tcPr>
          <w:p w14:paraId="0AA66CD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A total of 20 eyes (69.0%) had GRT that extended between three and six O' clock hours circumferentially, with two eyes having 360° tears. In 16 (55.17%) of these cases, GRTs occupied a predominantly/partially superior part of the retina. The other 13 occupied the inferior retina either wholly or partially.</w:t>
            </w:r>
          </w:p>
        </w:tc>
        <w:tc>
          <w:tcPr>
            <w:tcW w:w="1276" w:type="dxa"/>
            <w:tcBorders>
              <w:top w:val="single" w:sz="4" w:space="0" w:color="auto"/>
              <w:left w:val="single" w:sz="4" w:space="0" w:color="auto"/>
              <w:bottom w:val="single" w:sz="4" w:space="0" w:color="auto"/>
              <w:right w:val="single" w:sz="4" w:space="0" w:color="auto"/>
            </w:tcBorders>
            <w:hideMark/>
          </w:tcPr>
          <w:p w14:paraId="2DAAF855"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Postoperative follow-up period ranged from five months to seven years (mean 28 months)</w:t>
            </w:r>
          </w:p>
        </w:tc>
        <w:tc>
          <w:tcPr>
            <w:tcW w:w="992" w:type="dxa"/>
            <w:tcBorders>
              <w:top w:val="single" w:sz="4" w:space="0" w:color="auto"/>
              <w:left w:val="single" w:sz="4" w:space="0" w:color="auto"/>
              <w:bottom w:val="single" w:sz="4" w:space="0" w:color="auto"/>
              <w:right w:val="single" w:sz="4" w:space="0" w:color="auto"/>
            </w:tcBorders>
            <w:hideMark/>
          </w:tcPr>
          <w:p w14:paraId="1305A880"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29</w:t>
            </w:r>
          </w:p>
        </w:tc>
        <w:tc>
          <w:tcPr>
            <w:tcW w:w="993" w:type="dxa"/>
            <w:tcBorders>
              <w:top w:val="single" w:sz="4" w:space="0" w:color="auto"/>
              <w:left w:val="single" w:sz="4" w:space="0" w:color="auto"/>
              <w:bottom w:val="single" w:sz="4" w:space="0" w:color="auto"/>
              <w:right w:val="single" w:sz="4" w:space="0" w:color="auto"/>
            </w:tcBorders>
            <w:hideMark/>
          </w:tcPr>
          <w:p w14:paraId="5B1E0540"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29</w:t>
            </w:r>
          </w:p>
        </w:tc>
      </w:tr>
      <w:tr w:rsidR="003A4529" w14:paraId="4F49776E"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35B3645D"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Kumar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2018 </w:t>
            </w:r>
            <w:sdt>
              <w:sdtPr>
                <w:rPr>
                  <w:rFonts w:ascii="Times New Roman" w:hAnsi="Times New Roman" w:cs="Times New Roman"/>
                  <w:sz w:val="16"/>
                  <w:szCs w:val="16"/>
                  <w:lang w:val="en-US"/>
                </w:rPr>
                <w:tag w:val="MENDELEY_CITATION_v3_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"/>
                <w:id w:val="-1233463191"/>
                <w:placeholder>
                  <w:docPart w:val="102606E8DF364B53BB4A63877D9736E1"/>
                </w:placeholder>
              </w:sdtPr>
              <w:sdtContent>
                <w:r>
                  <w:rPr>
                    <w:rFonts w:ascii="Times New Roman" w:hAnsi="Times New Roman" w:cs="Times New Roman"/>
                    <w:sz w:val="16"/>
                    <w:szCs w:val="16"/>
                    <w:lang w:val="en-US"/>
                  </w:rPr>
                  <w:t>[59]</w:t>
                </w:r>
              </w:sdtContent>
            </w:sdt>
          </w:p>
        </w:tc>
        <w:tc>
          <w:tcPr>
            <w:tcW w:w="992" w:type="dxa"/>
            <w:tcBorders>
              <w:top w:val="single" w:sz="4" w:space="0" w:color="auto"/>
              <w:left w:val="single" w:sz="4" w:space="0" w:color="auto"/>
              <w:bottom w:val="single" w:sz="4" w:space="0" w:color="auto"/>
              <w:right w:val="single" w:sz="4" w:space="0" w:color="auto"/>
            </w:tcBorders>
            <w:hideMark/>
          </w:tcPr>
          <w:p w14:paraId="3E1E274A"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India.</w:t>
            </w:r>
          </w:p>
        </w:tc>
        <w:tc>
          <w:tcPr>
            <w:tcW w:w="1134" w:type="dxa"/>
            <w:tcBorders>
              <w:top w:val="single" w:sz="4" w:space="0" w:color="auto"/>
              <w:left w:val="single" w:sz="4" w:space="0" w:color="auto"/>
              <w:bottom w:val="single" w:sz="4" w:space="0" w:color="auto"/>
              <w:right w:val="single" w:sz="4" w:space="0" w:color="auto"/>
            </w:tcBorders>
            <w:hideMark/>
          </w:tcPr>
          <w:p w14:paraId="25D6241E"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A retrospective case series </w:t>
            </w:r>
          </w:p>
        </w:tc>
        <w:tc>
          <w:tcPr>
            <w:tcW w:w="897" w:type="dxa"/>
            <w:tcBorders>
              <w:top w:val="single" w:sz="4" w:space="0" w:color="auto"/>
              <w:left w:val="single" w:sz="4" w:space="0" w:color="auto"/>
              <w:bottom w:val="single" w:sz="4" w:space="0" w:color="auto"/>
              <w:right w:val="single" w:sz="4" w:space="0" w:color="auto"/>
            </w:tcBorders>
            <w:hideMark/>
          </w:tcPr>
          <w:p w14:paraId="23344B65"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 tertiary eye care center in North India</w:t>
            </w:r>
          </w:p>
        </w:tc>
        <w:tc>
          <w:tcPr>
            <w:tcW w:w="1440" w:type="dxa"/>
            <w:tcBorders>
              <w:top w:val="single" w:sz="4" w:space="0" w:color="auto"/>
              <w:left w:val="single" w:sz="4" w:space="0" w:color="auto"/>
              <w:bottom w:val="single" w:sz="4" w:space="0" w:color="auto"/>
              <w:right w:val="single" w:sz="4" w:space="0" w:color="auto"/>
            </w:tcBorders>
            <w:hideMark/>
          </w:tcPr>
          <w:p w14:paraId="283D39E2"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All patients with GRT-associated (irrespective of etiology) RD who underwent 25-gauge PPV were included in the study.</w:t>
            </w:r>
            <w:r>
              <w:rPr>
                <w:rFonts w:ascii="Times New Roman" w:hAnsi="Times New Roman" w:cs="Times New Roman"/>
                <w:sz w:val="16"/>
                <w:szCs w:val="16"/>
                <w:lang w:val="en-US"/>
              </w:rPr>
              <w:t xml:space="preserve"> </w:t>
            </w:r>
            <w:r>
              <w:rPr>
                <w:rFonts w:ascii="Times New Roman" w:hAnsi="Times New Roman" w:cs="Times New Roman"/>
                <w:sz w:val="16"/>
                <w:szCs w:val="16"/>
                <w:shd w:val="clear" w:color="auto" w:fill="FFFFFF"/>
                <w:lang w:val="en-US"/>
              </w:rPr>
              <w:t>The</w:t>
            </w:r>
          </w:p>
          <w:p w14:paraId="4FE264EC"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study period ranged from January 2015 to May 2016. </w:t>
            </w:r>
          </w:p>
        </w:tc>
        <w:tc>
          <w:tcPr>
            <w:tcW w:w="1440" w:type="dxa"/>
            <w:tcBorders>
              <w:top w:val="single" w:sz="4" w:space="0" w:color="auto"/>
              <w:left w:val="single" w:sz="4" w:space="0" w:color="auto"/>
              <w:bottom w:val="single" w:sz="4" w:space="0" w:color="auto"/>
              <w:right w:val="single" w:sz="4" w:space="0" w:color="auto"/>
            </w:tcBorders>
            <w:hideMark/>
          </w:tcPr>
          <w:p w14:paraId="3B46991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 xml:space="preserve">Patients with history of penetrating trauma, previous vitreoretinal surgery, and final follow-up less than three months. The eyes that had undergone vitrectomy before the study period with other gauges </w:t>
            </w:r>
            <w:r>
              <w:rPr>
                <w:rFonts w:ascii="Times New Roman" w:hAnsi="Times New Roman" w:cs="Times New Roman"/>
                <w:sz w:val="16"/>
                <w:szCs w:val="16"/>
                <w:shd w:val="clear" w:color="auto" w:fill="FFFFFF"/>
                <w:lang w:val="en-US"/>
              </w:rPr>
              <w:lastRenderedPageBreak/>
              <w:t>(23/20) were not included.</w:t>
            </w:r>
          </w:p>
        </w:tc>
        <w:tc>
          <w:tcPr>
            <w:tcW w:w="1468" w:type="dxa"/>
            <w:tcBorders>
              <w:top w:val="single" w:sz="4" w:space="0" w:color="auto"/>
              <w:left w:val="single" w:sz="4" w:space="0" w:color="auto"/>
              <w:bottom w:val="single" w:sz="4" w:space="0" w:color="auto"/>
              <w:right w:val="single" w:sz="4" w:space="0" w:color="auto"/>
            </w:tcBorders>
          </w:tcPr>
          <w:p w14:paraId="1E6AC0C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 xml:space="preserve">All patients underwent 25-gauge PPV </w:t>
            </w:r>
            <w:proofErr w:type="gramStart"/>
            <w:r>
              <w:rPr>
                <w:rFonts w:ascii="Times New Roman" w:eastAsia="Times New Roman" w:hAnsi="Times New Roman" w:cs="Times New Roman"/>
                <w:sz w:val="16"/>
                <w:szCs w:val="16"/>
                <w:lang w:val="en-US"/>
              </w:rPr>
              <w:t>using</w:t>
            </w:r>
            <w:proofErr w:type="gramEnd"/>
          </w:p>
          <w:p w14:paraId="00731E9E"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a </w:t>
            </w:r>
            <w:proofErr w:type="spellStart"/>
            <w:r>
              <w:rPr>
                <w:rFonts w:ascii="Times New Roman" w:eastAsia="Times New Roman" w:hAnsi="Times New Roman" w:cs="Times New Roman"/>
                <w:sz w:val="16"/>
                <w:szCs w:val="16"/>
                <w:lang w:val="en-US"/>
              </w:rPr>
              <w:t>sutureless</w:t>
            </w:r>
            <w:proofErr w:type="spellEnd"/>
            <w:r>
              <w:rPr>
                <w:rFonts w:ascii="Times New Roman" w:eastAsia="Times New Roman" w:hAnsi="Times New Roman" w:cs="Times New Roman"/>
                <w:sz w:val="16"/>
                <w:szCs w:val="16"/>
                <w:lang w:val="en-US"/>
              </w:rPr>
              <w:t xml:space="preserve"> transconjunctival approach. </w:t>
            </w:r>
            <w:r>
              <w:rPr>
                <w:rFonts w:ascii="Times New Roman" w:hAnsi="Times New Roman" w:cs="Times New Roman"/>
                <w:sz w:val="16"/>
                <w:szCs w:val="16"/>
                <w:shd w:val="clear" w:color="auto" w:fill="FFFFFF"/>
                <w:lang w:val="en-US"/>
              </w:rPr>
              <w:t xml:space="preserve">41.1%, PFCL is used in 82.3% of cases. </w:t>
            </w:r>
            <w:proofErr w:type="spellStart"/>
            <w:r>
              <w:rPr>
                <w:rFonts w:ascii="Times New Roman" w:hAnsi="Times New Roman" w:cs="Times New Roman"/>
                <w:sz w:val="16"/>
                <w:szCs w:val="16"/>
                <w:shd w:val="clear" w:color="auto" w:fill="FFFFFF"/>
                <w:lang w:val="en-US"/>
              </w:rPr>
              <w:t>Endotamponade</w:t>
            </w:r>
            <w:proofErr w:type="spellEnd"/>
            <w:r>
              <w:rPr>
                <w:rFonts w:ascii="Times New Roman" w:hAnsi="Times New Roman" w:cs="Times New Roman"/>
                <w:sz w:val="16"/>
                <w:szCs w:val="16"/>
                <w:shd w:val="clear" w:color="auto" w:fill="FFFFFF"/>
                <w:lang w:val="en-US"/>
              </w:rPr>
              <w:t xml:space="preserve"> with SF</w:t>
            </w:r>
            <w:r>
              <w:rPr>
                <w:rFonts w:ascii="Times New Roman" w:hAnsi="Times New Roman" w:cs="Times New Roman"/>
                <w:sz w:val="16"/>
                <w:szCs w:val="16"/>
                <w:shd w:val="clear" w:color="auto" w:fill="FFFFFF"/>
                <w:vertAlign w:val="subscript"/>
                <w:lang w:val="en-US"/>
              </w:rPr>
              <w:t>6</w:t>
            </w:r>
            <w:r>
              <w:rPr>
                <w:rFonts w:ascii="Times New Roman" w:hAnsi="Times New Roman" w:cs="Times New Roman"/>
                <w:sz w:val="16"/>
                <w:szCs w:val="16"/>
                <w:shd w:val="clear" w:color="auto" w:fill="FFFFFF"/>
                <w:lang w:val="en-US"/>
              </w:rPr>
              <w:t xml:space="preserve"> (23.6%) or SO (76.4%).</w:t>
            </w:r>
          </w:p>
          <w:p w14:paraId="5B6A31F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417" w:type="dxa"/>
            <w:tcBorders>
              <w:top w:val="single" w:sz="4" w:space="0" w:color="auto"/>
              <w:left w:val="single" w:sz="4" w:space="0" w:color="auto"/>
              <w:bottom w:val="single" w:sz="4" w:space="0" w:color="auto"/>
              <w:right w:val="single" w:sz="4" w:space="0" w:color="auto"/>
            </w:tcBorders>
            <w:hideMark/>
          </w:tcPr>
          <w:p w14:paraId="140BD52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Not applicable.</w:t>
            </w:r>
          </w:p>
        </w:tc>
        <w:tc>
          <w:tcPr>
            <w:tcW w:w="992" w:type="dxa"/>
            <w:tcBorders>
              <w:top w:val="single" w:sz="4" w:space="0" w:color="auto"/>
              <w:left w:val="single" w:sz="4" w:space="0" w:color="auto"/>
              <w:bottom w:val="single" w:sz="4" w:space="0" w:color="auto"/>
              <w:right w:val="single" w:sz="4" w:space="0" w:color="auto"/>
            </w:tcBorders>
            <w:hideMark/>
          </w:tcPr>
          <w:p w14:paraId="24FC36B8"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All the 17 cases. </w:t>
            </w:r>
          </w:p>
        </w:tc>
        <w:tc>
          <w:tcPr>
            <w:tcW w:w="1276" w:type="dxa"/>
            <w:tcBorders>
              <w:top w:val="single" w:sz="4" w:space="0" w:color="auto"/>
              <w:left w:val="single" w:sz="4" w:space="0" w:color="auto"/>
              <w:bottom w:val="single" w:sz="4" w:space="0" w:color="auto"/>
              <w:right w:val="single" w:sz="4" w:space="0" w:color="auto"/>
            </w:tcBorders>
          </w:tcPr>
          <w:p w14:paraId="7ACC019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Mean = 10.2 months, range =</w:t>
            </w:r>
          </w:p>
          <w:p w14:paraId="7F66DCE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seven to 16 months.</w:t>
            </w:r>
          </w:p>
          <w:p w14:paraId="28351695"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992" w:type="dxa"/>
            <w:tcBorders>
              <w:top w:val="single" w:sz="4" w:space="0" w:color="auto"/>
              <w:left w:val="single" w:sz="4" w:space="0" w:color="auto"/>
              <w:bottom w:val="single" w:sz="4" w:space="0" w:color="auto"/>
              <w:right w:val="single" w:sz="4" w:space="0" w:color="auto"/>
            </w:tcBorders>
            <w:hideMark/>
          </w:tcPr>
          <w:p w14:paraId="17B0206F"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17</w:t>
            </w:r>
          </w:p>
        </w:tc>
        <w:tc>
          <w:tcPr>
            <w:tcW w:w="993" w:type="dxa"/>
            <w:tcBorders>
              <w:top w:val="single" w:sz="4" w:space="0" w:color="auto"/>
              <w:left w:val="single" w:sz="4" w:space="0" w:color="auto"/>
              <w:bottom w:val="single" w:sz="4" w:space="0" w:color="auto"/>
              <w:right w:val="single" w:sz="4" w:space="0" w:color="auto"/>
            </w:tcBorders>
            <w:hideMark/>
          </w:tcPr>
          <w:p w14:paraId="5AD8EEAE"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17</w:t>
            </w:r>
          </w:p>
        </w:tc>
      </w:tr>
      <w:tr w:rsidR="003A4529" w14:paraId="4D2B5F81"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50779838"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Schwartz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2002 </w:t>
            </w:r>
            <w:sdt>
              <w:sdtPr>
                <w:rPr>
                  <w:rFonts w:ascii="Times New Roman" w:hAnsi="Times New Roman" w:cs="Times New Roman"/>
                  <w:sz w:val="16"/>
                  <w:szCs w:val="16"/>
                  <w:lang w:val="en-US"/>
                </w:rPr>
                <w:tag w:val="MENDELEY_CITATION_v3_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"/>
                <w:id w:val="36402715"/>
                <w:placeholder>
                  <w:docPart w:val="102606E8DF364B53BB4A63877D9736E1"/>
                </w:placeholder>
              </w:sdtPr>
              <w:sdtContent>
                <w:r>
                  <w:rPr>
                    <w:rFonts w:ascii="Times New Roman" w:hAnsi="Times New Roman" w:cs="Times New Roman"/>
                    <w:sz w:val="16"/>
                    <w:szCs w:val="16"/>
                    <w:lang w:val="en-US"/>
                  </w:rPr>
                  <w:t>[60]</w:t>
                </w:r>
              </w:sdtContent>
            </w:sdt>
          </w:p>
        </w:tc>
        <w:tc>
          <w:tcPr>
            <w:tcW w:w="992" w:type="dxa"/>
            <w:tcBorders>
              <w:top w:val="single" w:sz="4" w:space="0" w:color="auto"/>
              <w:left w:val="single" w:sz="4" w:space="0" w:color="auto"/>
              <w:bottom w:val="single" w:sz="4" w:space="0" w:color="auto"/>
              <w:right w:val="single" w:sz="4" w:space="0" w:color="auto"/>
            </w:tcBorders>
            <w:hideMark/>
          </w:tcPr>
          <w:p w14:paraId="17176D58"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The United States of America</w:t>
            </w:r>
          </w:p>
        </w:tc>
        <w:tc>
          <w:tcPr>
            <w:tcW w:w="1134" w:type="dxa"/>
            <w:tcBorders>
              <w:top w:val="single" w:sz="4" w:space="0" w:color="auto"/>
              <w:left w:val="single" w:sz="4" w:space="0" w:color="auto"/>
              <w:bottom w:val="single" w:sz="4" w:space="0" w:color="auto"/>
              <w:right w:val="single" w:sz="4" w:space="0" w:color="auto"/>
            </w:tcBorders>
            <w:hideMark/>
          </w:tcPr>
          <w:p w14:paraId="78CA8A01"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 retrospective, non-consecutive case series</w:t>
            </w:r>
          </w:p>
        </w:tc>
        <w:tc>
          <w:tcPr>
            <w:tcW w:w="897" w:type="dxa"/>
            <w:tcBorders>
              <w:top w:val="single" w:sz="4" w:space="0" w:color="auto"/>
              <w:left w:val="single" w:sz="4" w:space="0" w:color="auto"/>
              <w:bottom w:val="single" w:sz="4" w:space="0" w:color="auto"/>
              <w:right w:val="single" w:sz="4" w:space="0" w:color="auto"/>
            </w:tcBorders>
            <w:hideMark/>
          </w:tcPr>
          <w:p w14:paraId="0D1D3BAE"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McPherson Retina Centre, Baylor College of Medicine</w:t>
            </w:r>
          </w:p>
        </w:tc>
        <w:tc>
          <w:tcPr>
            <w:tcW w:w="1440" w:type="dxa"/>
            <w:tcBorders>
              <w:top w:val="single" w:sz="4" w:space="0" w:color="auto"/>
              <w:left w:val="single" w:sz="4" w:space="0" w:color="auto"/>
              <w:bottom w:val="single" w:sz="4" w:space="0" w:color="auto"/>
              <w:right w:val="single" w:sz="4" w:space="0" w:color="auto"/>
            </w:tcBorders>
            <w:hideMark/>
          </w:tcPr>
          <w:p w14:paraId="35874AAB"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Patients with primary RRD, treated with SB by the McPherson Associates, for which the 20 years of follow-up were available</w:t>
            </w:r>
          </w:p>
        </w:tc>
        <w:tc>
          <w:tcPr>
            <w:tcW w:w="1440" w:type="dxa"/>
            <w:tcBorders>
              <w:top w:val="single" w:sz="4" w:space="0" w:color="auto"/>
              <w:left w:val="single" w:sz="4" w:space="0" w:color="auto"/>
              <w:bottom w:val="single" w:sz="4" w:space="0" w:color="auto"/>
              <w:right w:val="single" w:sz="4" w:space="0" w:color="auto"/>
            </w:tcBorders>
            <w:hideMark/>
          </w:tcPr>
          <w:p w14:paraId="22484E66"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Eyes with PVR grade C or greater, or with a history of SB, vitrectomy, posterior segment open-globe trauma, or significant concurrent eye disease which could compromise postoperative VA such as amblyopia, macula-disease etc., were excluded</w:t>
            </w:r>
          </w:p>
        </w:tc>
        <w:tc>
          <w:tcPr>
            <w:tcW w:w="1468" w:type="dxa"/>
            <w:tcBorders>
              <w:top w:val="single" w:sz="4" w:space="0" w:color="auto"/>
              <w:left w:val="single" w:sz="4" w:space="0" w:color="auto"/>
              <w:bottom w:val="single" w:sz="4" w:space="0" w:color="auto"/>
              <w:right w:val="single" w:sz="4" w:space="0" w:color="auto"/>
            </w:tcBorders>
            <w:hideMark/>
          </w:tcPr>
          <w:p w14:paraId="4AF4757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93% of eyes (n=210) were treated with a SB. The encircling elements was a rod in 94 eyes (45%), a band with 83 eyes (40%), and could not be determined in 33 eyes (16%).</w:t>
            </w:r>
          </w:p>
        </w:tc>
        <w:tc>
          <w:tcPr>
            <w:tcW w:w="1417" w:type="dxa"/>
            <w:tcBorders>
              <w:top w:val="single" w:sz="4" w:space="0" w:color="auto"/>
              <w:left w:val="single" w:sz="4" w:space="0" w:color="auto"/>
              <w:bottom w:val="single" w:sz="4" w:space="0" w:color="auto"/>
              <w:right w:val="single" w:sz="4" w:space="0" w:color="auto"/>
            </w:tcBorders>
            <w:hideMark/>
          </w:tcPr>
          <w:p w14:paraId="1F4A80D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applicable </w:t>
            </w:r>
          </w:p>
        </w:tc>
        <w:tc>
          <w:tcPr>
            <w:tcW w:w="992" w:type="dxa"/>
            <w:tcBorders>
              <w:top w:val="single" w:sz="4" w:space="0" w:color="auto"/>
              <w:left w:val="single" w:sz="4" w:space="0" w:color="auto"/>
              <w:bottom w:val="single" w:sz="4" w:space="0" w:color="auto"/>
              <w:right w:val="single" w:sz="4" w:space="0" w:color="auto"/>
            </w:tcBorders>
            <w:hideMark/>
          </w:tcPr>
          <w:p w14:paraId="083C82B5"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Four eyes (1.8%)</w:t>
            </w:r>
          </w:p>
        </w:tc>
        <w:tc>
          <w:tcPr>
            <w:tcW w:w="1276" w:type="dxa"/>
            <w:tcBorders>
              <w:top w:val="single" w:sz="4" w:space="0" w:color="auto"/>
              <w:left w:val="single" w:sz="4" w:space="0" w:color="auto"/>
              <w:bottom w:val="single" w:sz="4" w:space="0" w:color="auto"/>
              <w:right w:val="single" w:sz="4" w:space="0" w:color="auto"/>
            </w:tcBorders>
            <w:hideMark/>
          </w:tcPr>
          <w:p w14:paraId="146F16C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20 years </w:t>
            </w:r>
          </w:p>
        </w:tc>
        <w:tc>
          <w:tcPr>
            <w:tcW w:w="992" w:type="dxa"/>
            <w:tcBorders>
              <w:top w:val="single" w:sz="4" w:space="0" w:color="auto"/>
              <w:left w:val="single" w:sz="4" w:space="0" w:color="auto"/>
              <w:bottom w:val="single" w:sz="4" w:space="0" w:color="auto"/>
              <w:right w:val="single" w:sz="4" w:space="0" w:color="auto"/>
            </w:tcBorders>
            <w:hideMark/>
          </w:tcPr>
          <w:p w14:paraId="04C871AF"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212</w:t>
            </w:r>
          </w:p>
        </w:tc>
        <w:tc>
          <w:tcPr>
            <w:tcW w:w="993" w:type="dxa"/>
            <w:tcBorders>
              <w:top w:val="single" w:sz="4" w:space="0" w:color="auto"/>
              <w:left w:val="single" w:sz="4" w:space="0" w:color="auto"/>
              <w:bottom w:val="single" w:sz="4" w:space="0" w:color="auto"/>
              <w:right w:val="single" w:sz="4" w:space="0" w:color="auto"/>
            </w:tcBorders>
            <w:hideMark/>
          </w:tcPr>
          <w:p w14:paraId="18BE0751"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227</w:t>
            </w:r>
          </w:p>
        </w:tc>
      </w:tr>
      <w:tr w:rsidR="003A4529" w14:paraId="26948FF9"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13FBB0BB"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Filippelli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2021 </w:t>
            </w:r>
            <w:sdt>
              <w:sdtPr>
                <w:rPr>
                  <w:rFonts w:ascii="Times New Roman" w:hAnsi="Times New Roman" w:cs="Times New Roman"/>
                  <w:sz w:val="16"/>
                  <w:szCs w:val="16"/>
                  <w:lang w:val="en-US"/>
                </w:rPr>
                <w:tag w:val="MENDELEY_CITATION_v3_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"/>
                <w:id w:val="-253352372"/>
                <w:placeholder>
                  <w:docPart w:val="102606E8DF364B53BB4A63877D9736E1"/>
                </w:placeholder>
              </w:sdtPr>
              <w:sdtContent>
                <w:r>
                  <w:rPr>
                    <w:rFonts w:ascii="Times New Roman" w:hAnsi="Times New Roman" w:cs="Times New Roman"/>
                    <w:sz w:val="16"/>
                    <w:szCs w:val="16"/>
                    <w:lang w:val="en-US"/>
                  </w:rPr>
                  <w:t>[61]</w:t>
                </w:r>
              </w:sdtContent>
            </w:sdt>
          </w:p>
        </w:tc>
        <w:tc>
          <w:tcPr>
            <w:tcW w:w="992" w:type="dxa"/>
            <w:tcBorders>
              <w:top w:val="single" w:sz="4" w:space="0" w:color="auto"/>
              <w:left w:val="single" w:sz="4" w:space="0" w:color="auto"/>
              <w:bottom w:val="single" w:sz="4" w:space="0" w:color="auto"/>
              <w:right w:val="single" w:sz="4" w:space="0" w:color="auto"/>
            </w:tcBorders>
            <w:hideMark/>
          </w:tcPr>
          <w:p w14:paraId="39B7B9BF"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Italy </w:t>
            </w:r>
          </w:p>
        </w:tc>
        <w:tc>
          <w:tcPr>
            <w:tcW w:w="1134" w:type="dxa"/>
            <w:tcBorders>
              <w:top w:val="single" w:sz="4" w:space="0" w:color="auto"/>
              <w:left w:val="single" w:sz="4" w:space="0" w:color="auto"/>
              <w:bottom w:val="single" w:sz="4" w:space="0" w:color="auto"/>
              <w:right w:val="single" w:sz="4" w:space="0" w:color="auto"/>
            </w:tcBorders>
            <w:hideMark/>
          </w:tcPr>
          <w:p w14:paraId="585D969F"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 retrospective, case series</w:t>
            </w:r>
          </w:p>
        </w:tc>
        <w:tc>
          <w:tcPr>
            <w:tcW w:w="897" w:type="dxa"/>
            <w:tcBorders>
              <w:top w:val="single" w:sz="4" w:space="0" w:color="auto"/>
              <w:left w:val="single" w:sz="4" w:space="0" w:color="auto"/>
              <w:bottom w:val="single" w:sz="4" w:space="0" w:color="auto"/>
              <w:right w:val="single" w:sz="4" w:space="0" w:color="auto"/>
            </w:tcBorders>
            <w:hideMark/>
          </w:tcPr>
          <w:p w14:paraId="1968417C"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University of Molise, Campobasso, Italy</w:t>
            </w:r>
          </w:p>
        </w:tc>
        <w:tc>
          <w:tcPr>
            <w:tcW w:w="1440" w:type="dxa"/>
            <w:tcBorders>
              <w:top w:val="single" w:sz="4" w:space="0" w:color="auto"/>
              <w:left w:val="single" w:sz="4" w:space="0" w:color="auto"/>
              <w:bottom w:val="single" w:sz="4" w:space="0" w:color="auto"/>
              <w:right w:val="single" w:sz="4" w:space="0" w:color="auto"/>
            </w:tcBorders>
            <w:hideMark/>
          </w:tcPr>
          <w:p w14:paraId="4FA4DEDA"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Patients treated for </w:t>
            </w:r>
            <w:proofErr w:type="gramStart"/>
            <w:r>
              <w:rPr>
                <w:rFonts w:ascii="Times New Roman" w:hAnsi="Times New Roman" w:cs="Times New Roman"/>
                <w:sz w:val="16"/>
                <w:szCs w:val="16"/>
                <w:shd w:val="clear" w:color="auto" w:fill="FFFFFF"/>
                <w:lang w:val="en-US"/>
              </w:rPr>
              <w:t>fovea-off</w:t>
            </w:r>
            <w:proofErr w:type="gramEnd"/>
            <w:r>
              <w:rPr>
                <w:rFonts w:ascii="Times New Roman" w:hAnsi="Times New Roman" w:cs="Times New Roman"/>
                <w:sz w:val="16"/>
                <w:szCs w:val="16"/>
                <w:shd w:val="clear" w:color="auto" w:fill="FFFFFF"/>
                <w:lang w:val="en-US"/>
              </w:rPr>
              <w:t xml:space="preserve"> RRD with PPV and SO injection between December 2018 and June 2020. </w:t>
            </w:r>
          </w:p>
        </w:tc>
        <w:tc>
          <w:tcPr>
            <w:tcW w:w="1440" w:type="dxa"/>
            <w:tcBorders>
              <w:top w:val="single" w:sz="4" w:space="0" w:color="auto"/>
              <w:left w:val="single" w:sz="4" w:space="0" w:color="auto"/>
              <w:bottom w:val="single" w:sz="4" w:space="0" w:color="auto"/>
              <w:right w:val="single" w:sz="4" w:space="0" w:color="auto"/>
            </w:tcBorders>
            <w:hideMark/>
          </w:tcPr>
          <w:p w14:paraId="030642DE"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Patients were excluded if they had a previous history of ophthalmic surgery (except for noncomplicated phacoemulsification), degenerative myopia (defined as the AL of the globe ≥26.5 mm associated with degenerative changes in the sclera, choroid, and retinal pigment epithelium/retina, glaucoma, wet age-related macular degeneration, ocular vascular diseases such as diabetic </w:t>
            </w:r>
            <w:r>
              <w:rPr>
                <w:rFonts w:ascii="Times New Roman" w:hAnsi="Times New Roman" w:cs="Times New Roman"/>
                <w:sz w:val="16"/>
                <w:szCs w:val="16"/>
                <w:shd w:val="clear" w:color="auto" w:fill="FFFFFF"/>
                <w:lang w:val="en-US"/>
              </w:rPr>
              <w:lastRenderedPageBreak/>
              <w:t>retinopathy and retinal vein occlusion, and gross macular ERM.</w:t>
            </w:r>
          </w:p>
        </w:tc>
        <w:tc>
          <w:tcPr>
            <w:tcW w:w="1468" w:type="dxa"/>
            <w:tcBorders>
              <w:top w:val="single" w:sz="4" w:space="0" w:color="auto"/>
              <w:left w:val="single" w:sz="4" w:space="0" w:color="auto"/>
              <w:bottom w:val="single" w:sz="4" w:space="0" w:color="auto"/>
              <w:right w:val="single" w:sz="4" w:space="0" w:color="auto"/>
            </w:tcBorders>
            <w:hideMark/>
          </w:tcPr>
          <w:p w14:paraId="223FE0D1"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23-g PPV was performed in all cases. PFCL was used at the discretion of the surgeon. 1000-cSt SO was used as the final tamponade in all cases. All the eyes underwent a second surgical procedure to remove SO, two to five months after the primary surgery.</w:t>
            </w:r>
          </w:p>
        </w:tc>
        <w:tc>
          <w:tcPr>
            <w:tcW w:w="1417" w:type="dxa"/>
            <w:tcBorders>
              <w:top w:val="single" w:sz="4" w:space="0" w:color="auto"/>
              <w:left w:val="single" w:sz="4" w:space="0" w:color="auto"/>
              <w:bottom w:val="single" w:sz="4" w:space="0" w:color="auto"/>
              <w:right w:val="single" w:sz="4" w:space="0" w:color="auto"/>
            </w:tcBorders>
            <w:hideMark/>
          </w:tcPr>
          <w:p w14:paraId="07A0852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stated </w:t>
            </w:r>
          </w:p>
        </w:tc>
        <w:tc>
          <w:tcPr>
            <w:tcW w:w="992" w:type="dxa"/>
            <w:tcBorders>
              <w:top w:val="single" w:sz="4" w:space="0" w:color="auto"/>
              <w:left w:val="single" w:sz="4" w:space="0" w:color="auto"/>
              <w:bottom w:val="single" w:sz="4" w:space="0" w:color="auto"/>
              <w:right w:val="single" w:sz="4" w:space="0" w:color="auto"/>
            </w:tcBorders>
            <w:hideMark/>
          </w:tcPr>
          <w:p w14:paraId="3421D242"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Three eyes (6.8%)</w:t>
            </w:r>
          </w:p>
        </w:tc>
        <w:tc>
          <w:tcPr>
            <w:tcW w:w="1276" w:type="dxa"/>
            <w:tcBorders>
              <w:top w:val="single" w:sz="4" w:space="0" w:color="auto"/>
              <w:left w:val="single" w:sz="4" w:space="0" w:color="auto"/>
              <w:bottom w:val="single" w:sz="4" w:space="0" w:color="auto"/>
              <w:right w:val="single" w:sz="4" w:space="0" w:color="auto"/>
            </w:tcBorders>
            <w:hideMark/>
          </w:tcPr>
          <w:p w14:paraId="108C0FB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Mean = 4.8 ± 2.7 months (range Three – nine months)</w:t>
            </w:r>
          </w:p>
        </w:tc>
        <w:tc>
          <w:tcPr>
            <w:tcW w:w="992" w:type="dxa"/>
            <w:tcBorders>
              <w:top w:val="single" w:sz="4" w:space="0" w:color="auto"/>
              <w:left w:val="single" w:sz="4" w:space="0" w:color="auto"/>
              <w:bottom w:val="single" w:sz="4" w:space="0" w:color="auto"/>
              <w:right w:val="single" w:sz="4" w:space="0" w:color="auto"/>
            </w:tcBorders>
            <w:hideMark/>
          </w:tcPr>
          <w:p w14:paraId="68428104"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44</w:t>
            </w:r>
          </w:p>
        </w:tc>
        <w:tc>
          <w:tcPr>
            <w:tcW w:w="993" w:type="dxa"/>
            <w:tcBorders>
              <w:top w:val="single" w:sz="4" w:space="0" w:color="auto"/>
              <w:left w:val="single" w:sz="4" w:space="0" w:color="auto"/>
              <w:bottom w:val="single" w:sz="4" w:space="0" w:color="auto"/>
              <w:right w:val="single" w:sz="4" w:space="0" w:color="auto"/>
            </w:tcBorders>
            <w:hideMark/>
          </w:tcPr>
          <w:p w14:paraId="5A5C6B7D"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44</w:t>
            </w:r>
          </w:p>
        </w:tc>
      </w:tr>
      <w:tr w:rsidR="003A4529" w14:paraId="65CF4D44"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2C641D13"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Christensen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2012 </w:t>
            </w:r>
            <w:sdt>
              <w:sdtPr>
                <w:rPr>
                  <w:rFonts w:ascii="Times New Roman" w:hAnsi="Times New Roman" w:cs="Times New Roman"/>
                  <w:sz w:val="16"/>
                  <w:szCs w:val="16"/>
                  <w:lang w:val="en-US"/>
                </w:rPr>
                <w:tag w:val="MENDELEY_CITATION_v3_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"/>
                <w:id w:val="1720089381"/>
                <w:placeholder>
                  <w:docPart w:val="102606E8DF364B53BB4A63877D9736E1"/>
                </w:placeholder>
              </w:sdtPr>
              <w:sdtContent>
                <w:r>
                  <w:rPr>
                    <w:rFonts w:ascii="Times New Roman" w:eastAsia="Times New Roman" w:hAnsi="Times New Roman" w:cs="Times New Roman"/>
                    <w:sz w:val="16"/>
                    <w:szCs w:val="16"/>
                    <w:lang w:val="en-US"/>
                  </w:rPr>
                  <w:t>[62]</w:t>
                </w:r>
              </w:sdtContent>
            </w:sdt>
          </w:p>
        </w:tc>
        <w:tc>
          <w:tcPr>
            <w:tcW w:w="992" w:type="dxa"/>
            <w:tcBorders>
              <w:top w:val="single" w:sz="4" w:space="0" w:color="auto"/>
              <w:left w:val="single" w:sz="4" w:space="0" w:color="auto"/>
              <w:bottom w:val="single" w:sz="4" w:space="0" w:color="auto"/>
              <w:right w:val="single" w:sz="4" w:space="0" w:color="auto"/>
            </w:tcBorders>
            <w:hideMark/>
          </w:tcPr>
          <w:p w14:paraId="17BC1EAC"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Denmark </w:t>
            </w:r>
          </w:p>
        </w:tc>
        <w:tc>
          <w:tcPr>
            <w:tcW w:w="1134" w:type="dxa"/>
            <w:tcBorders>
              <w:top w:val="single" w:sz="4" w:space="0" w:color="auto"/>
              <w:left w:val="single" w:sz="4" w:space="0" w:color="auto"/>
              <w:bottom w:val="single" w:sz="4" w:space="0" w:color="auto"/>
              <w:right w:val="single" w:sz="4" w:space="0" w:color="auto"/>
            </w:tcBorders>
            <w:hideMark/>
          </w:tcPr>
          <w:p w14:paraId="26F16BE0"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 retrospective case series</w:t>
            </w:r>
          </w:p>
        </w:tc>
        <w:tc>
          <w:tcPr>
            <w:tcW w:w="897" w:type="dxa"/>
            <w:tcBorders>
              <w:top w:val="single" w:sz="4" w:space="0" w:color="auto"/>
              <w:left w:val="single" w:sz="4" w:space="0" w:color="auto"/>
              <w:bottom w:val="single" w:sz="4" w:space="0" w:color="auto"/>
              <w:right w:val="single" w:sz="4" w:space="0" w:color="auto"/>
            </w:tcBorders>
            <w:hideMark/>
          </w:tcPr>
          <w:p w14:paraId="16C43D7B"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An institution database search</w:t>
            </w:r>
          </w:p>
        </w:tc>
        <w:tc>
          <w:tcPr>
            <w:tcW w:w="1440" w:type="dxa"/>
            <w:tcBorders>
              <w:top w:val="single" w:sz="4" w:space="0" w:color="auto"/>
              <w:left w:val="single" w:sz="4" w:space="0" w:color="auto"/>
              <w:bottom w:val="single" w:sz="4" w:space="0" w:color="auto"/>
              <w:right w:val="single" w:sz="4" w:space="0" w:color="auto"/>
            </w:tcBorders>
            <w:hideMark/>
          </w:tcPr>
          <w:p w14:paraId="017747A4"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Eyes that were found underwent primary surgery for RRD from 2004 to 2005. </w:t>
            </w:r>
          </w:p>
        </w:tc>
        <w:tc>
          <w:tcPr>
            <w:tcW w:w="1440" w:type="dxa"/>
            <w:tcBorders>
              <w:top w:val="single" w:sz="4" w:space="0" w:color="auto"/>
              <w:left w:val="single" w:sz="4" w:space="0" w:color="auto"/>
              <w:bottom w:val="single" w:sz="4" w:space="0" w:color="auto"/>
              <w:right w:val="single" w:sz="4" w:space="0" w:color="auto"/>
            </w:tcBorders>
            <w:hideMark/>
          </w:tcPr>
          <w:p w14:paraId="58041BA5"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The study excluded eyes with undocumented macula-on detachments, VA of less than 6/12 before surgery, those that required repeat surgery for RRD, those with incomplete retinal attachment at last follow-up, phakic eyes that were not later operated for cataract, and eyes where the SO remained in the eye.</w:t>
            </w:r>
          </w:p>
        </w:tc>
        <w:tc>
          <w:tcPr>
            <w:tcW w:w="1468" w:type="dxa"/>
            <w:tcBorders>
              <w:top w:val="single" w:sz="4" w:space="0" w:color="auto"/>
              <w:left w:val="single" w:sz="4" w:space="0" w:color="auto"/>
              <w:bottom w:val="single" w:sz="4" w:space="0" w:color="auto"/>
              <w:right w:val="single" w:sz="4" w:space="0" w:color="auto"/>
            </w:tcBorders>
            <w:hideMark/>
          </w:tcPr>
          <w:p w14:paraId="30A56435"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All patients had undergone a standard PPV. C</w:t>
            </w:r>
            <w:r>
              <w:rPr>
                <w:rFonts w:ascii="Times New Roman" w:hAnsi="Times New Roman" w:cs="Times New Roman"/>
                <w:sz w:val="16"/>
                <w:szCs w:val="16"/>
                <w:shd w:val="clear" w:color="auto" w:fill="FFFFFF"/>
                <w:vertAlign w:val="subscript"/>
                <w:lang w:val="en-US"/>
              </w:rPr>
              <w:t>3</w:t>
            </w:r>
            <w:r>
              <w:rPr>
                <w:rFonts w:ascii="Times New Roman" w:hAnsi="Times New Roman" w:cs="Times New Roman"/>
                <w:sz w:val="16"/>
                <w:szCs w:val="16"/>
                <w:shd w:val="clear" w:color="auto" w:fill="FFFFFF"/>
                <w:lang w:val="en-US"/>
              </w:rPr>
              <w:t>F</w:t>
            </w:r>
            <w:r>
              <w:rPr>
                <w:rFonts w:ascii="Times New Roman" w:hAnsi="Times New Roman" w:cs="Times New Roman"/>
                <w:sz w:val="16"/>
                <w:szCs w:val="16"/>
                <w:shd w:val="clear" w:color="auto" w:fill="FFFFFF"/>
                <w:vertAlign w:val="subscript"/>
                <w:lang w:val="en-US"/>
              </w:rPr>
              <w:t>8</w:t>
            </w:r>
            <w:r>
              <w:rPr>
                <w:rFonts w:ascii="Times New Roman" w:hAnsi="Times New Roman" w:cs="Times New Roman"/>
                <w:sz w:val="16"/>
                <w:szCs w:val="16"/>
                <w:shd w:val="clear" w:color="auto" w:fill="FFFFFF"/>
                <w:lang w:val="en-US"/>
              </w:rPr>
              <w:t xml:space="preserve"> or 5500 </w:t>
            </w:r>
            <w:proofErr w:type="spellStart"/>
            <w:r>
              <w:rPr>
                <w:rFonts w:ascii="Times New Roman" w:hAnsi="Times New Roman" w:cs="Times New Roman"/>
                <w:sz w:val="16"/>
                <w:szCs w:val="16"/>
                <w:shd w:val="clear" w:color="auto" w:fill="FFFFFF"/>
                <w:lang w:val="en-US"/>
              </w:rPr>
              <w:t>cSt</w:t>
            </w:r>
            <w:proofErr w:type="spellEnd"/>
            <w:r>
              <w:rPr>
                <w:rFonts w:ascii="Times New Roman" w:hAnsi="Times New Roman" w:cs="Times New Roman"/>
                <w:sz w:val="16"/>
                <w:szCs w:val="16"/>
                <w:shd w:val="clear" w:color="auto" w:fill="FFFFFF"/>
                <w:lang w:val="en-US"/>
              </w:rPr>
              <w:t xml:space="preserve"> SO was used as </w:t>
            </w:r>
            <w:proofErr w:type="spellStart"/>
            <w:r>
              <w:rPr>
                <w:rFonts w:ascii="Times New Roman" w:hAnsi="Times New Roman" w:cs="Times New Roman"/>
                <w:sz w:val="16"/>
                <w:szCs w:val="16"/>
                <w:shd w:val="clear" w:color="auto" w:fill="FFFFFF"/>
                <w:lang w:val="en-US"/>
              </w:rPr>
              <w:t>endotamponade</w:t>
            </w:r>
            <w:proofErr w:type="spellEnd"/>
            <w:r>
              <w:rPr>
                <w:rFonts w:ascii="Times New Roman" w:hAnsi="Times New Roman" w:cs="Times New Roman"/>
                <w:sz w:val="16"/>
                <w:szCs w:val="16"/>
                <w:shd w:val="clear" w:color="auto" w:fill="FFFFFF"/>
                <w:lang w:val="en-US"/>
              </w:rPr>
              <w:t xml:space="preserve">. As an intravitreal tamponade, SO (5500 </w:t>
            </w:r>
            <w:proofErr w:type="spellStart"/>
            <w:r>
              <w:rPr>
                <w:rFonts w:ascii="Times New Roman" w:hAnsi="Times New Roman" w:cs="Times New Roman"/>
                <w:sz w:val="16"/>
                <w:szCs w:val="16"/>
                <w:shd w:val="clear" w:color="auto" w:fill="FFFFFF"/>
                <w:lang w:val="en-US"/>
              </w:rPr>
              <w:t>cSt</w:t>
            </w:r>
            <w:proofErr w:type="spellEnd"/>
            <w:r>
              <w:rPr>
                <w:rFonts w:ascii="Times New Roman" w:hAnsi="Times New Roman" w:cs="Times New Roman"/>
                <w:sz w:val="16"/>
                <w:szCs w:val="16"/>
                <w:shd w:val="clear" w:color="auto" w:fill="FFFFFF"/>
                <w:lang w:val="en-US"/>
              </w:rPr>
              <w:t>) was used in nine eyes and seven eyes used gas C</w:t>
            </w:r>
            <w:r>
              <w:rPr>
                <w:rFonts w:ascii="Times New Roman" w:hAnsi="Times New Roman" w:cs="Times New Roman"/>
                <w:sz w:val="16"/>
                <w:szCs w:val="16"/>
                <w:shd w:val="clear" w:color="auto" w:fill="FFFFFF"/>
                <w:vertAlign w:val="subscript"/>
                <w:lang w:val="en-US"/>
              </w:rPr>
              <w:t>3</w:t>
            </w:r>
            <w:r>
              <w:rPr>
                <w:rFonts w:ascii="Times New Roman" w:hAnsi="Times New Roman" w:cs="Times New Roman"/>
                <w:sz w:val="16"/>
                <w:szCs w:val="16"/>
                <w:shd w:val="clear" w:color="auto" w:fill="FFFFFF"/>
                <w:lang w:val="en-US"/>
              </w:rPr>
              <w:t>F</w:t>
            </w:r>
            <w:r>
              <w:rPr>
                <w:rFonts w:ascii="Times New Roman" w:hAnsi="Times New Roman" w:cs="Times New Roman"/>
                <w:sz w:val="16"/>
                <w:szCs w:val="16"/>
                <w:shd w:val="clear" w:color="auto" w:fill="FFFFFF"/>
                <w:vertAlign w:val="subscript"/>
                <w:lang w:val="en-US"/>
              </w:rPr>
              <w:t>8</w:t>
            </w:r>
            <w:r>
              <w:rPr>
                <w:rFonts w:ascii="Times New Roman" w:hAnsi="Times New Roman" w:cs="Times New Roman"/>
                <w:sz w:val="16"/>
                <w:szCs w:val="16"/>
                <w:shd w:val="clear" w:color="auto" w:fill="FFFFFF"/>
                <w:lang w:val="en-US"/>
              </w:rPr>
              <w:t xml:space="preserve"> tamponade.</w:t>
            </w:r>
          </w:p>
        </w:tc>
        <w:tc>
          <w:tcPr>
            <w:tcW w:w="1417" w:type="dxa"/>
            <w:tcBorders>
              <w:top w:val="single" w:sz="4" w:space="0" w:color="auto"/>
              <w:left w:val="single" w:sz="4" w:space="0" w:color="auto"/>
              <w:bottom w:val="single" w:sz="4" w:space="0" w:color="auto"/>
              <w:right w:val="single" w:sz="4" w:space="0" w:color="auto"/>
            </w:tcBorders>
            <w:hideMark/>
          </w:tcPr>
          <w:p w14:paraId="54020D5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To compare the surgical outcome between the group using SO and gas as tamponades.</w:t>
            </w:r>
          </w:p>
        </w:tc>
        <w:tc>
          <w:tcPr>
            <w:tcW w:w="992" w:type="dxa"/>
            <w:tcBorders>
              <w:top w:val="single" w:sz="4" w:space="0" w:color="auto"/>
              <w:left w:val="single" w:sz="4" w:space="0" w:color="auto"/>
              <w:bottom w:val="single" w:sz="4" w:space="0" w:color="auto"/>
              <w:right w:val="single" w:sz="4" w:space="0" w:color="auto"/>
            </w:tcBorders>
            <w:hideMark/>
          </w:tcPr>
          <w:p w14:paraId="6DC66C0A"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Only one patient (5.3%) present with GRT</w:t>
            </w:r>
          </w:p>
        </w:tc>
        <w:tc>
          <w:tcPr>
            <w:tcW w:w="1276" w:type="dxa"/>
            <w:tcBorders>
              <w:top w:val="single" w:sz="4" w:space="0" w:color="auto"/>
              <w:left w:val="single" w:sz="4" w:space="0" w:color="auto"/>
              <w:bottom w:val="single" w:sz="4" w:space="0" w:color="auto"/>
              <w:right w:val="single" w:sz="4" w:space="0" w:color="auto"/>
            </w:tcBorders>
            <w:hideMark/>
          </w:tcPr>
          <w:p w14:paraId="702BA6A1"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992" w:type="dxa"/>
            <w:tcBorders>
              <w:top w:val="single" w:sz="4" w:space="0" w:color="auto"/>
              <w:left w:val="single" w:sz="4" w:space="0" w:color="auto"/>
              <w:bottom w:val="single" w:sz="4" w:space="0" w:color="auto"/>
              <w:right w:val="single" w:sz="4" w:space="0" w:color="auto"/>
            </w:tcBorders>
            <w:hideMark/>
          </w:tcPr>
          <w:p w14:paraId="55A45703"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19</w:t>
            </w:r>
          </w:p>
        </w:tc>
        <w:tc>
          <w:tcPr>
            <w:tcW w:w="993" w:type="dxa"/>
            <w:tcBorders>
              <w:top w:val="single" w:sz="4" w:space="0" w:color="auto"/>
              <w:left w:val="single" w:sz="4" w:space="0" w:color="auto"/>
              <w:bottom w:val="single" w:sz="4" w:space="0" w:color="auto"/>
              <w:right w:val="single" w:sz="4" w:space="0" w:color="auto"/>
            </w:tcBorders>
            <w:hideMark/>
          </w:tcPr>
          <w:p w14:paraId="1CAAF6EB"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20</w:t>
            </w:r>
          </w:p>
        </w:tc>
      </w:tr>
      <w:tr w:rsidR="003A4529" w14:paraId="71C20104"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5CD416DF"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Baba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2021 </w:t>
            </w:r>
            <w:sdt>
              <w:sdtPr>
                <w:rPr>
                  <w:rFonts w:ascii="Times New Roman" w:hAnsi="Times New Roman" w:cs="Times New Roman"/>
                  <w:sz w:val="16"/>
                  <w:szCs w:val="16"/>
                  <w:lang w:val="en-US"/>
                </w:rPr>
                <w:tag w:val="MENDELEY_CITATION_v3_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"/>
                <w:id w:val="1073467760"/>
                <w:placeholder>
                  <w:docPart w:val="102606E8DF364B53BB4A63877D9736E1"/>
                </w:placeholder>
              </w:sdtPr>
              <w:sdtContent>
                <w:r>
                  <w:rPr>
                    <w:rFonts w:ascii="Times New Roman" w:hAnsi="Times New Roman" w:cs="Times New Roman"/>
                    <w:sz w:val="16"/>
                    <w:szCs w:val="16"/>
                    <w:lang w:val="en-US"/>
                  </w:rPr>
                  <w:t>[63]</w:t>
                </w:r>
              </w:sdtContent>
            </w:sdt>
          </w:p>
        </w:tc>
        <w:tc>
          <w:tcPr>
            <w:tcW w:w="992" w:type="dxa"/>
            <w:tcBorders>
              <w:top w:val="single" w:sz="4" w:space="0" w:color="auto"/>
              <w:left w:val="single" w:sz="4" w:space="0" w:color="auto"/>
              <w:bottom w:val="single" w:sz="4" w:space="0" w:color="auto"/>
              <w:right w:val="single" w:sz="4" w:space="0" w:color="auto"/>
            </w:tcBorders>
            <w:hideMark/>
          </w:tcPr>
          <w:p w14:paraId="4F7E5BCD"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Japan</w:t>
            </w:r>
          </w:p>
        </w:tc>
        <w:tc>
          <w:tcPr>
            <w:tcW w:w="1134" w:type="dxa"/>
            <w:tcBorders>
              <w:top w:val="single" w:sz="4" w:space="0" w:color="auto"/>
              <w:left w:val="single" w:sz="4" w:space="0" w:color="auto"/>
              <w:bottom w:val="single" w:sz="4" w:space="0" w:color="auto"/>
              <w:right w:val="single" w:sz="4" w:space="0" w:color="auto"/>
            </w:tcBorders>
          </w:tcPr>
          <w:p w14:paraId="3D94ABC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A prospective, nationwide,</w:t>
            </w:r>
          </w:p>
          <w:p w14:paraId="0B8FB9A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multicenter, cohort study</w:t>
            </w:r>
          </w:p>
          <w:p w14:paraId="23D12D62"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897" w:type="dxa"/>
            <w:tcBorders>
              <w:top w:val="single" w:sz="4" w:space="0" w:color="auto"/>
              <w:left w:val="single" w:sz="4" w:space="0" w:color="auto"/>
              <w:bottom w:val="single" w:sz="4" w:space="0" w:color="auto"/>
              <w:right w:val="single" w:sz="4" w:space="0" w:color="auto"/>
            </w:tcBorders>
            <w:hideMark/>
          </w:tcPr>
          <w:p w14:paraId="2AC6BE8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26 institutions located throughout Japan </w:t>
            </w:r>
          </w:p>
        </w:tc>
        <w:tc>
          <w:tcPr>
            <w:tcW w:w="1440" w:type="dxa"/>
            <w:tcBorders>
              <w:top w:val="single" w:sz="4" w:space="0" w:color="auto"/>
              <w:left w:val="single" w:sz="4" w:space="0" w:color="auto"/>
              <w:bottom w:val="single" w:sz="4" w:space="0" w:color="auto"/>
              <w:right w:val="single" w:sz="4" w:space="0" w:color="auto"/>
            </w:tcBorders>
            <w:hideMark/>
          </w:tcPr>
          <w:p w14:paraId="2588F8A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Data were obtained from the Japanese Retina and Vitreous Society ranged from 2016 to 2017 were used. Japanese individuals</w:t>
            </w:r>
          </w:p>
          <w:p w14:paraId="12B8A2F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&gt;40 years of age were included, Eyes with PVR, and the primary outcome was the percentage of eyes that achieved 20/25 vision.</w:t>
            </w:r>
          </w:p>
        </w:tc>
        <w:tc>
          <w:tcPr>
            <w:tcW w:w="1440" w:type="dxa"/>
            <w:tcBorders>
              <w:top w:val="single" w:sz="4" w:space="0" w:color="auto"/>
              <w:left w:val="single" w:sz="4" w:space="0" w:color="auto"/>
              <w:bottom w:val="single" w:sz="4" w:space="0" w:color="auto"/>
              <w:right w:val="single" w:sz="4" w:space="0" w:color="auto"/>
            </w:tcBorders>
          </w:tcPr>
          <w:p w14:paraId="5050DEAE"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Patients younger than 40 years old, undergone previous surgeries for RRD, and cases with MHs, </w:t>
            </w:r>
            <w:proofErr w:type="gramStart"/>
            <w:r>
              <w:rPr>
                <w:rFonts w:ascii="Times New Roman" w:eastAsia="Times New Roman" w:hAnsi="Times New Roman" w:cs="Times New Roman"/>
                <w:sz w:val="16"/>
                <w:szCs w:val="16"/>
                <w:lang w:val="en-US"/>
              </w:rPr>
              <w:t>posterior</w:t>
            </w:r>
            <w:proofErr w:type="gramEnd"/>
          </w:p>
          <w:p w14:paraId="497BAA3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breaks and vitreous hemorrhage.</w:t>
            </w:r>
          </w:p>
          <w:p w14:paraId="283D636F"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468" w:type="dxa"/>
            <w:tcBorders>
              <w:top w:val="single" w:sz="4" w:space="0" w:color="auto"/>
              <w:left w:val="single" w:sz="4" w:space="0" w:color="auto"/>
              <w:bottom w:val="single" w:sz="4" w:space="0" w:color="auto"/>
              <w:right w:val="single" w:sz="4" w:space="0" w:color="auto"/>
            </w:tcBorders>
            <w:hideMark/>
          </w:tcPr>
          <w:p w14:paraId="561C6B4B"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PPV was the most common procedure (1738, 79%), followed by SB (344, 16%) and PPV+SB (110, 5%). During the time of this registry, 99.5% of PPV procedures used MIVS with the use of 23-g, 25-</w:t>
            </w:r>
            <w:proofErr w:type="gramStart"/>
            <w:r>
              <w:rPr>
                <w:rFonts w:ascii="Times New Roman" w:hAnsi="Times New Roman" w:cs="Times New Roman"/>
                <w:sz w:val="16"/>
                <w:szCs w:val="16"/>
                <w:shd w:val="clear" w:color="auto" w:fill="FFFFFF"/>
                <w:lang w:val="en-US"/>
              </w:rPr>
              <w:t>g</w:t>
            </w:r>
            <w:proofErr w:type="gramEnd"/>
            <w:r>
              <w:rPr>
                <w:rFonts w:ascii="Times New Roman" w:hAnsi="Times New Roman" w:cs="Times New Roman"/>
                <w:sz w:val="16"/>
                <w:szCs w:val="16"/>
                <w:shd w:val="clear" w:color="auto" w:fill="FFFFFF"/>
                <w:lang w:val="en-US"/>
              </w:rPr>
              <w:t xml:space="preserve"> and 27-g systems.</w:t>
            </w:r>
          </w:p>
        </w:tc>
        <w:tc>
          <w:tcPr>
            <w:tcW w:w="1417" w:type="dxa"/>
            <w:tcBorders>
              <w:top w:val="single" w:sz="4" w:space="0" w:color="auto"/>
              <w:left w:val="single" w:sz="4" w:space="0" w:color="auto"/>
              <w:bottom w:val="single" w:sz="4" w:space="0" w:color="auto"/>
              <w:right w:val="single" w:sz="4" w:space="0" w:color="auto"/>
            </w:tcBorders>
            <w:hideMark/>
          </w:tcPr>
          <w:p w14:paraId="1B4D1183"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applicable </w:t>
            </w:r>
          </w:p>
        </w:tc>
        <w:tc>
          <w:tcPr>
            <w:tcW w:w="992" w:type="dxa"/>
            <w:tcBorders>
              <w:top w:val="single" w:sz="4" w:space="0" w:color="auto"/>
              <w:left w:val="single" w:sz="4" w:space="0" w:color="auto"/>
              <w:bottom w:val="single" w:sz="4" w:space="0" w:color="auto"/>
              <w:right w:val="single" w:sz="4" w:space="0" w:color="auto"/>
            </w:tcBorders>
            <w:hideMark/>
          </w:tcPr>
          <w:p w14:paraId="76A58C54"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Yes, but the exact number of cases were no stated.</w:t>
            </w:r>
          </w:p>
        </w:tc>
        <w:tc>
          <w:tcPr>
            <w:tcW w:w="1276" w:type="dxa"/>
            <w:tcBorders>
              <w:top w:val="single" w:sz="4" w:space="0" w:color="auto"/>
              <w:left w:val="single" w:sz="4" w:space="0" w:color="auto"/>
              <w:bottom w:val="single" w:sz="4" w:space="0" w:color="auto"/>
              <w:right w:val="single" w:sz="4" w:space="0" w:color="auto"/>
            </w:tcBorders>
            <w:hideMark/>
          </w:tcPr>
          <w:p w14:paraId="48056621"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Six months</w:t>
            </w:r>
          </w:p>
        </w:tc>
        <w:tc>
          <w:tcPr>
            <w:tcW w:w="992" w:type="dxa"/>
            <w:tcBorders>
              <w:top w:val="single" w:sz="4" w:space="0" w:color="auto"/>
              <w:left w:val="single" w:sz="4" w:space="0" w:color="auto"/>
              <w:bottom w:val="single" w:sz="4" w:space="0" w:color="auto"/>
              <w:right w:val="single" w:sz="4" w:space="0" w:color="auto"/>
            </w:tcBorders>
            <w:hideMark/>
          </w:tcPr>
          <w:p w14:paraId="122BE452"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993" w:type="dxa"/>
            <w:tcBorders>
              <w:top w:val="single" w:sz="4" w:space="0" w:color="auto"/>
              <w:left w:val="single" w:sz="4" w:space="0" w:color="auto"/>
              <w:bottom w:val="single" w:sz="4" w:space="0" w:color="auto"/>
              <w:right w:val="single" w:sz="4" w:space="0" w:color="auto"/>
            </w:tcBorders>
            <w:hideMark/>
          </w:tcPr>
          <w:p w14:paraId="38E2D995"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2192</w:t>
            </w:r>
          </w:p>
        </w:tc>
      </w:tr>
      <w:tr w:rsidR="003A4529" w14:paraId="3F461A75"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3AADF921" w14:textId="77777777" w:rsidR="003A4529" w:rsidRDefault="003A4529">
            <w:pPr>
              <w:spacing w:line="276" w:lineRule="auto"/>
              <w:rPr>
                <w:rFonts w:ascii="Times New Roman" w:hAnsi="Times New Roman" w:cs="Times New Roman"/>
                <w:sz w:val="16"/>
                <w:szCs w:val="16"/>
                <w:lang w:val="en-US"/>
              </w:rPr>
            </w:pPr>
            <w:proofErr w:type="spellStart"/>
            <w:r>
              <w:rPr>
                <w:rFonts w:ascii="Times New Roman" w:hAnsi="Times New Roman" w:cs="Times New Roman"/>
                <w:sz w:val="16"/>
                <w:szCs w:val="16"/>
                <w:lang w:val="en-US"/>
              </w:rPr>
              <w:lastRenderedPageBreak/>
              <w:t>Hocaoglu</w:t>
            </w:r>
            <w:proofErr w:type="spellEnd"/>
            <w:r>
              <w:rPr>
                <w:rFonts w:ascii="Times New Roman" w:hAnsi="Times New Roman" w:cs="Times New Roman"/>
                <w:sz w:val="16"/>
                <w:szCs w:val="16"/>
                <w:lang w:val="en-US"/>
              </w:rPr>
              <w:t xml:space="preserve">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2019 </w:t>
            </w:r>
            <w:sdt>
              <w:sdtPr>
                <w:rPr>
                  <w:rFonts w:ascii="Times New Roman" w:hAnsi="Times New Roman" w:cs="Times New Roman"/>
                  <w:sz w:val="16"/>
                  <w:szCs w:val="16"/>
                  <w:lang w:val="en-US"/>
                </w:rPr>
                <w:tag w:val="MENDELEY_CITATION_v3_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"/>
                <w:id w:val="1155732780"/>
                <w:placeholder>
                  <w:docPart w:val="102606E8DF364B53BB4A63877D9736E1"/>
                </w:placeholder>
              </w:sdtPr>
              <w:sdtContent>
                <w:r>
                  <w:rPr>
                    <w:rFonts w:ascii="Times New Roman" w:hAnsi="Times New Roman" w:cs="Times New Roman"/>
                    <w:sz w:val="16"/>
                    <w:szCs w:val="16"/>
                    <w:lang w:val="en-US"/>
                  </w:rPr>
                  <w:t>[64]</w:t>
                </w:r>
              </w:sdtContent>
            </w:sdt>
          </w:p>
        </w:tc>
        <w:tc>
          <w:tcPr>
            <w:tcW w:w="992" w:type="dxa"/>
            <w:tcBorders>
              <w:top w:val="single" w:sz="4" w:space="0" w:color="auto"/>
              <w:left w:val="single" w:sz="4" w:space="0" w:color="auto"/>
              <w:bottom w:val="single" w:sz="4" w:space="0" w:color="auto"/>
              <w:right w:val="single" w:sz="4" w:space="0" w:color="auto"/>
            </w:tcBorders>
            <w:hideMark/>
          </w:tcPr>
          <w:p w14:paraId="3F3B3870"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Turkey</w:t>
            </w:r>
          </w:p>
        </w:tc>
        <w:tc>
          <w:tcPr>
            <w:tcW w:w="1134" w:type="dxa"/>
            <w:tcBorders>
              <w:top w:val="single" w:sz="4" w:space="0" w:color="auto"/>
              <w:left w:val="single" w:sz="4" w:space="0" w:color="auto"/>
              <w:bottom w:val="single" w:sz="4" w:space="0" w:color="auto"/>
              <w:right w:val="single" w:sz="4" w:space="0" w:color="auto"/>
            </w:tcBorders>
            <w:hideMark/>
          </w:tcPr>
          <w:p w14:paraId="5DF0E52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A retrospective case series</w:t>
            </w:r>
          </w:p>
        </w:tc>
        <w:tc>
          <w:tcPr>
            <w:tcW w:w="897" w:type="dxa"/>
            <w:tcBorders>
              <w:top w:val="single" w:sz="4" w:space="0" w:color="auto"/>
              <w:left w:val="single" w:sz="4" w:space="0" w:color="auto"/>
              <w:bottom w:val="single" w:sz="4" w:space="0" w:color="auto"/>
              <w:right w:val="single" w:sz="4" w:space="0" w:color="auto"/>
            </w:tcBorders>
            <w:hideMark/>
          </w:tcPr>
          <w:p w14:paraId="7D94A39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Istanbul Retina Institute</w:t>
            </w:r>
          </w:p>
        </w:tc>
        <w:tc>
          <w:tcPr>
            <w:tcW w:w="1440" w:type="dxa"/>
            <w:tcBorders>
              <w:top w:val="single" w:sz="4" w:space="0" w:color="auto"/>
              <w:left w:val="single" w:sz="4" w:space="0" w:color="auto"/>
              <w:bottom w:val="single" w:sz="4" w:space="0" w:color="auto"/>
              <w:right w:val="single" w:sz="4" w:space="0" w:color="auto"/>
            </w:tcBorders>
            <w:hideMark/>
          </w:tcPr>
          <w:p w14:paraId="4A54090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Patients of all ages who underwent primary 23-g PPV with injection of SO for GRT-related RRD from between December 2006 and June 2016 were included.</w:t>
            </w:r>
          </w:p>
        </w:tc>
        <w:tc>
          <w:tcPr>
            <w:tcW w:w="1440" w:type="dxa"/>
            <w:tcBorders>
              <w:top w:val="single" w:sz="4" w:space="0" w:color="auto"/>
              <w:left w:val="single" w:sz="4" w:space="0" w:color="auto"/>
              <w:bottom w:val="single" w:sz="4" w:space="0" w:color="auto"/>
              <w:right w:val="single" w:sz="4" w:space="0" w:color="auto"/>
            </w:tcBorders>
            <w:hideMark/>
          </w:tcPr>
          <w:p w14:paraId="14EB4E7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Patients with previous vitreoretinal surgery, penetrating ocular trauma, inadequate follow-up and incomplete data were excluded.</w:t>
            </w:r>
          </w:p>
        </w:tc>
        <w:tc>
          <w:tcPr>
            <w:tcW w:w="1468" w:type="dxa"/>
            <w:tcBorders>
              <w:top w:val="single" w:sz="4" w:space="0" w:color="auto"/>
              <w:left w:val="single" w:sz="4" w:space="0" w:color="auto"/>
              <w:bottom w:val="single" w:sz="4" w:space="0" w:color="auto"/>
              <w:right w:val="single" w:sz="4" w:space="0" w:color="auto"/>
            </w:tcBorders>
            <w:hideMark/>
          </w:tcPr>
          <w:p w14:paraId="222D63C0"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All patients underwent standard PPV. The mobile retina was flattened and stabilized by instillation of PFCL or by fluid-air exchange followed by internal drainage of subretinal fluid through either the edges of the GRT or a drainage retinotomy. Finally, surgery was completed by either air–oil or PFCL–oil (to obviate slippage of the posterior edge of the tear) exchange with 1000 </w:t>
            </w:r>
            <w:proofErr w:type="spellStart"/>
            <w:r>
              <w:rPr>
                <w:rFonts w:ascii="Times New Roman" w:hAnsi="Times New Roman" w:cs="Times New Roman"/>
                <w:sz w:val="16"/>
                <w:szCs w:val="16"/>
                <w:shd w:val="clear" w:color="auto" w:fill="FFFFFF"/>
                <w:lang w:val="en-US"/>
              </w:rPr>
              <w:t>cSt</w:t>
            </w:r>
            <w:proofErr w:type="spellEnd"/>
            <w:r>
              <w:rPr>
                <w:rFonts w:ascii="Times New Roman" w:hAnsi="Times New Roman" w:cs="Times New Roman"/>
                <w:sz w:val="16"/>
                <w:szCs w:val="16"/>
                <w:shd w:val="clear" w:color="auto" w:fill="FFFFFF"/>
                <w:lang w:val="en-US"/>
              </w:rPr>
              <w:t xml:space="preserve"> SO</w:t>
            </w:r>
          </w:p>
        </w:tc>
        <w:tc>
          <w:tcPr>
            <w:tcW w:w="1417" w:type="dxa"/>
            <w:tcBorders>
              <w:top w:val="single" w:sz="4" w:space="0" w:color="auto"/>
              <w:left w:val="single" w:sz="4" w:space="0" w:color="auto"/>
              <w:bottom w:val="single" w:sz="4" w:space="0" w:color="auto"/>
              <w:right w:val="single" w:sz="4" w:space="0" w:color="auto"/>
            </w:tcBorders>
            <w:hideMark/>
          </w:tcPr>
          <w:p w14:paraId="42588BA6"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Not applicable</w:t>
            </w:r>
          </w:p>
        </w:tc>
        <w:tc>
          <w:tcPr>
            <w:tcW w:w="992" w:type="dxa"/>
            <w:tcBorders>
              <w:top w:val="single" w:sz="4" w:space="0" w:color="auto"/>
              <w:left w:val="single" w:sz="4" w:space="0" w:color="auto"/>
              <w:bottom w:val="single" w:sz="4" w:space="0" w:color="auto"/>
              <w:right w:val="single" w:sz="4" w:space="0" w:color="auto"/>
            </w:tcBorders>
            <w:hideMark/>
          </w:tcPr>
          <w:p w14:paraId="59F24368"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16 (36%) had a GRT ≥180° at baseline. 16 eyes (36%), have 90° tears, 11 eyes (28%) have tears &gt;90° and &lt;180°, and 16 eyes (36%) have tears ≥180°.</w:t>
            </w:r>
          </w:p>
        </w:tc>
        <w:tc>
          <w:tcPr>
            <w:tcW w:w="1276" w:type="dxa"/>
            <w:tcBorders>
              <w:top w:val="single" w:sz="4" w:space="0" w:color="auto"/>
              <w:left w:val="single" w:sz="4" w:space="0" w:color="auto"/>
              <w:bottom w:val="single" w:sz="4" w:space="0" w:color="auto"/>
              <w:right w:val="single" w:sz="4" w:space="0" w:color="auto"/>
            </w:tcBorders>
            <w:hideMark/>
          </w:tcPr>
          <w:p w14:paraId="3E10E065"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Mean = 37 ± 35 months</w:t>
            </w:r>
          </w:p>
        </w:tc>
        <w:tc>
          <w:tcPr>
            <w:tcW w:w="992" w:type="dxa"/>
            <w:tcBorders>
              <w:top w:val="single" w:sz="4" w:space="0" w:color="auto"/>
              <w:left w:val="single" w:sz="4" w:space="0" w:color="auto"/>
              <w:bottom w:val="single" w:sz="4" w:space="0" w:color="auto"/>
              <w:right w:val="single" w:sz="4" w:space="0" w:color="auto"/>
            </w:tcBorders>
            <w:hideMark/>
          </w:tcPr>
          <w:p w14:paraId="287D66F2"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42</w:t>
            </w:r>
          </w:p>
        </w:tc>
        <w:tc>
          <w:tcPr>
            <w:tcW w:w="993" w:type="dxa"/>
            <w:tcBorders>
              <w:top w:val="single" w:sz="4" w:space="0" w:color="auto"/>
              <w:left w:val="single" w:sz="4" w:space="0" w:color="auto"/>
              <w:bottom w:val="single" w:sz="4" w:space="0" w:color="auto"/>
              <w:right w:val="single" w:sz="4" w:space="0" w:color="auto"/>
            </w:tcBorders>
            <w:hideMark/>
          </w:tcPr>
          <w:p w14:paraId="6DE32D19"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45</w:t>
            </w:r>
          </w:p>
        </w:tc>
      </w:tr>
      <w:tr w:rsidR="003A4529" w14:paraId="377C8142"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7F71D670"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Minihan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2001 </w:t>
            </w:r>
            <w:sdt>
              <w:sdtPr>
                <w:rPr>
                  <w:rFonts w:ascii="Times New Roman" w:hAnsi="Times New Roman" w:cs="Times New Roman"/>
                  <w:sz w:val="16"/>
                  <w:szCs w:val="16"/>
                  <w:lang w:val="en-US"/>
                </w:rPr>
                <w:tag w:val="MENDELEY_CITATION_v3_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"/>
                <w:id w:val="243538732"/>
                <w:placeholder>
                  <w:docPart w:val="102606E8DF364B53BB4A63877D9736E1"/>
                </w:placeholder>
              </w:sdtPr>
              <w:sdtContent>
                <w:r>
                  <w:rPr>
                    <w:rFonts w:ascii="Times New Roman" w:hAnsi="Times New Roman" w:cs="Times New Roman"/>
                    <w:sz w:val="16"/>
                    <w:szCs w:val="16"/>
                    <w:lang w:val="en-US"/>
                  </w:rPr>
                  <w:t>[65]</w:t>
                </w:r>
              </w:sdtContent>
            </w:sdt>
          </w:p>
        </w:tc>
        <w:tc>
          <w:tcPr>
            <w:tcW w:w="992" w:type="dxa"/>
            <w:tcBorders>
              <w:top w:val="single" w:sz="4" w:space="0" w:color="auto"/>
              <w:left w:val="single" w:sz="4" w:space="0" w:color="auto"/>
              <w:bottom w:val="single" w:sz="4" w:space="0" w:color="auto"/>
              <w:right w:val="single" w:sz="4" w:space="0" w:color="auto"/>
            </w:tcBorders>
            <w:hideMark/>
          </w:tcPr>
          <w:p w14:paraId="4D3C8205"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The United Kingdom </w:t>
            </w:r>
          </w:p>
        </w:tc>
        <w:tc>
          <w:tcPr>
            <w:tcW w:w="1134" w:type="dxa"/>
            <w:tcBorders>
              <w:top w:val="single" w:sz="4" w:space="0" w:color="auto"/>
              <w:left w:val="single" w:sz="4" w:space="0" w:color="auto"/>
              <w:bottom w:val="single" w:sz="4" w:space="0" w:color="auto"/>
              <w:right w:val="single" w:sz="4" w:space="0" w:color="auto"/>
            </w:tcBorders>
            <w:hideMark/>
          </w:tcPr>
          <w:p w14:paraId="2554D30F"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A single center, retrospective cohort study </w:t>
            </w:r>
          </w:p>
        </w:tc>
        <w:tc>
          <w:tcPr>
            <w:tcW w:w="897" w:type="dxa"/>
            <w:tcBorders>
              <w:top w:val="single" w:sz="4" w:space="0" w:color="auto"/>
              <w:left w:val="single" w:sz="4" w:space="0" w:color="auto"/>
              <w:bottom w:val="single" w:sz="4" w:space="0" w:color="auto"/>
              <w:right w:val="single" w:sz="4" w:space="0" w:color="auto"/>
            </w:tcBorders>
            <w:hideMark/>
          </w:tcPr>
          <w:p w14:paraId="4231A6BD"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St Thomas’s Hospital</w:t>
            </w:r>
          </w:p>
        </w:tc>
        <w:tc>
          <w:tcPr>
            <w:tcW w:w="1440" w:type="dxa"/>
            <w:tcBorders>
              <w:top w:val="single" w:sz="4" w:space="0" w:color="auto"/>
              <w:left w:val="single" w:sz="4" w:space="0" w:color="auto"/>
              <w:bottom w:val="single" w:sz="4" w:space="0" w:color="auto"/>
              <w:right w:val="single" w:sz="4" w:space="0" w:color="auto"/>
            </w:tcBorders>
            <w:hideMark/>
          </w:tcPr>
          <w:p w14:paraId="05D674A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All patients who had surgical</w:t>
            </w:r>
          </w:p>
          <w:p w14:paraId="0F461C43"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repair of primary RRD between 1979-1980 to 1999.  </w:t>
            </w:r>
          </w:p>
        </w:tc>
        <w:tc>
          <w:tcPr>
            <w:tcW w:w="1440" w:type="dxa"/>
            <w:tcBorders>
              <w:top w:val="single" w:sz="4" w:space="0" w:color="auto"/>
              <w:left w:val="single" w:sz="4" w:space="0" w:color="auto"/>
              <w:bottom w:val="single" w:sz="4" w:space="0" w:color="auto"/>
              <w:right w:val="single" w:sz="4" w:space="0" w:color="auto"/>
            </w:tcBorders>
            <w:hideMark/>
          </w:tcPr>
          <w:p w14:paraId="0FB6F7E8"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468" w:type="dxa"/>
            <w:tcBorders>
              <w:top w:val="single" w:sz="4" w:space="0" w:color="auto"/>
              <w:left w:val="single" w:sz="4" w:space="0" w:color="auto"/>
              <w:bottom w:val="single" w:sz="4" w:space="0" w:color="auto"/>
              <w:right w:val="single" w:sz="4" w:space="0" w:color="auto"/>
            </w:tcBorders>
            <w:hideMark/>
          </w:tcPr>
          <w:p w14:paraId="79513048"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In the year 1979-80, 1 case (1%) was treated with PPV, while in the year 1999, 79 cases (63%) were treated with PPV. For the surgical procedure involving PPV with SO, 32 cases (25%) were conducted in 1999, whereas no cases were done in 1979-80, 23 of whom had preoperative PVR. </w:t>
            </w:r>
          </w:p>
        </w:tc>
        <w:tc>
          <w:tcPr>
            <w:tcW w:w="1417" w:type="dxa"/>
            <w:tcBorders>
              <w:top w:val="single" w:sz="4" w:space="0" w:color="auto"/>
              <w:left w:val="single" w:sz="4" w:space="0" w:color="auto"/>
              <w:bottom w:val="single" w:sz="4" w:space="0" w:color="auto"/>
              <w:right w:val="single" w:sz="4" w:space="0" w:color="auto"/>
            </w:tcBorders>
            <w:hideMark/>
          </w:tcPr>
          <w:p w14:paraId="3AB6326B"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To compare the surgical approaches and success rate of two cohorts from 1979-80 and 1999. </w:t>
            </w:r>
          </w:p>
        </w:tc>
        <w:tc>
          <w:tcPr>
            <w:tcW w:w="992" w:type="dxa"/>
            <w:tcBorders>
              <w:top w:val="single" w:sz="4" w:space="0" w:color="auto"/>
              <w:left w:val="single" w:sz="4" w:space="0" w:color="auto"/>
              <w:bottom w:val="single" w:sz="4" w:space="0" w:color="auto"/>
              <w:right w:val="single" w:sz="4" w:space="0" w:color="auto"/>
            </w:tcBorders>
            <w:hideMark/>
          </w:tcPr>
          <w:p w14:paraId="7AB8FAE0"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Nine out of 23 cases (39.1%) of PPV with SO tamponade have GRT-related RRD.</w:t>
            </w:r>
          </w:p>
        </w:tc>
        <w:tc>
          <w:tcPr>
            <w:tcW w:w="1276" w:type="dxa"/>
            <w:tcBorders>
              <w:top w:val="single" w:sz="4" w:space="0" w:color="auto"/>
              <w:left w:val="single" w:sz="4" w:space="0" w:color="auto"/>
              <w:bottom w:val="single" w:sz="4" w:space="0" w:color="auto"/>
              <w:right w:val="single" w:sz="4" w:space="0" w:color="auto"/>
            </w:tcBorders>
            <w:hideMark/>
          </w:tcPr>
          <w:p w14:paraId="257D5292"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992" w:type="dxa"/>
            <w:tcBorders>
              <w:top w:val="single" w:sz="4" w:space="0" w:color="auto"/>
              <w:left w:val="single" w:sz="4" w:space="0" w:color="auto"/>
              <w:bottom w:val="single" w:sz="4" w:space="0" w:color="auto"/>
              <w:right w:val="single" w:sz="4" w:space="0" w:color="auto"/>
            </w:tcBorders>
            <w:hideMark/>
          </w:tcPr>
          <w:p w14:paraId="53D573CB"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124 patients in 1979–80 and 126 patients in 1999</w:t>
            </w:r>
          </w:p>
        </w:tc>
        <w:tc>
          <w:tcPr>
            <w:tcW w:w="993" w:type="dxa"/>
            <w:tcBorders>
              <w:top w:val="single" w:sz="4" w:space="0" w:color="auto"/>
              <w:left w:val="single" w:sz="4" w:space="0" w:color="auto"/>
              <w:bottom w:val="single" w:sz="4" w:space="0" w:color="auto"/>
              <w:right w:val="single" w:sz="4" w:space="0" w:color="auto"/>
            </w:tcBorders>
          </w:tcPr>
          <w:p w14:paraId="3EC81AE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124 cases in 1979–80 and</w:t>
            </w:r>
          </w:p>
          <w:p w14:paraId="1DBCAF7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126 in 1999</w:t>
            </w:r>
          </w:p>
          <w:p w14:paraId="6AA42DC3" w14:textId="77777777" w:rsidR="003A4529" w:rsidRDefault="003A4529">
            <w:pPr>
              <w:spacing w:line="276" w:lineRule="auto"/>
              <w:rPr>
                <w:rFonts w:ascii="Times New Roman" w:hAnsi="Times New Roman" w:cs="Times New Roman"/>
                <w:sz w:val="16"/>
                <w:szCs w:val="16"/>
                <w:shd w:val="clear" w:color="auto" w:fill="FFFFFF"/>
                <w:lang w:val="en-US"/>
              </w:rPr>
            </w:pPr>
          </w:p>
        </w:tc>
      </w:tr>
      <w:tr w:rsidR="003A4529" w14:paraId="70BD1488"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3E779EA3" w14:textId="77777777" w:rsidR="003A4529" w:rsidRDefault="003A4529">
            <w:pPr>
              <w:spacing w:line="276" w:lineRule="auto"/>
              <w:rPr>
                <w:rFonts w:ascii="Times New Roman" w:hAnsi="Times New Roman" w:cs="Times New Roman"/>
                <w:sz w:val="16"/>
                <w:szCs w:val="16"/>
                <w:lang w:val="en-US"/>
              </w:rPr>
            </w:pPr>
            <w:proofErr w:type="spellStart"/>
            <w:r>
              <w:rPr>
                <w:rFonts w:ascii="Times New Roman" w:hAnsi="Times New Roman" w:cs="Times New Roman"/>
                <w:sz w:val="16"/>
                <w:szCs w:val="16"/>
                <w:lang w:val="en-US"/>
              </w:rPr>
              <w:lastRenderedPageBreak/>
              <w:t>MacCumber</w:t>
            </w:r>
            <w:proofErr w:type="spellEnd"/>
            <w:r>
              <w:rPr>
                <w:rFonts w:ascii="Times New Roman" w:hAnsi="Times New Roman" w:cs="Times New Roman"/>
                <w:sz w:val="16"/>
                <w:szCs w:val="16"/>
                <w:lang w:val="en-US"/>
              </w:rPr>
              <w:t xml:space="preserve">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2002 </w:t>
            </w:r>
            <w:sdt>
              <w:sdtPr>
                <w:rPr>
                  <w:rFonts w:ascii="Times New Roman" w:hAnsi="Times New Roman" w:cs="Times New Roman"/>
                  <w:sz w:val="16"/>
                  <w:szCs w:val="16"/>
                  <w:lang w:val="en-US"/>
                </w:rPr>
                <w:tag w:val="MENDELEY_CITATION_v3_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"/>
                <w:id w:val="-1685893500"/>
                <w:placeholder>
                  <w:docPart w:val="102606E8DF364B53BB4A63877D9736E1"/>
                </w:placeholder>
              </w:sdtPr>
              <w:sdtContent>
                <w:r>
                  <w:rPr>
                    <w:rFonts w:ascii="Times New Roman" w:hAnsi="Times New Roman" w:cs="Times New Roman"/>
                    <w:sz w:val="16"/>
                    <w:szCs w:val="16"/>
                    <w:lang w:val="en-US"/>
                  </w:rPr>
                  <w:t>[66]</w:t>
                </w:r>
              </w:sdtContent>
            </w:sdt>
          </w:p>
        </w:tc>
        <w:tc>
          <w:tcPr>
            <w:tcW w:w="992" w:type="dxa"/>
            <w:tcBorders>
              <w:top w:val="single" w:sz="4" w:space="0" w:color="auto"/>
              <w:left w:val="single" w:sz="4" w:space="0" w:color="auto"/>
              <w:bottom w:val="single" w:sz="4" w:space="0" w:color="auto"/>
              <w:right w:val="single" w:sz="4" w:space="0" w:color="auto"/>
            </w:tcBorders>
            <w:hideMark/>
          </w:tcPr>
          <w:p w14:paraId="0E0DAF01"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The United States of America</w:t>
            </w:r>
          </w:p>
        </w:tc>
        <w:tc>
          <w:tcPr>
            <w:tcW w:w="1134" w:type="dxa"/>
            <w:tcBorders>
              <w:top w:val="single" w:sz="4" w:space="0" w:color="auto"/>
              <w:left w:val="single" w:sz="4" w:space="0" w:color="auto"/>
              <w:bottom w:val="single" w:sz="4" w:space="0" w:color="auto"/>
              <w:right w:val="single" w:sz="4" w:space="0" w:color="auto"/>
            </w:tcBorders>
            <w:hideMark/>
          </w:tcPr>
          <w:p w14:paraId="3DFF8065"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 retrospective noncomparative case series.</w:t>
            </w:r>
          </w:p>
        </w:tc>
        <w:tc>
          <w:tcPr>
            <w:tcW w:w="897" w:type="dxa"/>
            <w:tcBorders>
              <w:top w:val="single" w:sz="4" w:space="0" w:color="auto"/>
              <w:left w:val="single" w:sz="4" w:space="0" w:color="auto"/>
              <w:bottom w:val="single" w:sz="4" w:space="0" w:color="auto"/>
              <w:right w:val="single" w:sz="4" w:space="0" w:color="auto"/>
            </w:tcBorders>
            <w:hideMark/>
          </w:tcPr>
          <w:p w14:paraId="0DED8407"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440" w:type="dxa"/>
            <w:tcBorders>
              <w:top w:val="single" w:sz="4" w:space="0" w:color="auto"/>
              <w:left w:val="single" w:sz="4" w:space="0" w:color="auto"/>
              <w:bottom w:val="single" w:sz="4" w:space="0" w:color="auto"/>
              <w:right w:val="single" w:sz="4" w:space="0" w:color="auto"/>
            </w:tcBorders>
            <w:hideMark/>
          </w:tcPr>
          <w:p w14:paraId="6BEEB22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15 consecutive eyes of 15 patients with PVR, RD with GRT, or RRD between 1997 to 1999 were included.</w:t>
            </w:r>
          </w:p>
        </w:tc>
        <w:tc>
          <w:tcPr>
            <w:tcW w:w="1440" w:type="dxa"/>
            <w:tcBorders>
              <w:top w:val="single" w:sz="4" w:space="0" w:color="auto"/>
              <w:left w:val="single" w:sz="4" w:space="0" w:color="auto"/>
              <w:bottom w:val="single" w:sz="4" w:space="0" w:color="auto"/>
              <w:right w:val="single" w:sz="4" w:space="0" w:color="auto"/>
            </w:tcBorders>
            <w:hideMark/>
          </w:tcPr>
          <w:p w14:paraId="3F3518B9"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468" w:type="dxa"/>
            <w:tcBorders>
              <w:top w:val="single" w:sz="4" w:space="0" w:color="auto"/>
              <w:left w:val="single" w:sz="4" w:space="0" w:color="auto"/>
              <w:bottom w:val="single" w:sz="4" w:space="0" w:color="auto"/>
              <w:right w:val="single" w:sz="4" w:space="0" w:color="auto"/>
            </w:tcBorders>
          </w:tcPr>
          <w:p w14:paraId="73023E9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All 15 patients underwent PPV and PPL with </w:t>
            </w:r>
            <w:proofErr w:type="gramStart"/>
            <w:r>
              <w:rPr>
                <w:rFonts w:ascii="Times New Roman" w:eastAsia="Times New Roman" w:hAnsi="Times New Roman" w:cs="Times New Roman"/>
                <w:sz w:val="16"/>
                <w:szCs w:val="16"/>
                <w:lang w:val="en-US"/>
              </w:rPr>
              <w:t>preservation</w:t>
            </w:r>
            <w:proofErr w:type="gramEnd"/>
          </w:p>
          <w:p w14:paraId="3828B28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and polishing the anterior capsule. A 20-g microvitreoretinal blade was used. Seven of 15 eyes (46.7%) had gas tamponade, and eight of 15 (53.3%) had SO tamponade placed at the time of vitrectomy. Three eyes that had gas tamponade had subsequent PCIOL placement. Five eyes with SO tamponade had subsequent silicone oil removal and PCIOL </w:t>
            </w:r>
            <w:proofErr w:type="gramStart"/>
            <w:r>
              <w:rPr>
                <w:rFonts w:ascii="Times New Roman" w:eastAsia="Times New Roman" w:hAnsi="Times New Roman" w:cs="Times New Roman"/>
                <w:sz w:val="16"/>
                <w:szCs w:val="16"/>
                <w:lang w:val="en-US"/>
              </w:rPr>
              <w:t>placement</w:t>
            </w:r>
            <w:proofErr w:type="gramEnd"/>
          </w:p>
          <w:p w14:paraId="0C54AB73"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417" w:type="dxa"/>
            <w:tcBorders>
              <w:top w:val="single" w:sz="4" w:space="0" w:color="auto"/>
              <w:left w:val="single" w:sz="4" w:space="0" w:color="auto"/>
              <w:bottom w:val="single" w:sz="4" w:space="0" w:color="auto"/>
              <w:right w:val="single" w:sz="4" w:space="0" w:color="auto"/>
            </w:tcBorders>
            <w:hideMark/>
          </w:tcPr>
          <w:p w14:paraId="2742112D"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992" w:type="dxa"/>
            <w:tcBorders>
              <w:top w:val="single" w:sz="4" w:space="0" w:color="auto"/>
              <w:left w:val="single" w:sz="4" w:space="0" w:color="auto"/>
              <w:bottom w:val="single" w:sz="4" w:space="0" w:color="auto"/>
              <w:right w:val="single" w:sz="4" w:space="0" w:color="auto"/>
            </w:tcBorders>
            <w:hideMark/>
          </w:tcPr>
          <w:p w14:paraId="2C99C03E"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Yes, but the exact number of cases were no stated</w:t>
            </w:r>
          </w:p>
        </w:tc>
        <w:tc>
          <w:tcPr>
            <w:tcW w:w="1276" w:type="dxa"/>
            <w:tcBorders>
              <w:top w:val="single" w:sz="4" w:space="0" w:color="auto"/>
              <w:left w:val="single" w:sz="4" w:space="0" w:color="auto"/>
              <w:bottom w:val="single" w:sz="4" w:space="0" w:color="auto"/>
              <w:right w:val="single" w:sz="4" w:space="0" w:color="auto"/>
            </w:tcBorders>
            <w:hideMark/>
          </w:tcPr>
          <w:p w14:paraId="2170DCA6"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&gt; six months in all patients and averaged 11.5 months.</w:t>
            </w:r>
          </w:p>
        </w:tc>
        <w:tc>
          <w:tcPr>
            <w:tcW w:w="992" w:type="dxa"/>
            <w:tcBorders>
              <w:top w:val="single" w:sz="4" w:space="0" w:color="auto"/>
              <w:left w:val="single" w:sz="4" w:space="0" w:color="auto"/>
              <w:bottom w:val="single" w:sz="4" w:space="0" w:color="auto"/>
              <w:right w:val="single" w:sz="4" w:space="0" w:color="auto"/>
            </w:tcBorders>
            <w:hideMark/>
          </w:tcPr>
          <w:p w14:paraId="01CD82C8"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15</w:t>
            </w:r>
          </w:p>
        </w:tc>
        <w:tc>
          <w:tcPr>
            <w:tcW w:w="993" w:type="dxa"/>
            <w:tcBorders>
              <w:top w:val="single" w:sz="4" w:space="0" w:color="auto"/>
              <w:left w:val="single" w:sz="4" w:space="0" w:color="auto"/>
              <w:bottom w:val="single" w:sz="4" w:space="0" w:color="auto"/>
              <w:right w:val="single" w:sz="4" w:space="0" w:color="auto"/>
            </w:tcBorders>
            <w:hideMark/>
          </w:tcPr>
          <w:p w14:paraId="441EE82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15</w:t>
            </w:r>
          </w:p>
        </w:tc>
      </w:tr>
      <w:tr w:rsidR="003A4529" w14:paraId="7CDAEE50"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20C9999F" w14:textId="77777777" w:rsidR="003A4529" w:rsidRDefault="003A4529">
            <w:pPr>
              <w:spacing w:line="276" w:lineRule="auto"/>
              <w:rPr>
                <w:rFonts w:ascii="Times New Roman" w:hAnsi="Times New Roman" w:cs="Times New Roman"/>
                <w:sz w:val="16"/>
                <w:szCs w:val="16"/>
                <w:lang w:val="en-US"/>
              </w:rPr>
            </w:pPr>
            <w:proofErr w:type="spellStart"/>
            <w:r>
              <w:rPr>
                <w:rFonts w:ascii="Times New Roman" w:hAnsi="Times New Roman" w:cs="Times New Roman"/>
                <w:sz w:val="16"/>
                <w:szCs w:val="16"/>
                <w:lang w:val="en-US"/>
              </w:rPr>
              <w:t>Goezinne</w:t>
            </w:r>
            <w:proofErr w:type="spellEnd"/>
            <w:r>
              <w:rPr>
                <w:rFonts w:ascii="Times New Roman" w:hAnsi="Times New Roman" w:cs="Times New Roman"/>
                <w:sz w:val="16"/>
                <w:szCs w:val="16"/>
                <w:lang w:val="en-US"/>
              </w:rPr>
              <w:t xml:space="preserve">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2008 </w:t>
            </w:r>
            <w:sdt>
              <w:sdtPr>
                <w:rPr>
                  <w:rFonts w:ascii="Times New Roman" w:hAnsi="Times New Roman" w:cs="Times New Roman"/>
                  <w:sz w:val="16"/>
                  <w:szCs w:val="16"/>
                  <w:lang w:val="en-US"/>
                </w:rPr>
                <w:tag w:val="MENDELEY_CITATION_v3_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"/>
                <w:id w:val="-228687975"/>
                <w:placeholder>
                  <w:docPart w:val="102606E8DF364B53BB4A63877D9736E1"/>
                </w:placeholder>
              </w:sdtPr>
              <w:sdtContent>
                <w:r>
                  <w:rPr>
                    <w:rFonts w:ascii="Times New Roman" w:hAnsi="Times New Roman" w:cs="Times New Roman"/>
                    <w:sz w:val="16"/>
                    <w:szCs w:val="16"/>
                    <w:lang w:val="en-US"/>
                  </w:rPr>
                  <w:t>[67]</w:t>
                </w:r>
              </w:sdtContent>
            </w:sdt>
          </w:p>
        </w:tc>
        <w:tc>
          <w:tcPr>
            <w:tcW w:w="992" w:type="dxa"/>
            <w:tcBorders>
              <w:top w:val="single" w:sz="4" w:space="0" w:color="auto"/>
              <w:left w:val="single" w:sz="4" w:space="0" w:color="auto"/>
              <w:bottom w:val="single" w:sz="4" w:space="0" w:color="auto"/>
              <w:right w:val="single" w:sz="4" w:space="0" w:color="auto"/>
            </w:tcBorders>
            <w:hideMark/>
          </w:tcPr>
          <w:p w14:paraId="7117381C"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Netherlands</w:t>
            </w:r>
          </w:p>
        </w:tc>
        <w:tc>
          <w:tcPr>
            <w:tcW w:w="1134" w:type="dxa"/>
            <w:tcBorders>
              <w:top w:val="single" w:sz="4" w:space="0" w:color="auto"/>
              <w:left w:val="single" w:sz="4" w:space="0" w:color="auto"/>
              <w:bottom w:val="single" w:sz="4" w:space="0" w:color="auto"/>
              <w:right w:val="single" w:sz="4" w:space="0" w:color="auto"/>
            </w:tcBorders>
            <w:hideMark/>
          </w:tcPr>
          <w:p w14:paraId="22D071BA" w14:textId="77777777" w:rsidR="003A4529" w:rsidRDefault="003A4529">
            <w:pPr>
              <w:shd w:val="clear" w:color="auto" w:fill="FFFFFF"/>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A retrospective case series</w:t>
            </w:r>
          </w:p>
        </w:tc>
        <w:tc>
          <w:tcPr>
            <w:tcW w:w="897" w:type="dxa"/>
            <w:tcBorders>
              <w:top w:val="single" w:sz="4" w:space="0" w:color="auto"/>
              <w:left w:val="single" w:sz="4" w:space="0" w:color="auto"/>
              <w:bottom w:val="single" w:sz="4" w:space="0" w:color="auto"/>
              <w:right w:val="single" w:sz="4" w:space="0" w:color="auto"/>
            </w:tcBorders>
            <w:hideMark/>
          </w:tcPr>
          <w:p w14:paraId="31A7A13F" w14:textId="77777777" w:rsidR="003A4529" w:rsidRDefault="003A4529">
            <w:pPr>
              <w:shd w:val="clear" w:color="auto" w:fill="FFFFFF"/>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Department of Ophthalmology, University Hospital Maastricht, The Netherlands</w:t>
            </w:r>
          </w:p>
        </w:tc>
        <w:tc>
          <w:tcPr>
            <w:tcW w:w="1440" w:type="dxa"/>
            <w:tcBorders>
              <w:top w:val="single" w:sz="4" w:space="0" w:color="auto"/>
              <w:left w:val="single" w:sz="4" w:space="0" w:color="auto"/>
              <w:bottom w:val="single" w:sz="4" w:space="0" w:color="auto"/>
              <w:right w:val="single" w:sz="4" w:space="0" w:color="auto"/>
            </w:tcBorders>
            <w:hideMark/>
          </w:tcPr>
          <w:p w14:paraId="06E1BBF7"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All cases with GRT which were operated with PPV between March 1998 and August 2003. </w:t>
            </w:r>
          </w:p>
        </w:tc>
        <w:tc>
          <w:tcPr>
            <w:tcW w:w="1440" w:type="dxa"/>
            <w:tcBorders>
              <w:top w:val="single" w:sz="4" w:space="0" w:color="auto"/>
              <w:left w:val="single" w:sz="4" w:space="0" w:color="auto"/>
              <w:bottom w:val="single" w:sz="4" w:space="0" w:color="auto"/>
              <w:right w:val="single" w:sz="4" w:space="0" w:color="auto"/>
            </w:tcBorders>
            <w:hideMark/>
          </w:tcPr>
          <w:p w14:paraId="1CF4B08C" w14:textId="77777777" w:rsidR="003A4529" w:rsidRDefault="003A4529">
            <w:pPr>
              <w:shd w:val="clear" w:color="auto" w:fill="FFFFFF"/>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Not stated </w:t>
            </w:r>
          </w:p>
        </w:tc>
        <w:tc>
          <w:tcPr>
            <w:tcW w:w="1468" w:type="dxa"/>
            <w:tcBorders>
              <w:top w:val="single" w:sz="4" w:space="0" w:color="auto"/>
              <w:left w:val="single" w:sz="4" w:space="0" w:color="auto"/>
              <w:bottom w:val="single" w:sz="4" w:space="0" w:color="auto"/>
              <w:right w:val="single" w:sz="4" w:space="0" w:color="auto"/>
            </w:tcBorders>
          </w:tcPr>
          <w:p w14:paraId="7225BF13"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A standard PPV with a trocar microcannula system using a noncontact wide angle panoramic viewing system was performed in all the cases. All cases were operated with the use of PFCL and exchanged for SO (1000 </w:t>
            </w:r>
            <w:proofErr w:type="spellStart"/>
            <w:r>
              <w:rPr>
                <w:rFonts w:ascii="Times New Roman" w:hAnsi="Times New Roman" w:cs="Times New Roman"/>
                <w:sz w:val="16"/>
                <w:szCs w:val="16"/>
                <w:lang w:val="en-US"/>
              </w:rPr>
              <w:t>cSt</w:t>
            </w:r>
            <w:proofErr w:type="spellEnd"/>
            <w:r>
              <w:rPr>
                <w:rFonts w:ascii="Times New Roman" w:hAnsi="Times New Roman" w:cs="Times New Roman"/>
                <w:sz w:val="16"/>
                <w:szCs w:val="16"/>
                <w:lang w:val="en-US"/>
              </w:rPr>
              <w:t>) or C</w:t>
            </w:r>
            <w:r>
              <w:rPr>
                <w:rFonts w:ascii="Times New Roman" w:hAnsi="Times New Roman" w:cs="Times New Roman"/>
                <w:sz w:val="16"/>
                <w:szCs w:val="16"/>
                <w:vertAlign w:val="subscript"/>
                <w:lang w:val="en-US"/>
              </w:rPr>
              <w:t>3</w:t>
            </w:r>
            <w:r>
              <w:rPr>
                <w:rFonts w:ascii="Times New Roman" w:hAnsi="Times New Roman" w:cs="Times New Roman"/>
                <w:sz w:val="16"/>
                <w:szCs w:val="16"/>
                <w:lang w:val="en-US"/>
              </w:rPr>
              <w:t>F</w:t>
            </w:r>
            <w:r>
              <w:rPr>
                <w:rFonts w:ascii="Times New Roman" w:hAnsi="Times New Roman" w:cs="Times New Roman"/>
                <w:sz w:val="16"/>
                <w:szCs w:val="16"/>
                <w:vertAlign w:val="subscript"/>
                <w:lang w:val="en-US"/>
              </w:rPr>
              <w:t>8</w:t>
            </w:r>
            <w:r>
              <w:rPr>
                <w:rFonts w:ascii="Times New Roman" w:hAnsi="Times New Roman" w:cs="Times New Roman"/>
                <w:sz w:val="16"/>
                <w:szCs w:val="16"/>
                <w:lang w:val="en-US"/>
              </w:rPr>
              <w:t xml:space="preserve"> gas at the end. During the operation an </w:t>
            </w:r>
            <w:r>
              <w:rPr>
                <w:rFonts w:ascii="Times New Roman" w:hAnsi="Times New Roman" w:cs="Times New Roman"/>
                <w:sz w:val="16"/>
                <w:szCs w:val="16"/>
                <w:lang w:val="en-US"/>
              </w:rPr>
              <w:lastRenderedPageBreak/>
              <w:t>encircling SB was placed in 21 eyes (70%), 29 eyes (96.6%) received a SO tamponade, and one eye had a tamponade with C</w:t>
            </w:r>
            <w:r>
              <w:rPr>
                <w:rFonts w:ascii="Times New Roman" w:hAnsi="Times New Roman" w:cs="Times New Roman"/>
                <w:sz w:val="16"/>
                <w:szCs w:val="16"/>
                <w:vertAlign w:val="subscript"/>
                <w:lang w:val="en-US"/>
              </w:rPr>
              <w:t>3</w:t>
            </w:r>
            <w:r>
              <w:rPr>
                <w:rFonts w:ascii="Times New Roman" w:hAnsi="Times New Roman" w:cs="Times New Roman"/>
                <w:sz w:val="16"/>
                <w:szCs w:val="16"/>
                <w:lang w:val="en-US"/>
              </w:rPr>
              <w:t>F</w:t>
            </w:r>
            <w:r>
              <w:rPr>
                <w:rFonts w:ascii="Times New Roman" w:hAnsi="Times New Roman" w:cs="Times New Roman"/>
                <w:sz w:val="16"/>
                <w:szCs w:val="16"/>
                <w:vertAlign w:val="subscript"/>
                <w:lang w:val="en-US"/>
              </w:rPr>
              <w:t>8</w:t>
            </w:r>
            <w:r>
              <w:rPr>
                <w:rFonts w:ascii="Times New Roman" w:hAnsi="Times New Roman" w:cs="Times New Roman"/>
                <w:sz w:val="16"/>
                <w:szCs w:val="16"/>
                <w:lang w:val="en-US"/>
              </w:rPr>
              <w:t xml:space="preserve"> gas (3.4%).</w:t>
            </w:r>
          </w:p>
          <w:p w14:paraId="2D20426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417" w:type="dxa"/>
            <w:tcBorders>
              <w:top w:val="single" w:sz="4" w:space="0" w:color="auto"/>
              <w:left w:val="single" w:sz="4" w:space="0" w:color="auto"/>
              <w:bottom w:val="single" w:sz="4" w:space="0" w:color="auto"/>
              <w:right w:val="single" w:sz="4" w:space="0" w:color="auto"/>
            </w:tcBorders>
            <w:hideMark/>
          </w:tcPr>
          <w:p w14:paraId="49A01EB1" w14:textId="77777777" w:rsidR="003A4529" w:rsidRDefault="003A4529">
            <w:pPr>
              <w:shd w:val="clear" w:color="auto" w:fill="FFFFFF"/>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lastRenderedPageBreak/>
              <w:t xml:space="preserve">Not applicable </w:t>
            </w:r>
          </w:p>
        </w:tc>
        <w:tc>
          <w:tcPr>
            <w:tcW w:w="992" w:type="dxa"/>
            <w:tcBorders>
              <w:top w:val="single" w:sz="4" w:space="0" w:color="auto"/>
              <w:left w:val="single" w:sz="4" w:space="0" w:color="auto"/>
              <w:bottom w:val="single" w:sz="4" w:space="0" w:color="auto"/>
              <w:right w:val="single" w:sz="4" w:space="0" w:color="auto"/>
            </w:tcBorders>
            <w:hideMark/>
          </w:tcPr>
          <w:p w14:paraId="1EC64BC3" w14:textId="77777777" w:rsidR="003A4529" w:rsidRDefault="003A4529">
            <w:pPr>
              <w:shd w:val="clear" w:color="auto" w:fill="FFFFFF"/>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All the 30 presented with GRT. The mean size of the GRT was 3.75 clock hours (range three – six clock hours).</w:t>
            </w:r>
          </w:p>
        </w:tc>
        <w:tc>
          <w:tcPr>
            <w:tcW w:w="1276" w:type="dxa"/>
            <w:tcBorders>
              <w:top w:val="single" w:sz="4" w:space="0" w:color="auto"/>
              <w:left w:val="single" w:sz="4" w:space="0" w:color="auto"/>
              <w:bottom w:val="single" w:sz="4" w:space="0" w:color="auto"/>
              <w:right w:val="single" w:sz="4" w:space="0" w:color="auto"/>
            </w:tcBorders>
          </w:tcPr>
          <w:p w14:paraId="38553B0D"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Mean = 49 months (range 13–101 months)</w:t>
            </w:r>
          </w:p>
          <w:p w14:paraId="38C738F1" w14:textId="77777777" w:rsidR="003A4529" w:rsidRDefault="003A4529">
            <w:pPr>
              <w:spacing w:line="276" w:lineRule="auto"/>
              <w:rPr>
                <w:rFonts w:ascii="Times New Roman" w:hAnsi="Times New Roman" w:cs="Times New Roman"/>
                <w:sz w:val="16"/>
                <w:szCs w:val="16"/>
                <w:lang w:val="en-US"/>
              </w:rPr>
            </w:pPr>
          </w:p>
        </w:tc>
        <w:tc>
          <w:tcPr>
            <w:tcW w:w="992" w:type="dxa"/>
            <w:tcBorders>
              <w:top w:val="single" w:sz="4" w:space="0" w:color="auto"/>
              <w:left w:val="single" w:sz="4" w:space="0" w:color="auto"/>
              <w:bottom w:val="single" w:sz="4" w:space="0" w:color="auto"/>
              <w:right w:val="single" w:sz="4" w:space="0" w:color="auto"/>
            </w:tcBorders>
            <w:hideMark/>
          </w:tcPr>
          <w:p w14:paraId="4DE03983"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30</w:t>
            </w:r>
          </w:p>
        </w:tc>
        <w:tc>
          <w:tcPr>
            <w:tcW w:w="993" w:type="dxa"/>
            <w:tcBorders>
              <w:top w:val="single" w:sz="4" w:space="0" w:color="auto"/>
              <w:left w:val="single" w:sz="4" w:space="0" w:color="auto"/>
              <w:bottom w:val="single" w:sz="4" w:space="0" w:color="auto"/>
              <w:right w:val="single" w:sz="4" w:space="0" w:color="auto"/>
            </w:tcBorders>
            <w:hideMark/>
          </w:tcPr>
          <w:p w14:paraId="2E0B26C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30</w:t>
            </w:r>
          </w:p>
        </w:tc>
      </w:tr>
      <w:tr w:rsidR="003A4529" w14:paraId="3A8E7150"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75F56D58"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Chehade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2021 </w:t>
            </w:r>
            <w:sdt>
              <w:sdtPr>
                <w:rPr>
                  <w:rFonts w:ascii="Times New Roman" w:hAnsi="Times New Roman" w:cs="Times New Roman"/>
                  <w:sz w:val="16"/>
                  <w:szCs w:val="16"/>
                  <w:lang w:val="en-US"/>
                </w:rPr>
                <w:tag w:val="MENDELEY_CITATION_v3_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"/>
                <w:id w:val="1552650750"/>
                <w:placeholder>
                  <w:docPart w:val="102606E8DF364B53BB4A63877D9736E1"/>
                </w:placeholder>
              </w:sdtPr>
              <w:sdtContent>
                <w:r>
                  <w:rPr>
                    <w:rFonts w:ascii="Times New Roman" w:hAnsi="Times New Roman" w:cs="Times New Roman"/>
                    <w:sz w:val="16"/>
                    <w:szCs w:val="16"/>
                    <w:lang w:val="en-US"/>
                  </w:rPr>
                  <w:t>[68]</w:t>
                </w:r>
              </w:sdtContent>
            </w:sdt>
          </w:p>
        </w:tc>
        <w:tc>
          <w:tcPr>
            <w:tcW w:w="992" w:type="dxa"/>
            <w:tcBorders>
              <w:top w:val="single" w:sz="4" w:space="0" w:color="auto"/>
              <w:left w:val="single" w:sz="4" w:space="0" w:color="auto"/>
              <w:bottom w:val="single" w:sz="4" w:space="0" w:color="auto"/>
              <w:right w:val="single" w:sz="4" w:space="0" w:color="auto"/>
            </w:tcBorders>
            <w:hideMark/>
          </w:tcPr>
          <w:p w14:paraId="6370B397"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shd w:val="clear" w:color="auto" w:fill="FFFFFF"/>
                <w:lang w:val="en-US"/>
              </w:rPr>
              <w:t>Australia</w:t>
            </w:r>
          </w:p>
        </w:tc>
        <w:tc>
          <w:tcPr>
            <w:tcW w:w="1134" w:type="dxa"/>
            <w:tcBorders>
              <w:top w:val="single" w:sz="4" w:space="0" w:color="auto"/>
              <w:left w:val="single" w:sz="4" w:space="0" w:color="auto"/>
              <w:bottom w:val="single" w:sz="4" w:space="0" w:color="auto"/>
              <w:right w:val="single" w:sz="4" w:space="0" w:color="auto"/>
            </w:tcBorders>
            <w:hideMark/>
          </w:tcPr>
          <w:p w14:paraId="75A693F9" w14:textId="77777777" w:rsidR="003A4529" w:rsidRDefault="003A4529">
            <w:pPr>
              <w:shd w:val="clear" w:color="auto" w:fill="FFFFFF"/>
              <w:spacing w:line="276" w:lineRule="auto"/>
              <w:rPr>
                <w:rFonts w:ascii="Times New Roman" w:hAnsi="Times New Roman" w:cs="Times New Roman"/>
                <w:sz w:val="16"/>
                <w:szCs w:val="16"/>
                <w:lang w:val="en-US"/>
              </w:rPr>
            </w:pPr>
            <w:r>
              <w:rPr>
                <w:rFonts w:ascii="Times New Roman" w:hAnsi="Times New Roman" w:cs="Times New Roman"/>
                <w:sz w:val="16"/>
                <w:szCs w:val="16"/>
                <w:shd w:val="clear" w:color="auto" w:fill="FFFFFF"/>
                <w:lang w:val="en-US"/>
              </w:rPr>
              <w:t>A retrospective case series</w:t>
            </w:r>
          </w:p>
        </w:tc>
        <w:tc>
          <w:tcPr>
            <w:tcW w:w="897" w:type="dxa"/>
            <w:tcBorders>
              <w:top w:val="single" w:sz="4" w:space="0" w:color="auto"/>
              <w:left w:val="single" w:sz="4" w:space="0" w:color="auto"/>
              <w:bottom w:val="single" w:sz="4" w:space="0" w:color="auto"/>
              <w:right w:val="single" w:sz="4" w:space="0" w:color="auto"/>
            </w:tcBorders>
          </w:tcPr>
          <w:p w14:paraId="1287BBC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Either the Royal Adelaide Hospital</w:t>
            </w:r>
          </w:p>
          <w:p w14:paraId="7C3BB91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in Australia or the Adelaide Day Surgery</w:t>
            </w:r>
          </w:p>
          <w:p w14:paraId="1A39054C" w14:textId="77777777" w:rsidR="003A4529" w:rsidRDefault="003A4529">
            <w:pPr>
              <w:shd w:val="clear" w:color="auto" w:fill="FFFFFF"/>
              <w:spacing w:line="276" w:lineRule="auto"/>
              <w:rPr>
                <w:rFonts w:ascii="Times New Roman" w:hAnsi="Times New Roman" w:cs="Times New Roman"/>
                <w:sz w:val="16"/>
                <w:szCs w:val="16"/>
                <w:lang w:val="en-US"/>
              </w:rPr>
            </w:pPr>
          </w:p>
        </w:tc>
        <w:tc>
          <w:tcPr>
            <w:tcW w:w="1440" w:type="dxa"/>
            <w:tcBorders>
              <w:top w:val="single" w:sz="4" w:space="0" w:color="auto"/>
              <w:left w:val="single" w:sz="4" w:space="0" w:color="auto"/>
              <w:bottom w:val="single" w:sz="4" w:space="0" w:color="auto"/>
              <w:right w:val="single" w:sz="4" w:space="0" w:color="auto"/>
            </w:tcBorders>
          </w:tcPr>
          <w:p w14:paraId="188CE8F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RRD patients with 18 years old and above, underwent PPV between November 2012 and August 2018 were included. A</w:t>
            </w:r>
          </w:p>
          <w:p w14:paraId="70D2E41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100% fill PFD was used as a medium term post-operative tamponade. </w:t>
            </w:r>
          </w:p>
          <w:p w14:paraId="6585FAD5" w14:textId="77777777" w:rsidR="003A4529" w:rsidRDefault="003A4529">
            <w:pPr>
              <w:spacing w:line="276" w:lineRule="auto"/>
              <w:rPr>
                <w:rFonts w:ascii="Times New Roman" w:hAnsi="Times New Roman" w:cs="Times New Roman"/>
                <w:sz w:val="16"/>
                <w:szCs w:val="16"/>
                <w:lang w:val="en-US"/>
              </w:rPr>
            </w:pPr>
          </w:p>
        </w:tc>
        <w:tc>
          <w:tcPr>
            <w:tcW w:w="1440" w:type="dxa"/>
            <w:tcBorders>
              <w:top w:val="single" w:sz="4" w:space="0" w:color="auto"/>
              <w:left w:val="single" w:sz="4" w:space="0" w:color="auto"/>
              <w:bottom w:val="single" w:sz="4" w:space="0" w:color="auto"/>
              <w:right w:val="single" w:sz="4" w:space="0" w:color="auto"/>
            </w:tcBorders>
            <w:hideMark/>
          </w:tcPr>
          <w:p w14:paraId="5FF4B689" w14:textId="77777777" w:rsidR="003A4529" w:rsidRDefault="003A4529">
            <w:pPr>
              <w:shd w:val="clear" w:color="auto" w:fill="FFFFFF"/>
              <w:spacing w:line="276" w:lineRule="auto"/>
              <w:rPr>
                <w:rFonts w:ascii="Times New Roman" w:hAnsi="Times New Roman" w:cs="Times New Roman"/>
                <w:sz w:val="16"/>
                <w:szCs w:val="16"/>
                <w:lang w:val="en-US"/>
              </w:rPr>
            </w:pPr>
            <w:r>
              <w:rPr>
                <w:rFonts w:ascii="Times New Roman" w:hAnsi="Times New Roman" w:cs="Times New Roman"/>
                <w:sz w:val="16"/>
                <w:szCs w:val="16"/>
                <w:shd w:val="clear" w:color="auto" w:fill="FFFFFF"/>
                <w:lang w:val="en-US"/>
              </w:rPr>
              <w:t>Incomplete case notes were excluded from this study</w:t>
            </w:r>
          </w:p>
        </w:tc>
        <w:tc>
          <w:tcPr>
            <w:tcW w:w="1468" w:type="dxa"/>
            <w:tcBorders>
              <w:top w:val="single" w:sz="4" w:space="0" w:color="auto"/>
              <w:left w:val="single" w:sz="4" w:space="0" w:color="auto"/>
              <w:bottom w:val="single" w:sz="4" w:space="0" w:color="auto"/>
              <w:right w:val="single" w:sz="4" w:space="0" w:color="auto"/>
            </w:tcBorders>
          </w:tcPr>
          <w:p w14:paraId="4A0B9AF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Intraoperatively, a conventional PPV 25-g (32 cases, 37.6%) or 27-g (53 cases, 62.4%) vitrectomy was performed with noncontact wide-</w:t>
            </w:r>
            <w:proofErr w:type="gramStart"/>
            <w:r>
              <w:rPr>
                <w:rFonts w:ascii="Times New Roman" w:eastAsia="Times New Roman" w:hAnsi="Times New Roman" w:cs="Times New Roman"/>
                <w:sz w:val="16"/>
                <w:szCs w:val="16"/>
                <w:lang w:val="en-US"/>
              </w:rPr>
              <w:t>field</w:t>
            </w:r>
            <w:proofErr w:type="gramEnd"/>
          </w:p>
          <w:p w14:paraId="3A44862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viewing system, with initial retinal reattachment, followed by the leaving PFD as a medium-term PFCL tamponade in all </w:t>
            </w:r>
            <w:proofErr w:type="gramStart"/>
            <w:r>
              <w:rPr>
                <w:rFonts w:ascii="Times New Roman" w:eastAsia="Times New Roman" w:hAnsi="Times New Roman" w:cs="Times New Roman"/>
                <w:sz w:val="16"/>
                <w:szCs w:val="16"/>
                <w:lang w:val="en-US"/>
              </w:rPr>
              <w:t>cases</w:t>
            </w:r>
            <w:proofErr w:type="gramEnd"/>
          </w:p>
          <w:p w14:paraId="71DAE473" w14:textId="77777777" w:rsidR="003A4529" w:rsidRDefault="003A4529">
            <w:pPr>
              <w:spacing w:line="276" w:lineRule="auto"/>
              <w:rPr>
                <w:rFonts w:ascii="Times New Roman" w:hAnsi="Times New Roman" w:cs="Times New Roman"/>
                <w:sz w:val="16"/>
                <w:szCs w:val="16"/>
                <w:lang w:val="en-US"/>
              </w:rPr>
            </w:pPr>
          </w:p>
        </w:tc>
        <w:tc>
          <w:tcPr>
            <w:tcW w:w="1417" w:type="dxa"/>
            <w:tcBorders>
              <w:top w:val="single" w:sz="4" w:space="0" w:color="auto"/>
              <w:left w:val="single" w:sz="4" w:space="0" w:color="auto"/>
              <w:bottom w:val="single" w:sz="4" w:space="0" w:color="auto"/>
              <w:right w:val="single" w:sz="4" w:space="0" w:color="auto"/>
            </w:tcBorders>
            <w:hideMark/>
          </w:tcPr>
          <w:p w14:paraId="757AF3A7" w14:textId="77777777" w:rsidR="003A4529" w:rsidRDefault="003A4529">
            <w:pPr>
              <w:shd w:val="clear" w:color="auto" w:fill="FFFFFF"/>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Not applicable </w:t>
            </w:r>
          </w:p>
        </w:tc>
        <w:tc>
          <w:tcPr>
            <w:tcW w:w="992" w:type="dxa"/>
            <w:tcBorders>
              <w:top w:val="single" w:sz="4" w:space="0" w:color="auto"/>
              <w:left w:val="single" w:sz="4" w:space="0" w:color="auto"/>
              <w:bottom w:val="single" w:sz="4" w:space="0" w:color="auto"/>
              <w:right w:val="single" w:sz="4" w:space="0" w:color="auto"/>
            </w:tcBorders>
            <w:hideMark/>
          </w:tcPr>
          <w:p w14:paraId="08E252D2" w14:textId="77777777" w:rsidR="003A4529" w:rsidRDefault="003A4529">
            <w:pPr>
              <w:shd w:val="clear" w:color="auto" w:fill="FFFFFF"/>
              <w:spacing w:line="276" w:lineRule="auto"/>
              <w:rPr>
                <w:rFonts w:ascii="Times New Roman" w:hAnsi="Times New Roman" w:cs="Times New Roman"/>
                <w:sz w:val="16"/>
                <w:szCs w:val="16"/>
                <w:lang w:val="en-US"/>
              </w:rPr>
            </w:pPr>
            <w:r>
              <w:rPr>
                <w:rFonts w:ascii="Times New Roman" w:hAnsi="Times New Roman" w:cs="Times New Roman"/>
                <w:sz w:val="16"/>
                <w:szCs w:val="16"/>
                <w:shd w:val="clear" w:color="auto" w:fill="FFFFFF"/>
                <w:lang w:val="en-US"/>
              </w:rPr>
              <w:t>10 eyes (10.8%)</w:t>
            </w:r>
          </w:p>
        </w:tc>
        <w:tc>
          <w:tcPr>
            <w:tcW w:w="1276" w:type="dxa"/>
            <w:tcBorders>
              <w:top w:val="single" w:sz="4" w:space="0" w:color="auto"/>
              <w:left w:val="single" w:sz="4" w:space="0" w:color="auto"/>
              <w:bottom w:val="single" w:sz="4" w:space="0" w:color="auto"/>
              <w:right w:val="single" w:sz="4" w:space="0" w:color="auto"/>
            </w:tcBorders>
            <w:hideMark/>
          </w:tcPr>
          <w:p w14:paraId="6D8FED38"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Mean = 16.0 ± 2.67 months (Range = three –59)</w:t>
            </w:r>
          </w:p>
        </w:tc>
        <w:tc>
          <w:tcPr>
            <w:tcW w:w="992" w:type="dxa"/>
            <w:tcBorders>
              <w:top w:val="single" w:sz="4" w:space="0" w:color="auto"/>
              <w:left w:val="single" w:sz="4" w:space="0" w:color="auto"/>
              <w:bottom w:val="single" w:sz="4" w:space="0" w:color="auto"/>
              <w:right w:val="single" w:sz="4" w:space="0" w:color="auto"/>
            </w:tcBorders>
            <w:hideMark/>
          </w:tcPr>
          <w:p w14:paraId="458C809E"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85</w:t>
            </w:r>
          </w:p>
        </w:tc>
        <w:tc>
          <w:tcPr>
            <w:tcW w:w="993" w:type="dxa"/>
            <w:tcBorders>
              <w:top w:val="single" w:sz="4" w:space="0" w:color="auto"/>
              <w:left w:val="single" w:sz="4" w:space="0" w:color="auto"/>
              <w:bottom w:val="single" w:sz="4" w:space="0" w:color="auto"/>
              <w:right w:val="single" w:sz="4" w:space="0" w:color="auto"/>
            </w:tcBorders>
            <w:hideMark/>
          </w:tcPr>
          <w:p w14:paraId="3A2F103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85</w:t>
            </w:r>
          </w:p>
        </w:tc>
      </w:tr>
      <w:tr w:rsidR="003A4529" w14:paraId="033A5D69" w14:textId="77777777" w:rsidTr="003A4529">
        <w:tc>
          <w:tcPr>
            <w:tcW w:w="1419" w:type="dxa"/>
            <w:tcBorders>
              <w:top w:val="single" w:sz="4" w:space="0" w:color="auto"/>
              <w:left w:val="single" w:sz="4" w:space="0" w:color="auto"/>
              <w:bottom w:val="single" w:sz="4" w:space="0" w:color="auto"/>
              <w:right w:val="single" w:sz="4" w:space="0" w:color="auto"/>
            </w:tcBorders>
            <w:hideMark/>
          </w:tcPr>
          <w:p w14:paraId="059DE7A7" w14:textId="77777777" w:rsidR="003A4529" w:rsidRDefault="003A4529">
            <w:pPr>
              <w:spacing w:line="276" w:lineRule="auto"/>
              <w:rPr>
                <w:rFonts w:ascii="Times New Roman" w:hAnsi="Times New Roman" w:cs="Times New Roman"/>
                <w:sz w:val="16"/>
                <w:szCs w:val="16"/>
                <w:lang w:val="en-US"/>
              </w:rPr>
            </w:pPr>
            <w:proofErr w:type="spellStart"/>
            <w:r>
              <w:rPr>
                <w:rFonts w:ascii="Times New Roman" w:hAnsi="Times New Roman" w:cs="Times New Roman"/>
                <w:sz w:val="16"/>
                <w:szCs w:val="16"/>
                <w:lang w:val="en-US"/>
              </w:rPr>
              <w:t>Bhurayanontachai</w:t>
            </w:r>
            <w:proofErr w:type="spellEnd"/>
            <w:r>
              <w:rPr>
                <w:rFonts w:ascii="Times New Roman" w:hAnsi="Times New Roman" w:cs="Times New Roman"/>
                <w:sz w:val="16"/>
                <w:szCs w:val="16"/>
                <w:lang w:val="en-US"/>
              </w:rPr>
              <w:t xml:space="preserve">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2021 </w:t>
            </w:r>
            <w:sdt>
              <w:sdtPr>
                <w:rPr>
                  <w:rFonts w:ascii="Times New Roman" w:hAnsi="Times New Roman" w:cs="Times New Roman"/>
                  <w:sz w:val="16"/>
                  <w:szCs w:val="16"/>
                  <w:lang w:val="en-US"/>
                </w:rPr>
                <w:tag w:val="MENDELEY_CITATION_v3_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"/>
                <w:id w:val="-36976879"/>
                <w:placeholder>
                  <w:docPart w:val="102606E8DF364B53BB4A63877D9736E1"/>
                </w:placeholder>
              </w:sdtPr>
              <w:sdtContent>
                <w:r>
                  <w:rPr>
                    <w:rFonts w:ascii="Times New Roman" w:eastAsia="Times New Roman" w:hAnsi="Times New Roman" w:cs="Times New Roman"/>
                    <w:sz w:val="16"/>
                    <w:szCs w:val="16"/>
                    <w:lang w:val="en-US"/>
                  </w:rPr>
                  <w:t>[69]</w:t>
                </w:r>
              </w:sdtContent>
            </w:sdt>
          </w:p>
        </w:tc>
        <w:tc>
          <w:tcPr>
            <w:tcW w:w="992" w:type="dxa"/>
            <w:tcBorders>
              <w:top w:val="single" w:sz="4" w:space="0" w:color="auto"/>
              <w:left w:val="single" w:sz="4" w:space="0" w:color="auto"/>
              <w:bottom w:val="single" w:sz="4" w:space="0" w:color="auto"/>
              <w:right w:val="single" w:sz="4" w:space="0" w:color="auto"/>
            </w:tcBorders>
            <w:hideMark/>
          </w:tcPr>
          <w:p w14:paraId="15CCA020"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Thailand</w:t>
            </w:r>
          </w:p>
        </w:tc>
        <w:tc>
          <w:tcPr>
            <w:tcW w:w="1134" w:type="dxa"/>
            <w:tcBorders>
              <w:top w:val="single" w:sz="4" w:space="0" w:color="auto"/>
              <w:left w:val="single" w:sz="4" w:space="0" w:color="auto"/>
              <w:bottom w:val="single" w:sz="4" w:space="0" w:color="auto"/>
              <w:right w:val="single" w:sz="4" w:space="0" w:color="auto"/>
            </w:tcBorders>
            <w:hideMark/>
          </w:tcPr>
          <w:p w14:paraId="6627B6C7"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 retrospective cohort study</w:t>
            </w:r>
          </w:p>
        </w:tc>
        <w:tc>
          <w:tcPr>
            <w:tcW w:w="897" w:type="dxa"/>
            <w:tcBorders>
              <w:top w:val="single" w:sz="4" w:space="0" w:color="auto"/>
              <w:left w:val="single" w:sz="4" w:space="0" w:color="auto"/>
              <w:bottom w:val="single" w:sz="4" w:space="0" w:color="auto"/>
              <w:right w:val="single" w:sz="4" w:space="0" w:color="auto"/>
            </w:tcBorders>
            <w:hideMark/>
          </w:tcPr>
          <w:p w14:paraId="1C9BD14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 xml:space="preserve">Faculty of Medicine, Prince of </w:t>
            </w:r>
            <w:proofErr w:type="spellStart"/>
            <w:r>
              <w:rPr>
                <w:rFonts w:ascii="Times New Roman" w:hAnsi="Times New Roman" w:cs="Times New Roman"/>
                <w:sz w:val="16"/>
                <w:szCs w:val="16"/>
                <w:shd w:val="clear" w:color="auto" w:fill="FFFFFF"/>
                <w:lang w:val="en-US"/>
              </w:rPr>
              <w:t>Songkla</w:t>
            </w:r>
            <w:proofErr w:type="spellEnd"/>
            <w:r>
              <w:rPr>
                <w:rFonts w:ascii="Times New Roman" w:hAnsi="Times New Roman" w:cs="Times New Roman"/>
                <w:sz w:val="16"/>
                <w:szCs w:val="16"/>
                <w:shd w:val="clear" w:color="auto" w:fill="FFFFFF"/>
                <w:lang w:val="en-US"/>
              </w:rPr>
              <w:t xml:space="preserve"> </w:t>
            </w:r>
            <w:proofErr w:type="spellStart"/>
            <w:proofErr w:type="gramStart"/>
            <w:r>
              <w:rPr>
                <w:rFonts w:ascii="Times New Roman" w:hAnsi="Times New Roman" w:cs="Times New Roman"/>
                <w:sz w:val="16"/>
                <w:szCs w:val="16"/>
                <w:shd w:val="clear" w:color="auto" w:fill="FFFFFF"/>
                <w:lang w:val="en-US"/>
              </w:rPr>
              <w:t>University,Songkhl</w:t>
            </w:r>
            <w:proofErr w:type="spellEnd"/>
            <w:proofErr w:type="gramEnd"/>
            <w:r>
              <w:rPr>
                <w:rFonts w:ascii="Times New Roman" w:hAnsi="Times New Roman" w:cs="Times New Roman"/>
                <w:sz w:val="16"/>
                <w:szCs w:val="16"/>
                <w:shd w:val="clear" w:color="auto" w:fill="FFFFFF"/>
                <w:lang w:val="en-US"/>
              </w:rPr>
              <w:t>, Thailand</w:t>
            </w:r>
          </w:p>
        </w:tc>
        <w:tc>
          <w:tcPr>
            <w:tcW w:w="1440" w:type="dxa"/>
            <w:tcBorders>
              <w:top w:val="single" w:sz="4" w:space="0" w:color="auto"/>
              <w:left w:val="single" w:sz="4" w:space="0" w:color="auto"/>
              <w:bottom w:val="single" w:sz="4" w:space="0" w:color="auto"/>
              <w:right w:val="single" w:sz="4" w:space="0" w:color="auto"/>
            </w:tcBorders>
            <w:hideMark/>
          </w:tcPr>
          <w:p w14:paraId="20B75FB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In a tertiary referral university hospital, patients with RRD from any cause, TRD, and any RRD or TRD that had previously failed treatment, underwent PPV with postoperative PFCL tamponade (with or without SB procedure).</w:t>
            </w:r>
          </w:p>
        </w:tc>
        <w:tc>
          <w:tcPr>
            <w:tcW w:w="1440" w:type="dxa"/>
            <w:tcBorders>
              <w:top w:val="single" w:sz="4" w:space="0" w:color="auto"/>
              <w:left w:val="single" w:sz="4" w:space="0" w:color="auto"/>
              <w:bottom w:val="single" w:sz="4" w:space="0" w:color="auto"/>
              <w:right w:val="single" w:sz="4" w:space="0" w:color="auto"/>
            </w:tcBorders>
            <w:hideMark/>
          </w:tcPr>
          <w:p w14:paraId="35E0A72F"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The study excluded patients with other eye conditions like advanced glaucoma or uveitis, dense cataracts, systemic diseases, pregnancy, or missing critical data. Additionally, patients who needed another surgery to repair the detached retina with the use of </w:t>
            </w:r>
            <w:r>
              <w:rPr>
                <w:rFonts w:ascii="Times New Roman" w:hAnsi="Times New Roman" w:cs="Times New Roman"/>
                <w:sz w:val="16"/>
                <w:szCs w:val="16"/>
                <w:shd w:val="clear" w:color="auto" w:fill="FFFFFF"/>
                <w:lang w:val="en-US"/>
              </w:rPr>
              <w:lastRenderedPageBreak/>
              <w:t>PFCL were also excluded from the study.</w:t>
            </w:r>
          </w:p>
        </w:tc>
        <w:tc>
          <w:tcPr>
            <w:tcW w:w="1468" w:type="dxa"/>
            <w:tcBorders>
              <w:top w:val="single" w:sz="4" w:space="0" w:color="auto"/>
              <w:left w:val="single" w:sz="4" w:space="0" w:color="auto"/>
              <w:bottom w:val="single" w:sz="4" w:space="0" w:color="auto"/>
              <w:right w:val="single" w:sz="4" w:space="0" w:color="auto"/>
            </w:tcBorders>
          </w:tcPr>
          <w:p w14:paraId="067A818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The patients received 20- or 23-g PPV with PFCL tamponade. As much PVR as possible was removed before flattening the retina by PFCL. After one to two weeks, either C</w:t>
            </w:r>
            <w:r>
              <w:rPr>
                <w:rFonts w:ascii="Times New Roman" w:eastAsia="Times New Roman" w:hAnsi="Times New Roman" w:cs="Times New Roman"/>
                <w:sz w:val="16"/>
                <w:szCs w:val="16"/>
                <w:vertAlign w:val="subscript"/>
                <w:lang w:val="en-US"/>
              </w:rPr>
              <w:t>3</w:t>
            </w:r>
            <w:r>
              <w:rPr>
                <w:rFonts w:ascii="Times New Roman" w:eastAsia="Times New Roman" w:hAnsi="Times New Roman" w:cs="Times New Roman"/>
                <w:sz w:val="16"/>
                <w:szCs w:val="16"/>
                <w:lang w:val="en-US"/>
              </w:rPr>
              <w:t>F</w:t>
            </w:r>
            <w:r>
              <w:rPr>
                <w:rFonts w:ascii="Times New Roman" w:eastAsia="Times New Roman" w:hAnsi="Times New Roman" w:cs="Times New Roman"/>
                <w:sz w:val="16"/>
                <w:szCs w:val="16"/>
                <w:vertAlign w:val="subscript"/>
                <w:lang w:val="en-US"/>
              </w:rPr>
              <w:t>8</w:t>
            </w:r>
            <w:r>
              <w:rPr>
                <w:rFonts w:ascii="Times New Roman" w:eastAsia="Times New Roman" w:hAnsi="Times New Roman" w:cs="Times New Roman"/>
                <w:sz w:val="16"/>
                <w:szCs w:val="16"/>
                <w:lang w:val="en-US"/>
              </w:rPr>
              <w:t xml:space="preserve"> gas or SO tamponade was chosen for </w:t>
            </w:r>
            <w:proofErr w:type="gramStart"/>
            <w:r>
              <w:rPr>
                <w:rFonts w:ascii="Times New Roman" w:eastAsia="Times New Roman" w:hAnsi="Times New Roman" w:cs="Times New Roman"/>
                <w:sz w:val="16"/>
                <w:szCs w:val="16"/>
                <w:lang w:val="en-US"/>
              </w:rPr>
              <w:t>replacing</w:t>
            </w:r>
            <w:proofErr w:type="gramEnd"/>
          </w:p>
          <w:p w14:paraId="24C7EE83"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PFCL in the second operation. </w:t>
            </w:r>
            <w:r>
              <w:rPr>
                <w:rFonts w:ascii="Times New Roman" w:eastAsia="Times New Roman" w:hAnsi="Times New Roman" w:cs="Times New Roman"/>
                <w:sz w:val="16"/>
                <w:szCs w:val="16"/>
                <w:lang w:val="en-US"/>
              </w:rPr>
              <w:lastRenderedPageBreak/>
              <w:t>When PFCL was removed, 101 eyes (82.8%) were replaced by SO and 21 eyes (17.2%) were replaced by gas.</w:t>
            </w:r>
          </w:p>
          <w:p w14:paraId="2515E29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417" w:type="dxa"/>
            <w:tcBorders>
              <w:top w:val="single" w:sz="4" w:space="0" w:color="auto"/>
              <w:left w:val="single" w:sz="4" w:space="0" w:color="auto"/>
              <w:bottom w:val="single" w:sz="4" w:space="0" w:color="auto"/>
              <w:right w:val="single" w:sz="4" w:space="0" w:color="auto"/>
            </w:tcBorders>
            <w:hideMark/>
          </w:tcPr>
          <w:p w14:paraId="53A2B43D" w14:textId="77777777" w:rsidR="003A4529" w:rsidRDefault="003A4529">
            <w:pPr>
              <w:shd w:val="clear" w:color="auto" w:fill="FFFFFF"/>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lastRenderedPageBreak/>
              <w:t xml:space="preserve">Not applicable </w:t>
            </w:r>
          </w:p>
        </w:tc>
        <w:tc>
          <w:tcPr>
            <w:tcW w:w="992" w:type="dxa"/>
            <w:tcBorders>
              <w:top w:val="single" w:sz="4" w:space="0" w:color="auto"/>
              <w:left w:val="single" w:sz="4" w:space="0" w:color="auto"/>
              <w:bottom w:val="single" w:sz="4" w:space="0" w:color="auto"/>
              <w:right w:val="single" w:sz="4" w:space="0" w:color="auto"/>
            </w:tcBorders>
            <w:hideMark/>
          </w:tcPr>
          <w:p w14:paraId="23E96BE4"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27 eyes (22.1%)</w:t>
            </w:r>
          </w:p>
        </w:tc>
        <w:tc>
          <w:tcPr>
            <w:tcW w:w="1276" w:type="dxa"/>
            <w:tcBorders>
              <w:top w:val="single" w:sz="4" w:space="0" w:color="auto"/>
              <w:left w:val="single" w:sz="4" w:space="0" w:color="auto"/>
              <w:bottom w:val="single" w:sz="4" w:space="0" w:color="auto"/>
              <w:right w:val="single" w:sz="4" w:space="0" w:color="auto"/>
            </w:tcBorders>
            <w:hideMark/>
          </w:tcPr>
          <w:p w14:paraId="4CDCDA9A"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Mean = 101.6 (±101.0) weeks</w:t>
            </w:r>
          </w:p>
        </w:tc>
        <w:tc>
          <w:tcPr>
            <w:tcW w:w="992" w:type="dxa"/>
            <w:tcBorders>
              <w:top w:val="single" w:sz="4" w:space="0" w:color="auto"/>
              <w:left w:val="single" w:sz="4" w:space="0" w:color="auto"/>
              <w:bottom w:val="single" w:sz="4" w:space="0" w:color="auto"/>
              <w:right w:val="single" w:sz="4" w:space="0" w:color="auto"/>
            </w:tcBorders>
            <w:hideMark/>
          </w:tcPr>
          <w:p w14:paraId="4FBB1871"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121</w:t>
            </w:r>
          </w:p>
        </w:tc>
        <w:tc>
          <w:tcPr>
            <w:tcW w:w="993" w:type="dxa"/>
            <w:tcBorders>
              <w:top w:val="single" w:sz="4" w:space="0" w:color="auto"/>
              <w:left w:val="single" w:sz="4" w:space="0" w:color="auto"/>
              <w:bottom w:val="single" w:sz="4" w:space="0" w:color="auto"/>
              <w:right w:val="single" w:sz="4" w:space="0" w:color="auto"/>
            </w:tcBorders>
            <w:hideMark/>
          </w:tcPr>
          <w:p w14:paraId="57A5805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122</w:t>
            </w:r>
          </w:p>
        </w:tc>
      </w:tr>
    </w:tbl>
    <w:p w14:paraId="711E2EA7" w14:textId="77777777" w:rsidR="003A4529" w:rsidRDefault="003A4529" w:rsidP="003A4529"/>
    <w:p w14:paraId="2DF0AEA3" w14:textId="77777777" w:rsidR="003A4529" w:rsidRDefault="003A4529" w:rsidP="003A4529">
      <w:pPr>
        <w:rPr>
          <w:rFonts w:ascii="Times New Roman" w:hAnsi="Times New Roman" w:cs="Times New Roman"/>
          <w:sz w:val="20"/>
          <w:szCs w:val="20"/>
        </w:rPr>
      </w:pPr>
      <w:r>
        <w:rPr>
          <w:rFonts w:ascii="Times New Roman" w:hAnsi="Times New Roman" w:cs="Times New Roman"/>
          <w:sz w:val="20"/>
          <w:szCs w:val="20"/>
        </w:rPr>
        <w:t xml:space="preserve">AL, axial length; BCVA, best-corrected visual acuity; </w:t>
      </w:r>
      <w:proofErr w:type="spellStart"/>
      <w:r>
        <w:rPr>
          <w:rFonts w:ascii="Times New Roman" w:hAnsi="Times New Roman" w:cs="Times New Roman"/>
          <w:sz w:val="20"/>
          <w:szCs w:val="20"/>
        </w:rPr>
        <w:t>cTs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centiStokes</w:t>
      </w:r>
      <w:proofErr w:type="spellEnd"/>
      <w:r>
        <w:rPr>
          <w:rFonts w:ascii="Times New Roman" w:hAnsi="Times New Roman" w:cs="Times New Roman"/>
          <w:sz w:val="20"/>
          <w:szCs w:val="20"/>
        </w:rPr>
        <w:t>; C</w:t>
      </w:r>
      <w:r>
        <w:rPr>
          <w:rFonts w:ascii="Times New Roman" w:hAnsi="Times New Roman" w:cs="Times New Roman"/>
          <w:sz w:val="20"/>
          <w:szCs w:val="20"/>
          <w:vertAlign w:val="subscript"/>
        </w:rPr>
        <w:t>2</w:t>
      </w:r>
      <w:r>
        <w:rPr>
          <w:rFonts w:ascii="Times New Roman" w:hAnsi="Times New Roman" w:cs="Times New Roman"/>
          <w:sz w:val="20"/>
          <w:szCs w:val="20"/>
        </w:rPr>
        <w:t>F</w:t>
      </w:r>
      <w:r>
        <w:rPr>
          <w:rFonts w:ascii="Times New Roman" w:hAnsi="Times New Roman" w:cs="Times New Roman"/>
          <w:sz w:val="20"/>
          <w:szCs w:val="20"/>
          <w:vertAlign w:val="subscript"/>
        </w:rPr>
        <w:t>6</w:t>
      </w:r>
      <w:r>
        <w:rPr>
          <w:rFonts w:ascii="Times New Roman" w:hAnsi="Times New Roman" w:cs="Times New Roman"/>
          <w:sz w:val="20"/>
          <w:szCs w:val="20"/>
        </w:rPr>
        <w:t xml:space="preserve">, hexafluoroethane; C3F8, </w:t>
      </w:r>
      <w:proofErr w:type="spellStart"/>
      <w:r>
        <w:rPr>
          <w:rFonts w:ascii="Times New Roman" w:hAnsi="Times New Roman" w:cs="Times New Roman"/>
          <w:sz w:val="20"/>
          <w:szCs w:val="20"/>
        </w:rPr>
        <w:t>perfluoropropane</w:t>
      </w:r>
      <w:proofErr w:type="spellEnd"/>
      <w:r>
        <w:rPr>
          <w:rFonts w:ascii="Times New Roman" w:hAnsi="Times New Roman" w:cs="Times New Roman"/>
          <w:sz w:val="20"/>
          <w:szCs w:val="20"/>
        </w:rPr>
        <w:t>; C</w:t>
      </w:r>
      <w:r>
        <w:rPr>
          <w:rFonts w:ascii="Times New Roman" w:hAnsi="Times New Roman" w:cs="Times New Roman"/>
          <w:sz w:val="20"/>
          <w:szCs w:val="20"/>
          <w:vertAlign w:val="subscript"/>
        </w:rPr>
        <w:t>10</w:t>
      </w:r>
      <w:r>
        <w:rPr>
          <w:rFonts w:ascii="Times New Roman" w:hAnsi="Times New Roman" w:cs="Times New Roman"/>
          <w:sz w:val="20"/>
          <w:szCs w:val="20"/>
        </w:rPr>
        <w:t>F</w:t>
      </w:r>
      <w:r>
        <w:rPr>
          <w:rFonts w:ascii="Times New Roman" w:hAnsi="Times New Roman" w:cs="Times New Roman"/>
          <w:sz w:val="20"/>
          <w:szCs w:val="20"/>
          <w:vertAlign w:val="subscript"/>
        </w:rPr>
        <w:t>18</w:t>
      </w:r>
      <w:r>
        <w:rPr>
          <w:rFonts w:ascii="Times New Roman" w:hAnsi="Times New Roman" w:cs="Times New Roman"/>
          <w:sz w:val="20"/>
          <w:szCs w:val="20"/>
        </w:rPr>
        <w:t xml:space="preserve">, </w:t>
      </w:r>
      <w:proofErr w:type="spellStart"/>
      <w:r>
        <w:rPr>
          <w:rFonts w:ascii="Times New Roman" w:hAnsi="Times New Roman" w:cs="Times New Roman"/>
          <w:sz w:val="20"/>
          <w:szCs w:val="20"/>
        </w:rPr>
        <w:t>perfluorodecalin</w:t>
      </w:r>
      <w:proofErr w:type="spellEnd"/>
      <w:r>
        <w:rPr>
          <w:rFonts w:ascii="Times New Roman" w:hAnsi="Times New Roman" w:cs="Times New Roman"/>
          <w:sz w:val="20"/>
          <w:szCs w:val="20"/>
        </w:rPr>
        <w:t xml:space="preserve"> EVRS; DF, double filling; European vitreoretinal society; ERM; epiretinal membrane; g, gauge; GRT, giant retinal tear; IOL; intraocular lens; MHRD, macular hole retinal detachment; MH, macular hole; MIVS, microincision vitrectomy surgery;</w:t>
      </w:r>
      <w:r>
        <w:rPr>
          <w:rFonts w:ascii="Times New Roman" w:hAnsi="Times New Roman" w:cs="Times New Roman"/>
          <w:sz w:val="16"/>
          <w:szCs w:val="16"/>
          <w:shd w:val="clear" w:color="auto" w:fill="FFFFFF"/>
        </w:rPr>
        <w:t xml:space="preserve"> </w:t>
      </w:r>
      <w:r>
        <w:rPr>
          <w:rFonts w:ascii="Times New Roman" w:hAnsi="Times New Roman" w:cs="Times New Roman"/>
          <w:sz w:val="20"/>
          <w:szCs w:val="20"/>
        </w:rPr>
        <w:t xml:space="preserve">PPL, pars plana lensectomy; PFD, </w:t>
      </w:r>
      <w:proofErr w:type="spellStart"/>
      <w:r>
        <w:rPr>
          <w:rFonts w:ascii="Times New Roman" w:hAnsi="Times New Roman" w:cs="Times New Roman"/>
          <w:sz w:val="20"/>
          <w:szCs w:val="20"/>
        </w:rPr>
        <w:t>perfluorodecalin</w:t>
      </w:r>
      <w:proofErr w:type="spellEnd"/>
      <w:r>
        <w:rPr>
          <w:rFonts w:ascii="Times New Roman" w:hAnsi="Times New Roman" w:cs="Times New Roman"/>
          <w:sz w:val="20"/>
          <w:szCs w:val="20"/>
        </w:rPr>
        <w:t>; PCIOL, posterior chamber intraocular lens; PDR, proliferative diabetic retinopathy; PFCL, perfluorocarbon liquid; PR, pneumatic retinopexy; PPV, pars plana vitrectomy; PVR, proliferative vitreoretinopathy; PFCL, perfluorocarbon liquid; PR, pneumatic retinopexy; PDMS, polydimethylsiloxane; RD, retinal detachment; RRD, rhegmatogenous retinal detachment; SF</w:t>
      </w:r>
      <w:r>
        <w:rPr>
          <w:rFonts w:ascii="Times New Roman" w:hAnsi="Times New Roman" w:cs="Times New Roman"/>
          <w:sz w:val="20"/>
          <w:szCs w:val="20"/>
          <w:vertAlign w:val="subscript"/>
        </w:rPr>
        <w:t>6</w:t>
      </w:r>
      <w:r>
        <w:rPr>
          <w:rFonts w:ascii="Times New Roman" w:hAnsi="Times New Roman" w:cs="Times New Roman"/>
          <w:sz w:val="20"/>
          <w:szCs w:val="20"/>
        </w:rPr>
        <w:t xml:space="preserve">, </w:t>
      </w:r>
      <w:proofErr w:type="spellStart"/>
      <w:r>
        <w:rPr>
          <w:rFonts w:ascii="Times New Roman" w:hAnsi="Times New Roman" w:cs="Times New Roman"/>
          <w:sz w:val="20"/>
          <w:szCs w:val="20"/>
        </w:rPr>
        <w:t>sulfur</w:t>
      </w:r>
      <w:proofErr w:type="spellEnd"/>
      <w:r>
        <w:rPr>
          <w:rFonts w:ascii="Times New Roman" w:hAnsi="Times New Roman" w:cs="Times New Roman"/>
          <w:sz w:val="20"/>
          <w:szCs w:val="20"/>
        </w:rPr>
        <w:t xml:space="preserve"> hexafluoride; SO, silicone oil; SB, scleral buckling; SD, standard deviation; TRD, tractional retinal detachment; VA visual acuity;</w:t>
      </w:r>
      <w:r>
        <w:rPr>
          <w:rFonts w:ascii="Times New Roman" w:hAnsi="Times New Roman"/>
          <w:bCs/>
          <w:sz w:val="20"/>
          <w:szCs w:val="20"/>
        </w:rPr>
        <w:t xml:space="preserve"> VWTPL</w:t>
      </w:r>
      <w:r>
        <w:rPr>
          <w:rFonts w:ascii="Times New Roman" w:hAnsi="Times New Roman" w:cs="Times New Roman"/>
          <w:sz w:val="20"/>
          <w:szCs w:val="20"/>
          <w:shd w:val="clear" w:color="auto" w:fill="FFFFFF"/>
        </w:rPr>
        <w:t>, vitrectomy without the intraoperative use of perfluorocarbon liquids</w:t>
      </w:r>
      <w:r>
        <w:rPr>
          <w:rFonts w:ascii="Times New Roman" w:hAnsi="Times New Roman" w:cs="Times New Roman"/>
          <w:sz w:val="20"/>
          <w:szCs w:val="20"/>
        </w:rPr>
        <w:t xml:space="preserve"> </w:t>
      </w:r>
    </w:p>
    <w:p w14:paraId="679122A3" w14:textId="77777777" w:rsidR="003A4529" w:rsidRDefault="003A4529" w:rsidP="003A4529">
      <w:pPr>
        <w:rPr>
          <w:rFonts w:ascii="Times New Roman" w:hAnsi="Times New Roman" w:cs="Times New Roman"/>
        </w:rPr>
      </w:pPr>
      <w:r>
        <w:rPr>
          <w:rFonts w:ascii="Times New Roman" w:hAnsi="Times New Roman" w:cs="Times New Roman"/>
          <w:b/>
          <w:bCs/>
        </w:rPr>
        <w:t xml:space="preserve">Table S3. </w:t>
      </w:r>
      <w:r>
        <w:rPr>
          <w:rFonts w:ascii="Times New Roman" w:hAnsi="Times New Roman" w:cs="Times New Roman"/>
        </w:rPr>
        <w:t xml:space="preserve">Ages, Pre-operative PVR, Important Definitions, Anatomic Success, Functional Success, Complications, Risk Factors, and Conclusion </w:t>
      </w:r>
    </w:p>
    <w:p w14:paraId="45EAAAA5" w14:textId="77777777" w:rsidR="003A4529" w:rsidRDefault="003A4529" w:rsidP="003A4529">
      <w:pPr>
        <w:rPr>
          <w:rFonts w:ascii="Times New Roman" w:hAnsi="Times New Roman" w:cs="Times New Roman"/>
        </w:rPr>
      </w:pPr>
    </w:p>
    <w:p w14:paraId="56A15734" w14:textId="77777777" w:rsidR="003A4529" w:rsidRDefault="003A4529" w:rsidP="003A4529">
      <w:pPr>
        <w:rPr>
          <w:rFonts w:ascii="Times New Roman" w:hAnsi="Times New Roman" w:cs="Times New Roman"/>
        </w:rPr>
      </w:pPr>
    </w:p>
    <w:tbl>
      <w:tblPr>
        <w:tblStyle w:val="TableGrid1"/>
        <w:tblpPr w:leftFromText="180" w:rightFromText="180" w:vertAnchor="text" w:tblpX="-289" w:tblpY="1"/>
        <w:tblOverlap w:val="never"/>
        <w:tblW w:w="13755" w:type="dxa"/>
        <w:tblInd w:w="0" w:type="dxa"/>
        <w:tblLayout w:type="fixed"/>
        <w:tblLook w:val="04A0" w:firstRow="1" w:lastRow="0" w:firstColumn="1" w:lastColumn="0" w:noHBand="0" w:noVBand="1"/>
      </w:tblPr>
      <w:tblGrid>
        <w:gridCol w:w="1556"/>
        <w:gridCol w:w="856"/>
        <w:gridCol w:w="1134"/>
        <w:gridCol w:w="1599"/>
        <w:gridCol w:w="1981"/>
        <w:gridCol w:w="1620"/>
        <w:gridCol w:w="1350"/>
        <w:gridCol w:w="1815"/>
        <w:gridCol w:w="1844"/>
      </w:tblGrid>
      <w:tr w:rsidR="003A4529" w14:paraId="40E13642"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069B48E0" w14:textId="77777777" w:rsidR="003A4529" w:rsidRDefault="003A4529">
            <w:pPr>
              <w:spacing w:line="276" w:lineRule="auto"/>
              <w:rPr>
                <w:rFonts w:ascii="Times New Roman" w:hAnsi="Times New Roman" w:cs="Times New Roman"/>
                <w:b/>
                <w:bCs/>
                <w:kern w:val="0"/>
                <w:sz w:val="16"/>
                <w:szCs w:val="16"/>
                <w:lang w:val="en-US"/>
                <w14:ligatures w14:val="none"/>
              </w:rPr>
            </w:pPr>
            <w:r>
              <w:rPr>
                <w:rFonts w:ascii="Times New Roman" w:hAnsi="Times New Roman" w:cs="Times New Roman"/>
                <w:b/>
                <w:bCs/>
                <w:kern w:val="0"/>
                <w:sz w:val="16"/>
                <w:szCs w:val="16"/>
                <w:lang w:val="en-US"/>
                <w14:ligatures w14:val="none"/>
              </w:rPr>
              <w:t xml:space="preserve">References </w:t>
            </w:r>
          </w:p>
        </w:tc>
        <w:tc>
          <w:tcPr>
            <w:tcW w:w="856" w:type="dxa"/>
            <w:tcBorders>
              <w:top w:val="single" w:sz="4" w:space="0" w:color="auto"/>
              <w:left w:val="single" w:sz="4" w:space="0" w:color="auto"/>
              <w:bottom w:val="single" w:sz="4" w:space="0" w:color="auto"/>
              <w:right w:val="single" w:sz="4" w:space="0" w:color="auto"/>
            </w:tcBorders>
            <w:hideMark/>
          </w:tcPr>
          <w:p w14:paraId="0E476AD5" w14:textId="77777777" w:rsidR="003A4529" w:rsidRDefault="003A4529">
            <w:pPr>
              <w:spacing w:line="276" w:lineRule="auto"/>
              <w:rPr>
                <w:rFonts w:ascii="Times New Roman" w:hAnsi="Times New Roman" w:cs="Times New Roman"/>
                <w:b/>
                <w:bCs/>
                <w:sz w:val="16"/>
                <w:szCs w:val="16"/>
                <w:lang w:val="en-US"/>
              </w:rPr>
            </w:pPr>
            <w:r>
              <w:rPr>
                <w:rFonts w:ascii="Times New Roman" w:hAnsi="Times New Roman" w:cs="Times New Roman"/>
                <w:b/>
                <w:bCs/>
                <w:sz w:val="16"/>
                <w:szCs w:val="16"/>
                <w:shd w:val="clear" w:color="auto" w:fill="FFFFFF"/>
                <w:lang w:val="en-US"/>
              </w:rPr>
              <w:t>Mean Age ± SD, Years (Range)</w:t>
            </w:r>
          </w:p>
        </w:tc>
        <w:tc>
          <w:tcPr>
            <w:tcW w:w="1134" w:type="dxa"/>
            <w:tcBorders>
              <w:top w:val="single" w:sz="4" w:space="0" w:color="auto"/>
              <w:left w:val="single" w:sz="4" w:space="0" w:color="auto"/>
              <w:bottom w:val="single" w:sz="4" w:space="0" w:color="auto"/>
              <w:right w:val="single" w:sz="4" w:space="0" w:color="auto"/>
            </w:tcBorders>
            <w:hideMark/>
          </w:tcPr>
          <w:p w14:paraId="64DA1C5B" w14:textId="77777777" w:rsidR="003A4529" w:rsidRDefault="003A4529">
            <w:pPr>
              <w:spacing w:line="276" w:lineRule="auto"/>
              <w:rPr>
                <w:rFonts w:ascii="Times New Roman" w:hAnsi="Times New Roman" w:cs="Times New Roman"/>
                <w:b/>
                <w:bCs/>
                <w:sz w:val="16"/>
                <w:szCs w:val="16"/>
                <w:lang w:val="en-US"/>
              </w:rPr>
            </w:pPr>
            <w:r>
              <w:rPr>
                <w:rFonts w:ascii="Times New Roman" w:hAnsi="Times New Roman" w:cs="Times New Roman"/>
                <w:b/>
                <w:bCs/>
                <w:sz w:val="16"/>
                <w:szCs w:val="16"/>
                <w:lang w:val="en-US"/>
              </w:rPr>
              <w:t xml:space="preserve">Preoperative PVR </w:t>
            </w:r>
          </w:p>
        </w:tc>
        <w:tc>
          <w:tcPr>
            <w:tcW w:w="1599" w:type="dxa"/>
            <w:tcBorders>
              <w:top w:val="single" w:sz="4" w:space="0" w:color="auto"/>
              <w:left w:val="single" w:sz="4" w:space="0" w:color="auto"/>
              <w:bottom w:val="single" w:sz="4" w:space="0" w:color="auto"/>
              <w:right w:val="single" w:sz="4" w:space="0" w:color="auto"/>
            </w:tcBorders>
            <w:hideMark/>
          </w:tcPr>
          <w:p w14:paraId="1E7ECAFE" w14:textId="77777777" w:rsidR="003A4529" w:rsidRDefault="003A4529">
            <w:pPr>
              <w:spacing w:line="276" w:lineRule="auto"/>
              <w:rPr>
                <w:rFonts w:ascii="Times New Roman" w:hAnsi="Times New Roman" w:cs="Times New Roman"/>
                <w:b/>
                <w:bCs/>
                <w:sz w:val="16"/>
                <w:szCs w:val="16"/>
                <w:lang w:val="en-US"/>
              </w:rPr>
            </w:pPr>
            <w:r>
              <w:rPr>
                <w:rFonts w:ascii="Times New Roman" w:hAnsi="Times New Roman" w:cs="Times New Roman"/>
                <w:b/>
                <w:bCs/>
                <w:sz w:val="16"/>
                <w:szCs w:val="16"/>
                <w:lang w:val="en-US"/>
              </w:rPr>
              <w:t xml:space="preserve">Important definitions </w:t>
            </w:r>
          </w:p>
        </w:tc>
        <w:tc>
          <w:tcPr>
            <w:tcW w:w="1980" w:type="dxa"/>
            <w:tcBorders>
              <w:top w:val="single" w:sz="4" w:space="0" w:color="auto"/>
              <w:left w:val="single" w:sz="4" w:space="0" w:color="auto"/>
              <w:bottom w:val="single" w:sz="4" w:space="0" w:color="auto"/>
              <w:right w:val="single" w:sz="4" w:space="0" w:color="auto"/>
            </w:tcBorders>
            <w:hideMark/>
          </w:tcPr>
          <w:p w14:paraId="013E3663" w14:textId="77777777" w:rsidR="003A4529" w:rsidRDefault="003A4529">
            <w:pPr>
              <w:spacing w:line="276" w:lineRule="auto"/>
              <w:rPr>
                <w:rFonts w:ascii="Times New Roman" w:hAnsi="Times New Roman" w:cs="Times New Roman"/>
                <w:b/>
                <w:bCs/>
                <w:sz w:val="16"/>
                <w:szCs w:val="16"/>
                <w:lang w:val="en-US"/>
              </w:rPr>
            </w:pPr>
            <w:r>
              <w:rPr>
                <w:rFonts w:ascii="Times New Roman" w:hAnsi="Times New Roman" w:cs="Times New Roman"/>
                <w:b/>
                <w:bCs/>
                <w:sz w:val="16"/>
                <w:szCs w:val="16"/>
                <w:lang w:val="en-US"/>
              </w:rPr>
              <w:t xml:space="preserve">Anatomic success </w:t>
            </w:r>
          </w:p>
        </w:tc>
        <w:tc>
          <w:tcPr>
            <w:tcW w:w="1620" w:type="dxa"/>
            <w:tcBorders>
              <w:top w:val="single" w:sz="4" w:space="0" w:color="auto"/>
              <w:left w:val="single" w:sz="4" w:space="0" w:color="auto"/>
              <w:bottom w:val="single" w:sz="4" w:space="0" w:color="auto"/>
              <w:right w:val="single" w:sz="4" w:space="0" w:color="auto"/>
            </w:tcBorders>
            <w:hideMark/>
          </w:tcPr>
          <w:p w14:paraId="4AB92BB6" w14:textId="77777777" w:rsidR="003A4529" w:rsidRDefault="003A4529">
            <w:pPr>
              <w:spacing w:line="276" w:lineRule="auto"/>
              <w:rPr>
                <w:rFonts w:ascii="Times New Roman" w:hAnsi="Times New Roman" w:cs="Times New Roman"/>
                <w:b/>
                <w:bCs/>
                <w:sz w:val="16"/>
                <w:szCs w:val="16"/>
                <w:lang w:val="en-US"/>
              </w:rPr>
            </w:pPr>
            <w:r>
              <w:rPr>
                <w:rFonts w:ascii="Times New Roman" w:hAnsi="Times New Roman" w:cs="Times New Roman"/>
                <w:b/>
                <w:bCs/>
                <w:sz w:val="16"/>
                <w:szCs w:val="16"/>
                <w:lang w:val="en-US"/>
              </w:rPr>
              <w:t xml:space="preserve">Functional success </w:t>
            </w:r>
          </w:p>
        </w:tc>
        <w:tc>
          <w:tcPr>
            <w:tcW w:w="1350" w:type="dxa"/>
            <w:tcBorders>
              <w:top w:val="single" w:sz="4" w:space="0" w:color="auto"/>
              <w:left w:val="single" w:sz="4" w:space="0" w:color="auto"/>
              <w:bottom w:val="single" w:sz="4" w:space="0" w:color="auto"/>
              <w:right w:val="single" w:sz="4" w:space="0" w:color="auto"/>
            </w:tcBorders>
            <w:hideMark/>
          </w:tcPr>
          <w:p w14:paraId="3CCEC45A" w14:textId="77777777" w:rsidR="003A4529" w:rsidRDefault="003A4529">
            <w:pPr>
              <w:spacing w:line="276" w:lineRule="auto"/>
              <w:rPr>
                <w:rFonts w:ascii="Times New Roman" w:hAnsi="Times New Roman" w:cs="Times New Roman"/>
                <w:b/>
                <w:bCs/>
                <w:sz w:val="16"/>
                <w:szCs w:val="16"/>
                <w:lang w:val="en-US"/>
              </w:rPr>
            </w:pPr>
            <w:r>
              <w:rPr>
                <w:rFonts w:ascii="Times New Roman" w:hAnsi="Times New Roman" w:cs="Times New Roman"/>
                <w:b/>
                <w:bCs/>
                <w:sz w:val="16"/>
                <w:szCs w:val="16"/>
                <w:lang w:val="en-US"/>
              </w:rPr>
              <w:t xml:space="preserve">Complications </w:t>
            </w:r>
          </w:p>
        </w:tc>
        <w:tc>
          <w:tcPr>
            <w:tcW w:w="1814" w:type="dxa"/>
            <w:tcBorders>
              <w:top w:val="single" w:sz="4" w:space="0" w:color="auto"/>
              <w:left w:val="single" w:sz="4" w:space="0" w:color="auto"/>
              <w:bottom w:val="single" w:sz="4" w:space="0" w:color="auto"/>
              <w:right w:val="single" w:sz="4" w:space="0" w:color="auto"/>
            </w:tcBorders>
            <w:hideMark/>
          </w:tcPr>
          <w:p w14:paraId="634F90D4" w14:textId="77777777" w:rsidR="003A4529" w:rsidRDefault="003A4529">
            <w:pPr>
              <w:spacing w:line="276" w:lineRule="auto"/>
              <w:rPr>
                <w:rFonts w:ascii="Times New Roman" w:hAnsi="Times New Roman" w:cs="Times New Roman"/>
                <w:b/>
                <w:bCs/>
                <w:sz w:val="16"/>
                <w:szCs w:val="16"/>
                <w:lang w:val="en-US"/>
              </w:rPr>
            </w:pPr>
            <w:r>
              <w:rPr>
                <w:rFonts w:ascii="Times New Roman" w:hAnsi="Times New Roman" w:cs="Times New Roman"/>
                <w:b/>
                <w:bCs/>
                <w:sz w:val="16"/>
                <w:szCs w:val="16"/>
                <w:lang w:val="en-US"/>
              </w:rPr>
              <w:t>Risk factors</w:t>
            </w:r>
          </w:p>
        </w:tc>
        <w:tc>
          <w:tcPr>
            <w:tcW w:w="1843" w:type="dxa"/>
            <w:tcBorders>
              <w:top w:val="single" w:sz="4" w:space="0" w:color="auto"/>
              <w:left w:val="single" w:sz="4" w:space="0" w:color="auto"/>
              <w:bottom w:val="single" w:sz="4" w:space="0" w:color="auto"/>
              <w:right w:val="single" w:sz="4" w:space="0" w:color="auto"/>
            </w:tcBorders>
            <w:hideMark/>
          </w:tcPr>
          <w:p w14:paraId="7E73F093" w14:textId="77777777" w:rsidR="003A4529" w:rsidRDefault="003A4529">
            <w:pPr>
              <w:spacing w:line="276" w:lineRule="auto"/>
              <w:rPr>
                <w:rFonts w:ascii="Times New Roman" w:hAnsi="Times New Roman" w:cs="Times New Roman"/>
                <w:b/>
                <w:bCs/>
                <w:sz w:val="16"/>
                <w:szCs w:val="16"/>
                <w:lang w:val="en-US"/>
              </w:rPr>
            </w:pPr>
            <w:r>
              <w:rPr>
                <w:rFonts w:ascii="Times New Roman" w:hAnsi="Times New Roman" w:cs="Times New Roman"/>
                <w:b/>
                <w:bCs/>
                <w:sz w:val="16"/>
                <w:szCs w:val="16"/>
                <w:lang w:val="en-US"/>
              </w:rPr>
              <w:t xml:space="preserve">Conclusion </w:t>
            </w:r>
          </w:p>
        </w:tc>
      </w:tr>
      <w:tr w:rsidR="003A4529" w14:paraId="4A9D04B6"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1AEB4963"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Sung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2020   </w:t>
            </w:r>
            <w:sdt>
              <w:sdtPr>
                <w:rPr>
                  <w:rFonts w:ascii="Times New Roman" w:hAnsi="Times New Roman" w:cs="Times New Roman"/>
                  <w:sz w:val="16"/>
                  <w:szCs w:val="16"/>
                  <w:lang w:val="en-US"/>
                </w:rPr>
                <w:tag w:val="MENDELEY_CITATION_v3_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"/>
                <w:id w:val="964009841"/>
                <w:placeholder>
                  <w:docPart w:val="30E386FECA95497DB572A0903583C5E9"/>
                </w:placeholder>
              </w:sdtPr>
              <w:sdtContent>
                <w:r>
                  <w:rPr>
                    <w:rFonts w:ascii="Times New Roman" w:hAnsi="Times New Roman" w:cs="Times New Roman"/>
                    <w:sz w:val="16"/>
                    <w:szCs w:val="16"/>
                    <w:lang w:val="en-US"/>
                  </w:rPr>
                  <w:t>[36]</w:t>
                </w:r>
              </w:sdtContent>
            </w:sdt>
          </w:p>
        </w:tc>
        <w:tc>
          <w:tcPr>
            <w:tcW w:w="856" w:type="dxa"/>
            <w:tcBorders>
              <w:top w:val="single" w:sz="4" w:space="0" w:color="auto"/>
              <w:left w:val="single" w:sz="4" w:space="0" w:color="auto"/>
              <w:bottom w:val="single" w:sz="4" w:space="0" w:color="auto"/>
              <w:right w:val="single" w:sz="4" w:space="0" w:color="auto"/>
            </w:tcBorders>
            <w:hideMark/>
          </w:tcPr>
          <w:p w14:paraId="4F6B1269"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Mean = 51.73 years</w:t>
            </w:r>
          </w:p>
        </w:tc>
        <w:tc>
          <w:tcPr>
            <w:tcW w:w="1134" w:type="dxa"/>
            <w:tcBorders>
              <w:top w:val="single" w:sz="4" w:space="0" w:color="auto"/>
              <w:left w:val="single" w:sz="4" w:space="0" w:color="auto"/>
              <w:bottom w:val="single" w:sz="4" w:space="0" w:color="auto"/>
              <w:right w:val="single" w:sz="4" w:space="0" w:color="auto"/>
            </w:tcBorders>
          </w:tcPr>
          <w:p w14:paraId="59AE2FDE"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16 (36.4%) eyes in the total RRD group, and 6 (6.8%) eyes in the partial RRD group. </w:t>
            </w:r>
          </w:p>
          <w:p w14:paraId="0A6F3CCE" w14:textId="77777777" w:rsidR="003A4529" w:rsidRDefault="003A4529">
            <w:pPr>
              <w:spacing w:line="276" w:lineRule="auto"/>
              <w:rPr>
                <w:rFonts w:ascii="Times New Roman" w:hAnsi="Times New Roman" w:cs="Times New Roman"/>
                <w:sz w:val="16"/>
                <w:szCs w:val="16"/>
                <w:shd w:val="clear" w:color="auto" w:fill="FFFFFF"/>
                <w:lang w:val="en-US"/>
              </w:rPr>
            </w:pPr>
          </w:p>
          <w:p w14:paraId="687C668D"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16.7% of the total 132 eyes were presented with PVR. </w:t>
            </w:r>
          </w:p>
        </w:tc>
        <w:tc>
          <w:tcPr>
            <w:tcW w:w="1599" w:type="dxa"/>
            <w:tcBorders>
              <w:top w:val="single" w:sz="4" w:space="0" w:color="auto"/>
              <w:left w:val="single" w:sz="4" w:space="0" w:color="auto"/>
              <w:bottom w:val="single" w:sz="4" w:space="0" w:color="auto"/>
              <w:right w:val="single" w:sz="4" w:space="0" w:color="auto"/>
            </w:tcBorders>
            <w:hideMark/>
          </w:tcPr>
          <w:p w14:paraId="07772683"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This study classified the detachment of the retina across all four quadrants as total RRD. The control group was defined as having less detachment, which was termed partial RRD. The PAS of the treatment was considered as the reattachment of the retina after one operation, which persisted for at least </w:t>
            </w:r>
            <w:r>
              <w:rPr>
                <w:rFonts w:ascii="Times New Roman" w:hAnsi="Times New Roman" w:cs="Times New Roman"/>
                <w:sz w:val="16"/>
                <w:szCs w:val="16"/>
                <w:lang w:val="en-US"/>
              </w:rPr>
              <w:lastRenderedPageBreak/>
              <w:t>six months. Treatment failure referred to the retinal detachment recurred in any area.</w:t>
            </w:r>
          </w:p>
        </w:tc>
        <w:tc>
          <w:tcPr>
            <w:tcW w:w="1980" w:type="dxa"/>
            <w:tcBorders>
              <w:top w:val="single" w:sz="4" w:space="0" w:color="auto"/>
              <w:left w:val="single" w:sz="4" w:space="0" w:color="auto"/>
              <w:bottom w:val="single" w:sz="4" w:space="0" w:color="auto"/>
              <w:right w:val="single" w:sz="4" w:space="0" w:color="auto"/>
            </w:tcBorders>
            <w:hideMark/>
          </w:tcPr>
          <w:p w14:paraId="010D29AA"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shd w:val="clear" w:color="auto" w:fill="FFFFFF"/>
                <w:lang w:val="en-US"/>
              </w:rPr>
              <w:lastRenderedPageBreak/>
              <w:t xml:space="preserve">The PAS rate was 96.6% in the partial RRD group, which was significantly higher than that of total RRD group (75%) In the total RRD group which achieved retinal reattachment, 84.8% underwent PPV only, while remaining 15.2% had underwent combined PPV and SB. In the total RRD group, 11 out of 44 eyes failed to achieve attachment, and nine underwent a second </w:t>
            </w:r>
            <w:r>
              <w:rPr>
                <w:rFonts w:ascii="Times New Roman" w:hAnsi="Times New Roman" w:cs="Times New Roman"/>
                <w:sz w:val="16"/>
                <w:szCs w:val="16"/>
                <w:shd w:val="clear" w:color="auto" w:fill="FFFFFF"/>
                <w:lang w:val="en-US"/>
              </w:rPr>
              <w:lastRenderedPageBreak/>
              <w:t>surgery, retinal reattachment after second surgery was achieved in six eyes, the FAS rate was 88.63%. In the partial RRD group, three out of 88 eyes had recurrent detachment, and all underwent a second surgery. All patients achieved reattachment after reoperation.</w:t>
            </w:r>
          </w:p>
        </w:tc>
        <w:tc>
          <w:tcPr>
            <w:tcW w:w="1620" w:type="dxa"/>
            <w:tcBorders>
              <w:top w:val="single" w:sz="4" w:space="0" w:color="auto"/>
              <w:left w:val="single" w:sz="4" w:space="0" w:color="auto"/>
              <w:bottom w:val="single" w:sz="4" w:space="0" w:color="auto"/>
              <w:right w:val="single" w:sz="4" w:space="0" w:color="auto"/>
            </w:tcBorders>
            <w:hideMark/>
          </w:tcPr>
          <w:p w14:paraId="71040977"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lastRenderedPageBreak/>
              <w:t xml:space="preserve">For the total RRD, the BCVA in </w:t>
            </w:r>
            <w:proofErr w:type="spellStart"/>
            <w:r>
              <w:rPr>
                <w:rFonts w:ascii="Times New Roman" w:hAnsi="Times New Roman" w:cs="Times New Roman"/>
                <w:sz w:val="16"/>
                <w:szCs w:val="16"/>
                <w:lang w:val="en-US"/>
              </w:rPr>
              <w:t>logMAR</w:t>
            </w:r>
            <w:proofErr w:type="spellEnd"/>
            <w:r>
              <w:rPr>
                <w:rFonts w:ascii="Times New Roman" w:hAnsi="Times New Roman" w:cs="Times New Roman"/>
                <w:sz w:val="16"/>
                <w:szCs w:val="16"/>
                <w:lang w:val="en-US"/>
              </w:rPr>
              <w:t xml:space="preserve"> before surgery and final BCVA after surgery were 2.23 ± 0.45 and 1.88 ± 0.96. A better result was shown in the partial RRD group, in which the BCVA in </w:t>
            </w:r>
            <w:proofErr w:type="spellStart"/>
            <w:r>
              <w:rPr>
                <w:rFonts w:ascii="Times New Roman" w:hAnsi="Times New Roman" w:cs="Times New Roman"/>
                <w:sz w:val="16"/>
                <w:szCs w:val="16"/>
                <w:lang w:val="en-US"/>
              </w:rPr>
              <w:t>logMAR</w:t>
            </w:r>
            <w:proofErr w:type="spellEnd"/>
            <w:r>
              <w:rPr>
                <w:rFonts w:ascii="Times New Roman" w:hAnsi="Times New Roman" w:cs="Times New Roman"/>
                <w:sz w:val="16"/>
                <w:szCs w:val="16"/>
                <w:lang w:val="en-US"/>
              </w:rPr>
              <w:t xml:space="preserve"> before surgery and final BCVA after surgery were 0.82 ± 0.83 and 0.35 ± 0.52.</w:t>
            </w:r>
          </w:p>
        </w:tc>
        <w:tc>
          <w:tcPr>
            <w:tcW w:w="1350" w:type="dxa"/>
            <w:tcBorders>
              <w:top w:val="single" w:sz="4" w:space="0" w:color="auto"/>
              <w:left w:val="single" w:sz="4" w:space="0" w:color="auto"/>
              <w:bottom w:val="single" w:sz="4" w:space="0" w:color="auto"/>
              <w:right w:val="single" w:sz="4" w:space="0" w:color="auto"/>
            </w:tcBorders>
            <w:hideMark/>
          </w:tcPr>
          <w:p w14:paraId="42EC089A"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In the total RRD group, among the 11 eyes which failed to achieve attachment, new retinal breaks were found in four eyes (3.0%), PVR in one (0.8%), new MHs in two (1.5%), and reopening of prior MHs in two eyes (1.5%).</w:t>
            </w:r>
          </w:p>
        </w:tc>
        <w:tc>
          <w:tcPr>
            <w:tcW w:w="1814" w:type="dxa"/>
            <w:tcBorders>
              <w:top w:val="single" w:sz="4" w:space="0" w:color="auto"/>
              <w:left w:val="single" w:sz="4" w:space="0" w:color="auto"/>
              <w:bottom w:val="single" w:sz="4" w:space="0" w:color="auto"/>
              <w:right w:val="single" w:sz="4" w:space="0" w:color="auto"/>
            </w:tcBorders>
            <w:hideMark/>
          </w:tcPr>
          <w:p w14:paraId="7412D063"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Old age, pseudophakic eye, and macular hole as the type of retinal break were highly associated with low success rate.</w:t>
            </w:r>
          </w:p>
        </w:tc>
        <w:tc>
          <w:tcPr>
            <w:tcW w:w="1843" w:type="dxa"/>
            <w:tcBorders>
              <w:top w:val="single" w:sz="4" w:space="0" w:color="auto"/>
              <w:left w:val="single" w:sz="4" w:space="0" w:color="auto"/>
              <w:bottom w:val="single" w:sz="4" w:space="0" w:color="auto"/>
              <w:right w:val="single" w:sz="4" w:space="0" w:color="auto"/>
            </w:tcBorders>
            <w:hideMark/>
          </w:tcPr>
          <w:p w14:paraId="10D15B02"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shd w:val="clear" w:color="auto" w:fill="FFFFFF"/>
                <w:lang w:val="en-US"/>
              </w:rPr>
              <w:t xml:space="preserve">Additional surgical procedures should be considered to combine with vitrectomy to achieve better surgical outcome in total RRD patients. </w:t>
            </w:r>
          </w:p>
        </w:tc>
      </w:tr>
      <w:tr w:rsidR="003A4529" w14:paraId="67647621"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04CAA1AC"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Li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2021 </w:t>
            </w:r>
            <w:sdt>
              <w:sdtPr>
                <w:rPr>
                  <w:rFonts w:ascii="Times New Roman" w:hAnsi="Times New Roman" w:cs="Times New Roman"/>
                  <w:sz w:val="16"/>
                  <w:szCs w:val="16"/>
                  <w:lang w:val="en-US"/>
                </w:rPr>
                <w:tag w:val="MENDELEY_CITATION_v3_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"/>
                <w:id w:val="1822771915"/>
                <w:placeholder>
                  <w:docPart w:val="30E386FECA95497DB572A0903583C5E9"/>
                </w:placeholder>
              </w:sdtPr>
              <w:sdtContent>
                <w:r>
                  <w:rPr>
                    <w:rFonts w:ascii="Times New Roman" w:hAnsi="Times New Roman" w:cs="Times New Roman"/>
                    <w:sz w:val="16"/>
                    <w:szCs w:val="16"/>
                    <w:lang w:val="en-US"/>
                  </w:rPr>
                  <w:t>[10]</w:t>
                </w:r>
              </w:sdtContent>
            </w:sdt>
          </w:p>
        </w:tc>
        <w:tc>
          <w:tcPr>
            <w:tcW w:w="856" w:type="dxa"/>
            <w:tcBorders>
              <w:top w:val="single" w:sz="4" w:space="0" w:color="auto"/>
              <w:left w:val="single" w:sz="4" w:space="0" w:color="auto"/>
              <w:bottom w:val="single" w:sz="4" w:space="0" w:color="auto"/>
              <w:right w:val="single" w:sz="4" w:space="0" w:color="auto"/>
            </w:tcBorders>
            <w:hideMark/>
          </w:tcPr>
          <w:p w14:paraId="6CA8F802"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Median = 46 (Range = four-72) years</w:t>
            </w:r>
          </w:p>
        </w:tc>
        <w:tc>
          <w:tcPr>
            <w:tcW w:w="1134" w:type="dxa"/>
            <w:tcBorders>
              <w:top w:val="single" w:sz="4" w:space="0" w:color="auto"/>
              <w:left w:val="single" w:sz="4" w:space="0" w:color="auto"/>
              <w:bottom w:val="single" w:sz="4" w:space="0" w:color="auto"/>
              <w:right w:val="single" w:sz="4" w:space="0" w:color="auto"/>
            </w:tcBorders>
            <w:hideMark/>
          </w:tcPr>
          <w:p w14:paraId="293F4B3B"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Grade C PVR were found in seven (14.6%) eyes</w:t>
            </w:r>
          </w:p>
        </w:tc>
        <w:tc>
          <w:tcPr>
            <w:tcW w:w="1599" w:type="dxa"/>
            <w:tcBorders>
              <w:top w:val="single" w:sz="4" w:space="0" w:color="auto"/>
              <w:left w:val="single" w:sz="4" w:space="0" w:color="auto"/>
              <w:bottom w:val="single" w:sz="4" w:space="0" w:color="auto"/>
              <w:right w:val="single" w:sz="4" w:space="0" w:color="auto"/>
            </w:tcBorders>
            <w:hideMark/>
          </w:tcPr>
          <w:p w14:paraId="7C35DC7D"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Anatomic success was measured by SSAS or occurrence of a single operation retinal reattachment, and FAS or occurrence of final retinal reattachment regardless of the number of surgeries. Functional success was represented by a change in VA from baseline to the most recent follow-up.</w:t>
            </w:r>
          </w:p>
        </w:tc>
        <w:tc>
          <w:tcPr>
            <w:tcW w:w="1980" w:type="dxa"/>
            <w:tcBorders>
              <w:top w:val="single" w:sz="4" w:space="0" w:color="auto"/>
              <w:left w:val="single" w:sz="4" w:space="0" w:color="auto"/>
              <w:bottom w:val="single" w:sz="4" w:space="0" w:color="auto"/>
              <w:right w:val="single" w:sz="4" w:space="0" w:color="auto"/>
            </w:tcBorders>
            <w:hideMark/>
          </w:tcPr>
          <w:p w14:paraId="3958A13F"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SSAS rate was 75% at three months and 65% at two years. FAS was achieved at final follow-up in all 48 eyes (100%).</w:t>
            </w:r>
          </w:p>
        </w:tc>
        <w:tc>
          <w:tcPr>
            <w:tcW w:w="1620" w:type="dxa"/>
            <w:tcBorders>
              <w:top w:val="single" w:sz="4" w:space="0" w:color="auto"/>
              <w:left w:val="single" w:sz="4" w:space="0" w:color="auto"/>
              <w:bottom w:val="single" w:sz="4" w:space="0" w:color="auto"/>
              <w:right w:val="single" w:sz="4" w:space="0" w:color="auto"/>
            </w:tcBorders>
            <w:hideMark/>
          </w:tcPr>
          <w:p w14:paraId="182EAEDA"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Median visual acuity improved from 20/250 preoperatively to 20/60 at final follow-up, with 20 (44%) eyes of eyes achieving postoperative VA of 20/40 or better. </w:t>
            </w:r>
          </w:p>
        </w:tc>
        <w:tc>
          <w:tcPr>
            <w:tcW w:w="1350" w:type="dxa"/>
            <w:tcBorders>
              <w:top w:val="single" w:sz="4" w:space="0" w:color="auto"/>
              <w:left w:val="single" w:sz="4" w:space="0" w:color="auto"/>
              <w:bottom w:val="single" w:sz="4" w:space="0" w:color="auto"/>
              <w:right w:val="single" w:sz="4" w:space="0" w:color="auto"/>
            </w:tcBorders>
            <w:hideMark/>
          </w:tcPr>
          <w:p w14:paraId="51F6A72D"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Among the 16 eyes (33.3%) with recurrent detachments, 10 eyes (20.8% of the total 48 eyes) were presented with PVR. </w:t>
            </w:r>
          </w:p>
        </w:tc>
        <w:tc>
          <w:tcPr>
            <w:tcW w:w="1814" w:type="dxa"/>
            <w:tcBorders>
              <w:top w:val="single" w:sz="4" w:space="0" w:color="auto"/>
              <w:left w:val="single" w:sz="4" w:space="0" w:color="auto"/>
              <w:bottom w:val="single" w:sz="4" w:space="0" w:color="auto"/>
              <w:right w:val="single" w:sz="4" w:space="0" w:color="auto"/>
            </w:tcBorders>
            <w:hideMark/>
          </w:tcPr>
          <w:p w14:paraId="7E785C36"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shd w:val="clear" w:color="auto" w:fill="FFFFFF"/>
                <w:lang w:val="en-US"/>
              </w:rPr>
              <w:t>Risk factors for the development of GRT: history of trauma, high myopia, Marfan syndrome, inherited vitreoretinopathies, Stickler syndrome, prior RD in other eyes.</w:t>
            </w:r>
          </w:p>
        </w:tc>
        <w:tc>
          <w:tcPr>
            <w:tcW w:w="1843" w:type="dxa"/>
            <w:tcBorders>
              <w:top w:val="single" w:sz="4" w:space="0" w:color="auto"/>
              <w:left w:val="single" w:sz="4" w:space="0" w:color="auto"/>
              <w:bottom w:val="single" w:sz="4" w:space="0" w:color="auto"/>
              <w:right w:val="single" w:sz="4" w:space="0" w:color="auto"/>
            </w:tcBorders>
            <w:hideMark/>
          </w:tcPr>
          <w:p w14:paraId="6A766EEA"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Contemporary repair of some of the most complicated GRTs,</w:t>
            </w:r>
          </w:p>
          <w:p w14:paraId="5C89E50B"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including those associated with trauma, PVR, and children,</w:t>
            </w:r>
          </w:p>
          <w:p w14:paraId="3124AF43"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leads to high rates of anatomic and functional success</w:t>
            </w:r>
          </w:p>
        </w:tc>
      </w:tr>
      <w:tr w:rsidR="003A4529" w14:paraId="5405CCCC"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1414B332" w14:textId="77777777" w:rsidR="003A4529" w:rsidRDefault="003A4529">
            <w:pPr>
              <w:spacing w:line="276" w:lineRule="auto"/>
              <w:rPr>
                <w:rFonts w:ascii="Times New Roman" w:hAnsi="Times New Roman" w:cs="Times New Roman"/>
                <w:sz w:val="16"/>
                <w:szCs w:val="16"/>
                <w:lang w:val="en-US"/>
              </w:rPr>
            </w:pPr>
            <w:proofErr w:type="spellStart"/>
            <w:r>
              <w:rPr>
                <w:rFonts w:ascii="Times New Roman" w:eastAsia="Times New Roman" w:hAnsi="Times New Roman" w:cs="Times New Roman"/>
                <w:sz w:val="16"/>
                <w:szCs w:val="16"/>
                <w:lang w:val="en-US"/>
              </w:rPr>
              <w:t>Oderinlo</w:t>
            </w:r>
            <w:proofErr w:type="spellEnd"/>
            <w:r>
              <w:rPr>
                <w:rFonts w:ascii="Times New Roman" w:eastAsia="Times New Roman" w:hAnsi="Times New Roman" w:cs="Times New Roman"/>
                <w:sz w:val="16"/>
                <w:szCs w:val="16"/>
                <w:lang w:val="en-US"/>
              </w:rPr>
              <w:t xml:space="preserve"> </w:t>
            </w:r>
            <w:r>
              <w:rPr>
                <w:rFonts w:ascii="Times New Roman" w:eastAsia="Times New Roman" w:hAnsi="Times New Roman" w:cs="Times New Roman"/>
                <w:i/>
                <w:iCs/>
                <w:sz w:val="16"/>
                <w:szCs w:val="16"/>
                <w:lang w:val="en-US"/>
              </w:rPr>
              <w:t>et al</w:t>
            </w:r>
            <w:r>
              <w:rPr>
                <w:rFonts w:ascii="Times New Roman" w:eastAsia="Times New Roman" w:hAnsi="Times New Roman" w:cs="Times New Roman"/>
                <w:sz w:val="16"/>
                <w:szCs w:val="16"/>
                <w:lang w:val="en-US"/>
              </w:rPr>
              <w:t>., 2020</w:t>
            </w:r>
            <w:r>
              <w:rPr>
                <w:rFonts w:ascii="Times New Roman" w:hAnsi="Times New Roman" w:cs="Times New Roman"/>
                <w:sz w:val="16"/>
                <w:szCs w:val="16"/>
                <w:lang w:val="en-US"/>
              </w:rPr>
              <w:t xml:space="preserve">  </w:t>
            </w:r>
            <w:sdt>
              <w:sdtPr>
                <w:rPr>
                  <w:rFonts w:ascii="Times New Roman" w:hAnsi="Times New Roman" w:cs="Times New Roman"/>
                  <w:sz w:val="16"/>
                  <w:szCs w:val="16"/>
                  <w:lang w:val="en-US"/>
                </w:rPr>
                <w:tag w:val="MENDELEY_CITATION_v3_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"/>
                <w:id w:val="816835256"/>
                <w:placeholder>
                  <w:docPart w:val="30E386FECA95497DB572A0903583C5E9"/>
                </w:placeholder>
              </w:sdtPr>
              <w:sdtContent>
                <w:r>
                  <w:rPr>
                    <w:rFonts w:ascii="Times New Roman" w:hAnsi="Times New Roman" w:cs="Times New Roman"/>
                    <w:sz w:val="16"/>
                    <w:szCs w:val="16"/>
                    <w:lang w:val="en-US"/>
                  </w:rPr>
                  <w:t>[37]</w:t>
                </w:r>
              </w:sdtContent>
            </w:sdt>
          </w:p>
        </w:tc>
        <w:tc>
          <w:tcPr>
            <w:tcW w:w="856" w:type="dxa"/>
            <w:tcBorders>
              <w:top w:val="single" w:sz="4" w:space="0" w:color="auto"/>
              <w:left w:val="single" w:sz="4" w:space="0" w:color="auto"/>
              <w:bottom w:val="single" w:sz="4" w:space="0" w:color="auto"/>
              <w:right w:val="single" w:sz="4" w:space="0" w:color="auto"/>
            </w:tcBorders>
            <w:hideMark/>
          </w:tcPr>
          <w:p w14:paraId="792B4B85"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Mean ± SD = 46.1</w:t>
            </w:r>
          </w:p>
          <w:p w14:paraId="0CFD1CAA"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14.1 years</w:t>
            </w:r>
          </w:p>
        </w:tc>
        <w:tc>
          <w:tcPr>
            <w:tcW w:w="1134" w:type="dxa"/>
            <w:tcBorders>
              <w:top w:val="single" w:sz="4" w:space="0" w:color="auto"/>
              <w:left w:val="single" w:sz="4" w:space="0" w:color="auto"/>
              <w:bottom w:val="single" w:sz="4" w:space="0" w:color="auto"/>
              <w:right w:val="single" w:sz="4" w:space="0" w:color="auto"/>
            </w:tcBorders>
            <w:hideMark/>
          </w:tcPr>
          <w:p w14:paraId="6541563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stated </w:t>
            </w:r>
          </w:p>
        </w:tc>
        <w:tc>
          <w:tcPr>
            <w:tcW w:w="1599" w:type="dxa"/>
            <w:tcBorders>
              <w:top w:val="single" w:sz="4" w:space="0" w:color="auto"/>
              <w:left w:val="single" w:sz="4" w:space="0" w:color="auto"/>
              <w:bottom w:val="single" w:sz="4" w:space="0" w:color="auto"/>
              <w:right w:val="single" w:sz="4" w:space="0" w:color="auto"/>
            </w:tcBorders>
          </w:tcPr>
          <w:p w14:paraId="169629A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Occurrence of single operation retinal reattachment maintained for a minimum of three months as well as</w:t>
            </w:r>
          </w:p>
          <w:p w14:paraId="19C85D5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at the last clinic visit and anatomic reattachment at last surgery maintained until last clinic visit. A good visual outcome was defined as a best corrected VA of 6/60 and better at least two months after surgery </w:t>
            </w:r>
            <w:r>
              <w:rPr>
                <w:rFonts w:ascii="Times New Roman" w:eastAsia="Times New Roman" w:hAnsi="Times New Roman" w:cs="Times New Roman"/>
                <w:sz w:val="16"/>
                <w:szCs w:val="16"/>
                <w:lang w:val="en-US"/>
              </w:rPr>
              <w:lastRenderedPageBreak/>
              <w:t xml:space="preserve">maintained until last clinic visit. </w:t>
            </w:r>
          </w:p>
          <w:p w14:paraId="36B251AA" w14:textId="77777777" w:rsidR="003A4529" w:rsidRDefault="003A4529">
            <w:pPr>
              <w:spacing w:line="276" w:lineRule="auto"/>
              <w:rPr>
                <w:rFonts w:ascii="Times New Roman" w:hAnsi="Times New Roman" w:cs="Times New Roman"/>
                <w:sz w:val="16"/>
                <w:szCs w:val="16"/>
                <w:shd w:val="clear" w:color="auto" w:fill="FFFFFF"/>
                <w:lang w:val="en-US"/>
              </w:rPr>
            </w:pPr>
          </w:p>
        </w:tc>
        <w:tc>
          <w:tcPr>
            <w:tcW w:w="1980" w:type="dxa"/>
            <w:tcBorders>
              <w:top w:val="single" w:sz="4" w:space="0" w:color="auto"/>
              <w:left w:val="single" w:sz="4" w:space="0" w:color="auto"/>
              <w:bottom w:val="single" w:sz="4" w:space="0" w:color="auto"/>
              <w:right w:val="single" w:sz="4" w:space="0" w:color="auto"/>
            </w:tcBorders>
          </w:tcPr>
          <w:p w14:paraId="71F3A5E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PAS was achieved with 73 eyes (92.4%) in the GRT group and 157 eyes (86.7%) in the group of other holes and tears. FAS was achieved in 75 eyes (94.9%) in GRT group, and 164 eyes (93.2%)</w:t>
            </w:r>
          </w:p>
          <w:p w14:paraId="2B312D4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in the group of other holes and tears.</w:t>
            </w:r>
          </w:p>
          <w:p w14:paraId="18A37914" w14:textId="77777777" w:rsidR="003A4529" w:rsidRDefault="003A4529">
            <w:pPr>
              <w:spacing w:line="276" w:lineRule="auto"/>
              <w:rPr>
                <w:rFonts w:ascii="Times New Roman" w:hAnsi="Times New Roman" w:cs="Times New Roman"/>
                <w:sz w:val="16"/>
                <w:szCs w:val="16"/>
                <w:lang w:val="en-US"/>
              </w:rPr>
            </w:pPr>
          </w:p>
        </w:tc>
        <w:tc>
          <w:tcPr>
            <w:tcW w:w="1620" w:type="dxa"/>
            <w:tcBorders>
              <w:top w:val="single" w:sz="4" w:space="0" w:color="auto"/>
              <w:left w:val="single" w:sz="4" w:space="0" w:color="auto"/>
              <w:bottom w:val="single" w:sz="4" w:space="0" w:color="auto"/>
              <w:right w:val="single" w:sz="4" w:space="0" w:color="auto"/>
            </w:tcBorders>
          </w:tcPr>
          <w:p w14:paraId="5268BE2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VA in 66 eyes (79.6%) in the GRT group was worse than 3/60, compared to 117 eyes (60.3%) in group of other types of retinal tears. Good visual outcome was achieved in 48 eyes (59.3%)</w:t>
            </w:r>
          </w:p>
          <w:p w14:paraId="17536F08" w14:textId="77777777" w:rsidR="003A4529" w:rsidRDefault="003A4529">
            <w:pPr>
              <w:spacing w:line="276" w:lineRule="auto"/>
              <w:rPr>
                <w:rFonts w:ascii="Times New Roman" w:hAnsi="Times New Roman" w:cs="Times New Roman"/>
                <w:sz w:val="16"/>
                <w:szCs w:val="16"/>
                <w:lang w:val="en-US"/>
              </w:rPr>
            </w:pPr>
          </w:p>
        </w:tc>
        <w:tc>
          <w:tcPr>
            <w:tcW w:w="1350" w:type="dxa"/>
            <w:tcBorders>
              <w:top w:val="single" w:sz="4" w:space="0" w:color="auto"/>
              <w:left w:val="single" w:sz="4" w:space="0" w:color="auto"/>
              <w:bottom w:val="single" w:sz="4" w:space="0" w:color="auto"/>
              <w:right w:val="single" w:sz="4" w:space="0" w:color="auto"/>
            </w:tcBorders>
            <w:hideMark/>
          </w:tcPr>
          <w:p w14:paraId="76D7345C"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Not stated </w:t>
            </w:r>
          </w:p>
        </w:tc>
        <w:tc>
          <w:tcPr>
            <w:tcW w:w="1814" w:type="dxa"/>
            <w:tcBorders>
              <w:top w:val="single" w:sz="4" w:space="0" w:color="auto"/>
              <w:left w:val="single" w:sz="4" w:space="0" w:color="auto"/>
              <w:bottom w:val="single" w:sz="4" w:space="0" w:color="auto"/>
              <w:right w:val="single" w:sz="4" w:space="0" w:color="auto"/>
            </w:tcBorders>
            <w:hideMark/>
          </w:tcPr>
          <w:p w14:paraId="39009EF0"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843" w:type="dxa"/>
            <w:tcBorders>
              <w:top w:val="single" w:sz="4" w:space="0" w:color="auto"/>
              <w:left w:val="single" w:sz="4" w:space="0" w:color="auto"/>
              <w:bottom w:val="single" w:sz="4" w:space="0" w:color="auto"/>
              <w:right w:val="single" w:sz="4" w:space="0" w:color="auto"/>
            </w:tcBorders>
            <w:hideMark/>
          </w:tcPr>
          <w:p w14:paraId="67DE3E38"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The use of small gauge vitrectomy and PFCL can improve the anatomic and visual outcomes of surgeries involved in GRT-related RRDs.</w:t>
            </w:r>
          </w:p>
        </w:tc>
      </w:tr>
      <w:tr w:rsidR="003A4529" w14:paraId="2BFA322D"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7D8EA1DF"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Ting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2020  </w:t>
            </w:r>
            <w:sdt>
              <w:sdtPr>
                <w:rPr>
                  <w:rFonts w:ascii="Times New Roman" w:hAnsi="Times New Roman" w:cs="Times New Roman"/>
                  <w:sz w:val="16"/>
                  <w:szCs w:val="16"/>
                  <w:lang w:val="en-US"/>
                </w:rPr>
                <w:tag w:val="MENDELEY_CITATION_v3_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"/>
                <w:id w:val="-1643179746"/>
                <w:placeholder>
                  <w:docPart w:val="1551377B1557451685B97559A31D3A7D"/>
                </w:placeholder>
              </w:sdtPr>
              <w:sdtContent>
                <w:r>
                  <w:rPr>
                    <w:rFonts w:ascii="Times New Roman" w:hAnsi="Times New Roman" w:cs="Times New Roman"/>
                    <w:sz w:val="16"/>
                    <w:szCs w:val="16"/>
                    <w:lang w:val="en-US"/>
                  </w:rPr>
                  <w:t>[38]</w:t>
                </w:r>
              </w:sdtContent>
            </w:sdt>
          </w:p>
        </w:tc>
        <w:tc>
          <w:tcPr>
            <w:tcW w:w="856" w:type="dxa"/>
            <w:tcBorders>
              <w:top w:val="single" w:sz="4" w:space="0" w:color="auto"/>
              <w:left w:val="single" w:sz="4" w:space="0" w:color="auto"/>
              <w:bottom w:val="single" w:sz="4" w:space="0" w:color="auto"/>
              <w:right w:val="single" w:sz="4" w:space="0" w:color="auto"/>
            </w:tcBorders>
            <w:hideMark/>
          </w:tcPr>
          <w:p w14:paraId="63E4DA33"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shd w:val="clear" w:color="auto" w:fill="FFFFFF"/>
                <w:lang w:val="en-US"/>
              </w:rPr>
              <w:t>Mean ± SD = 42.5 ± 13.7 years</w:t>
            </w:r>
          </w:p>
        </w:tc>
        <w:tc>
          <w:tcPr>
            <w:tcW w:w="1134" w:type="dxa"/>
            <w:tcBorders>
              <w:top w:val="single" w:sz="4" w:space="0" w:color="auto"/>
              <w:left w:val="single" w:sz="4" w:space="0" w:color="auto"/>
              <w:bottom w:val="single" w:sz="4" w:space="0" w:color="auto"/>
              <w:right w:val="single" w:sz="4" w:space="0" w:color="auto"/>
            </w:tcBorders>
            <w:hideMark/>
          </w:tcPr>
          <w:p w14:paraId="5D93CFD6"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17 (13.4%) eyes</w:t>
            </w:r>
          </w:p>
        </w:tc>
        <w:tc>
          <w:tcPr>
            <w:tcW w:w="1599" w:type="dxa"/>
            <w:tcBorders>
              <w:top w:val="single" w:sz="4" w:space="0" w:color="auto"/>
              <w:left w:val="single" w:sz="4" w:space="0" w:color="auto"/>
              <w:bottom w:val="single" w:sz="4" w:space="0" w:color="auto"/>
              <w:right w:val="single" w:sz="4" w:space="0" w:color="auto"/>
            </w:tcBorders>
            <w:hideMark/>
          </w:tcPr>
          <w:p w14:paraId="0A99218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At each post-operative time-point, functional success was defined as a BCVA of &lt;</w:t>
            </w:r>
            <w:proofErr w:type="spellStart"/>
            <w:r>
              <w:rPr>
                <w:rFonts w:ascii="Times New Roman" w:hAnsi="Times New Roman" w:cs="Times New Roman"/>
                <w:sz w:val="16"/>
                <w:szCs w:val="16"/>
                <w:shd w:val="clear" w:color="auto" w:fill="FFFFFF"/>
                <w:lang w:val="en-US"/>
              </w:rPr>
              <w:t>logMAR</w:t>
            </w:r>
            <w:proofErr w:type="spellEnd"/>
            <w:r>
              <w:rPr>
                <w:rFonts w:ascii="Times New Roman" w:hAnsi="Times New Roman" w:cs="Times New Roman"/>
                <w:sz w:val="16"/>
                <w:szCs w:val="16"/>
                <w:shd w:val="clear" w:color="auto" w:fill="FFFFFF"/>
                <w:lang w:val="en-US"/>
              </w:rPr>
              <w:t xml:space="preserve"> 1.0, PAS was defined as a 360° attached retina without any </w:t>
            </w:r>
            <w:proofErr w:type="spellStart"/>
            <w:r>
              <w:rPr>
                <w:rFonts w:ascii="Times New Roman" w:hAnsi="Times New Roman" w:cs="Times New Roman"/>
                <w:sz w:val="16"/>
                <w:szCs w:val="16"/>
                <w:shd w:val="clear" w:color="auto" w:fill="FFFFFF"/>
                <w:lang w:val="en-US"/>
              </w:rPr>
              <w:t>endotamponade</w:t>
            </w:r>
            <w:proofErr w:type="spellEnd"/>
            <w:r>
              <w:rPr>
                <w:rFonts w:ascii="Times New Roman" w:hAnsi="Times New Roman" w:cs="Times New Roman"/>
                <w:sz w:val="16"/>
                <w:szCs w:val="16"/>
                <w:shd w:val="clear" w:color="auto" w:fill="FFFFFF"/>
                <w:lang w:val="en-US"/>
              </w:rPr>
              <w:t xml:space="preserve"> with only a single retinal reattachment procedure (excluding removal of SO) and FAS was defined as having a 360° attached retina without any </w:t>
            </w:r>
            <w:proofErr w:type="spellStart"/>
            <w:r>
              <w:rPr>
                <w:rFonts w:ascii="Times New Roman" w:hAnsi="Times New Roman" w:cs="Times New Roman"/>
                <w:sz w:val="16"/>
                <w:szCs w:val="16"/>
                <w:shd w:val="clear" w:color="auto" w:fill="FFFFFF"/>
                <w:lang w:val="en-US"/>
              </w:rPr>
              <w:t>endotamponade</w:t>
            </w:r>
            <w:proofErr w:type="spellEnd"/>
            <w:r>
              <w:rPr>
                <w:rFonts w:ascii="Times New Roman" w:hAnsi="Times New Roman" w:cs="Times New Roman"/>
                <w:sz w:val="16"/>
                <w:szCs w:val="16"/>
                <w:shd w:val="clear" w:color="auto" w:fill="FFFFFF"/>
                <w:lang w:val="en-US"/>
              </w:rPr>
              <w:t>, regardless of the number of retinal reattachment procedures required. Failure referred to a persistently detached retina</w:t>
            </w:r>
          </w:p>
        </w:tc>
        <w:tc>
          <w:tcPr>
            <w:tcW w:w="1980" w:type="dxa"/>
            <w:tcBorders>
              <w:top w:val="single" w:sz="4" w:space="0" w:color="auto"/>
              <w:left w:val="single" w:sz="4" w:space="0" w:color="auto"/>
              <w:bottom w:val="single" w:sz="4" w:space="0" w:color="auto"/>
              <w:right w:val="single" w:sz="4" w:space="0" w:color="auto"/>
            </w:tcBorders>
          </w:tcPr>
          <w:p w14:paraId="2FA726C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For anatomical outcomes at postoperative year one, 89 (74.8%) eyes had PAS, while 119 (93.7%) eyes</w:t>
            </w:r>
          </w:p>
          <w:p w14:paraId="3A86B29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had FAS. At postoperative year five,</w:t>
            </w:r>
          </w:p>
          <w:p w14:paraId="5C7E746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87.5% with FAS rate</w:t>
            </w:r>
          </w:p>
          <w:p w14:paraId="7A4508B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620" w:type="dxa"/>
            <w:tcBorders>
              <w:top w:val="single" w:sz="4" w:space="0" w:color="auto"/>
              <w:left w:val="single" w:sz="4" w:space="0" w:color="auto"/>
              <w:bottom w:val="single" w:sz="4" w:space="0" w:color="auto"/>
              <w:right w:val="single" w:sz="4" w:space="0" w:color="auto"/>
            </w:tcBorders>
            <w:hideMark/>
          </w:tcPr>
          <w:p w14:paraId="456CE24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Preoperatively, out of 127 eyes, about half (48.8%) presented with VA &gt; </w:t>
            </w:r>
            <w:proofErr w:type="spellStart"/>
            <w:r>
              <w:rPr>
                <w:rFonts w:ascii="Times New Roman" w:hAnsi="Times New Roman" w:cs="Times New Roman"/>
                <w:sz w:val="16"/>
                <w:szCs w:val="16"/>
                <w:shd w:val="clear" w:color="auto" w:fill="FFFFFF"/>
                <w:lang w:val="en-US"/>
              </w:rPr>
              <w:t>logMAR</w:t>
            </w:r>
            <w:proofErr w:type="spellEnd"/>
            <w:r>
              <w:rPr>
                <w:rFonts w:ascii="Times New Roman" w:hAnsi="Times New Roman" w:cs="Times New Roman"/>
                <w:sz w:val="16"/>
                <w:szCs w:val="16"/>
                <w:shd w:val="clear" w:color="auto" w:fill="FFFFFF"/>
                <w:lang w:val="en-US"/>
              </w:rPr>
              <w:t xml:space="preserve"> 1.0, while 28 (22%) had a presenting VA of </w:t>
            </w:r>
            <w:proofErr w:type="spellStart"/>
            <w:r>
              <w:rPr>
                <w:rFonts w:ascii="Times New Roman" w:hAnsi="Times New Roman" w:cs="Times New Roman"/>
                <w:sz w:val="16"/>
                <w:szCs w:val="16"/>
                <w:shd w:val="clear" w:color="auto" w:fill="FFFFFF"/>
                <w:lang w:val="en-US"/>
              </w:rPr>
              <w:t>logMAR</w:t>
            </w:r>
            <w:proofErr w:type="spellEnd"/>
            <w:r>
              <w:rPr>
                <w:rFonts w:ascii="Times New Roman" w:hAnsi="Times New Roman" w:cs="Times New Roman"/>
                <w:sz w:val="16"/>
                <w:szCs w:val="16"/>
                <w:shd w:val="clear" w:color="auto" w:fill="FFFFFF"/>
                <w:lang w:val="en-US"/>
              </w:rPr>
              <w:t xml:space="preserve"> &lt;0.3. Postoperatively, the mean </w:t>
            </w:r>
            <w:proofErr w:type="spellStart"/>
            <w:r>
              <w:rPr>
                <w:rFonts w:ascii="Times New Roman" w:hAnsi="Times New Roman" w:cs="Times New Roman"/>
                <w:sz w:val="16"/>
                <w:szCs w:val="16"/>
                <w:shd w:val="clear" w:color="auto" w:fill="FFFFFF"/>
                <w:lang w:val="en-US"/>
              </w:rPr>
              <w:t>logMAR</w:t>
            </w:r>
            <w:proofErr w:type="spellEnd"/>
            <w:r>
              <w:rPr>
                <w:rFonts w:ascii="Times New Roman" w:hAnsi="Times New Roman" w:cs="Times New Roman"/>
                <w:sz w:val="16"/>
                <w:szCs w:val="16"/>
                <w:shd w:val="clear" w:color="auto" w:fill="FFFFFF"/>
                <w:lang w:val="en-US"/>
              </w:rPr>
              <w:t xml:space="preserve"> was 0.86 (0.89) at one year, and the median </w:t>
            </w:r>
            <w:proofErr w:type="spellStart"/>
            <w:r>
              <w:rPr>
                <w:rFonts w:ascii="Times New Roman" w:hAnsi="Times New Roman" w:cs="Times New Roman"/>
                <w:sz w:val="16"/>
                <w:szCs w:val="16"/>
                <w:shd w:val="clear" w:color="auto" w:fill="FFFFFF"/>
                <w:lang w:val="en-US"/>
              </w:rPr>
              <w:t>logMAR</w:t>
            </w:r>
            <w:proofErr w:type="spellEnd"/>
            <w:r>
              <w:rPr>
                <w:rFonts w:ascii="Times New Roman" w:hAnsi="Times New Roman" w:cs="Times New Roman"/>
                <w:sz w:val="16"/>
                <w:szCs w:val="16"/>
                <w:shd w:val="clear" w:color="auto" w:fill="FFFFFF"/>
                <w:lang w:val="en-US"/>
              </w:rPr>
              <w:t xml:space="preserve"> was 0.51. 88 (69.3%) eyes achieving &lt;</w:t>
            </w:r>
            <w:proofErr w:type="spellStart"/>
            <w:r>
              <w:rPr>
                <w:rFonts w:ascii="Times New Roman" w:hAnsi="Times New Roman" w:cs="Times New Roman"/>
                <w:sz w:val="16"/>
                <w:szCs w:val="16"/>
                <w:shd w:val="clear" w:color="auto" w:fill="FFFFFF"/>
                <w:lang w:val="en-US"/>
              </w:rPr>
              <w:t>logMAR</w:t>
            </w:r>
            <w:proofErr w:type="spellEnd"/>
            <w:r>
              <w:rPr>
                <w:rFonts w:ascii="Times New Roman" w:hAnsi="Times New Roman" w:cs="Times New Roman"/>
                <w:sz w:val="16"/>
                <w:szCs w:val="16"/>
                <w:shd w:val="clear" w:color="auto" w:fill="FFFFFF"/>
                <w:lang w:val="en-US"/>
              </w:rPr>
              <w:t xml:space="preserve"> 1.0 and 49 (38.6%) achieving &lt;</w:t>
            </w:r>
            <w:proofErr w:type="spellStart"/>
            <w:r>
              <w:rPr>
                <w:rFonts w:ascii="Times New Roman" w:hAnsi="Times New Roman" w:cs="Times New Roman"/>
                <w:sz w:val="16"/>
                <w:szCs w:val="16"/>
                <w:shd w:val="clear" w:color="auto" w:fill="FFFFFF"/>
                <w:lang w:val="en-US"/>
              </w:rPr>
              <w:t>logMAR</w:t>
            </w:r>
            <w:proofErr w:type="spellEnd"/>
            <w:r>
              <w:rPr>
                <w:rFonts w:ascii="Times New Roman" w:hAnsi="Times New Roman" w:cs="Times New Roman"/>
                <w:sz w:val="16"/>
                <w:szCs w:val="16"/>
                <w:shd w:val="clear" w:color="auto" w:fill="FFFFFF"/>
                <w:lang w:val="en-US"/>
              </w:rPr>
              <w:t xml:space="preserve"> 0.3.</w:t>
            </w:r>
          </w:p>
        </w:tc>
        <w:tc>
          <w:tcPr>
            <w:tcW w:w="1350" w:type="dxa"/>
            <w:tcBorders>
              <w:top w:val="single" w:sz="4" w:space="0" w:color="auto"/>
              <w:left w:val="single" w:sz="4" w:space="0" w:color="auto"/>
              <w:bottom w:val="single" w:sz="4" w:space="0" w:color="auto"/>
              <w:right w:val="single" w:sz="4" w:space="0" w:color="auto"/>
            </w:tcBorders>
            <w:hideMark/>
          </w:tcPr>
          <w:p w14:paraId="7D325AE4"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shd w:val="clear" w:color="auto" w:fill="FFFFFF"/>
                <w:lang w:val="en-US"/>
              </w:rPr>
              <w:t>Cataract progression (n = 36, 28.3%), ERM (n = 27, 21.3%), transient raised IOP (n = 22, 17.3%), and 11 (8.7%) developed PVR.</w:t>
            </w:r>
          </w:p>
        </w:tc>
        <w:tc>
          <w:tcPr>
            <w:tcW w:w="1814" w:type="dxa"/>
            <w:tcBorders>
              <w:top w:val="single" w:sz="4" w:space="0" w:color="auto"/>
              <w:left w:val="single" w:sz="4" w:space="0" w:color="auto"/>
              <w:bottom w:val="single" w:sz="4" w:space="0" w:color="auto"/>
              <w:right w:val="single" w:sz="4" w:space="0" w:color="auto"/>
            </w:tcBorders>
            <w:hideMark/>
          </w:tcPr>
          <w:p w14:paraId="0FD5E281"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Worse presenting VA, 150 degrees of more of GRT, detached macula, and presence of PVR </w:t>
            </w:r>
          </w:p>
        </w:tc>
        <w:tc>
          <w:tcPr>
            <w:tcW w:w="1843" w:type="dxa"/>
            <w:tcBorders>
              <w:top w:val="single" w:sz="4" w:space="0" w:color="auto"/>
              <w:left w:val="single" w:sz="4" w:space="0" w:color="auto"/>
              <w:bottom w:val="single" w:sz="4" w:space="0" w:color="auto"/>
              <w:right w:val="single" w:sz="4" w:space="0" w:color="auto"/>
            </w:tcBorders>
            <w:hideMark/>
          </w:tcPr>
          <w:p w14:paraId="1B5F2424"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The types of surgery (PPV vs combined SB/PPV) and the number of breaks did not affect the anatomic and functional outcomes.</w:t>
            </w:r>
          </w:p>
        </w:tc>
      </w:tr>
      <w:tr w:rsidR="003A4529" w14:paraId="7F4A6051"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3863AB8F"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Mikhail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2017  </w:t>
            </w:r>
            <w:sdt>
              <w:sdtPr>
                <w:rPr>
                  <w:rFonts w:ascii="Times New Roman" w:hAnsi="Times New Roman" w:cs="Times New Roman"/>
                  <w:sz w:val="16"/>
                  <w:szCs w:val="16"/>
                  <w:lang w:val="en-US"/>
                </w:rPr>
                <w:tag w:val="MENDELEY_CITATION_v3_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"/>
                <w:id w:val="80650930"/>
                <w:placeholder>
                  <w:docPart w:val="1551377B1557451685B97559A31D3A7D"/>
                </w:placeholder>
              </w:sdtPr>
              <w:sdtContent>
                <w:r>
                  <w:rPr>
                    <w:rFonts w:ascii="Times New Roman" w:hAnsi="Times New Roman" w:cs="Times New Roman"/>
                    <w:sz w:val="16"/>
                    <w:szCs w:val="16"/>
                    <w:lang w:val="en-US"/>
                  </w:rPr>
                  <w:t>[39]</w:t>
                </w:r>
              </w:sdtContent>
            </w:sdt>
          </w:p>
        </w:tc>
        <w:tc>
          <w:tcPr>
            <w:tcW w:w="856" w:type="dxa"/>
            <w:tcBorders>
              <w:top w:val="single" w:sz="4" w:space="0" w:color="auto"/>
              <w:left w:val="single" w:sz="4" w:space="0" w:color="auto"/>
              <w:bottom w:val="single" w:sz="4" w:space="0" w:color="auto"/>
              <w:right w:val="single" w:sz="4" w:space="0" w:color="auto"/>
            </w:tcBorders>
            <w:hideMark/>
          </w:tcPr>
          <w:p w14:paraId="62B9642A"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Mean = 56.6 (Range = 9-90) years</w:t>
            </w:r>
          </w:p>
        </w:tc>
        <w:tc>
          <w:tcPr>
            <w:tcW w:w="1134" w:type="dxa"/>
            <w:tcBorders>
              <w:top w:val="single" w:sz="4" w:space="0" w:color="auto"/>
              <w:left w:val="single" w:sz="4" w:space="0" w:color="auto"/>
              <w:bottom w:val="single" w:sz="4" w:space="0" w:color="auto"/>
              <w:right w:val="single" w:sz="4" w:space="0" w:color="auto"/>
            </w:tcBorders>
            <w:hideMark/>
          </w:tcPr>
          <w:p w14:paraId="7D448994"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599" w:type="dxa"/>
            <w:tcBorders>
              <w:top w:val="single" w:sz="4" w:space="0" w:color="auto"/>
              <w:left w:val="single" w:sz="4" w:space="0" w:color="auto"/>
              <w:bottom w:val="single" w:sz="4" w:space="0" w:color="auto"/>
              <w:right w:val="single" w:sz="4" w:space="0" w:color="auto"/>
            </w:tcBorders>
            <w:hideMark/>
          </w:tcPr>
          <w:p w14:paraId="495EE94D"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1) PAS defined as retinal reattachment with single operation and no residual intravitreal tamponade after two months, 2) FAS defined as retinal reattachment with more than one operation and no residual SO tamponade, 3) failure defined as persistent RD anywhere or </w:t>
            </w:r>
            <w:r>
              <w:rPr>
                <w:rFonts w:ascii="Times New Roman" w:hAnsi="Times New Roman" w:cs="Times New Roman"/>
                <w:sz w:val="16"/>
                <w:szCs w:val="16"/>
                <w:shd w:val="clear" w:color="auto" w:fill="FFFFFF"/>
                <w:lang w:val="en-US"/>
              </w:rPr>
              <w:lastRenderedPageBreak/>
              <w:t xml:space="preserve">retinal reattachment with </w:t>
            </w:r>
            <w:proofErr w:type="spellStart"/>
            <w:r>
              <w:rPr>
                <w:rFonts w:ascii="Times New Roman" w:hAnsi="Times New Roman" w:cs="Times New Roman"/>
                <w:sz w:val="16"/>
                <w:szCs w:val="16"/>
                <w:shd w:val="clear" w:color="auto" w:fill="FFFFFF"/>
                <w:lang w:val="en-US"/>
              </w:rPr>
              <w:t>longterm</w:t>
            </w:r>
            <w:proofErr w:type="spellEnd"/>
            <w:r>
              <w:rPr>
                <w:rFonts w:ascii="Times New Roman" w:hAnsi="Times New Roman" w:cs="Times New Roman"/>
                <w:sz w:val="16"/>
                <w:szCs w:val="16"/>
                <w:shd w:val="clear" w:color="auto" w:fill="FFFFFF"/>
                <w:lang w:val="en-US"/>
              </w:rPr>
              <w:t xml:space="preserve"> SO tamponade and 4) final VA after a minimum of six weeks of follow-up.</w:t>
            </w:r>
          </w:p>
        </w:tc>
        <w:tc>
          <w:tcPr>
            <w:tcW w:w="1980" w:type="dxa"/>
            <w:tcBorders>
              <w:top w:val="single" w:sz="4" w:space="0" w:color="auto"/>
              <w:left w:val="single" w:sz="4" w:space="0" w:color="auto"/>
              <w:bottom w:val="single" w:sz="4" w:space="0" w:color="auto"/>
              <w:right w:val="single" w:sz="4" w:space="0" w:color="auto"/>
            </w:tcBorders>
            <w:hideMark/>
          </w:tcPr>
          <w:p w14:paraId="5929169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lastRenderedPageBreak/>
              <w:t xml:space="preserve">The overall PAS rate of retinal reattachment was 86%. There was no significant difference in the PAS rate between the three different surgical procedures with success rate of 86%, 85% and 80% for PPV, SB and PR. Patients presenting with GRTs (3) had 100% success rate with a planned two stage procedure using PFCL as a short-term postoperative tamponade, </w:t>
            </w:r>
            <w:r>
              <w:rPr>
                <w:rFonts w:ascii="Times New Roman" w:hAnsi="Times New Roman" w:cs="Times New Roman"/>
                <w:sz w:val="16"/>
                <w:szCs w:val="16"/>
                <w:shd w:val="clear" w:color="auto" w:fill="FFFFFF"/>
                <w:lang w:val="en-US"/>
              </w:rPr>
              <w:lastRenderedPageBreak/>
              <w:t xml:space="preserve">with PFCL removal and replacement by gas or SO after seven days. The overall FAS rate of retinal reattachment was 95.8% without SO; an additional 3.7% (eight eyes) were reattached with SO. Less than 1% (two eyes) remained detached, one eye deemed inoperable and one eye for which reoperation was refused by the patient. </w:t>
            </w:r>
          </w:p>
        </w:tc>
        <w:tc>
          <w:tcPr>
            <w:tcW w:w="1620" w:type="dxa"/>
            <w:tcBorders>
              <w:top w:val="single" w:sz="4" w:space="0" w:color="auto"/>
              <w:left w:val="single" w:sz="4" w:space="0" w:color="auto"/>
              <w:bottom w:val="single" w:sz="4" w:space="0" w:color="auto"/>
              <w:right w:val="single" w:sz="4" w:space="0" w:color="auto"/>
            </w:tcBorders>
          </w:tcPr>
          <w:p w14:paraId="1854CD7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 xml:space="preserve">Overall mean visual acuity improved from 1.1 to 0.4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postoperatively. In 27 eyes undergoing a SB, the VA improved from a mean of 0.7 at presentation to 0.4 at final review. For the 175 eyes with primary PPV, the mean presenting VA 1.2 improved to 0.5.</w:t>
            </w:r>
          </w:p>
          <w:p w14:paraId="085A2412"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350" w:type="dxa"/>
            <w:tcBorders>
              <w:top w:val="single" w:sz="4" w:space="0" w:color="auto"/>
              <w:left w:val="single" w:sz="4" w:space="0" w:color="auto"/>
              <w:bottom w:val="single" w:sz="4" w:space="0" w:color="auto"/>
              <w:right w:val="single" w:sz="4" w:space="0" w:color="auto"/>
            </w:tcBorders>
            <w:hideMark/>
          </w:tcPr>
          <w:p w14:paraId="05268CFA"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The complication for SB group was localized subretinal hemorrhage (one patient). Of the vitrectomy subset, the complications were cataract development in 39 (18.3%) eyes, temporary raised IOP in 10 (4.7%) eyes, persistent </w:t>
            </w:r>
            <w:r>
              <w:rPr>
                <w:rFonts w:ascii="Times New Roman" w:hAnsi="Times New Roman" w:cs="Times New Roman"/>
                <w:sz w:val="16"/>
                <w:szCs w:val="16"/>
                <w:shd w:val="clear" w:color="auto" w:fill="FFFFFF"/>
                <w:lang w:val="en-US"/>
              </w:rPr>
              <w:lastRenderedPageBreak/>
              <w:t>raised IOP with optic nerve damage, ERM formation was found in four (1.98%) patients.</w:t>
            </w:r>
          </w:p>
        </w:tc>
        <w:tc>
          <w:tcPr>
            <w:tcW w:w="1814" w:type="dxa"/>
            <w:tcBorders>
              <w:top w:val="single" w:sz="4" w:space="0" w:color="auto"/>
              <w:left w:val="single" w:sz="4" w:space="0" w:color="auto"/>
              <w:bottom w:val="single" w:sz="4" w:space="0" w:color="auto"/>
              <w:right w:val="single" w:sz="4" w:space="0" w:color="auto"/>
            </w:tcBorders>
          </w:tcPr>
          <w:p w14:paraId="32FAFC6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 xml:space="preserve">PVR negatively affected the primary success </w:t>
            </w:r>
            <w:proofErr w:type="gramStart"/>
            <w:r>
              <w:rPr>
                <w:rFonts w:ascii="Times New Roman" w:eastAsia="Times New Roman" w:hAnsi="Times New Roman" w:cs="Times New Roman"/>
                <w:sz w:val="16"/>
                <w:szCs w:val="16"/>
                <w:lang w:val="en-US"/>
              </w:rPr>
              <w:t>rate</w:t>
            </w:r>
            <w:proofErr w:type="gramEnd"/>
          </w:p>
          <w:p w14:paraId="61B1F45A" w14:textId="77777777" w:rsidR="003A4529" w:rsidRDefault="003A4529">
            <w:pPr>
              <w:spacing w:line="276" w:lineRule="auto"/>
              <w:rPr>
                <w:rFonts w:ascii="Times New Roman" w:hAnsi="Times New Roman" w:cs="Times New Roman"/>
                <w:sz w:val="16"/>
                <w:szCs w:val="16"/>
                <w:shd w:val="clear" w:color="auto" w:fill="FFFFFF"/>
                <w:lang w:val="en-US"/>
              </w:rPr>
            </w:pPr>
          </w:p>
        </w:tc>
        <w:tc>
          <w:tcPr>
            <w:tcW w:w="1843" w:type="dxa"/>
            <w:tcBorders>
              <w:top w:val="single" w:sz="4" w:space="0" w:color="auto"/>
              <w:left w:val="single" w:sz="4" w:space="0" w:color="auto"/>
              <w:bottom w:val="single" w:sz="4" w:space="0" w:color="auto"/>
              <w:right w:val="single" w:sz="4" w:space="0" w:color="auto"/>
            </w:tcBorders>
            <w:hideMark/>
          </w:tcPr>
          <w:p w14:paraId="02F800FB"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The current trend in RRD surgeries for increasing usage of PPV. </w:t>
            </w:r>
          </w:p>
        </w:tc>
      </w:tr>
      <w:tr w:rsidR="003A4529" w14:paraId="3F06B62B"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635DFA0A"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Ghasemi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2017  </w:t>
            </w:r>
            <w:sdt>
              <w:sdtPr>
                <w:rPr>
                  <w:rFonts w:ascii="Times New Roman" w:hAnsi="Times New Roman" w:cs="Times New Roman"/>
                  <w:sz w:val="16"/>
                  <w:szCs w:val="16"/>
                  <w:lang w:val="en-US"/>
                </w:rPr>
                <w:tag w:val="MENDELEY_CITATION_v3_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"/>
                <w:id w:val="-1762367487"/>
                <w:placeholder>
                  <w:docPart w:val="1551377B1557451685B97559A31D3A7D"/>
                </w:placeholder>
              </w:sdtPr>
              <w:sdtContent>
                <w:r>
                  <w:rPr>
                    <w:rFonts w:ascii="Times New Roman" w:hAnsi="Times New Roman" w:cs="Times New Roman"/>
                    <w:sz w:val="16"/>
                    <w:szCs w:val="16"/>
                    <w:lang w:val="en-US"/>
                  </w:rPr>
                  <w:t>[40]</w:t>
                </w:r>
              </w:sdtContent>
            </w:sdt>
          </w:p>
        </w:tc>
        <w:tc>
          <w:tcPr>
            <w:tcW w:w="856" w:type="dxa"/>
            <w:tcBorders>
              <w:top w:val="single" w:sz="4" w:space="0" w:color="auto"/>
              <w:left w:val="single" w:sz="4" w:space="0" w:color="auto"/>
              <w:bottom w:val="single" w:sz="4" w:space="0" w:color="auto"/>
              <w:right w:val="single" w:sz="4" w:space="0" w:color="auto"/>
            </w:tcBorders>
            <w:hideMark/>
          </w:tcPr>
          <w:p w14:paraId="274E30B8"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Mean ± SD = 33.96 ± 20.19 (Range = four –76) years</w:t>
            </w:r>
          </w:p>
        </w:tc>
        <w:tc>
          <w:tcPr>
            <w:tcW w:w="1134" w:type="dxa"/>
            <w:tcBorders>
              <w:top w:val="single" w:sz="4" w:space="0" w:color="auto"/>
              <w:left w:val="single" w:sz="4" w:space="0" w:color="auto"/>
              <w:bottom w:val="single" w:sz="4" w:space="0" w:color="auto"/>
              <w:right w:val="single" w:sz="4" w:space="0" w:color="auto"/>
            </w:tcBorders>
            <w:hideMark/>
          </w:tcPr>
          <w:p w14:paraId="7DAFC993"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Grade C PVR was present in 14 (22.6%) eyes.</w:t>
            </w:r>
          </w:p>
        </w:tc>
        <w:tc>
          <w:tcPr>
            <w:tcW w:w="1599" w:type="dxa"/>
            <w:tcBorders>
              <w:top w:val="single" w:sz="4" w:space="0" w:color="auto"/>
              <w:left w:val="single" w:sz="4" w:space="0" w:color="auto"/>
              <w:bottom w:val="single" w:sz="4" w:space="0" w:color="auto"/>
              <w:right w:val="single" w:sz="4" w:space="0" w:color="auto"/>
            </w:tcBorders>
            <w:hideMark/>
          </w:tcPr>
          <w:p w14:paraId="5BD4F839"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980" w:type="dxa"/>
            <w:tcBorders>
              <w:top w:val="single" w:sz="4" w:space="0" w:color="auto"/>
              <w:left w:val="single" w:sz="4" w:space="0" w:color="auto"/>
              <w:bottom w:val="single" w:sz="4" w:space="0" w:color="auto"/>
              <w:right w:val="single" w:sz="4" w:space="0" w:color="auto"/>
            </w:tcBorders>
            <w:hideMark/>
          </w:tcPr>
          <w:p w14:paraId="14438B3C"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roofErr w:type="gramStart"/>
            <w:r>
              <w:rPr>
                <w:rFonts w:ascii="Times New Roman" w:hAnsi="Times New Roman" w:cs="Times New Roman"/>
                <w:sz w:val="16"/>
                <w:szCs w:val="16"/>
                <w:shd w:val="clear" w:color="auto" w:fill="FFFFFF"/>
                <w:lang w:val="en-US"/>
              </w:rPr>
              <w:t>PAS  after</w:t>
            </w:r>
            <w:proofErr w:type="gramEnd"/>
            <w:r>
              <w:rPr>
                <w:rFonts w:ascii="Times New Roman" w:hAnsi="Times New Roman" w:cs="Times New Roman"/>
                <w:sz w:val="16"/>
                <w:szCs w:val="16"/>
                <w:shd w:val="clear" w:color="auto" w:fill="FFFFFF"/>
                <w:lang w:val="en-US"/>
              </w:rPr>
              <w:t xml:space="preserve"> one PPV procedure was achieved in 45 eyes (72.58%). FAS was achieved in 61 eyes (98.4%) at last follow up. 14 eyes needed one, two eyes needed two and one eye needed three additional PPV surgeries.</w:t>
            </w:r>
          </w:p>
        </w:tc>
        <w:tc>
          <w:tcPr>
            <w:tcW w:w="1620" w:type="dxa"/>
            <w:tcBorders>
              <w:top w:val="single" w:sz="4" w:space="0" w:color="auto"/>
              <w:left w:val="single" w:sz="4" w:space="0" w:color="auto"/>
              <w:bottom w:val="single" w:sz="4" w:space="0" w:color="auto"/>
              <w:right w:val="single" w:sz="4" w:space="0" w:color="auto"/>
            </w:tcBorders>
            <w:hideMark/>
          </w:tcPr>
          <w:p w14:paraId="7E413F2E"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 xml:space="preserve">Mean preoperative BCVA was 2.47 ± 0.79 </w:t>
            </w:r>
            <w:proofErr w:type="spellStart"/>
            <w:r>
              <w:rPr>
                <w:rFonts w:ascii="Times New Roman" w:hAnsi="Times New Roman" w:cs="Times New Roman"/>
                <w:sz w:val="16"/>
                <w:szCs w:val="16"/>
                <w:shd w:val="clear" w:color="auto" w:fill="FFFFFF"/>
                <w:lang w:val="en-US"/>
              </w:rPr>
              <w:t>LogMAR</w:t>
            </w:r>
            <w:proofErr w:type="spellEnd"/>
            <w:r>
              <w:rPr>
                <w:rFonts w:ascii="Times New Roman" w:hAnsi="Times New Roman" w:cs="Times New Roman"/>
                <w:sz w:val="16"/>
                <w:szCs w:val="16"/>
                <w:shd w:val="clear" w:color="auto" w:fill="FFFFFF"/>
                <w:lang w:val="en-US"/>
              </w:rPr>
              <w:t xml:space="preserve"> at baseline, and 1.64 ± 0.85 and 1.46 ± 0.75 </w:t>
            </w:r>
            <w:proofErr w:type="spellStart"/>
            <w:r>
              <w:rPr>
                <w:rFonts w:ascii="Times New Roman" w:hAnsi="Times New Roman" w:cs="Times New Roman"/>
                <w:sz w:val="16"/>
                <w:szCs w:val="16"/>
                <w:shd w:val="clear" w:color="auto" w:fill="FFFFFF"/>
                <w:lang w:val="en-US"/>
              </w:rPr>
              <w:t>LogMAR</w:t>
            </w:r>
            <w:proofErr w:type="spellEnd"/>
            <w:r>
              <w:rPr>
                <w:rFonts w:ascii="Times New Roman" w:hAnsi="Times New Roman" w:cs="Times New Roman"/>
                <w:sz w:val="16"/>
                <w:szCs w:val="16"/>
                <w:shd w:val="clear" w:color="auto" w:fill="FFFFFF"/>
                <w:lang w:val="en-US"/>
              </w:rPr>
              <w:t xml:space="preserve"> at one and three months after surgery, respectively. At the last visit, mean BCVA was 1.43 ± 0.92 </w:t>
            </w:r>
            <w:proofErr w:type="spellStart"/>
            <w:r>
              <w:rPr>
                <w:rFonts w:ascii="Times New Roman" w:hAnsi="Times New Roman" w:cs="Times New Roman"/>
                <w:sz w:val="16"/>
                <w:szCs w:val="16"/>
                <w:shd w:val="clear" w:color="auto" w:fill="FFFFFF"/>
                <w:lang w:val="en-US"/>
              </w:rPr>
              <w:t>LogMAR</w:t>
            </w:r>
            <w:proofErr w:type="spellEnd"/>
            <w:r>
              <w:rPr>
                <w:rFonts w:ascii="Times New Roman" w:hAnsi="Times New Roman" w:cs="Times New Roman"/>
                <w:sz w:val="16"/>
                <w:szCs w:val="16"/>
                <w:shd w:val="clear" w:color="auto" w:fill="FFFFFF"/>
                <w:lang w:val="en-US"/>
              </w:rPr>
              <w:t>. BCVA improved one line or more in 70% and three lines or more in 68% of the patients, respectively.</w:t>
            </w:r>
          </w:p>
        </w:tc>
        <w:tc>
          <w:tcPr>
            <w:tcW w:w="1350" w:type="dxa"/>
            <w:tcBorders>
              <w:top w:val="single" w:sz="4" w:space="0" w:color="auto"/>
              <w:left w:val="single" w:sz="4" w:space="0" w:color="auto"/>
              <w:bottom w:val="single" w:sz="4" w:space="0" w:color="auto"/>
              <w:right w:val="single" w:sz="4" w:space="0" w:color="auto"/>
            </w:tcBorders>
            <w:hideMark/>
          </w:tcPr>
          <w:p w14:paraId="2821C55E"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17 eyes (27.4%) needed repeated PPV due to recurrent RRD associated with PVR.</w:t>
            </w:r>
          </w:p>
        </w:tc>
        <w:tc>
          <w:tcPr>
            <w:tcW w:w="1814" w:type="dxa"/>
            <w:tcBorders>
              <w:top w:val="single" w:sz="4" w:space="0" w:color="auto"/>
              <w:left w:val="single" w:sz="4" w:space="0" w:color="auto"/>
              <w:bottom w:val="single" w:sz="4" w:space="0" w:color="auto"/>
              <w:right w:val="single" w:sz="4" w:space="0" w:color="auto"/>
            </w:tcBorders>
            <w:hideMark/>
          </w:tcPr>
          <w:p w14:paraId="329D722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Rate of repeated PPV was significantly correlated with baseline PVR and placement of encircling episcleral band.</w:t>
            </w:r>
          </w:p>
        </w:tc>
        <w:tc>
          <w:tcPr>
            <w:tcW w:w="1843" w:type="dxa"/>
            <w:tcBorders>
              <w:top w:val="single" w:sz="4" w:space="0" w:color="auto"/>
              <w:left w:val="single" w:sz="4" w:space="0" w:color="auto"/>
              <w:bottom w:val="single" w:sz="4" w:space="0" w:color="auto"/>
              <w:right w:val="single" w:sz="4" w:space="0" w:color="auto"/>
            </w:tcBorders>
            <w:hideMark/>
          </w:tcPr>
          <w:p w14:paraId="5D311530"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High surgical success can be achieved in patients with RD associated with GRT with single or multiple surgeries.</w:t>
            </w:r>
          </w:p>
        </w:tc>
      </w:tr>
      <w:tr w:rsidR="003A4529" w14:paraId="4AB21107"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7F876064"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Lumi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2016  </w:t>
            </w:r>
            <w:sdt>
              <w:sdtPr>
                <w:rPr>
                  <w:rFonts w:ascii="Times New Roman" w:hAnsi="Times New Roman" w:cs="Times New Roman"/>
                  <w:sz w:val="16"/>
                  <w:szCs w:val="16"/>
                  <w:lang w:val="en-US"/>
                </w:rPr>
                <w:tag w:val="MENDELEY_CITATION_v3_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"/>
                <w:id w:val="-2141020409"/>
                <w:placeholder>
                  <w:docPart w:val="1551377B1557451685B97559A31D3A7D"/>
                </w:placeholder>
              </w:sdtPr>
              <w:sdtContent>
                <w:r>
                  <w:rPr>
                    <w:rFonts w:ascii="Times New Roman" w:hAnsi="Times New Roman" w:cs="Times New Roman"/>
                    <w:sz w:val="16"/>
                    <w:szCs w:val="16"/>
                    <w:lang w:val="en-US"/>
                  </w:rPr>
                  <w:t>[41]</w:t>
                </w:r>
              </w:sdtContent>
            </w:sdt>
          </w:p>
        </w:tc>
        <w:tc>
          <w:tcPr>
            <w:tcW w:w="856" w:type="dxa"/>
            <w:tcBorders>
              <w:top w:val="single" w:sz="4" w:space="0" w:color="auto"/>
              <w:left w:val="single" w:sz="4" w:space="0" w:color="auto"/>
              <w:bottom w:val="single" w:sz="4" w:space="0" w:color="auto"/>
              <w:right w:val="single" w:sz="4" w:space="0" w:color="auto"/>
            </w:tcBorders>
            <w:hideMark/>
          </w:tcPr>
          <w:p w14:paraId="0789D531"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Mean ± SD of different groups was, Group one: 58.5 ± 13.5 Group two: 62.7 ± 10.2 Group three: 51.6 ± </w:t>
            </w:r>
            <w:r>
              <w:rPr>
                <w:rFonts w:ascii="Times New Roman" w:hAnsi="Times New Roman" w:cs="Times New Roman"/>
                <w:sz w:val="16"/>
                <w:szCs w:val="16"/>
                <w:shd w:val="clear" w:color="auto" w:fill="FFFFFF"/>
                <w:lang w:val="en-US"/>
              </w:rPr>
              <w:lastRenderedPageBreak/>
              <w:t>17.8 Group 4: 70.7 ± 9.5</w:t>
            </w:r>
          </w:p>
        </w:tc>
        <w:tc>
          <w:tcPr>
            <w:tcW w:w="1134" w:type="dxa"/>
            <w:tcBorders>
              <w:top w:val="single" w:sz="4" w:space="0" w:color="auto"/>
              <w:left w:val="single" w:sz="4" w:space="0" w:color="auto"/>
              <w:bottom w:val="single" w:sz="4" w:space="0" w:color="auto"/>
              <w:right w:val="single" w:sz="4" w:space="0" w:color="auto"/>
            </w:tcBorders>
            <w:hideMark/>
          </w:tcPr>
          <w:p w14:paraId="4DC46BD4"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91 (77.8%) eyes have PVR &lt; grade C1, while 26 (22.2%) eyes have PVR ≥ grade C1.</w:t>
            </w:r>
          </w:p>
        </w:tc>
        <w:tc>
          <w:tcPr>
            <w:tcW w:w="1599" w:type="dxa"/>
            <w:tcBorders>
              <w:top w:val="single" w:sz="4" w:space="0" w:color="auto"/>
              <w:left w:val="single" w:sz="4" w:space="0" w:color="auto"/>
              <w:bottom w:val="single" w:sz="4" w:space="0" w:color="auto"/>
              <w:right w:val="single" w:sz="4" w:space="0" w:color="auto"/>
            </w:tcBorders>
            <w:hideMark/>
          </w:tcPr>
          <w:p w14:paraId="0369723F"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Surgery was considered successful only in cases when retina remained attached at one-year follow-up after a single procedure in eyes treated with PPV and gas tamponade or one year after SO removal in eyes with PPV and SO tamponade</w:t>
            </w:r>
          </w:p>
        </w:tc>
        <w:tc>
          <w:tcPr>
            <w:tcW w:w="1980" w:type="dxa"/>
            <w:tcBorders>
              <w:top w:val="single" w:sz="4" w:space="0" w:color="auto"/>
              <w:left w:val="single" w:sz="4" w:space="0" w:color="auto"/>
              <w:bottom w:val="single" w:sz="4" w:space="0" w:color="auto"/>
              <w:right w:val="single" w:sz="4" w:space="0" w:color="auto"/>
            </w:tcBorders>
            <w:hideMark/>
          </w:tcPr>
          <w:p w14:paraId="7F50804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The overall retinal reattachment rate with single surgery was 94.0%. FAS rate was 97.4%. In the case of established PVR ≥ C1, the reattachment rate was not statistically different (92.6%) from eyes with no PVR (91.1%) irrespective of lens status. A statistically significant</w:t>
            </w:r>
          </w:p>
          <w:p w14:paraId="4E55EFC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difference was found between </w:t>
            </w:r>
            <w:proofErr w:type="spellStart"/>
            <w:r>
              <w:rPr>
                <w:rFonts w:ascii="Times New Roman" w:eastAsia="Times New Roman" w:hAnsi="Times New Roman" w:cs="Times New Roman"/>
                <w:sz w:val="16"/>
                <w:szCs w:val="16"/>
                <w:lang w:val="en-US"/>
              </w:rPr>
              <w:t>redetachment</w:t>
            </w:r>
            <w:proofErr w:type="spellEnd"/>
            <w:r>
              <w:rPr>
                <w:rFonts w:ascii="Times New Roman" w:eastAsia="Times New Roman" w:hAnsi="Times New Roman" w:cs="Times New Roman"/>
                <w:sz w:val="16"/>
                <w:szCs w:val="16"/>
                <w:lang w:val="en-US"/>
              </w:rPr>
              <w:t xml:space="preserve"> rates only between phakic </w:t>
            </w:r>
            <w:r>
              <w:rPr>
                <w:rFonts w:ascii="Times New Roman" w:eastAsia="Times New Roman" w:hAnsi="Times New Roman" w:cs="Times New Roman"/>
                <w:sz w:val="16"/>
                <w:szCs w:val="16"/>
                <w:lang w:val="en-US"/>
              </w:rPr>
              <w:lastRenderedPageBreak/>
              <w:t>eyes with gas tamponade compared to SO. Reattachment rate proved to be similar in both AL groups (≤24 mm and &gt; 24 mm).</w:t>
            </w:r>
          </w:p>
        </w:tc>
        <w:tc>
          <w:tcPr>
            <w:tcW w:w="1620" w:type="dxa"/>
            <w:tcBorders>
              <w:top w:val="single" w:sz="4" w:space="0" w:color="auto"/>
              <w:left w:val="single" w:sz="4" w:space="0" w:color="auto"/>
              <w:bottom w:val="single" w:sz="4" w:space="0" w:color="auto"/>
              <w:right w:val="single" w:sz="4" w:space="0" w:color="auto"/>
            </w:tcBorders>
            <w:hideMark/>
          </w:tcPr>
          <w:p w14:paraId="51DC3999"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 xml:space="preserve">Not stated </w:t>
            </w:r>
          </w:p>
        </w:tc>
        <w:tc>
          <w:tcPr>
            <w:tcW w:w="1350" w:type="dxa"/>
            <w:tcBorders>
              <w:top w:val="single" w:sz="4" w:space="0" w:color="auto"/>
              <w:left w:val="single" w:sz="4" w:space="0" w:color="auto"/>
              <w:bottom w:val="single" w:sz="4" w:space="0" w:color="auto"/>
              <w:right w:val="single" w:sz="4" w:space="0" w:color="auto"/>
            </w:tcBorders>
            <w:hideMark/>
          </w:tcPr>
          <w:p w14:paraId="089A850B"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814" w:type="dxa"/>
            <w:tcBorders>
              <w:top w:val="single" w:sz="4" w:space="0" w:color="auto"/>
              <w:left w:val="single" w:sz="4" w:space="0" w:color="auto"/>
              <w:bottom w:val="single" w:sz="4" w:space="0" w:color="auto"/>
              <w:right w:val="single" w:sz="4" w:space="0" w:color="auto"/>
            </w:tcBorders>
            <w:hideMark/>
          </w:tcPr>
          <w:p w14:paraId="2AEE9E09"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Age, gender, lens status (phakic or pseudophakic), preoperative PVR grade, and AL of the eye.</w:t>
            </w:r>
          </w:p>
        </w:tc>
        <w:tc>
          <w:tcPr>
            <w:tcW w:w="1843" w:type="dxa"/>
            <w:tcBorders>
              <w:top w:val="single" w:sz="4" w:space="0" w:color="auto"/>
              <w:left w:val="single" w:sz="4" w:space="0" w:color="auto"/>
              <w:bottom w:val="single" w:sz="4" w:space="0" w:color="auto"/>
              <w:right w:val="single" w:sz="4" w:space="0" w:color="auto"/>
            </w:tcBorders>
            <w:hideMark/>
          </w:tcPr>
          <w:p w14:paraId="1F318B19"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High PAS rate of primary vitrectomy for complex RRD with either gas or SO tamponade was achieved in phakic as well as pseudophakic eyes irrespective of AL of the eye</w:t>
            </w:r>
          </w:p>
        </w:tc>
      </w:tr>
      <w:tr w:rsidR="003A4529" w14:paraId="5CE48AE6"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2C44164E"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Barth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2023 </w:t>
            </w:r>
            <w:sdt>
              <w:sdtPr>
                <w:rPr>
                  <w:rFonts w:ascii="Times New Roman" w:hAnsi="Times New Roman" w:cs="Times New Roman"/>
                  <w:sz w:val="16"/>
                  <w:szCs w:val="16"/>
                  <w:lang w:val="en-US"/>
                </w:rPr>
                <w:tag w:val="MENDELEY_CITATION_v3_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"/>
                <w:id w:val="520353312"/>
                <w:placeholder>
                  <w:docPart w:val="1551377B1557451685B97559A31D3A7D"/>
                </w:placeholder>
              </w:sdtPr>
              <w:sdtContent>
                <w:r>
                  <w:rPr>
                    <w:rFonts w:ascii="Times New Roman" w:hAnsi="Times New Roman" w:cs="Times New Roman"/>
                    <w:sz w:val="16"/>
                    <w:szCs w:val="16"/>
                    <w:lang w:val="en-US"/>
                  </w:rPr>
                  <w:t>[42]</w:t>
                </w:r>
              </w:sdtContent>
            </w:sdt>
          </w:p>
        </w:tc>
        <w:tc>
          <w:tcPr>
            <w:tcW w:w="856" w:type="dxa"/>
            <w:tcBorders>
              <w:top w:val="single" w:sz="4" w:space="0" w:color="auto"/>
              <w:left w:val="single" w:sz="4" w:space="0" w:color="auto"/>
              <w:bottom w:val="single" w:sz="4" w:space="0" w:color="auto"/>
              <w:right w:val="single" w:sz="4" w:space="0" w:color="auto"/>
            </w:tcBorders>
            <w:hideMark/>
          </w:tcPr>
          <w:p w14:paraId="4B18833B"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Mean ± SD = 52 ±10.2 (Range: 33-73) years</w:t>
            </w:r>
          </w:p>
        </w:tc>
        <w:tc>
          <w:tcPr>
            <w:tcW w:w="1134" w:type="dxa"/>
            <w:tcBorders>
              <w:top w:val="single" w:sz="4" w:space="0" w:color="auto"/>
              <w:left w:val="single" w:sz="4" w:space="0" w:color="auto"/>
              <w:bottom w:val="single" w:sz="4" w:space="0" w:color="auto"/>
              <w:right w:val="single" w:sz="4" w:space="0" w:color="auto"/>
            </w:tcBorders>
            <w:hideMark/>
          </w:tcPr>
          <w:p w14:paraId="066F408F"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599" w:type="dxa"/>
            <w:tcBorders>
              <w:top w:val="single" w:sz="4" w:space="0" w:color="auto"/>
              <w:left w:val="single" w:sz="4" w:space="0" w:color="auto"/>
              <w:bottom w:val="single" w:sz="4" w:space="0" w:color="auto"/>
              <w:right w:val="single" w:sz="4" w:space="0" w:color="auto"/>
            </w:tcBorders>
            <w:hideMark/>
          </w:tcPr>
          <w:p w14:paraId="750C646B"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980" w:type="dxa"/>
            <w:tcBorders>
              <w:top w:val="single" w:sz="4" w:space="0" w:color="auto"/>
              <w:left w:val="single" w:sz="4" w:space="0" w:color="auto"/>
              <w:bottom w:val="single" w:sz="4" w:space="0" w:color="auto"/>
              <w:right w:val="single" w:sz="4" w:space="0" w:color="auto"/>
            </w:tcBorders>
            <w:hideMark/>
          </w:tcPr>
          <w:p w14:paraId="77755F1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stated </w:t>
            </w:r>
          </w:p>
        </w:tc>
        <w:tc>
          <w:tcPr>
            <w:tcW w:w="1620" w:type="dxa"/>
            <w:tcBorders>
              <w:top w:val="single" w:sz="4" w:space="0" w:color="auto"/>
              <w:left w:val="single" w:sz="4" w:space="0" w:color="auto"/>
              <w:bottom w:val="single" w:sz="4" w:space="0" w:color="auto"/>
              <w:right w:val="single" w:sz="4" w:space="0" w:color="auto"/>
            </w:tcBorders>
            <w:hideMark/>
          </w:tcPr>
          <w:p w14:paraId="6CCE103B"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Before surgery, the mean </w:t>
            </w:r>
            <w:proofErr w:type="spellStart"/>
            <w:r>
              <w:rPr>
                <w:rFonts w:ascii="Times New Roman" w:hAnsi="Times New Roman" w:cs="Times New Roman"/>
                <w:sz w:val="16"/>
                <w:szCs w:val="16"/>
                <w:shd w:val="clear" w:color="auto" w:fill="FFFFFF"/>
                <w:lang w:val="en-US"/>
              </w:rPr>
              <w:t>logMAR</w:t>
            </w:r>
            <w:proofErr w:type="spellEnd"/>
            <w:r>
              <w:rPr>
                <w:rFonts w:ascii="Times New Roman" w:hAnsi="Times New Roman" w:cs="Times New Roman"/>
                <w:sz w:val="16"/>
                <w:szCs w:val="16"/>
                <w:shd w:val="clear" w:color="auto" w:fill="FFFFFF"/>
                <w:lang w:val="en-US"/>
              </w:rPr>
              <w:t xml:space="preserve"> BCVA had been 0.2, equivalent to a Snellen's VA of 0.63. The preoperative BCVA did not statistically differ between the two groups (p = 0.605). In 11 of the 22 cases (50%), a severe loss of BCVA was noted postoperatively for no apparent reason. The patients in the unusual vision loss group noted the deterioration of BCVA on average 12 weeks after surgery. In nine cases, the visual decline occurred while the SO was in-situ. Two patients noted visual decline about 2 weeks after SO removal when the transient air tamponade had dissolved. In the comparison group, two eyes had mild loss of BCVA (one to two lines) due to subtle intraretinal edema or secondary </w:t>
            </w:r>
            <w:r>
              <w:rPr>
                <w:rFonts w:ascii="Times New Roman" w:hAnsi="Times New Roman" w:cs="Times New Roman"/>
                <w:sz w:val="16"/>
                <w:szCs w:val="16"/>
                <w:shd w:val="clear" w:color="auto" w:fill="FFFFFF"/>
                <w:lang w:val="en-US"/>
              </w:rPr>
              <w:lastRenderedPageBreak/>
              <w:t xml:space="preserve">posterior capsule opacification, three eyes kept a stable BCVA, and the other six eyes showed improved BCVA at follow-up. After SO removal, mean </w:t>
            </w:r>
            <w:proofErr w:type="spellStart"/>
            <w:r>
              <w:rPr>
                <w:rFonts w:ascii="Times New Roman" w:hAnsi="Times New Roman" w:cs="Times New Roman"/>
                <w:sz w:val="16"/>
                <w:szCs w:val="16"/>
                <w:shd w:val="clear" w:color="auto" w:fill="FFFFFF"/>
                <w:lang w:val="en-US"/>
              </w:rPr>
              <w:t>logMAR</w:t>
            </w:r>
            <w:proofErr w:type="spellEnd"/>
            <w:r>
              <w:rPr>
                <w:rFonts w:ascii="Times New Roman" w:hAnsi="Times New Roman" w:cs="Times New Roman"/>
                <w:sz w:val="16"/>
                <w:szCs w:val="16"/>
                <w:shd w:val="clear" w:color="auto" w:fill="FFFFFF"/>
                <w:lang w:val="en-US"/>
              </w:rPr>
              <w:t xml:space="preserve"> BVCA in the unusual visual loss group was 1.0, equivalent to a Snellen's VA of 0.1, and 0.2 in the comparison group, equivalent to a Snellen's VA of 0.63.</w:t>
            </w:r>
          </w:p>
        </w:tc>
        <w:tc>
          <w:tcPr>
            <w:tcW w:w="1350" w:type="dxa"/>
            <w:tcBorders>
              <w:top w:val="single" w:sz="4" w:space="0" w:color="auto"/>
              <w:left w:val="single" w:sz="4" w:space="0" w:color="auto"/>
              <w:bottom w:val="single" w:sz="4" w:space="0" w:color="auto"/>
              <w:right w:val="single" w:sz="4" w:space="0" w:color="auto"/>
            </w:tcBorders>
            <w:hideMark/>
          </w:tcPr>
          <w:p w14:paraId="385192A8"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 xml:space="preserve">Not stated </w:t>
            </w:r>
          </w:p>
        </w:tc>
        <w:tc>
          <w:tcPr>
            <w:tcW w:w="1814" w:type="dxa"/>
            <w:tcBorders>
              <w:top w:val="single" w:sz="4" w:space="0" w:color="auto"/>
              <w:left w:val="single" w:sz="4" w:space="0" w:color="auto"/>
              <w:bottom w:val="single" w:sz="4" w:space="0" w:color="auto"/>
              <w:right w:val="single" w:sz="4" w:space="0" w:color="auto"/>
            </w:tcBorders>
            <w:hideMark/>
          </w:tcPr>
          <w:p w14:paraId="2C740E2D"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843" w:type="dxa"/>
            <w:tcBorders>
              <w:top w:val="single" w:sz="4" w:space="0" w:color="auto"/>
              <w:left w:val="single" w:sz="4" w:space="0" w:color="auto"/>
              <w:bottom w:val="single" w:sz="4" w:space="0" w:color="auto"/>
              <w:right w:val="single" w:sz="4" w:space="0" w:color="auto"/>
            </w:tcBorders>
            <w:hideMark/>
          </w:tcPr>
          <w:p w14:paraId="7B509156"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In this case series, the unexplained visual loss was 50% using SO tamponade. Vitreoretinal surgeons should thoroughly question the need for SO tamponade, inform their patients of possible unexplained visual loss and remove SO as early as possible</w:t>
            </w:r>
          </w:p>
        </w:tc>
      </w:tr>
      <w:tr w:rsidR="003A4529" w14:paraId="06D10368"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46B180BB"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Murtagh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2020  </w:t>
            </w:r>
            <w:sdt>
              <w:sdtPr>
                <w:rPr>
                  <w:rFonts w:ascii="Times New Roman" w:hAnsi="Times New Roman" w:cs="Times New Roman"/>
                  <w:sz w:val="16"/>
                  <w:szCs w:val="16"/>
                  <w:lang w:val="en-US"/>
                </w:rPr>
                <w:tag w:val="MENDELEY_CITATION_v3_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"/>
                <w:id w:val="733827937"/>
                <w:placeholder>
                  <w:docPart w:val="1551377B1557451685B97559A31D3A7D"/>
                </w:placeholder>
              </w:sdtPr>
              <w:sdtContent>
                <w:r>
                  <w:rPr>
                    <w:rFonts w:ascii="Times New Roman" w:hAnsi="Times New Roman" w:cs="Times New Roman"/>
                    <w:sz w:val="16"/>
                    <w:szCs w:val="16"/>
                    <w:lang w:val="en-US"/>
                  </w:rPr>
                  <w:t>[43]</w:t>
                </w:r>
              </w:sdtContent>
            </w:sdt>
          </w:p>
        </w:tc>
        <w:tc>
          <w:tcPr>
            <w:tcW w:w="856" w:type="dxa"/>
            <w:tcBorders>
              <w:top w:val="single" w:sz="4" w:space="0" w:color="auto"/>
              <w:left w:val="single" w:sz="4" w:space="0" w:color="auto"/>
              <w:bottom w:val="single" w:sz="4" w:space="0" w:color="auto"/>
              <w:right w:val="single" w:sz="4" w:space="0" w:color="auto"/>
            </w:tcBorders>
            <w:hideMark/>
          </w:tcPr>
          <w:p w14:paraId="22A46458" w14:textId="77777777" w:rsidR="003A4529" w:rsidRDefault="003A4529">
            <w:pPr>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Mean ± SD = 54.66 ± 15.29 (Range = 16-89) years</w:t>
            </w:r>
          </w:p>
        </w:tc>
        <w:tc>
          <w:tcPr>
            <w:tcW w:w="1134" w:type="dxa"/>
            <w:tcBorders>
              <w:top w:val="single" w:sz="4" w:space="0" w:color="auto"/>
              <w:left w:val="single" w:sz="4" w:space="0" w:color="auto"/>
              <w:bottom w:val="single" w:sz="4" w:space="0" w:color="auto"/>
              <w:right w:val="single" w:sz="4" w:space="0" w:color="auto"/>
            </w:tcBorders>
          </w:tcPr>
          <w:p w14:paraId="17AA58B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82 patients (91.11%) had grade </w:t>
            </w:r>
            <w:proofErr w:type="gramStart"/>
            <w:r>
              <w:rPr>
                <w:rFonts w:ascii="Times New Roman" w:eastAsia="Times New Roman" w:hAnsi="Times New Roman" w:cs="Times New Roman"/>
                <w:sz w:val="16"/>
                <w:szCs w:val="16"/>
                <w:lang w:val="en-US"/>
              </w:rPr>
              <w:t>C</w:t>
            </w:r>
            <w:proofErr w:type="gramEnd"/>
          </w:p>
          <w:p w14:paraId="7D1A28A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PVR, two patients had grade B (2.22%) and six patients </w:t>
            </w:r>
            <w:proofErr w:type="gramStart"/>
            <w:r>
              <w:rPr>
                <w:rFonts w:ascii="Times New Roman" w:eastAsia="Times New Roman" w:hAnsi="Times New Roman" w:cs="Times New Roman"/>
                <w:sz w:val="16"/>
                <w:szCs w:val="16"/>
                <w:lang w:val="en-US"/>
              </w:rPr>
              <w:t>had</w:t>
            </w:r>
            <w:proofErr w:type="gramEnd"/>
          </w:p>
          <w:p w14:paraId="6F96E6D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grade A or early PVR (6.67%). </w:t>
            </w:r>
          </w:p>
          <w:p w14:paraId="0B227AE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p w14:paraId="44D2D88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14.7% of the total 613 eyes were presented with PVR. </w:t>
            </w:r>
          </w:p>
          <w:p w14:paraId="67CA55C3"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599" w:type="dxa"/>
            <w:tcBorders>
              <w:top w:val="single" w:sz="4" w:space="0" w:color="auto"/>
              <w:left w:val="single" w:sz="4" w:space="0" w:color="auto"/>
              <w:bottom w:val="single" w:sz="4" w:space="0" w:color="auto"/>
              <w:right w:val="single" w:sz="4" w:space="0" w:color="auto"/>
            </w:tcBorders>
            <w:hideMark/>
          </w:tcPr>
          <w:p w14:paraId="5849110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PAS was defined as</w:t>
            </w:r>
          </w:p>
          <w:p w14:paraId="061FF93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the retina being documented as flat at six months post </w:t>
            </w:r>
            <w:proofErr w:type="gramStart"/>
            <w:r>
              <w:rPr>
                <w:rFonts w:ascii="Times New Roman" w:eastAsia="Times New Roman" w:hAnsi="Times New Roman" w:cs="Times New Roman"/>
                <w:sz w:val="16"/>
                <w:szCs w:val="16"/>
                <w:lang w:val="en-US"/>
              </w:rPr>
              <w:t>procedure</w:t>
            </w:r>
            <w:proofErr w:type="gramEnd"/>
          </w:p>
          <w:p w14:paraId="13A77BA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(Under SO or otherwise) by fundus examination by using a slit lamp and a Volk lens and/or binocular indirect ophthalmoscopy and no further retinal surgical intervention for </w:t>
            </w:r>
            <w:proofErr w:type="gramStart"/>
            <w:r>
              <w:rPr>
                <w:rFonts w:ascii="Times New Roman" w:eastAsia="Times New Roman" w:hAnsi="Times New Roman" w:cs="Times New Roman"/>
                <w:sz w:val="16"/>
                <w:szCs w:val="16"/>
                <w:lang w:val="en-US"/>
              </w:rPr>
              <w:t>detachment</w:t>
            </w:r>
            <w:proofErr w:type="gramEnd"/>
          </w:p>
          <w:p w14:paraId="1B3EBD7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during that 6-month period. Visual success was defined as a gain of </w:t>
            </w:r>
            <w:proofErr w:type="gramStart"/>
            <w:r>
              <w:rPr>
                <w:rFonts w:ascii="Times New Roman" w:eastAsia="Times New Roman" w:hAnsi="Times New Roman" w:cs="Times New Roman"/>
                <w:sz w:val="16"/>
                <w:szCs w:val="16"/>
                <w:lang w:val="en-US"/>
              </w:rPr>
              <w:t>greater</w:t>
            </w:r>
            <w:proofErr w:type="gramEnd"/>
          </w:p>
          <w:p w14:paraId="50F80A6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than 0.3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units (the equivalent of three Snellen acuity</w:t>
            </w:r>
          </w:p>
          <w:p w14:paraId="56B3C86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lines) or a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of 0.3 or better at six months post procedure. </w:t>
            </w:r>
          </w:p>
        </w:tc>
        <w:tc>
          <w:tcPr>
            <w:tcW w:w="1980" w:type="dxa"/>
            <w:tcBorders>
              <w:top w:val="single" w:sz="4" w:space="0" w:color="auto"/>
              <w:left w:val="single" w:sz="4" w:space="0" w:color="auto"/>
              <w:bottom w:val="single" w:sz="4" w:space="0" w:color="auto"/>
              <w:right w:val="single" w:sz="4" w:space="0" w:color="auto"/>
            </w:tcBorders>
            <w:hideMark/>
          </w:tcPr>
          <w:p w14:paraId="4A1C70C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A mean PAS rate of 88.58% (543 out of 613</w:t>
            </w:r>
          </w:p>
          <w:p w14:paraId="401FA68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eyes) was recorded across all procedures with 70 </w:t>
            </w:r>
            <w:proofErr w:type="gramStart"/>
            <w:r>
              <w:rPr>
                <w:rFonts w:ascii="Times New Roman" w:eastAsia="Times New Roman" w:hAnsi="Times New Roman" w:cs="Times New Roman"/>
                <w:sz w:val="16"/>
                <w:szCs w:val="16"/>
                <w:lang w:val="en-US"/>
              </w:rPr>
              <w:t>eyes</w:t>
            </w:r>
            <w:proofErr w:type="gramEnd"/>
          </w:p>
          <w:p w14:paraId="1944B59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roofErr w:type="spellStart"/>
            <w:r>
              <w:rPr>
                <w:rFonts w:ascii="Times New Roman" w:eastAsia="Times New Roman" w:hAnsi="Times New Roman" w:cs="Times New Roman"/>
                <w:sz w:val="16"/>
                <w:szCs w:val="16"/>
                <w:lang w:val="en-US"/>
              </w:rPr>
              <w:t>redetaching</w:t>
            </w:r>
            <w:proofErr w:type="spellEnd"/>
            <w:r>
              <w:rPr>
                <w:rFonts w:ascii="Times New Roman" w:eastAsia="Times New Roman" w:hAnsi="Times New Roman" w:cs="Times New Roman"/>
                <w:sz w:val="16"/>
                <w:szCs w:val="16"/>
                <w:lang w:val="en-US"/>
              </w:rPr>
              <w:t xml:space="preserve"> in the </w:t>
            </w:r>
            <w:proofErr w:type="gramStart"/>
            <w:r>
              <w:rPr>
                <w:rFonts w:ascii="Times New Roman" w:eastAsia="Times New Roman" w:hAnsi="Times New Roman" w:cs="Times New Roman"/>
                <w:sz w:val="16"/>
                <w:szCs w:val="16"/>
                <w:lang w:val="en-US"/>
              </w:rPr>
              <w:t>six month</w:t>
            </w:r>
            <w:proofErr w:type="gramEnd"/>
            <w:r>
              <w:rPr>
                <w:rFonts w:ascii="Times New Roman" w:eastAsia="Times New Roman" w:hAnsi="Times New Roman" w:cs="Times New Roman"/>
                <w:sz w:val="16"/>
                <w:szCs w:val="16"/>
                <w:lang w:val="en-US"/>
              </w:rPr>
              <w:t xml:space="preserve"> postoperative period. Of these,</w:t>
            </w:r>
          </w:p>
          <w:p w14:paraId="7BF7BAF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54 (77.14% of total </w:t>
            </w:r>
            <w:proofErr w:type="spellStart"/>
            <w:r>
              <w:rPr>
                <w:rFonts w:ascii="Times New Roman" w:eastAsia="Times New Roman" w:hAnsi="Times New Roman" w:cs="Times New Roman"/>
                <w:sz w:val="16"/>
                <w:szCs w:val="16"/>
                <w:lang w:val="en-US"/>
              </w:rPr>
              <w:t>redetachments</w:t>
            </w:r>
            <w:proofErr w:type="spellEnd"/>
            <w:r>
              <w:rPr>
                <w:rFonts w:ascii="Times New Roman" w:eastAsia="Times New Roman" w:hAnsi="Times New Roman" w:cs="Times New Roman"/>
                <w:sz w:val="16"/>
                <w:szCs w:val="16"/>
                <w:lang w:val="en-US"/>
              </w:rPr>
              <w:t xml:space="preserve"> and 16.31% of total PPV</w:t>
            </w:r>
          </w:p>
          <w:p w14:paraId="69CDB19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cohort) had a primary PPV, nine (12.86% of </w:t>
            </w:r>
            <w:proofErr w:type="spellStart"/>
            <w:r>
              <w:rPr>
                <w:rFonts w:ascii="Times New Roman" w:eastAsia="Times New Roman" w:hAnsi="Times New Roman" w:cs="Times New Roman"/>
                <w:sz w:val="16"/>
                <w:szCs w:val="16"/>
                <w:lang w:val="en-US"/>
              </w:rPr>
              <w:t>redetachments</w:t>
            </w:r>
            <w:proofErr w:type="spellEnd"/>
            <w:r>
              <w:rPr>
                <w:rFonts w:ascii="Times New Roman" w:eastAsia="Times New Roman" w:hAnsi="Times New Roman" w:cs="Times New Roman"/>
                <w:sz w:val="16"/>
                <w:szCs w:val="16"/>
                <w:lang w:val="en-US"/>
              </w:rPr>
              <w:t xml:space="preserve"> and</w:t>
            </w:r>
          </w:p>
          <w:p w14:paraId="132399F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6.98% of total SB cohort) were SB and seven (10% of </w:t>
            </w:r>
            <w:proofErr w:type="spellStart"/>
            <w:r>
              <w:rPr>
                <w:rFonts w:ascii="Times New Roman" w:eastAsia="Times New Roman" w:hAnsi="Times New Roman" w:cs="Times New Roman"/>
                <w:sz w:val="16"/>
                <w:szCs w:val="16"/>
                <w:lang w:val="en-US"/>
              </w:rPr>
              <w:t>redetachments</w:t>
            </w:r>
            <w:proofErr w:type="spellEnd"/>
            <w:r>
              <w:rPr>
                <w:rFonts w:ascii="Times New Roman" w:eastAsia="Times New Roman" w:hAnsi="Times New Roman" w:cs="Times New Roman"/>
                <w:sz w:val="16"/>
                <w:szCs w:val="16"/>
                <w:lang w:val="en-US"/>
              </w:rPr>
              <w:t xml:space="preserve"> and 4.67% of total PPV-SB cohort) </w:t>
            </w:r>
            <w:proofErr w:type="gramStart"/>
            <w:r>
              <w:rPr>
                <w:rFonts w:ascii="Times New Roman" w:eastAsia="Times New Roman" w:hAnsi="Times New Roman" w:cs="Times New Roman"/>
                <w:sz w:val="16"/>
                <w:szCs w:val="16"/>
                <w:lang w:val="en-US"/>
              </w:rPr>
              <w:t>were</w:t>
            </w:r>
            <w:proofErr w:type="gramEnd"/>
          </w:p>
          <w:p w14:paraId="57D59E7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PPV-SB. The FAS rate with SO removed in</w:t>
            </w:r>
          </w:p>
          <w:p w14:paraId="392C6AD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this cohort is 90.6%.</w:t>
            </w:r>
          </w:p>
        </w:tc>
        <w:tc>
          <w:tcPr>
            <w:tcW w:w="1620" w:type="dxa"/>
            <w:tcBorders>
              <w:top w:val="single" w:sz="4" w:space="0" w:color="auto"/>
              <w:left w:val="single" w:sz="4" w:space="0" w:color="auto"/>
              <w:bottom w:val="single" w:sz="4" w:space="0" w:color="auto"/>
              <w:right w:val="single" w:sz="4" w:space="0" w:color="auto"/>
            </w:tcBorders>
          </w:tcPr>
          <w:p w14:paraId="780B4B0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Presenting VA was recorded for 601 of the </w:t>
            </w:r>
            <w:proofErr w:type="gramStart"/>
            <w:r>
              <w:rPr>
                <w:rFonts w:ascii="Times New Roman" w:eastAsia="Times New Roman" w:hAnsi="Times New Roman" w:cs="Times New Roman"/>
                <w:sz w:val="16"/>
                <w:szCs w:val="16"/>
                <w:lang w:val="en-US"/>
              </w:rPr>
              <w:t>613</w:t>
            </w:r>
            <w:proofErr w:type="gramEnd"/>
          </w:p>
          <w:p w14:paraId="644A9A6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eyes (failure to record by a junior doctor at presentation), with</w:t>
            </w:r>
          </w:p>
          <w:p w14:paraId="1D12E85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a median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BCVA of 1 and a mean of 1.16. At six months post RD surgery, the mean</w:t>
            </w:r>
          </w:p>
          <w:p w14:paraId="796839E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VA was 0.63 and the median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VA was 0.5. In total, 71.71% of eyes achieved visual success. This consisted of 189 eyes that had a final VA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of 0.3 or better and 242 that gained 0.3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or greater. Of</w:t>
            </w:r>
          </w:p>
          <w:p w14:paraId="2E824D2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the 23-g sclerostomy group, 86.53% (n = 212 out of 245 eyes) </w:t>
            </w:r>
            <w:r>
              <w:rPr>
                <w:rFonts w:ascii="Times New Roman" w:eastAsia="Times New Roman" w:hAnsi="Times New Roman" w:cs="Times New Roman"/>
                <w:sz w:val="16"/>
                <w:szCs w:val="16"/>
                <w:lang w:val="en-US"/>
              </w:rPr>
              <w:lastRenderedPageBreak/>
              <w:t>achieved anatomical success while in the 20-g group, 88.28% achieved anatomical success (n = 211 out of 239 eyes).</w:t>
            </w:r>
          </w:p>
          <w:p w14:paraId="57D5A85A"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350" w:type="dxa"/>
            <w:tcBorders>
              <w:top w:val="single" w:sz="4" w:space="0" w:color="auto"/>
              <w:left w:val="single" w:sz="4" w:space="0" w:color="auto"/>
              <w:bottom w:val="single" w:sz="4" w:space="0" w:color="auto"/>
              <w:right w:val="single" w:sz="4" w:space="0" w:color="auto"/>
            </w:tcBorders>
          </w:tcPr>
          <w:p w14:paraId="3AA87BD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 xml:space="preserve">A perioperative complication was recorded in 18 (2.94%) of the patients: raised postoperative IOP (eight cases, 1.3%), </w:t>
            </w:r>
            <w:proofErr w:type="gramStart"/>
            <w:r>
              <w:rPr>
                <w:rFonts w:ascii="Times New Roman" w:eastAsia="Times New Roman" w:hAnsi="Times New Roman" w:cs="Times New Roman"/>
                <w:sz w:val="16"/>
                <w:szCs w:val="16"/>
                <w:lang w:val="en-US"/>
              </w:rPr>
              <w:t>iatrogenic</w:t>
            </w:r>
            <w:proofErr w:type="gramEnd"/>
          </w:p>
          <w:p w14:paraId="6CA36CD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tears (four cases, 0.7%), limited suprachoroidal hemorrhage (two cases, 0.3%), aborted SB (two cases, 0.3%), and exposed suture causing irritation </w:t>
            </w:r>
            <w:proofErr w:type="gramStart"/>
            <w:r>
              <w:rPr>
                <w:rFonts w:ascii="Times New Roman" w:eastAsia="Times New Roman" w:hAnsi="Times New Roman" w:cs="Times New Roman"/>
                <w:sz w:val="16"/>
                <w:szCs w:val="16"/>
                <w:lang w:val="en-US"/>
              </w:rPr>
              <w:t>which</w:t>
            </w:r>
            <w:proofErr w:type="gramEnd"/>
          </w:p>
          <w:p w14:paraId="5494A6B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required intervention (two cases, 0.3%)</w:t>
            </w:r>
          </w:p>
          <w:p w14:paraId="65CB9B8E" w14:textId="77777777" w:rsidR="003A4529" w:rsidRDefault="003A4529">
            <w:pPr>
              <w:spacing w:line="276" w:lineRule="auto"/>
              <w:rPr>
                <w:rFonts w:ascii="Times New Roman" w:hAnsi="Times New Roman" w:cs="Times New Roman"/>
                <w:sz w:val="16"/>
                <w:szCs w:val="16"/>
                <w:shd w:val="clear" w:color="auto" w:fill="FFFFFF"/>
                <w:lang w:val="en-US"/>
              </w:rPr>
            </w:pPr>
          </w:p>
        </w:tc>
        <w:tc>
          <w:tcPr>
            <w:tcW w:w="1814" w:type="dxa"/>
            <w:tcBorders>
              <w:top w:val="single" w:sz="4" w:space="0" w:color="auto"/>
              <w:left w:val="single" w:sz="4" w:space="0" w:color="auto"/>
              <w:bottom w:val="single" w:sz="4" w:space="0" w:color="auto"/>
              <w:right w:val="single" w:sz="4" w:space="0" w:color="auto"/>
            </w:tcBorders>
            <w:hideMark/>
          </w:tcPr>
          <w:p w14:paraId="4F1B8CD2"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Parameters recorded were the laterality of surgery, gender of the patient, duration of symptoms, age of patient, macular attachment status at presentation,</w:t>
            </w:r>
          </w:p>
          <w:p w14:paraId="6EF64641"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VA at presentation, location of the retinal breaks or tears, number of clock hours of retina involved in the detachment, type of procedure undertaken, type of anesthesia administered (local or general), length of stay in hospital, perioperative complications, previous cataract surgery, history of trauma, high myopia (AL recorded as greater than 24 mm) and the surgical and visual outcome of the patients </w:t>
            </w:r>
            <w:r>
              <w:rPr>
                <w:rFonts w:ascii="Times New Roman" w:hAnsi="Times New Roman" w:cs="Times New Roman"/>
                <w:sz w:val="16"/>
                <w:szCs w:val="16"/>
                <w:shd w:val="clear" w:color="auto" w:fill="FFFFFF"/>
                <w:lang w:val="en-US"/>
              </w:rPr>
              <w:lastRenderedPageBreak/>
              <w:t>at six months post procedure.</w:t>
            </w:r>
          </w:p>
        </w:tc>
        <w:tc>
          <w:tcPr>
            <w:tcW w:w="1843" w:type="dxa"/>
            <w:tcBorders>
              <w:top w:val="single" w:sz="4" w:space="0" w:color="auto"/>
              <w:left w:val="single" w:sz="4" w:space="0" w:color="auto"/>
              <w:bottom w:val="single" w:sz="4" w:space="0" w:color="auto"/>
              <w:right w:val="single" w:sz="4" w:space="0" w:color="auto"/>
            </w:tcBorders>
          </w:tcPr>
          <w:p w14:paraId="78F2100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 xml:space="preserve">Surgical techniques utilized are </w:t>
            </w:r>
            <w:proofErr w:type="gramStart"/>
            <w:r>
              <w:rPr>
                <w:rFonts w:ascii="Times New Roman" w:eastAsia="Times New Roman" w:hAnsi="Times New Roman" w:cs="Times New Roman"/>
                <w:sz w:val="16"/>
                <w:szCs w:val="16"/>
                <w:lang w:val="en-US"/>
              </w:rPr>
              <w:t>also</w:t>
            </w:r>
            <w:proofErr w:type="gramEnd"/>
          </w:p>
          <w:p w14:paraId="795D5293"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in line with international reports.</w:t>
            </w:r>
          </w:p>
          <w:p w14:paraId="0C35CB9D" w14:textId="77777777" w:rsidR="003A4529" w:rsidRDefault="003A4529">
            <w:pPr>
              <w:spacing w:line="276" w:lineRule="auto"/>
              <w:rPr>
                <w:rFonts w:ascii="Times New Roman" w:hAnsi="Times New Roman" w:cs="Times New Roman"/>
                <w:sz w:val="16"/>
                <w:szCs w:val="16"/>
                <w:shd w:val="clear" w:color="auto" w:fill="FFFFFF"/>
                <w:lang w:val="en-US"/>
              </w:rPr>
            </w:pPr>
          </w:p>
        </w:tc>
      </w:tr>
      <w:tr w:rsidR="003A4529" w14:paraId="6FD2952D"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1B7C5731"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Al-Wadani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2014  </w:t>
            </w:r>
            <w:sdt>
              <w:sdtPr>
                <w:rPr>
                  <w:rFonts w:ascii="Times New Roman" w:hAnsi="Times New Roman" w:cs="Times New Roman"/>
                  <w:sz w:val="16"/>
                  <w:szCs w:val="16"/>
                  <w:lang w:val="en-US"/>
                </w:rPr>
                <w:tag w:val="MENDELEY_CITATION_v3_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"/>
                <w:id w:val="-846865990"/>
                <w:placeholder>
                  <w:docPart w:val="1551377B1557451685B97559A31D3A7D"/>
                </w:placeholder>
              </w:sdtPr>
              <w:sdtContent>
                <w:r>
                  <w:rPr>
                    <w:rFonts w:ascii="Times New Roman" w:hAnsi="Times New Roman" w:cs="Times New Roman"/>
                    <w:sz w:val="16"/>
                    <w:szCs w:val="16"/>
                    <w:lang w:val="en-US"/>
                  </w:rPr>
                  <w:t>[44]</w:t>
                </w:r>
              </w:sdtContent>
            </w:sdt>
          </w:p>
        </w:tc>
        <w:tc>
          <w:tcPr>
            <w:tcW w:w="856" w:type="dxa"/>
            <w:tcBorders>
              <w:top w:val="single" w:sz="4" w:space="0" w:color="auto"/>
              <w:left w:val="single" w:sz="4" w:space="0" w:color="auto"/>
              <w:bottom w:val="single" w:sz="4" w:space="0" w:color="auto"/>
              <w:right w:val="single" w:sz="4" w:space="0" w:color="auto"/>
            </w:tcBorders>
          </w:tcPr>
          <w:p w14:paraId="0C29C54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 xml:space="preserve">Mean ± SD = </w:t>
            </w:r>
            <w:r>
              <w:rPr>
                <w:rFonts w:ascii="Times New Roman" w:eastAsia="Times New Roman" w:hAnsi="Times New Roman" w:cs="Times New Roman"/>
                <w:sz w:val="16"/>
                <w:szCs w:val="16"/>
                <w:lang w:val="en-US"/>
              </w:rPr>
              <w:t>35.8 ± 8.7 (Range =</w:t>
            </w:r>
          </w:p>
          <w:p w14:paraId="3982CDE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Four –80) years</w:t>
            </w:r>
          </w:p>
          <w:p w14:paraId="6A22C45A" w14:textId="77777777" w:rsidR="003A4529" w:rsidRDefault="003A4529">
            <w:pPr>
              <w:spacing w:line="276" w:lineRule="auto"/>
              <w:rPr>
                <w:rFonts w:ascii="Times New Roman" w:hAnsi="Times New Roman" w:cs="Times New Roman"/>
                <w:sz w:val="16"/>
                <w:szCs w:val="16"/>
                <w:shd w:val="clear" w:color="auto" w:fill="FFFFFF"/>
                <w:lang w:val="en-US"/>
              </w:rPr>
            </w:pPr>
          </w:p>
        </w:tc>
        <w:tc>
          <w:tcPr>
            <w:tcW w:w="1134" w:type="dxa"/>
            <w:tcBorders>
              <w:top w:val="single" w:sz="4" w:space="0" w:color="auto"/>
              <w:left w:val="single" w:sz="4" w:space="0" w:color="auto"/>
              <w:bottom w:val="single" w:sz="4" w:space="0" w:color="auto"/>
              <w:right w:val="single" w:sz="4" w:space="0" w:color="auto"/>
            </w:tcBorders>
            <w:hideMark/>
          </w:tcPr>
          <w:p w14:paraId="52D3A6EE"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56 (30.4%) eyes </w:t>
            </w:r>
          </w:p>
        </w:tc>
        <w:tc>
          <w:tcPr>
            <w:tcW w:w="1599" w:type="dxa"/>
            <w:tcBorders>
              <w:top w:val="single" w:sz="4" w:space="0" w:color="auto"/>
              <w:left w:val="single" w:sz="4" w:space="0" w:color="auto"/>
              <w:bottom w:val="single" w:sz="4" w:space="0" w:color="auto"/>
              <w:right w:val="single" w:sz="4" w:space="0" w:color="auto"/>
            </w:tcBorders>
          </w:tcPr>
          <w:p w14:paraId="1CB7EA6E"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FAS was defined as complete retinal reattachment at the end of the follow-up period. </w:t>
            </w:r>
          </w:p>
          <w:p w14:paraId="56A93C0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980" w:type="dxa"/>
            <w:tcBorders>
              <w:top w:val="single" w:sz="4" w:space="0" w:color="auto"/>
              <w:left w:val="single" w:sz="4" w:space="0" w:color="auto"/>
              <w:bottom w:val="single" w:sz="4" w:space="0" w:color="auto"/>
              <w:right w:val="single" w:sz="4" w:space="0" w:color="auto"/>
            </w:tcBorders>
          </w:tcPr>
          <w:p w14:paraId="356FB52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The retina remained attached after SO removal in 178 of the 184 eyes (96.73 %) included in the study. The retina detached after SO removal in six eyes that were operated </w:t>
            </w:r>
            <w:proofErr w:type="gramStart"/>
            <w:r>
              <w:rPr>
                <w:rFonts w:ascii="Times New Roman" w:eastAsia="Times New Roman" w:hAnsi="Times New Roman" w:cs="Times New Roman"/>
                <w:sz w:val="16"/>
                <w:szCs w:val="16"/>
                <w:lang w:val="en-US"/>
              </w:rPr>
              <w:t>on</w:t>
            </w:r>
            <w:proofErr w:type="gramEnd"/>
          </w:p>
          <w:p w14:paraId="1984606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for RRD. Recurrence of RRD was observed at one, two, four, five, 13, and 28 months after SO removal. The FAS rate in eyes that underwent relaxing retinotomy was 88.3 % (38 out of 43 eyes).</w:t>
            </w:r>
          </w:p>
          <w:p w14:paraId="0672DF6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620" w:type="dxa"/>
            <w:tcBorders>
              <w:top w:val="single" w:sz="4" w:space="0" w:color="auto"/>
              <w:left w:val="single" w:sz="4" w:space="0" w:color="auto"/>
              <w:bottom w:val="single" w:sz="4" w:space="0" w:color="auto"/>
              <w:right w:val="single" w:sz="4" w:space="0" w:color="auto"/>
            </w:tcBorders>
          </w:tcPr>
          <w:p w14:paraId="7FF05A2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The data for the VA of 10 patients with RRD was missing. Among eyes with RRD that had data for final visual acuity, 84 out of 140 eyes (60 %) achieved final VA of 20/200. </w:t>
            </w:r>
          </w:p>
          <w:p w14:paraId="42BFD38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350" w:type="dxa"/>
            <w:tcBorders>
              <w:top w:val="single" w:sz="4" w:space="0" w:color="auto"/>
              <w:left w:val="single" w:sz="4" w:space="0" w:color="auto"/>
              <w:bottom w:val="single" w:sz="4" w:space="0" w:color="auto"/>
              <w:right w:val="single" w:sz="4" w:space="0" w:color="auto"/>
            </w:tcBorders>
          </w:tcPr>
          <w:p w14:paraId="5421B20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The cause of the</w:t>
            </w:r>
          </w:p>
          <w:p w14:paraId="2BB7E9A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roofErr w:type="spellStart"/>
            <w:r>
              <w:rPr>
                <w:rFonts w:ascii="Times New Roman" w:eastAsia="Times New Roman" w:hAnsi="Times New Roman" w:cs="Times New Roman"/>
                <w:sz w:val="16"/>
                <w:szCs w:val="16"/>
                <w:lang w:val="en-US"/>
              </w:rPr>
              <w:t>redetachment</w:t>
            </w:r>
            <w:proofErr w:type="spellEnd"/>
            <w:r>
              <w:rPr>
                <w:rFonts w:ascii="Times New Roman" w:eastAsia="Times New Roman" w:hAnsi="Times New Roman" w:cs="Times New Roman"/>
                <w:sz w:val="16"/>
                <w:szCs w:val="16"/>
                <w:lang w:val="en-US"/>
              </w:rPr>
              <w:t xml:space="preserve"> in the first five eyes was the development of severe posterior PVR.</w:t>
            </w:r>
          </w:p>
          <w:p w14:paraId="498A573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814" w:type="dxa"/>
            <w:tcBorders>
              <w:top w:val="single" w:sz="4" w:space="0" w:color="auto"/>
              <w:left w:val="single" w:sz="4" w:space="0" w:color="auto"/>
              <w:bottom w:val="single" w:sz="4" w:space="0" w:color="auto"/>
              <w:right w:val="single" w:sz="4" w:space="0" w:color="auto"/>
            </w:tcBorders>
            <w:hideMark/>
          </w:tcPr>
          <w:p w14:paraId="5B41E799"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843" w:type="dxa"/>
            <w:tcBorders>
              <w:top w:val="single" w:sz="4" w:space="0" w:color="auto"/>
              <w:left w:val="single" w:sz="4" w:space="0" w:color="auto"/>
              <w:bottom w:val="single" w:sz="4" w:space="0" w:color="auto"/>
              <w:right w:val="single" w:sz="4" w:space="0" w:color="auto"/>
            </w:tcBorders>
            <w:hideMark/>
          </w:tcPr>
          <w:p w14:paraId="0A5EBF03"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This study explains the advantages of SO removal.</w:t>
            </w:r>
          </w:p>
        </w:tc>
      </w:tr>
      <w:tr w:rsidR="003A4529" w14:paraId="072DD0FC"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7CB1DD4C" w14:textId="77777777" w:rsidR="003A4529" w:rsidRDefault="003A4529">
            <w:pPr>
              <w:spacing w:line="276" w:lineRule="auto"/>
              <w:rPr>
                <w:rFonts w:ascii="Times New Roman" w:hAnsi="Times New Roman" w:cs="Times New Roman"/>
                <w:sz w:val="16"/>
                <w:szCs w:val="16"/>
                <w:lang w:val="en-US"/>
              </w:rPr>
            </w:pPr>
            <w:proofErr w:type="spellStart"/>
            <w:r>
              <w:rPr>
                <w:rFonts w:ascii="Times New Roman" w:hAnsi="Times New Roman" w:cs="Times New Roman"/>
                <w:sz w:val="16"/>
                <w:szCs w:val="16"/>
                <w:lang w:val="en-US"/>
              </w:rPr>
              <w:t>Zanzottera</w:t>
            </w:r>
            <w:proofErr w:type="spellEnd"/>
            <w:r>
              <w:rPr>
                <w:rFonts w:ascii="Times New Roman" w:hAnsi="Times New Roman" w:cs="Times New Roman"/>
                <w:sz w:val="16"/>
                <w:szCs w:val="16"/>
                <w:lang w:val="en-US"/>
              </w:rPr>
              <w:t xml:space="preserve">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2022  </w:t>
            </w:r>
            <w:sdt>
              <w:sdtPr>
                <w:rPr>
                  <w:rFonts w:ascii="Times New Roman" w:hAnsi="Times New Roman" w:cs="Times New Roman"/>
                  <w:sz w:val="16"/>
                  <w:szCs w:val="16"/>
                  <w:lang w:val="en-US"/>
                </w:rPr>
                <w:tag w:val="MENDELEY_CITATION_v3_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"/>
                <w:id w:val="396953919"/>
                <w:placeholder>
                  <w:docPart w:val="1551377B1557451685B97559A31D3A7D"/>
                </w:placeholder>
              </w:sdtPr>
              <w:sdtContent>
                <w:r>
                  <w:rPr>
                    <w:rFonts w:ascii="Times New Roman" w:hAnsi="Times New Roman" w:cs="Times New Roman"/>
                    <w:sz w:val="16"/>
                    <w:szCs w:val="16"/>
                    <w:lang w:val="en-US"/>
                  </w:rPr>
                  <w:t>[45]</w:t>
                </w:r>
              </w:sdtContent>
            </w:sdt>
          </w:p>
        </w:tc>
        <w:tc>
          <w:tcPr>
            <w:tcW w:w="856" w:type="dxa"/>
            <w:tcBorders>
              <w:top w:val="single" w:sz="4" w:space="0" w:color="auto"/>
              <w:left w:val="single" w:sz="4" w:space="0" w:color="auto"/>
              <w:bottom w:val="single" w:sz="4" w:space="0" w:color="auto"/>
              <w:right w:val="single" w:sz="4" w:space="0" w:color="auto"/>
            </w:tcBorders>
            <w:hideMark/>
          </w:tcPr>
          <w:p w14:paraId="4E83B9D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Average = 56 (Range = 18–85) years</w:t>
            </w:r>
          </w:p>
        </w:tc>
        <w:tc>
          <w:tcPr>
            <w:tcW w:w="1134" w:type="dxa"/>
            <w:tcBorders>
              <w:top w:val="single" w:sz="4" w:space="0" w:color="auto"/>
              <w:left w:val="single" w:sz="4" w:space="0" w:color="auto"/>
              <w:bottom w:val="single" w:sz="4" w:space="0" w:color="auto"/>
              <w:right w:val="single" w:sz="4" w:space="0" w:color="auto"/>
            </w:tcBorders>
            <w:hideMark/>
          </w:tcPr>
          <w:p w14:paraId="2E7DA2C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15 (100%) eyes </w:t>
            </w:r>
          </w:p>
        </w:tc>
        <w:tc>
          <w:tcPr>
            <w:tcW w:w="1599" w:type="dxa"/>
            <w:tcBorders>
              <w:top w:val="single" w:sz="4" w:space="0" w:color="auto"/>
              <w:left w:val="single" w:sz="4" w:space="0" w:color="auto"/>
              <w:bottom w:val="single" w:sz="4" w:space="0" w:color="auto"/>
              <w:right w:val="single" w:sz="4" w:space="0" w:color="auto"/>
            </w:tcBorders>
            <w:hideMark/>
          </w:tcPr>
          <w:p w14:paraId="24DBA50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stated </w:t>
            </w:r>
          </w:p>
        </w:tc>
        <w:tc>
          <w:tcPr>
            <w:tcW w:w="1980" w:type="dxa"/>
            <w:tcBorders>
              <w:top w:val="single" w:sz="4" w:space="0" w:color="auto"/>
              <w:left w:val="single" w:sz="4" w:space="0" w:color="auto"/>
              <w:bottom w:val="single" w:sz="4" w:space="0" w:color="auto"/>
              <w:right w:val="single" w:sz="4" w:space="0" w:color="auto"/>
            </w:tcBorders>
            <w:hideMark/>
          </w:tcPr>
          <w:p w14:paraId="195708D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At the final examination (at one to 22 months), eleven patients (73%) had a retinal reattachment and four patients (27%) presented with early (within one month) recurrence of severe, inferior, or diffuse PVR and RD after PFCL/SO exchange.</w:t>
            </w:r>
          </w:p>
        </w:tc>
        <w:tc>
          <w:tcPr>
            <w:tcW w:w="1620" w:type="dxa"/>
            <w:tcBorders>
              <w:top w:val="single" w:sz="4" w:space="0" w:color="auto"/>
              <w:left w:val="single" w:sz="4" w:space="0" w:color="auto"/>
              <w:bottom w:val="single" w:sz="4" w:space="0" w:color="auto"/>
              <w:right w:val="single" w:sz="4" w:space="0" w:color="auto"/>
            </w:tcBorders>
            <w:hideMark/>
          </w:tcPr>
          <w:p w14:paraId="3AFAC6E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Preoperatively, the BCVA was CF, HM, or light LP in 13 eyes (86%), 20/400 in one eye, and 20/50 in one eye. At the final follow up visit (at four to 22 months), VA improved in six eyes (50%), remained stable in three eyes (25%</w:t>
            </w:r>
            <w:proofErr w:type="gramStart"/>
            <w:r>
              <w:rPr>
                <w:rFonts w:ascii="Times New Roman" w:hAnsi="Times New Roman" w:cs="Times New Roman"/>
                <w:sz w:val="16"/>
                <w:szCs w:val="16"/>
                <w:shd w:val="clear" w:color="auto" w:fill="FFFFFF"/>
                <w:lang w:val="en-US"/>
              </w:rPr>
              <w:t>)</w:t>
            </w:r>
            <w:proofErr w:type="gramEnd"/>
            <w:r>
              <w:rPr>
                <w:rFonts w:ascii="Times New Roman" w:hAnsi="Times New Roman" w:cs="Times New Roman"/>
                <w:sz w:val="16"/>
                <w:szCs w:val="16"/>
                <w:shd w:val="clear" w:color="auto" w:fill="FFFFFF"/>
                <w:lang w:val="en-US"/>
              </w:rPr>
              <w:t xml:space="preserve"> and decreased in three eyes (25%). BCVA was CF/HM/LP in four eyes (33%), 20/200 or less in four eyes (33%), and 20/50 or more in three eyes (25%). One eye turned blind</w:t>
            </w:r>
          </w:p>
        </w:tc>
        <w:tc>
          <w:tcPr>
            <w:tcW w:w="1350" w:type="dxa"/>
            <w:tcBorders>
              <w:top w:val="single" w:sz="4" w:space="0" w:color="auto"/>
              <w:left w:val="single" w:sz="4" w:space="0" w:color="auto"/>
              <w:bottom w:val="single" w:sz="4" w:space="0" w:color="auto"/>
              <w:right w:val="single" w:sz="4" w:space="0" w:color="auto"/>
            </w:tcBorders>
            <w:hideMark/>
          </w:tcPr>
          <w:p w14:paraId="41AE02A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Macula pucker (27%), severe hypotony (one case), PFCL emulsification (one case)</w:t>
            </w:r>
          </w:p>
        </w:tc>
        <w:tc>
          <w:tcPr>
            <w:tcW w:w="1814" w:type="dxa"/>
            <w:tcBorders>
              <w:top w:val="single" w:sz="4" w:space="0" w:color="auto"/>
              <w:left w:val="single" w:sz="4" w:space="0" w:color="auto"/>
              <w:bottom w:val="single" w:sz="4" w:space="0" w:color="auto"/>
              <w:right w:val="single" w:sz="4" w:space="0" w:color="auto"/>
            </w:tcBorders>
            <w:hideMark/>
          </w:tcPr>
          <w:p w14:paraId="4BA8C657"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843" w:type="dxa"/>
            <w:tcBorders>
              <w:top w:val="single" w:sz="4" w:space="0" w:color="auto"/>
              <w:left w:val="single" w:sz="4" w:space="0" w:color="auto"/>
              <w:bottom w:val="single" w:sz="4" w:space="0" w:color="auto"/>
              <w:right w:val="single" w:sz="4" w:space="0" w:color="auto"/>
            </w:tcBorders>
            <w:hideMark/>
          </w:tcPr>
          <w:p w14:paraId="24CDD33F"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In the management of complex RD, small-g PPV, and DF </w:t>
            </w:r>
            <w:proofErr w:type="spellStart"/>
            <w:r>
              <w:rPr>
                <w:rFonts w:ascii="Times New Roman" w:hAnsi="Times New Roman" w:cs="Times New Roman"/>
                <w:sz w:val="16"/>
                <w:szCs w:val="16"/>
                <w:shd w:val="clear" w:color="auto" w:fill="FFFFFF"/>
                <w:lang w:val="en-US"/>
              </w:rPr>
              <w:t>endotamponade</w:t>
            </w:r>
            <w:proofErr w:type="spellEnd"/>
            <w:r>
              <w:rPr>
                <w:rFonts w:ascii="Times New Roman" w:hAnsi="Times New Roman" w:cs="Times New Roman"/>
                <w:sz w:val="16"/>
                <w:szCs w:val="16"/>
                <w:shd w:val="clear" w:color="auto" w:fill="FFFFFF"/>
                <w:lang w:val="en-US"/>
              </w:rPr>
              <w:t xml:space="preserve"> using WAVS was a well-tolerated and effective technique to preserve VA and achieve anatomical success.</w:t>
            </w:r>
          </w:p>
        </w:tc>
      </w:tr>
      <w:tr w:rsidR="003A4529" w14:paraId="21F11DEC"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03B716C3"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lastRenderedPageBreak/>
              <w:t xml:space="preserve">Bai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2022  </w:t>
            </w:r>
            <w:sdt>
              <w:sdtPr>
                <w:rPr>
                  <w:rFonts w:ascii="Times New Roman" w:hAnsi="Times New Roman" w:cs="Times New Roman"/>
                  <w:sz w:val="16"/>
                  <w:szCs w:val="16"/>
                  <w:lang w:val="en-US"/>
                </w:rPr>
                <w:tag w:val="MENDELEY_CITATION_v3_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"/>
                <w:id w:val="-1232615013"/>
                <w:placeholder>
                  <w:docPart w:val="1551377B1557451685B97559A31D3A7D"/>
                </w:placeholder>
              </w:sdtPr>
              <w:sdtContent>
                <w:r>
                  <w:rPr>
                    <w:rFonts w:ascii="Times New Roman" w:hAnsi="Times New Roman" w:cs="Times New Roman"/>
                    <w:sz w:val="16"/>
                    <w:szCs w:val="16"/>
                    <w:lang w:val="en-US"/>
                  </w:rPr>
                  <w:t>[46]</w:t>
                </w:r>
              </w:sdtContent>
            </w:sdt>
          </w:p>
        </w:tc>
        <w:tc>
          <w:tcPr>
            <w:tcW w:w="856" w:type="dxa"/>
            <w:tcBorders>
              <w:top w:val="single" w:sz="4" w:space="0" w:color="auto"/>
              <w:left w:val="single" w:sz="4" w:space="0" w:color="auto"/>
              <w:bottom w:val="single" w:sz="4" w:space="0" w:color="auto"/>
              <w:right w:val="single" w:sz="4" w:space="0" w:color="auto"/>
            </w:tcBorders>
            <w:hideMark/>
          </w:tcPr>
          <w:p w14:paraId="21F0E7B2"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Mean ± SD = 49.82 ± 14.31 (Range = 14 – 82) years</w:t>
            </w:r>
          </w:p>
        </w:tc>
        <w:tc>
          <w:tcPr>
            <w:tcW w:w="1134" w:type="dxa"/>
            <w:tcBorders>
              <w:top w:val="single" w:sz="4" w:space="0" w:color="auto"/>
              <w:left w:val="single" w:sz="4" w:space="0" w:color="auto"/>
              <w:bottom w:val="single" w:sz="4" w:space="0" w:color="auto"/>
              <w:right w:val="single" w:sz="4" w:space="0" w:color="auto"/>
            </w:tcBorders>
          </w:tcPr>
          <w:p w14:paraId="31F55BA0"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285 eyes (89.1%) with PVR CP a-c, 145 eyes (45.3%) with PVR CA a-b. </w:t>
            </w:r>
          </w:p>
          <w:p w14:paraId="2CC8D94D"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p w14:paraId="30452016"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599" w:type="dxa"/>
            <w:tcBorders>
              <w:top w:val="single" w:sz="4" w:space="0" w:color="auto"/>
              <w:left w:val="single" w:sz="4" w:space="0" w:color="auto"/>
              <w:bottom w:val="single" w:sz="4" w:space="0" w:color="auto"/>
              <w:right w:val="single" w:sz="4" w:space="0" w:color="auto"/>
            </w:tcBorders>
            <w:hideMark/>
          </w:tcPr>
          <w:p w14:paraId="66ECBFE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The two types of retinal reattachment rates are PAS, which measures reattachment after the initial surgery, and FAS, which measures reattachment at the end of follow-up. The patients in the study had a fixed follow-up one week after the operation, but after that point, some patients did not visit the surgeon regularly. As a result, the data collected </w:t>
            </w:r>
            <w:proofErr w:type="gramStart"/>
            <w:r>
              <w:rPr>
                <w:rFonts w:ascii="Times New Roman" w:eastAsia="Times New Roman" w:hAnsi="Times New Roman" w:cs="Times New Roman"/>
                <w:sz w:val="16"/>
                <w:szCs w:val="16"/>
                <w:lang w:val="en-US"/>
              </w:rPr>
              <w:t>one week</w:t>
            </w:r>
            <w:proofErr w:type="gramEnd"/>
            <w:r>
              <w:rPr>
                <w:rFonts w:ascii="Times New Roman" w:eastAsia="Times New Roman" w:hAnsi="Times New Roman" w:cs="Times New Roman"/>
                <w:sz w:val="16"/>
                <w:szCs w:val="16"/>
                <w:lang w:val="en-US"/>
              </w:rPr>
              <w:t xml:space="preserve"> </w:t>
            </w:r>
            <w:proofErr w:type="spellStart"/>
            <w:r>
              <w:rPr>
                <w:rFonts w:ascii="Times New Roman" w:eastAsia="Times New Roman" w:hAnsi="Times New Roman" w:cs="Times New Roman"/>
                <w:sz w:val="16"/>
                <w:szCs w:val="16"/>
                <w:lang w:val="en-US"/>
              </w:rPr>
              <w:t>postsurgery</w:t>
            </w:r>
            <w:proofErr w:type="spellEnd"/>
            <w:r>
              <w:rPr>
                <w:rFonts w:ascii="Times New Roman" w:eastAsia="Times New Roman" w:hAnsi="Times New Roman" w:cs="Times New Roman"/>
                <w:sz w:val="16"/>
                <w:szCs w:val="16"/>
                <w:lang w:val="en-US"/>
              </w:rPr>
              <w:t xml:space="preserve"> was the most complete.</w:t>
            </w:r>
          </w:p>
        </w:tc>
        <w:tc>
          <w:tcPr>
            <w:tcW w:w="1980" w:type="dxa"/>
            <w:tcBorders>
              <w:top w:val="single" w:sz="4" w:space="0" w:color="auto"/>
              <w:left w:val="single" w:sz="4" w:space="0" w:color="auto"/>
              <w:bottom w:val="single" w:sz="4" w:space="0" w:color="auto"/>
              <w:right w:val="single" w:sz="4" w:space="0" w:color="auto"/>
            </w:tcBorders>
            <w:hideMark/>
          </w:tcPr>
          <w:p w14:paraId="238B3845"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Amongst the 320 eyes subjected to VWTPL, 305 (95.31%) had retinal reattachment immediately after the operation. Among the 15 eyes whose retina was not reattached immediately after VWTPL, five received a second VWTPL, which reattached the retina, whereas the other 10 eye cases refused a second VWTPL and remained unchanged until the last follow-up. All 22 eyes with retinal </w:t>
            </w:r>
            <w:proofErr w:type="spellStart"/>
            <w:r>
              <w:rPr>
                <w:rFonts w:ascii="Times New Roman" w:hAnsi="Times New Roman" w:cs="Times New Roman"/>
                <w:sz w:val="16"/>
                <w:szCs w:val="16"/>
                <w:shd w:val="clear" w:color="auto" w:fill="FFFFFF"/>
                <w:lang w:val="en-US"/>
              </w:rPr>
              <w:t>redetachment</w:t>
            </w:r>
            <w:proofErr w:type="spellEnd"/>
            <w:r>
              <w:rPr>
                <w:rFonts w:ascii="Times New Roman" w:hAnsi="Times New Roman" w:cs="Times New Roman"/>
                <w:sz w:val="16"/>
                <w:szCs w:val="16"/>
                <w:shd w:val="clear" w:color="auto" w:fill="FFFFFF"/>
                <w:lang w:val="en-US"/>
              </w:rPr>
              <w:t xml:space="preserve"> underwent a second VWTPL, which reattached the retina in 19 eyes, whereas three eyes were remained detached in situ. A total of 13 eyes had failed retinal reattachment. Except for the 27 lost eye cases, the FAS rate was 95.56% (280/293).</w:t>
            </w:r>
          </w:p>
        </w:tc>
        <w:tc>
          <w:tcPr>
            <w:tcW w:w="1620" w:type="dxa"/>
            <w:tcBorders>
              <w:top w:val="single" w:sz="4" w:space="0" w:color="auto"/>
              <w:left w:val="single" w:sz="4" w:space="0" w:color="auto"/>
              <w:bottom w:val="single" w:sz="4" w:space="0" w:color="auto"/>
              <w:right w:val="single" w:sz="4" w:space="0" w:color="auto"/>
            </w:tcBorders>
            <w:hideMark/>
          </w:tcPr>
          <w:p w14:paraId="2EFA74C0"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The 320 eyes showed better visual acuity than those before surgery, after one week of post-operative follow up (1.96 ± 1.07 vs. 1.43 ± 0.92, </w:t>
            </w:r>
            <w:proofErr w:type="spellStart"/>
            <w:r>
              <w:rPr>
                <w:rFonts w:ascii="Times New Roman" w:hAnsi="Times New Roman" w:cs="Times New Roman"/>
                <w:sz w:val="16"/>
                <w:szCs w:val="16"/>
                <w:shd w:val="clear" w:color="auto" w:fill="FFFFFF"/>
                <w:lang w:val="en-US"/>
              </w:rPr>
              <w:t>logMAR</w:t>
            </w:r>
            <w:proofErr w:type="spellEnd"/>
            <w:r>
              <w:rPr>
                <w:rFonts w:ascii="Times New Roman" w:hAnsi="Times New Roman" w:cs="Times New Roman"/>
                <w:sz w:val="16"/>
                <w:szCs w:val="16"/>
                <w:shd w:val="clear" w:color="auto" w:fill="FFFFFF"/>
                <w:lang w:val="en-US"/>
              </w:rPr>
              <w:t>).</w:t>
            </w:r>
          </w:p>
        </w:tc>
        <w:tc>
          <w:tcPr>
            <w:tcW w:w="1350" w:type="dxa"/>
            <w:tcBorders>
              <w:top w:val="single" w:sz="4" w:space="0" w:color="auto"/>
              <w:left w:val="single" w:sz="4" w:space="0" w:color="auto"/>
              <w:bottom w:val="single" w:sz="4" w:space="0" w:color="auto"/>
              <w:right w:val="single" w:sz="4" w:space="0" w:color="auto"/>
            </w:tcBorders>
            <w:hideMark/>
          </w:tcPr>
          <w:p w14:paraId="595DC0BE"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814" w:type="dxa"/>
            <w:tcBorders>
              <w:top w:val="single" w:sz="4" w:space="0" w:color="auto"/>
              <w:left w:val="single" w:sz="4" w:space="0" w:color="auto"/>
              <w:bottom w:val="single" w:sz="4" w:space="0" w:color="auto"/>
              <w:right w:val="single" w:sz="4" w:space="0" w:color="auto"/>
            </w:tcBorders>
            <w:hideMark/>
          </w:tcPr>
          <w:p w14:paraId="7CB80E70"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Postoperative VA showed that age, uveitis, recurrent RD, the number of detached retinal quadrant, PVR and preoperative </w:t>
            </w:r>
            <w:proofErr w:type="spellStart"/>
            <w:r>
              <w:rPr>
                <w:rFonts w:ascii="Times New Roman" w:hAnsi="Times New Roman" w:cs="Times New Roman"/>
                <w:sz w:val="16"/>
                <w:szCs w:val="16"/>
                <w:shd w:val="clear" w:color="auto" w:fill="FFFFFF"/>
                <w:lang w:val="en-US"/>
              </w:rPr>
              <w:t>logMAR</w:t>
            </w:r>
            <w:proofErr w:type="spellEnd"/>
            <w:r>
              <w:rPr>
                <w:rFonts w:ascii="Times New Roman" w:hAnsi="Times New Roman" w:cs="Times New Roman"/>
                <w:sz w:val="16"/>
                <w:szCs w:val="16"/>
                <w:shd w:val="clear" w:color="auto" w:fill="FFFFFF"/>
                <w:lang w:val="en-US"/>
              </w:rPr>
              <w:t xml:space="preserve"> VA correlated with VA one week after the operation. </w:t>
            </w:r>
          </w:p>
        </w:tc>
        <w:tc>
          <w:tcPr>
            <w:tcW w:w="1843" w:type="dxa"/>
            <w:tcBorders>
              <w:top w:val="single" w:sz="4" w:space="0" w:color="auto"/>
              <w:left w:val="single" w:sz="4" w:space="0" w:color="auto"/>
              <w:bottom w:val="single" w:sz="4" w:space="0" w:color="auto"/>
              <w:right w:val="single" w:sz="4" w:space="0" w:color="auto"/>
            </w:tcBorders>
            <w:hideMark/>
          </w:tcPr>
          <w:p w14:paraId="3C0EE196"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VWTPL is an effective and efficient surgical treatment for complicated retinal detachments</w:t>
            </w:r>
          </w:p>
        </w:tc>
      </w:tr>
      <w:tr w:rsidR="003A4529" w14:paraId="62139EA1"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3A15A5D3"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Quiroz-Reyes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2022  </w:t>
            </w:r>
            <w:sdt>
              <w:sdtPr>
                <w:rPr>
                  <w:rFonts w:ascii="Times New Roman" w:hAnsi="Times New Roman" w:cs="Times New Roman"/>
                  <w:sz w:val="16"/>
                  <w:szCs w:val="16"/>
                  <w:lang w:val="en-US"/>
                </w:rPr>
                <w:tag w:val="MENDELEY_CITATION_v3_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"/>
                <w:id w:val="1834021557"/>
                <w:placeholder>
                  <w:docPart w:val="8AD14C0D9D274B6FBE383E2E3A661263"/>
                </w:placeholder>
              </w:sdtPr>
              <w:sdtContent>
                <w:r>
                  <w:rPr>
                    <w:rFonts w:ascii="Times New Roman" w:hAnsi="Times New Roman" w:cs="Times New Roman"/>
                    <w:sz w:val="16"/>
                    <w:szCs w:val="16"/>
                    <w:lang w:val="en-US"/>
                  </w:rPr>
                  <w:t>[47]</w:t>
                </w:r>
              </w:sdtContent>
            </w:sdt>
          </w:p>
        </w:tc>
        <w:tc>
          <w:tcPr>
            <w:tcW w:w="856" w:type="dxa"/>
            <w:tcBorders>
              <w:top w:val="single" w:sz="4" w:space="0" w:color="auto"/>
              <w:left w:val="single" w:sz="4" w:space="0" w:color="auto"/>
              <w:bottom w:val="single" w:sz="4" w:space="0" w:color="auto"/>
              <w:right w:val="single" w:sz="4" w:space="0" w:color="auto"/>
            </w:tcBorders>
            <w:hideMark/>
          </w:tcPr>
          <w:p w14:paraId="6B87673E"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Mean ± SD = 43.0 ±13.0 (Range = 19–76) years</w:t>
            </w:r>
          </w:p>
        </w:tc>
        <w:tc>
          <w:tcPr>
            <w:tcW w:w="1134" w:type="dxa"/>
            <w:tcBorders>
              <w:top w:val="single" w:sz="4" w:space="0" w:color="auto"/>
              <w:left w:val="single" w:sz="4" w:space="0" w:color="auto"/>
              <w:bottom w:val="single" w:sz="4" w:space="0" w:color="auto"/>
              <w:right w:val="single" w:sz="4" w:space="0" w:color="auto"/>
            </w:tcBorders>
            <w:hideMark/>
          </w:tcPr>
          <w:p w14:paraId="44909C53"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17 (22.4%) eyes </w:t>
            </w:r>
          </w:p>
        </w:tc>
        <w:tc>
          <w:tcPr>
            <w:tcW w:w="1599" w:type="dxa"/>
            <w:tcBorders>
              <w:top w:val="single" w:sz="4" w:space="0" w:color="auto"/>
              <w:left w:val="single" w:sz="4" w:space="0" w:color="auto"/>
              <w:bottom w:val="single" w:sz="4" w:space="0" w:color="auto"/>
              <w:right w:val="single" w:sz="4" w:space="0" w:color="auto"/>
            </w:tcBorders>
            <w:hideMark/>
          </w:tcPr>
          <w:p w14:paraId="7AC9FE15"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Anatomic success was measured by SSAS, FAS or occurrence of final retinal reattachment regardless of the number of surgeries. Functional success was represented by a change in VA from baseline to the most recent follow-up.</w:t>
            </w:r>
          </w:p>
        </w:tc>
        <w:tc>
          <w:tcPr>
            <w:tcW w:w="1980" w:type="dxa"/>
            <w:tcBorders>
              <w:top w:val="single" w:sz="4" w:space="0" w:color="auto"/>
              <w:left w:val="single" w:sz="4" w:space="0" w:color="auto"/>
              <w:bottom w:val="single" w:sz="4" w:space="0" w:color="auto"/>
              <w:right w:val="single" w:sz="4" w:space="0" w:color="auto"/>
            </w:tcBorders>
            <w:hideMark/>
          </w:tcPr>
          <w:p w14:paraId="322554FB"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rPr>
              <w:t xml:space="preserve">Seventy-six eyes from 66 patients were included in the study. The clinical charts of consecutive patients diagnosed with GRT-related RRD who were surgically managed between January 2010 and January 2021 were </w:t>
            </w:r>
            <w:proofErr w:type="spellStart"/>
            <w:r>
              <w:rPr>
                <w:rFonts w:ascii="Times New Roman" w:hAnsi="Times New Roman" w:cs="Times New Roman"/>
                <w:sz w:val="16"/>
                <w:szCs w:val="16"/>
                <w:shd w:val="clear" w:color="auto" w:fill="FFFFFF"/>
              </w:rPr>
              <w:t>analyzed</w:t>
            </w:r>
            <w:proofErr w:type="spellEnd"/>
            <w:r>
              <w:rPr>
                <w:rFonts w:ascii="Times New Roman" w:hAnsi="Times New Roman" w:cs="Times New Roman"/>
                <w:sz w:val="16"/>
                <w:szCs w:val="16"/>
                <w:shd w:val="clear" w:color="auto" w:fill="FFFFFF"/>
              </w:rPr>
              <w:t xml:space="preserve">. Only eyes with the retina attached and functional vision on the patients' last postoperative evaluations, regardless of the number of surgical procedures needed, were included. All of them (100%) were treated with </w:t>
            </w:r>
            <w:r>
              <w:rPr>
                <w:rFonts w:ascii="Times New Roman" w:hAnsi="Times New Roman" w:cs="Times New Roman"/>
                <w:sz w:val="16"/>
                <w:szCs w:val="16"/>
                <w:shd w:val="clear" w:color="auto" w:fill="FFFFFF"/>
              </w:rPr>
              <w:lastRenderedPageBreak/>
              <w:t>the use of PFCL.</w:t>
            </w:r>
            <w:r>
              <w:rPr>
                <w:rFonts w:ascii="Segoe UI" w:eastAsiaTheme="minorHAnsi" w:hAnsi="Segoe UI" w:cs="Segoe UI"/>
                <w:spacing w:val="2"/>
                <w:sz w:val="26"/>
                <w:szCs w:val="26"/>
                <w:shd w:val="clear" w:color="auto" w:fill="F2F2F2"/>
              </w:rPr>
              <w:t xml:space="preserve"> </w:t>
            </w:r>
            <w:r>
              <w:rPr>
                <w:rFonts w:ascii="Times New Roman" w:hAnsi="Times New Roman" w:cs="Times New Roman"/>
                <w:sz w:val="16"/>
                <w:szCs w:val="16"/>
                <w:shd w:val="clear" w:color="auto" w:fill="FFFFFF"/>
              </w:rPr>
              <w:t>Five patients (6.6%) had bilateral GRT-related RRD, 61 patients (80.3%) had a monocular condition, and 21 eyes (27.6%) had final BCVA of ≥ 20/40. </w:t>
            </w:r>
          </w:p>
        </w:tc>
        <w:tc>
          <w:tcPr>
            <w:tcW w:w="1620" w:type="dxa"/>
            <w:tcBorders>
              <w:top w:val="single" w:sz="4" w:space="0" w:color="auto"/>
              <w:left w:val="single" w:sz="4" w:space="0" w:color="auto"/>
              <w:bottom w:val="single" w:sz="4" w:space="0" w:color="auto"/>
              <w:right w:val="single" w:sz="4" w:space="0" w:color="auto"/>
            </w:tcBorders>
          </w:tcPr>
          <w:p w14:paraId="5D39E3A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 xml:space="preserve">The postoperative visual acuity (0.56 ± 0.26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w:t>
            </w:r>
          </w:p>
          <w:p w14:paraId="10DF0F3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was significantly better than the preoperative </w:t>
            </w:r>
            <w:proofErr w:type="gramStart"/>
            <w:r>
              <w:rPr>
                <w:rFonts w:ascii="Times New Roman" w:eastAsia="Times New Roman" w:hAnsi="Times New Roman" w:cs="Times New Roman"/>
                <w:sz w:val="16"/>
                <w:szCs w:val="16"/>
                <w:lang w:val="en-US"/>
              </w:rPr>
              <w:t>visual</w:t>
            </w:r>
            <w:proofErr w:type="gramEnd"/>
          </w:p>
          <w:p w14:paraId="585704B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acuity (1.07 ± 0.61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The mean final postoperative BCVA for tear magnitude was significantly larger than for tear &gt;270º (p =.048). For the main effect of tear magnitude, the mean of postoperative BCVA for tear 180-</w:t>
            </w:r>
            <w:r>
              <w:rPr>
                <w:rFonts w:ascii="Times New Roman" w:eastAsia="Times New Roman" w:hAnsi="Times New Roman" w:cs="Times New Roman"/>
                <w:sz w:val="16"/>
                <w:szCs w:val="16"/>
                <w:lang w:val="en-US"/>
              </w:rPr>
              <w:lastRenderedPageBreak/>
              <w:t>270º was significantly larger than for tear&gt;</w:t>
            </w:r>
            <w:proofErr w:type="gramStart"/>
            <w:r>
              <w:rPr>
                <w:rFonts w:ascii="Times New Roman" w:eastAsia="Times New Roman" w:hAnsi="Times New Roman" w:cs="Times New Roman"/>
                <w:sz w:val="16"/>
                <w:szCs w:val="16"/>
                <w:lang w:val="en-US"/>
              </w:rPr>
              <w:t>270º</w:t>
            </w:r>
            <w:proofErr w:type="gramEnd"/>
            <w:r>
              <w:rPr>
                <w:rFonts w:ascii="Times New Roman" w:eastAsia="Times New Roman" w:hAnsi="Times New Roman" w:cs="Times New Roman"/>
                <w:sz w:val="16"/>
                <w:szCs w:val="16"/>
                <w:lang w:val="en-US"/>
              </w:rPr>
              <w:t xml:space="preserve"> </w:t>
            </w:r>
          </w:p>
          <w:p w14:paraId="1D5C1375"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350" w:type="dxa"/>
            <w:tcBorders>
              <w:top w:val="single" w:sz="4" w:space="0" w:color="auto"/>
              <w:left w:val="single" w:sz="4" w:space="0" w:color="auto"/>
              <w:bottom w:val="single" w:sz="4" w:space="0" w:color="auto"/>
              <w:right w:val="single" w:sz="4" w:space="0" w:color="auto"/>
            </w:tcBorders>
            <w:hideMark/>
          </w:tcPr>
          <w:p w14:paraId="70632D78"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PVR resulted in 31.57% of the eyes</w:t>
            </w:r>
          </w:p>
        </w:tc>
        <w:tc>
          <w:tcPr>
            <w:tcW w:w="1814" w:type="dxa"/>
            <w:tcBorders>
              <w:top w:val="single" w:sz="4" w:space="0" w:color="auto"/>
              <w:left w:val="single" w:sz="4" w:space="0" w:color="auto"/>
              <w:bottom w:val="single" w:sz="4" w:space="0" w:color="auto"/>
              <w:right w:val="single" w:sz="4" w:space="0" w:color="auto"/>
            </w:tcBorders>
            <w:hideMark/>
          </w:tcPr>
          <w:p w14:paraId="27D436C0"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rPr>
              <w:t>The management of GRTs is significantly challenging due to the presence of high risk intra- and postoperative complications and the high rate of recurrent RRDs due to the appearance of PVR that reaches an incidence between 40% and 50% with acute alterations in IOP due to uveal dysfunctions and a pro-cytokine inflammatory cascade from the blood-retinal barrier.</w:t>
            </w:r>
          </w:p>
        </w:tc>
        <w:tc>
          <w:tcPr>
            <w:tcW w:w="1843" w:type="dxa"/>
            <w:tcBorders>
              <w:top w:val="single" w:sz="4" w:space="0" w:color="auto"/>
              <w:left w:val="single" w:sz="4" w:space="0" w:color="auto"/>
              <w:bottom w:val="single" w:sz="4" w:space="0" w:color="auto"/>
              <w:right w:val="single" w:sz="4" w:space="0" w:color="auto"/>
            </w:tcBorders>
            <w:hideMark/>
          </w:tcPr>
          <w:p w14:paraId="13453BCB"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GRTs-related RRD has a guarded functional prognosis</w:t>
            </w:r>
          </w:p>
        </w:tc>
      </w:tr>
      <w:tr w:rsidR="003A4529" w14:paraId="0B4F7D4B"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25B9760F" w14:textId="77777777" w:rsidR="003A4529" w:rsidRDefault="003A4529">
            <w:pPr>
              <w:spacing w:line="276" w:lineRule="auto"/>
              <w:rPr>
                <w:rFonts w:ascii="Times New Roman" w:hAnsi="Times New Roman" w:cs="Times New Roman"/>
                <w:sz w:val="16"/>
                <w:szCs w:val="16"/>
                <w:lang w:val="en-US"/>
              </w:rPr>
            </w:pPr>
            <w:proofErr w:type="spellStart"/>
            <w:r>
              <w:rPr>
                <w:rFonts w:ascii="Times New Roman" w:hAnsi="Times New Roman" w:cs="Times New Roman"/>
                <w:sz w:val="16"/>
                <w:szCs w:val="16"/>
                <w:lang w:val="en-US"/>
              </w:rPr>
              <w:t>Oderinlo</w:t>
            </w:r>
            <w:proofErr w:type="spellEnd"/>
            <w:r>
              <w:rPr>
                <w:rFonts w:ascii="Times New Roman" w:hAnsi="Times New Roman" w:cs="Times New Roman"/>
                <w:sz w:val="16"/>
                <w:szCs w:val="16"/>
                <w:lang w:val="en-US"/>
              </w:rPr>
              <w:t xml:space="preserve">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2012  </w:t>
            </w:r>
            <w:sdt>
              <w:sdtPr>
                <w:rPr>
                  <w:rFonts w:ascii="Times New Roman" w:hAnsi="Times New Roman" w:cs="Times New Roman"/>
                  <w:sz w:val="16"/>
                  <w:szCs w:val="16"/>
                  <w:lang w:val="en-US"/>
                </w:rPr>
                <w:tag w:val="MENDELEY_CITATION_v3_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"/>
                <w:id w:val="539787915"/>
                <w:placeholder>
                  <w:docPart w:val="8AD14C0D9D274B6FBE383E2E3A661263"/>
                </w:placeholder>
              </w:sdtPr>
              <w:sdtContent>
                <w:r>
                  <w:rPr>
                    <w:rFonts w:ascii="Times New Roman" w:hAnsi="Times New Roman" w:cs="Times New Roman"/>
                    <w:sz w:val="16"/>
                    <w:szCs w:val="16"/>
                    <w:lang w:val="en-US"/>
                  </w:rPr>
                  <w:t>[48]</w:t>
                </w:r>
              </w:sdtContent>
            </w:sdt>
          </w:p>
        </w:tc>
        <w:tc>
          <w:tcPr>
            <w:tcW w:w="856" w:type="dxa"/>
            <w:tcBorders>
              <w:top w:val="single" w:sz="4" w:space="0" w:color="auto"/>
              <w:left w:val="single" w:sz="4" w:space="0" w:color="auto"/>
              <w:bottom w:val="single" w:sz="4" w:space="0" w:color="auto"/>
              <w:right w:val="single" w:sz="4" w:space="0" w:color="auto"/>
            </w:tcBorders>
            <w:hideMark/>
          </w:tcPr>
          <w:p w14:paraId="56F2E2AF"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Mean ± SD = 46.1 ± 14.5 (Range = 10 - 69) years</w:t>
            </w:r>
          </w:p>
        </w:tc>
        <w:tc>
          <w:tcPr>
            <w:tcW w:w="1134" w:type="dxa"/>
            <w:tcBorders>
              <w:top w:val="single" w:sz="4" w:space="0" w:color="auto"/>
              <w:left w:val="single" w:sz="4" w:space="0" w:color="auto"/>
              <w:bottom w:val="single" w:sz="4" w:space="0" w:color="auto"/>
              <w:right w:val="single" w:sz="4" w:space="0" w:color="auto"/>
            </w:tcBorders>
            <w:hideMark/>
          </w:tcPr>
          <w:p w14:paraId="3EEF271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PVR of grade C-1 in 30 (29.1%) eyes.</w:t>
            </w:r>
          </w:p>
        </w:tc>
        <w:tc>
          <w:tcPr>
            <w:tcW w:w="1599" w:type="dxa"/>
            <w:tcBorders>
              <w:top w:val="single" w:sz="4" w:space="0" w:color="auto"/>
              <w:left w:val="single" w:sz="4" w:space="0" w:color="auto"/>
              <w:bottom w:val="single" w:sz="4" w:space="0" w:color="auto"/>
              <w:right w:val="single" w:sz="4" w:space="0" w:color="auto"/>
            </w:tcBorders>
          </w:tcPr>
          <w:p w14:paraId="77BC980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PAS was defined as retina </w:t>
            </w:r>
            <w:proofErr w:type="gramStart"/>
            <w:r>
              <w:rPr>
                <w:rFonts w:ascii="Times New Roman" w:eastAsia="Times New Roman" w:hAnsi="Times New Roman" w:cs="Times New Roman"/>
                <w:sz w:val="16"/>
                <w:szCs w:val="16"/>
                <w:lang w:val="en-US"/>
              </w:rPr>
              <w:t>reattachment</w:t>
            </w:r>
            <w:proofErr w:type="gramEnd"/>
          </w:p>
          <w:p w14:paraId="1921B84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following the first surgery and maintained for at</w:t>
            </w:r>
          </w:p>
          <w:p w14:paraId="3DA79DB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least three months without additional surgical interventions.</w:t>
            </w:r>
          </w:p>
          <w:p w14:paraId="625A3D1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FAS was defined as attached retina at least three months after the latest intervention, regardless of the</w:t>
            </w:r>
          </w:p>
          <w:p w14:paraId="3AE74DE3"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number of interventions. Visual outcome was defined as the best corrected VA at least 2 months after the last operation. A visual outcome of 6/60 and better </w:t>
            </w:r>
            <w:proofErr w:type="gramStart"/>
            <w:r>
              <w:rPr>
                <w:rFonts w:ascii="Times New Roman" w:eastAsia="Times New Roman" w:hAnsi="Times New Roman" w:cs="Times New Roman"/>
                <w:sz w:val="16"/>
                <w:szCs w:val="16"/>
                <w:lang w:val="en-US"/>
              </w:rPr>
              <w:t>was</w:t>
            </w:r>
            <w:proofErr w:type="gramEnd"/>
          </w:p>
          <w:p w14:paraId="56A3DAD3"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considered good.</w:t>
            </w:r>
          </w:p>
          <w:p w14:paraId="670EB6ED"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980" w:type="dxa"/>
            <w:tcBorders>
              <w:top w:val="single" w:sz="4" w:space="0" w:color="auto"/>
              <w:left w:val="single" w:sz="4" w:space="0" w:color="auto"/>
              <w:bottom w:val="single" w:sz="4" w:space="0" w:color="auto"/>
              <w:right w:val="single" w:sz="4" w:space="0" w:color="auto"/>
            </w:tcBorders>
          </w:tcPr>
          <w:p w14:paraId="3A8C9FF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PAS was achieved in 83 eyes (80.5%), while FAS was achieved in 93 eyes (90.2%). </w:t>
            </w:r>
          </w:p>
          <w:p w14:paraId="3FE219A7"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620" w:type="dxa"/>
            <w:tcBorders>
              <w:top w:val="single" w:sz="4" w:space="0" w:color="auto"/>
              <w:left w:val="single" w:sz="4" w:space="0" w:color="auto"/>
              <w:bottom w:val="single" w:sz="4" w:space="0" w:color="auto"/>
              <w:right w:val="single" w:sz="4" w:space="0" w:color="auto"/>
            </w:tcBorders>
          </w:tcPr>
          <w:p w14:paraId="5FFF01B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Compared to 88 eyes (87.1%) that had VA worse than 6/60 preoperatively only 59 eyes (58.4%) had</w:t>
            </w:r>
          </w:p>
          <w:p w14:paraId="54F1D8D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visual outcome worse than 6/60. A good visual outcome </w:t>
            </w:r>
            <w:proofErr w:type="gramStart"/>
            <w:r>
              <w:rPr>
                <w:rFonts w:ascii="Times New Roman" w:eastAsia="Times New Roman" w:hAnsi="Times New Roman" w:cs="Times New Roman"/>
                <w:sz w:val="16"/>
                <w:szCs w:val="16"/>
                <w:lang w:val="en-US"/>
              </w:rPr>
              <w:t>was</w:t>
            </w:r>
            <w:proofErr w:type="gramEnd"/>
          </w:p>
          <w:p w14:paraId="5D17B61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achieved in 40 eyes (38.9%). When compared to </w:t>
            </w:r>
            <w:proofErr w:type="gramStart"/>
            <w:r>
              <w:rPr>
                <w:rFonts w:ascii="Times New Roman" w:eastAsia="Times New Roman" w:hAnsi="Times New Roman" w:cs="Times New Roman"/>
                <w:sz w:val="16"/>
                <w:szCs w:val="16"/>
                <w:lang w:val="en-US"/>
              </w:rPr>
              <w:t>preoperative</w:t>
            </w:r>
            <w:proofErr w:type="gramEnd"/>
          </w:p>
          <w:p w14:paraId="71B2A83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VA, visual outcome improved in 61 eyes (59.2 %),</w:t>
            </w:r>
          </w:p>
          <w:p w14:paraId="6DEB2CF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remained the same in 28 eyes (27.5%) and was worse in 14 eyes (13.7%).</w:t>
            </w:r>
          </w:p>
          <w:p w14:paraId="7229504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350" w:type="dxa"/>
            <w:tcBorders>
              <w:top w:val="single" w:sz="4" w:space="0" w:color="auto"/>
              <w:left w:val="single" w:sz="4" w:space="0" w:color="auto"/>
              <w:bottom w:val="single" w:sz="4" w:space="0" w:color="auto"/>
              <w:right w:val="single" w:sz="4" w:space="0" w:color="auto"/>
            </w:tcBorders>
            <w:hideMark/>
          </w:tcPr>
          <w:p w14:paraId="35F8BAEF"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814" w:type="dxa"/>
            <w:tcBorders>
              <w:top w:val="single" w:sz="4" w:space="0" w:color="auto"/>
              <w:left w:val="single" w:sz="4" w:space="0" w:color="auto"/>
              <w:bottom w:val="single" w:sz="4" w:space="0" w:color="auto"/>
              <w:right w:val="single" w:sz="4" w:space="0" w:color="auto"/>
            </w:tcBorders>
          </w:tcPr>
          <w:p w14:paraId="22283D4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Absence of PVR grade C-1 and worse (p=0.015),</w:t>
            </w:r>
          </w:p>
          <w:p w14:paraId="7CC3166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preoperative VA of 6/60 and better (p=0.037) and achievement of PAS (p=0.052)</w:t>
            </w:r>
          </w:p>
          <w:p w14:paraId="633EFF7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significantly affected visual outcome positively.</w:t>
            </w:r>
          </w:p>
          <w:p w14:paraId="02DBBC9F"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843" w:type="dxa"/>
            <w:tcBorders>
              <w:top w:val="single" w:sz="4" w:space="0" w:color="auto"/>
              <w:left w:val="single" w:sz="4" w:space="0" w:color="auto"/>
              <w:bottom w:val="single" w:sz="4" w:space="0" w:color="auto"/>
              <w:right w:val="single" w:sz="4" w:space="0" w:color="auto"/>
            </w:tcBorders>
          </w:tcPr>
          <w:p w14:paraId="42DFD64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Good visual outcome after surgery for RRD is influenced by preoperative VA of 6/60 and better, absence of PVR of grade C-1 and worse, as well as the achievement of PAS. </w:t>
            </w:r>
          </w:p>
          <w:p w14:paraId="202D7789"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r>
      <w:tr w:rsidR="003A4529" w14:paraId="1A540D4E"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03865468"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Ambiya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2018  </w:t>
            </w:r>
            <w:sdt>
              <w:sdtPr>
                <w:rPr>
                  <w:rFonts w:ascii="Times New Roman" w:hAnsi="Times New Roman" w:cs="Times New Roman"/>
                  <w:sz w:val="16"/>
                  <w:szCs w:val="16"/>
                  <w:lang w:val="en-US"/>
                </w:rPr>
                <w:tag w:val="MENDELEY_CITATION_v3_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"/>
                <w:id w:val="-1704554854"/>
                <w:placeholder>
                  <w:docPart w:val="8AD14C0D9D274B6FBE383E2E3A661263"/>
                </w:placeholder>
              </w:sdtPr>
              <w:sdtContent>
                <w:r>
                  <w:rPr>
                    <w:rFonts w:ascii="Times New Roman" w:hAnsi="Times New Roman" w:cs="Times New Roman"/>
                    <w:sz w:val="16"/>
                    <w:szCs w:val="16"/>
                    <w:lang w:val="en-US"/>
                  </w:rPr>
                  <w:t>[49]</w:t>
                </w:r>
              </w:sdtContent>
            </w:sdt>
          </w:p>
        </w:tc>
        <w:tc>
          <w:tcPr>
            <w:tcW w:w="856" w:type="dxa"/>
            <w:tcBorders>
              <w:top w:val="single" w:sz="4" w:space="0" w:color="auto"/>
              <w:left w:val="single" w:sz="4" w:space="0" w:color="auto"/>
              <w:bottom w:val="single" w:sz="4" w:space="0" w:color="auto"/>
              <w:right w:val="single" w:sz="4" w:space="0" w:color="auto"/>
            </w:tcBorders>
          </w:tcPr>
          <w:p w14:paraId="5360C90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Mean ± SD = 46.89 ±18.04 years</w:t>
            </w:r>
          </w:p>
          <w:p w14:paraId="430E35E4"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134" w:type="dxa"/>
            <w:tcBorders>
              <w:top w:val="single" w:sz="4" w:space="0" w:color="auto"/>
              <w:left w:val="single" w:sz="4" w:space="0" w:color="auto"/>
              <w:bottom w:val="single" w:sz="4" w:space="0" w:color="auto"/>
              <w:right w:val="single" w:sz="4" w:space="0" w:color="auto"/>
            </w:tcBorders>
            <w:hideMark/>
          </w:tcPr>
          <w:p w14:paraId="133645D2"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6 (4.51%) eyes</w:t>
            </w:r>
          </w:p>
        </w:tc>
        <w:tc>
          <w:tcPr>
            <w:tcW w:w="1599" w:type="dxa"/>
            <w:tcBorders>
              <w:top w:val="single" w:sz="4" w:space="0" w:color="auto"/>
              <w:left w:val="single" w:sz="4" w:space="0" w:color="auto"/>
              <w:bottom w:val="single" w:sz="4" w:space="0" w:color="auto"/>
              <w:right w:val="single" w:sz="4" w:space="0" w:color="auto"/>
            </w:tcBorders>
            <w:hideMark/>
          </w:tcPr>
          <w:p w14:paraId="2421428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FAS was defined as total retinal reattachment after one or multiple surgeries, and anatomical failure as total or partial detachment of retina.</w:t>
            </w:r>
          </w:p>
        </w:tc>
        <w:tc>
          <w:tcPr>
            <w:tcW w:w="1980" w:type="dxa"/>
            <w:tcBorders>
              <w:top w:val="single" w:sz="4" w:space="0" w:color="auto"/>
              <w:left w:val="single" w:sz="4" w:space="0" w:color="auto"/>
              <w:bottom w:val="single" w:sz="4" w:space="0" w:color="auto"/>
              <w:right w:val="single" w:sz="4" w:space="0" w:color="auto"/>
            </w:tcBorders>
          </w:tcPr>
          <w:p w14:paraId="2B0252E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Out of the 133 cases of recurrent RD, 15 cases were not reoperated because of extremely poor visual prognosis. Of the remaining 118 cases, 92 underwent </w:t>
            </w:r>
            <w:proofErr w:type="gramStart"/>
            <w:r>
              <w:rPr>
                <w:rFonts w:ascii="Times New Roman" w:eastAsia="Times New Roman" w:hAnsi="Times New Roman" w:cs="Times New Roman"/>
                <w:sz w:val="16"/>
                <w:szCs w:val="16"/>
                <w:lang w:val="en-US"/>
              </w:rPr>
              <w:t>one</w:t>
            </w:r>
            <w:proofErr w:type="gramEnd"/>
          </w:p>
          <w:p w14:paraId="1333D05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reoperation with anatomical success in 76 (82.61% of 92); 24 underwent two </w:t>
            </w:r>
            <w:r>
              <w:rPr>
                <w:rFonts w:ascii="Times New Roman" w:eastAsia="Times New Roman" w:hAnsi="Times New Roman" w:cs="Times New Roman"/>
                <w:sz w:val="16"/>
                <w:szCs w:val="16"/>
                <w:lang w:val="en-US"/>
              </w:rPr>
              <w:lastRenderedPageBreak/>
              <w:t>reoperations with FAS in 11 (45.83% of 24); and two underwent three reoperations with FAS in none.</w:t>
            </w:r>
          </w:p>
          <w:p w14:paraId="45CCAB0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620" w:type="dxa"/>
            <w:tcBorders>
              <w:top w:val="single" w:sz="4" w:space="0" w:color="auto"/>
              <w:left w:val="single" w:sz="4" w:space="0" w:color="auto"/>
              <w:bottom w:val="single" w:sz="4" w:space="0" w:color="auto"/>
              <w:right w:val="single" w:sz="4" w:space="0" w:color="auto"/>
            </w:tcBorders>
          </w:tcPr>
          <w:p w14:paraId="57CA8E2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There was a statistically significant improvement in</w:t>
            </w:r>
          </w:p>
          <w:p w14:paraId="10BB464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the BCVA of the 118 cases of recurrent RD that underwent one or multiple reoperations, from a mean value of</w:t>
            </w:r>
          </w:p>
          <w:p w14:paraId="7B83034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 xml:space="preserve">1.79 ± 0.46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(Snellen: 20/1233) to 1.32 (±0.60)</w:t>
            </w:r>
          </w:p>
          <w:p w14:paraId="6C21A89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(Snellen: 20/418), P &lt; 0.0001. However, only 5.9% (7/118) cases had final BCVA of ≥20/60; 28.81% (34/118) cases had &lt;20/60–20/200, and the </w:t>
            </w:r>
            <w:proofErr w:type="gramStart"/>
            <w:r>
              <w:rPr>
                <w:rFonts w:ascii="Times New Roman" w:eastAsia="Times New Roman" w:hAnsi="Times New Roman" w:cs="Times New Roman"/>
                <w:sz w:val="16"/>
                <w:szCs w:val="16"/>
                <w:lang w:val="en-US"/>
              </w:rPr>
              <w:t>remaining</w:t>
            </w:r>
            <w:proofErr w:type="gramEnd"/>
          </w:p>
          <w:p w14:paraId="624C7A3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65.25% (77/118) cases had final BCVA &lt;20/200.</w:t>
            </w:r>
          </w:p>
          <w:p w14:paraId="2AF8C0E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350" w:type="dxa"/>
            <w:tcBorders>
              <w:top w:val="single" w:sz="4" w:space="0" w:color="auto"/>
              <w:left w:val="single" w:sz="4" w:space="0" w:color="auto"/>
              <w:bottom w:val="single" w:sz="4" w:space="0" w:color="auto"/>
              <w:right w:val="single" w:sz="4" w:space="0" w:color="auto"/>
            </w:tcBorders>
            <w:hideMark/>
          </w:tcPr>
          <w:p w14:paraId="240E5277"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 xml:space="preserve">Not stated </w:t>
            </w:r>
          </w:p>
        </w:tc>
        <w:tc>
          <w:tcPr>
            <w:tcW w:w="1814" w:type="dxa"/>
            <w:tcBorders>
              <w:top w:val="single" w:sz="4" w:space="0" w:color="auto"/>
              <w:left w:val="single" w:sz="4" w:space="0" w:color="auto"/>
              <w:bottom w:val="single" w:sz="4" w:space="0" w:color="auto"/>
              <w:right w:val="single" w:sz="4" w:space="0" w:color="auto"/>
            </w:tcBorders>
          </w:tcPr>
          <w:p w14:paraId="547E5733"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At the time of primary RD, eyes with PVR and PVR ≥ Grade C were less likely to have final BCVA ≥ 20/200. </w:t>
            </w:r>
          </w:p>
          <w:p w14:paraId="0DE433A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843" w:type="dxa"/>
            <w:tcBorders>
              <w:top w:val="single" w:sz="4" w:space="0" w:color="auto"/>
              <w:left w:val="single" w:sz="4" w:space="0" w:color="auto"/>
              <w:bottom w:val="single" w:sz="4" w:space="0" w:color="auto"/>
              <w:right w:val="single" w:sz="4" w:space="0" w:color="auto"/>
            </w:tcBorders>
            <w:hideMark/>
          </w:tcPr>
          <w:p w14:paraId="069EEF6E"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lang w:val="en-US"/>
              </w:rPr>
              <w:t>PVR ≥ Grade C and multiple reoperations are associated with higher incidence of anatomical failure in recurrent RD surgery</w:t>
            </w:r>
          </w:p>
        </w:tc>
      </w:tr>
      <w:tr w:rsidR="003A4529" w14:paraId="3D9B1C45"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258F219C"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Tabandeh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2019  </w:t>
            </w:r>
            <w:sdt>
              <w:sdtPr>
                <w:rPr>
                  <w:rFonts w:ascii="Times New Roman" w:hAnsi="Times New Roman" w:cs="Times New Roman"/>
                  <w:sz w:val="16"/>
                  <w:szCs w:val="16"/>
                  <w:lang w:val="en-US"/>
                </w:rPr>
                <w:tag w:val="MENDELEY_CITATION_v3_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"/>
                <w:id w:val="796490758"/>
                <w:placeholder>
                  <w:docPart w:val="8AD14C0D9D274B6FBE383E2E3A661263"/>
                </w:placeholder>
              </w:sdtPr>
              <w:sdtContent>
                <w:r>
                  <w:rPr>
                    <w:rFonts w:ascii="Times New Roman" w:hAnsi="Times New Roman" w:cs="Times New Roman"/>
                    <w:sz w:val="16"/>
                    <w:szCs w:val="16"/>
                    <w:lang w:val="en-US"/>
                  </w:rPr>
                  <w:t>[50]</w:t>
                </w:r>
              </w:sdtContent>
            </w:sdt>
          </w:p>
        </w:tc>
        <w:tc>
          <w:tcPr>
            <w:tcW w:w="856" w:type="dxa"/>
            <w:tcBorders>
              <w:top w:val="single" w:sz="4" w:space="0" w:color="auto"/>
              <w:left w:val="single" w:sz="4" w:space="0" w:color="auto"/>
              <w:bottom w:val="single" w:sz="4" w:space="0" w:color="auto"/>
              <w:right w:val="single" w:sz="4" w:space="0" w:color="auto"/>
            </w:tcBorders>
            <w:hideMark/>
          </w:tcPr>
          <w:p w14:paraId="7F0920F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Mean = 60.8 years (Range = 19-91 years old)</w:t>
            </w:r>
          </w:p>
        </w:tc>
        <w:tc>
          <w:tcPr>
            <w:tcW w:w="1134" w:type="dxa"/>
            <w:tcBorders>
              <w:top w:val="single" w:sz="4" w:space="0" w:color="auto"/>
              <w:left w:val="single" w:sz="4" w:space="0" w:color="auto"/>
              <w:bottom w:val="single" w:sz="4" w:space="0" w:color="auto"/>
              <w:right w:val="single" w:sz="4" w:space="0" w:color="auto"/>
            </w:tcBorders>
            <w:hideMark/>
          </w:tcPr>
          <w:p w14:paraId="1C423531"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Yes, the exact number of cases was not stated. PVR ranged from none to closed-funnel total RD.</w:t>
            </w:r>
          </w:p>
        </w:tc>
        <w:tc>
          <w:tcPr>
            <w:tcW w:w="1599" w:type="dxa"/>
            <w:tcBorders>
              <w:top w:val="single" w:sz="4" w:space="0" w:color="auto"/>
              <w:left w:val="single" w:sz="4" w:space="0" w:color="auto"/>
              <w:bottom w:val="single" w:sz="4" w:space="0" w:color="auto"/>
              <w:right w:val="single" w:sz="4" w:space="0" w:color="auto"/>
            </w:tcBorders>
            <w:hideMark/>
          </w:tcPr>
          <w:p w14:paraId="32FF58B7"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980" w:type="dxa"/>
            <w:tcBorders>
              <w:top w:val="single" w:sz="4" w:space="0" w:color="auto"/>
              <w:left w:val="single" w:sz="4" w:space="0" w:color="auto"/>
              <w:bottom w:val="single" w:sz="4" w:space="0" w:color="auto"/>
              <w:right w:val="single" w:sz="4" w:space="0" w:color="auto"/>
            </w:tcBorders>
          </w:tcPr>
          <w:p w14:paraId="08FB3C0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The retina was reattached with one procedure in 296 (95%)</w:t>
            </w:r>
          </w:p>
          <w:p w14:paraId="2939857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eyes. SSAS rate was 95.2% for the </w:t>
            </w:r>
            <w:proofErr w:type="gramStart"/>
            <w:r>
              <w:rPr>
                <w:rFonts w:ascii="Times New Roman" w:eastAsia="Times New Roman" w:hAnsi="Times New Roman" w:cs="Times New Roman"/>
                <w:sz w:val="16"/>
                <w:szCs w:val="16"/>
                <w:lang w:val="en-US"/>
              </w:rPr>
              <w:t>eyes</w:t>
            </w:r>
            <w:proofErr w:type="gramEnd"/>
          </w:p>
          <w:p w14:paraId="1EC232A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with SB and 94.7% for the eyes without SB (p=1.0). FAS was achieved in 310 (99%) eyes. The SSAS rate was 92.8% for the eyes with GRT and 94.9% for eyes without</w:t>
            </w:r>
          </w:p>
          <w:p w14:paraId="1B1DCCE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a GRT (p=0.53).</w:t>
            </w:r>
            <w:r>
              <w:rPr>
                <w:rFonts w:ascii="Times New Roman" w:hAnsi="Times New Roman" w:cs="Times New Roman"/>
                <w:sz w:val="16"/>
                <w:szCs w:val="16"/>
                <w:lang w:val="en-US"/>
              </w:rPr>
              <w:t xml:space="preserve"> FAS</w:t>
            </w:r>
            <w:r>
              <w:rPr>
                <w:rFonts w:ascii="Times New Roman" w:eastAsia="Times New Roman" w:hAnsi="Times New Roman" w:cs="Times New Roman"/>
                <w:sz w:val="16"/>
                <w:szCs w:val="16"/>
                <w:lang w:val="en-US"/>
              </w:rPr>
              <w:t xml:space="preserve"> was achieved in 310 (99%) eyes.</w:t>
            </w:r>
          </w:p>
          <w:p w14:paraId="614B193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620" w:type="dxa"/>
            <w:tcBorders>
              <w:top w:val="single" w:sz="4" w:space="0" w:color="auto"/>
              <w:left w:val="single" w:sz="4" w:space="0" w:color="auto"/>
              <w:bottom w:val="single" w:sz="4" w:space="0" w:color="auto"/>
              <w:right w:val="single" w:sz="4" w:space="0" w:color="auto"/>
            </w:tcBorders>
          </w:tcPr>
          <w:p w14:paraId="1912C4D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The BCVA at the baseline was &gt;20/40 in 76 (24%) eyes, 20/50–20/100 in 48 (15%) eyes, 20/200–20/400 in 46 (15%) eyes and &lt;20/400 in 142 (46%) eyes. The mean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equivalent was 1.40. At the last follow-up, the BCVA was &gt;20/40 in 168 (54%) eyes, 20/50–20/100 in 60 (19%) eyes, 20/200–20/400 in 49 (16%) eyes and &lt;20/400 in 35 (11%) eyes. Two eyes had no LP. The mean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equivalent was 0.61 for the entire group.</w:t>
            </w:r>
          </w:p>
          <w:p w14:paraId="0015797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350" w:type="dxa"/>
            <w:tcBorders>
              <w:top w:val="single" w:sz="4" w:space="0" w:color="auto"/>
              <w:left w:val="single" w:sz="4" w:space="0" w:color="auto"/>
              <w:bottom w:val="single" w:sz="4" w:space="0" w:color="auto"/>
              <w:right w:val="single" w:sz="4" w:space="0" w:color="auto"/>
            </w:tcBorders>
            <w:hideMark/>
          </w:tcPr>
          <w:p w14:paraId="52E1A784"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814" w:type="dxa"/>
            <w:tcBorders>
              <w:top w:val="single" w:sz="4" w:space="0" w:color="auto"/>
              <w:left w:val="single" w:sz="4" w:space="0" w:color="auto"/>
              <w:bottom w:val="single" w:sz="4" w:space="0" w:color="auto"/>
              <w:right w:val="single" w:sz="4" w:space="0" w:color="auto"/>
            </w:tcBorders>
            <w:hideMark/>
          </w:tcPr>
          <w:p w14:paraId="35E4524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stated </w:t>
            </w:r>
          </w:p>
        </w:tc>
        <w:tc>
          <w:tcPr>
            <w:tcW w:w="1843" w:type="dxa"/>
            <w:tcBorders>
              <w:top w:val="single" w:sz="4" w:space="0" w:color="auto"/>
              <w:left w:val="single" w:sz="4" w:space="0" w:color="auto"/>
              <w:bottom w:val="single" w:sz="4" w:space="0" w:color="auto"/>
              <w:right w:val="single" w:sz="4" w:space="0" w:color="auto"/>
            </w:tcBorders>
          </w:tcPr>
          <w:p w14:paraId="1334BD9E"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Small gauge PPV without scleral-depressed shaving of the vitreous base</w:t>
            </w:r>
          </w:p>
          <w:p w14:paraId="695B11B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may be associated with good visual and anatomical outcomes.</w:t>
            </w:r>
          </w:p>
          <w:p w14:paraId="65C47A77" w14:textId="77777777" w:rsidR="003A4529" w:rsidRDefault="003A4529">
            <w:pPr>
              <w:shd w:val="clear" w:color="auto" w:fill="FFFFFF"/>
              <w:spacing w:line="276" w:lineRule="auto"/>
              <w:rPr>
                <w:rFonts w:ascii="Times New Roman" w:hAnsi="Times New Roman" w:cs="Times New Roman"/>
                <w:sz w:val="16"/>
                <w:szCs w:val="16"/>
                <w:lang w:val="en-US"/>
              </w:rPr>
            </w:pPr>
          </w:p>
        </w:tc>
      </w:tr>
      <w:tr w:rsidR="003A4529" w14:paraId="72A82511"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02985245"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Ali TR. 2014 </w:t>
            </w:r>
            <w:sdt>
              <w:sdtPr>
                <w:rPr>
                  <w:rFonts w:ascii="Times New Roman" w:hAnsi="Times New Roman" w:cs="Times New Roman"/>
                  <w:sz w:val="16"/>
                  <w:szCs w:val="16"/>
                  <w:lang w:val="en-US"/>
                </w:rPr>
                <w:tag w:val="MENDELEY_CITATION_v3_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"/>
                <w:id w:val="-1345009430"/>
                <w:placeholder>
                  <w:docPart w:val="8AD14C0D9D274B6FBE383E2E3A661263"/>
                </w:placeholder>
              </w:sdtPr>
              <w:sdtContent>
                <w:r>
                  <w:rPr>
                    <w:rFonts w:ascii="Times New Roman" w:hAnsi="Times New Roman" w:cs="Times New Roman"/>
                    <w:sz w:val="16"/>
                    <w:szCs w:val="16"/>
                    <w:lang w:val="en-US"/>
                  </w:rPr>
                  <w:t>[51]</w:t>
                </w:r>
              </w:sdtContent>
            </w:sdt>
          </w:p>
        </w:tc>
        <w:tc>
          <w:tcPr>
            <w:tcW w:w="856" w:type="dxa"/>
            <w:tcBorders>
              <w:top w:val="single" w:sz="4" w:space="0" w:color="auto"/>
              <w:left w:val="single" w:sz="4" w:space="0" w:color="auto"/>
              <w:bottom w:val="single" w:sz="4" w:space="0" w:color="auto"/>
              <w:right w:val="single" w:sz="4" w:space="0" w:color="auto"/>
            </w:tcBorders>
          </w:tcPr>
          <w:p w14:paraId="2898D45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Mean ± SD = 38.88 ± 21.45 </w:t>
            </w:r>
            <w:r>
              <w:rPr>
                <w:rFonts w:ascii="Times New Roman" w:eastAsia="Times New Roman" w:hAnsi="Times New Roman" w:cs="Times New Roman"/>
                <w:sz w:val="16"/>
                <w:szCs w:val="16"/>
                <w:lang w:val="en-US"/>
              </w:rPr>
              <w:lastRenderedPageBreak/>
              <w:t>(Group one) and</w:t>
            </w:r>
          </w:p>
          <w:p w14:paraId="0A160A9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38.09 ±16.36 (Group two)</w:t>
            </w:r>
          </w:p>
          <w:p w14:paraId="0A9FE658"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134" w:type="dxa"/>
            <w:tcBorders>
              <w:top w:val="single" w:sz="4" w:space="0" w:color="auto"/>
              <w:left w:val="single" w:sz="4" w:space="0" w:color="auto"/>
              <w:bottom w:val="single" w:sz="4" w:space="0" w:color="auto"/>
              <w:right w:val="single" w:sz="4" w:space="0" w:color="auto"/>
            </w:tcBorders>
            <w:hideMark/>
          </w:tcPr>
          <w:p w14:paraId="33548201"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 xml:space="preserve">Yes, but the exact number of cases was not stated. </w:t>
            </w:r>
          </w:p>
        </w:tc>
        <w:tc>
          <w:tcPr>
            <w:tcW w:w="1599" w:type="dxa"/>
            <w:tcBorders>
              <w:top w:val="single" w:sz="4" w:space="0" w:color="auto"/>
              <w:left w:val="single" w:sz="4" w:space="0" w:color="auto"/>
              <w:bottom w:val="single" w:sz="4" w:space="0" w:color="auto"/>
              <w:right w:val="single" w:sz="4" w:space="0" w:color="auto"/>
            </w:tcBorders>
            <w:hideMark/>
          </w:tcPr>
          <w:p w14:paraId="4C0C3781"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980" w:type="dxa"/>
            <w:tcBorders>
              <w:top w:val="single" w:sz="4" w:space="0" w:color="auto"/>
              <w:left w:val="single" w:sz="4" w:space="0" w:color="auto"/>
              <w:bottom w:val="single" w:sz="4" w:space="0" w:color="auto"/>
              <w:right w:val="single" w:sz="4" w:space="0" w:color="auto"/>
            </w:tcBorders>
          </w:tcPr>
          <w:p w14:paraId="0BBA333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Among the 43 group one patients who had the PFO being exchanged with SO in the same surgical </w:t>
            </w:r>
            <w:r>
              <w:rPr>
                <w:rFonts w:ascii="Times New Roman" w:eastAsia="Times New Roman" w:hAnsi="Times New Roman" w:cs="Times New Roman"/>
                <w:sz w:val="16"/>
                <w:szCs w:val="16"/>
                <w:lang w:val="en-US"/>
              </w:rPr>
              <w:lastRenderedPageBreak/>
              <w:t xml:space="preserve">procedure, six patients (14%) have detached retina. On the other hand, seven out of 22 group two patients (3%), who had the PFO being exchanged after three days of primary surgery, had detached retina after six months of follow-up. </w:t>
            </w:r>
          </w:p>
          <w:p w14:paraId="014BBFA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620" w:type="dxa"/>
            <w:tcBorders>
              <w:top w:val="single" w:sz="4" w:space="0" w:color="auto"/>
              <w:left w:val="single" w:sz="4" w:space="0" w:color="auto"/>
              <w:bottom w:val="single" w:sz="4" w:space="0" w:color="auto"/>
              <w:right w:val="single" w:sz="4" w:space="0" w:color="auto"/>
            </w:tcBorders>
            <w:hideMark/>
          </w:tcPr>
          <w:p w14:paraId="5203B75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 xml:space="preserve">Mean preoperative BCVA in group one was 2.02 ± 0.58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and in </w:t>
            </w:r>
            <w:r>
              <w:rPr>
                <w:rFonts w:ascii="Times New Roman" w:eastAsia="Times New Roman" w:hAnsi="Times New Roman" w:cs="Times New Roman"/>
                <w:sz w:val="16"/>
                <w:szCs w:val="16"/>
                <w:lang w:val="en-US"/>
              </w:rPr>
              <w:lastRenderedPageBreak/>
              <w:t xml:space="preserve">group 2 was 2.01 ± 0.53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The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VA in group one improved to 1.76 ± 0.43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after 1 month (1/60 on Snellen) and to 1.62 ± 0.62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after 6 months (3/60 on Snellen). This VA in group two improved to 1.85 ± 0.42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after one month (1/60 on Snellen) and 1.90 ± 0.72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after six months (&lt;1/60 on Snellen). </w:t>
            </w:r>
          </w:p>
        </w:tc>
        <w:tc>
          <w:tcPr>
            <w:tcW w:w="1350" w:type="dxa"/>
            <w:tcBorders>
              <w:top w:val="single" w:sz="4" w:space="0" w:color="auto"/>
              <w:left w:val="single" w:sz="4" w:space="0" w:color="auto"/>
              <w:bottom w:val="single" w:sz="4" w:space="0" w:color="auto"/>
              <w:right w:val="single" w:sz="4" w:space="0" w:color="auto"/>
            </w:tcBorders>
          </w:tcPr>
          <w:p w14:paraId="739C75DE"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No significant</w:t>
            </w:r>
          </w:p>
          <w:p w14:paraId="5462A9F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complication </w:t>
            </w:r>
          </w:p>
          <w:p w14:paraId="681FBE0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found after </w:t>
            </w:r>
            <w:proofErr w:type="gramStart"/>
            <w:r>
              <w:rPr>
                <w:rFonts w:ascii="Times New Roman" w:eastAsia="Times New Roman" w:hAnsi="Times New Roman" w:cs="Times New Roman"/>
                <w:sz w:val="16"/>
                <w:szCs w:val="16"/>
                <w:lang w:val="en-US"/>
              </w:rPr>
              <w:t>retaining</w:t>
            </w:r>
            <w:proofErr w:type="gramEnd"/>
          </w:p>
          <w:p w14:paraId="24CAD79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 xml:space="preserve">PFO for three days. </w:t>
            </w:r>
          </w:p>
          <w:p w14:paraId="14BD4753"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814" w:type="dxa"/>
            <w:tcBorders>
              <w:top w:val="single" w:sz="4" w:space="0" w:color="auto"/>
              <w:left w:val="single" w:sz="4" w:space="0" w:color="auto"/>
              <w:bottom w:val="single" w:sz="4" w:space="0" w:color="auto"/>
              <w:right w:val="single" w:sz="4" w:space="0" w:color="auto"/>
            </w:tcBorders>
            <w:hideMark/>
          </w:tcPr>
          <w:p w14:paraId="3C65E69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 xml:space="preserve">Not stated </w:t>
            </w:r>
          </w:p>
        </w:tc>
        <w:tc>
          <w:tcPr>
            <w:tcW w:w="1843" w:type="dxa"/>
            <w:tcBorders>
              <w:top w:val="single" w:sz="4" w:space="0" w:color="auto"/>
              <w:left w:val="single" w:sz="4" w:space="0" w:color="auto"/>
              <w:bottom w:val="single" w:sz="4" w:space="0" w:color="auto"/>
              <w:right w:val="single" w:sz="4" w:space="0" w:color="auto"/>
            </w:tcBorders>
          </w:tcPr>
          <w:p w14:paraId="2C4CD60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PFO is efficacious and safe as a short-term vitreous substitute in primary RRD repair </w:t>
            </w:r>
            <w:r>
              <w:rPr>
                <w:rFonts w:ascii="Times New Roman" w:eastAsia="Times New Roman" w:hAnsi="Times New Roman" w:cs="Times New Roman"/>
                <w:sz w:val="16"/>
                <w:szCs w:val="16"/>
                <w:lang w:val="en-US"/>
              </w:rPr>
              <w:lastRenderedPageBreak/>
              <w:t>cases with inferior/</w:t>
            </w:r>
            <w:proofErr w:type="gramStart"/>
            <w:r>
              <w:rPr>
                <w:rFonts w:ascii="Times New Roman" w:eastAsia="Times New Roman" w:hAnsi="Times New Roman" w:cs="Times New Roman"/>
                <w:sz w:val="16"/>
                <w:szCs w:val="16"/>
                <w:lang w:val="en-US"/>
              </w:rPr>
              <w:t>multiple</w:t>
            </w:r>
            <w:proofErr w:type="gramEnd"/>
          </w:p>
          <w:p w14:paraId="1ABA83F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breaks or GRTs or with extensive PVR. But keeping PFO for three days does </w:t>
            </w:r>
            <w:proofErr w:type="gramStart"/>
            <w:r>
              <w:rPr>
                <w:rFonts w:ascii="Times New Roman" w:eastAsia="Times New Roman" w:hAnsi="Times New Roman" w:cs="Times New Roman"/>
                <w:sz w:val="16"/>
                <w:szCs w:val="16"/>
                <w:lang w:val="en-US"/>
              </w:rPr>
              <w:t>not</w:t>
            </w:r>
            <w:proofErr w:type="gramEnd"/>
          </w:p>
          <w:p w14:paraId="0066270E"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significantly reduce the risk of </w:t>
            </w:r>
            <w:proofErr w:type="spellStart"/>
            <w:r>
              <w:rPr>
                <w:rFonts w:ascii="Times New Roman" w:eastAsia="Times New Roman" w:hAnsi="Times New Roman" w:cs="Times New Roman"/>
                <w:sz w:val="16"/>
                <w:szCs w:val="16"/>
                <w:lang w:val="en-US"/>
              </w:rPr>
              <w:t>redetachment</w:t>
            </w:r>
            <w:proofErr w:type="spellEnd"/>
            <w:r>
              <w:rPr>
                <w:rFonts w:ascii="Times New Roman" w:eastAsia="Times New Roman" w:hAnsi="Times New Roman" w:cs="Times New Roman"/>
                <w:sz w:val="16"/>
                <w:szCs w:val="16"/>
                <w:lang w:val="en-US"/>
              </w:rPr>
              <w:t xml:space="preserve"> with complex RRD cases. </w:t>
            </w:r>
          </w:p>
          <w:p w14:paraId="69F4E2A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r>
      <w:tr w:rsidR="003A4529" w14:paraId="781A7DB1"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37A2E3D4"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lastRenderedPageBreak/>
              <w:t xml:space="preserve">Haugstad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2017  </w:t>
            </w:r>
            <w:sdt>
              <w:sdtPr>
                <w:rPr>
                  <w:rFonts w:ascii="Times New Roman" w:hAnsi="Times New Roman" w:cs="Times New Roman"/>
                  <w:sz w:val="16"/>
                  <w:szCs w:val="16"/>
                  <w:lang w:val="en-US"/>
                </w:rPr>
                <w:tag w:val="MENDELEY_CITATION_v3_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"/>
                <w:id w:val="-1098174027"/>
                <w:placeholder>
                  <w:docPart w:val="8AD14C0D9D274B6FBE383E2E3A661263"/>
                </w:placeholder>
              </w:sdtPr>
              <w:sdtContent>
                <w:r>
                  <w:rPr>
                    <w:rFonts w:ascii="Times New Roman" w:hAnsi="Times New Roman" w:cs="Times New Roman"/>
                    <w:sz w:val="16"/>
                    <w:szCs w:val="16"/>
                    <w:lang w:val="en-US"/>
                  </w:rPr>
                  <w:t>[52]</w:t>
                </w:r>
              </w:sdtContent>
            </w:sdt>
          </w:p>
        </w:tc>
        <w:tc>
          <w:tcPr>
            <w:tcW w:w="856" w:type="dxa"/>
            <w:tcBorders>
              <w:top w:val="single" w:sz="4" w:space="0" w:color="auto"/>
              <w:left w:val="single" w:sz="4" w:space="0" w:color="auto"/>
              <w:bottom w:val="single" w:sz="4" w:space="0" w:color="auto"/>
              <w:right w:val="single" w:sz="4" w:space="0" w:color="auto"/>
            </w:tcBorders>
          </w:tcPr>
          <w:p w14:paraId="7F0B102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5.8% of participants aged 0–</w:t>
            </w:r>
            <w:proofErr w:type="gramStart"/>
            <w:r>
              <w:rPr>
                <w:rFonts w:ascii="Times New Roman" w:eastAsia="Times New Roman" w:hAnsi="Times New Roman" w:cs="Times New Roman"/>
                <w:sz w:val="16"/>
                <w:szCs w:val="16"/>
                <w:lang w:val="en-US"/>
              </w:rPr>
              <w:t>40</w:t>
            </w:r>
            <w:proofErr w:type="gramEnd"/>
          </w:p>
          <w:p w14:paraId="6677CE0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10.7% aged 41–51,</w:t>
            </w:r>
          </w:p>
          <w:p w14:paraId="1D28F54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63.6% aged 51–70, while 19.9% aged </w:t>
            </w:r>
          </w:p>
          <w:p w14:paraId="4756B13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&gt;70. </w:t>
            </w:r>
          </w:p>
          <w:p w14:paraId="63D9273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134" w:type="dxa"/>
            <w:tcBorders>
              <w:top w:val="single" w:sz="4" w:space="0" w:color="auto"/>
              <w:left w:val="single" w:sz="4" w:space="0" w:color="auto"/>
              <w:bottom w:val="single" w:sz="4" w:space="0" w:color="auto"/>
              <w:right w:val="single" w:sz="4" w:space="0" w:color="auto"/>
            </w:tcBorders>
            <w:hideMark/>
          </w:tcPr>
          <w:p w14:paraId="1CC2C845"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599" w:type="dxa"/>
            <w:tcBorders>
              <w:top w:val="single" w:sz="4" w:space="0" w:color="auto"/>
              <w:left w:val="single" w:sz="4" w:space="0" w:color="auto"/>
              <w:bottom w:val="single" w:sz="4" w:space="0" w:color="auto"/>
              <w:right w:val="single" w:sz="4" w:space="0" w:color="auto"/>
            </w:tcBorders>
            <w:hideMark/>
          </w:tcPr>
          <w:p w14:paraId="7789BDA1"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PAS was defined as retinal reattachment six months after primary surgery without reoperation. In cases with SO removal, it was defined as reattached retina six months after oil removal. Laser postoperatively was not registered as a reoperation. In cases with no SO removal, attached retina under SO six months after primary operation was registered as success. FAS was defined as retinal reattachment six months after primary surgery including reoperations.</w:t>
            </w:r>
          </w:p>
        </w:tc>
        <w:tc>
          <w:tcPr>
            <w:tcW w:w="1980" w:type="dxa"/>
            <w:tcBorders>
              <w:top w:val="single" w:sz="4" w:space="0" w:color="auto"/>
              <w:left w:val="single" w:sz="4" w:space="0" w:color="auto"/>
              <w:bottom w:val="single" w:sz="4" w:space="0" w:color="auto"/>
              <w:right w:val="single" w:sz="4" w:space="0" w:color="auto"/>
            </w:tcBorders>
            <w:hideMark/>
          </w:tcPr>
          <w:p w14:paraId="7A3CBD0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The PR group was excluded from this analysis because of a low number of patients (n = 2). Anatomical success rates were high in all three groups with primary and final failure rates of 11.0% and 1.9% for PPV, 13.0% and 0.0% for PPV-SB and 14.3% and 0.6% for SB.</w:t>
            </w:r>
          </w:p>
        </w:tc>
        <w:tc>
          <w:tcPr>
            <w:tcW w:w="1620" w:type="dxa"/>
            <w:tcBorders>
              <w:top w:val="single" w:sz="4" w:space="0" w:color="auto"/>
              <w:left w:val="single" w:sz="4" w:space="0" w:color="auto"/>
              <w:bottom w:val="single" w:sz="4" w:space="0" w:color="auto"/>
              <w:right w:val="single" w:sz="4" w:space="0" w:color="auto"/>
            </w:tcBorders>
            <w:hideMark/>
          </w:tcPr>
          <w:p w14:paraId="072C92F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stated </w:t>
            </w:r>
          </w:p>
        </w:tc>
        <w:tc>
          <w:tcPr>
            <w:tcW w:w="1350" w:type="dxa"/>
            <w:tcBorders>
              <w:top w:val="single" w:sz="4" w:space="0" w:color="auto"/>
              <w:left w:val="single" w:sz="4" w:space="0" w:color="auto"/>
              <w:bottom w:val="single" w:sz="4" w:space="0" w:color="auto"/>
              <w:right w:val="single" w:sz="4" w:space="0" w:color="auto"/>
            </w:tcBorders>
            <w:hideMark/>
          </w:tcPr>
          <w:p w14:paraId="540F6E2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stated </w:t>
            </w:r>
          </w:p>
        </w:tc>
        <w:tc>
          <w:tcPr>
            <w:tcW w:w="1814" w:type="dxa"/>
            <w:tcBorders>
              <w:top w:val="single" w:sz="4" w:space="0" w:color="auto"/>
              <w:left w:val="single" w:sz="4" w:space="0" w:color="auto"/>
              <w:bottom w:val="single" w:sz="4" w:space="0" w:color="auto"/>
              <w:right w:val="single" w:sz="4" w:space="0" w:color="auto"/>
            </w:tcBorders>
            <w:hideMark/>
          </w:tcPr>
          <w:p w14:paraId="6F01357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Primary failure rate in patients with a RRD exceeding six clock hours was 19.7% compared to 9.6% in patients with smaller detachments, a failure rate of 15.2% in the group with VA &lt;0.5 compared to 7.9% in the group with VA ≥0.5, a higher failure rate for patients older than 70 years compared to patients 70 years or younger (18.4% versus 10.9%).</w:t>
            </w:r>
          </w:p>
        </w:tc>
        <w:tc>
          <w:tcPr>
            <w:tcW w:w="1843" w:type="dxa"/>
            <w:tcBorders>
              <w:top w:val="single" w:sz="4" w:space="0" w:color="auto"/>
              <w:left w:val="single" w:sz="4" w:space="0" w:color="auto"/>
              <w:bottom w:val="single" w:sz="4" w:space="0" w:color="auto"/>
              <w:right w:val="single" w:sz="4" w:space="0" w:color="auto"/>
            </w:tcBorders>
            <w:hideMark/>
          </w:tcPr>
          <w:p w14:paraId="1C6C0C2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No significant differences in the PAS and FAS rates between PPV, PPV-SB and SB in the treatment of RRD.</w:t>
            </w:r>
          </w:p>
        </w:tc>
      </w:tr>
      <w:tr w:rsidR="003A4529" w14:paraId="1711CE24"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2B54ED7B" w14:textId="77777777" w:rsidR="003A4529" w:rsidRDefault="003A4529">
            <w:pPr>
              <w:spacing w:line="276" w:lineRule="auto"/>
              <w:rPr>
                <w:rFonts w:ascii="Times New Roman" w:hAnsi="Times New Roman" w:cs="Times New Roman"/>
                <w:sz w:val="16"/>
                <w:szCs w:val="16"/>
                <w:lang w:val="en-US"/>
              </w:rPr>
            </w:pPr>
            <w:proofErr w:type="spellStart"/>
            <w:r>
              <w:rPr>
                <w:rFonts w:ascii="Times New Roman" w:hAnsi="Times New Roman" w:cs="Times New Roman"/>
                <w:sz w:val="16"/>
                <w:szCs w:val="16"/>
                <w:lang w:val="en-US"/>
              </w:rPr>
              <w:lastRenderedPageBreak/>
              <w:t>Scheerlinck</w:t>
            </w:r>
            <w:proofErr w:type="spellEnd"/>
            <w:r>
              <w:rPr>
                <w:rFonts w:ascii="Times New Roman" w:hAnsi="Times New Roman" w:cs="Times New Roman"/>
                <w:sz w:val="16"/>
                <w:szCs w:val="16"/>
                <w:lang w:val="en-US"/>
              </w:rPr>
              <w:t xml:space="preserve">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2018 </w:t>
            </w:r>
            <w:sdt>
              <w:sdtPr>
                <w:rPr>
                  <w:rFonts w:ascii="Times New Roman" w:hAnsi="Times New Roman" w:cs="Times New Roman"/>
                  <w:sz w:val="16"/>
                  <w:szCs w:val="16"/>
                  <w:lang w:val="en-US"/>
                </w:rPr>
                <w:tag w:val="MENDELEY_CITATION_v3_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"/>
                <w:id w:val="-630332733"/>
                <w:placeholder>
                  <w:docPart w:val="8AD14C0D9D274B6FBE383E2E3A661263"/>
                </w:placeholder>
              </w:sdtPr>
              <w:sdtContent>
                <w:r>
                  <w:rPr>
                    <w:rFonts w:ascii="Times New Roman" w:hAnsi="Times New Roman" w:cs="Times New Roman"/>
                    <w:sz w:val="16"/>
                    <w:szCs w:val="16"/>
                    <w:lang w:val="en-US"/>
                  </w:rPr>
                  <w:t>[53]</w:t>
                </w:r>
              </w:sdtContent>
            </w:sdt>
          </w:p>
        </w:tc>
        <w:tc>
          <w:tcPr>
            <w:tcW w:w="856" w:type="dxa"/>
            <w:tcBorders>
              <w:top w:val="single" w:sz="4" w:space="0" w:color="auto"/>
              <w:left w:val="single" w:sz="4" w:space="0" w:color="auto"/>
              <w:bottom w:val="single" w:sz="4" w:space="0" w:color="auto"/>
              <w:right w:val="single" w:sz="4" w:space="0" w:color="auto"/>
            </w:tcBorders>
            <w:hideMark/>
          </w:tcPr>
          <w:p w14:paraId="74275D0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The median age (range) for each of the groups were: 62 (45 to 72) for macula on, gas tamponade: 62 (30 to 74), macula on SO tamponade 62 (54 to 75), macula-off gas tamponade 61 (51 to 74) for macula off SO tamponade</w:t>
            </w:r>
          </w:p>
        </w:tc>
        <w:tc>
          <w:tcPr>
            <w:tcW w:w="1134" w:type="dxa"/>
            <w:tcBorders>
              <w:top w:val="single" w:sz="4" w:space="0" w:color="auto"/>
              <w:left w:val="single" w:sz="4" w:space="0" w:color="auto"/>
              <w:bottom w:val="single" w:sz="4" w:space="0" w:color="auto"/>
              <w:right w:val="single" w:sz="4" w:space="0" w:color="auto"/>
            </w:tcBorders>
            <w:hideMark/>
          </w:tcPr>
          <w:p w14:paraId="2528AB1D"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PVR grade C1 was present in one eye with a macula-on GRT</w:t>
            </w:r>
          </w:p>
        </w:tc>
        <w:tc>
          <w:tcPr>
            <w:tcW w:w="1599" w:type="dxa"/>
            <w:tcBorders>
              <w:top w:val="single" w:sz="4" w:space="0" w:color="auto"/>
              <w:left w:val="single" w:sz="4" w:space="0" w:color="auto"/>
              <w:bottom w:val="single" w:sz="4" w:space="0" w:color="auto"/>
              <w:right w:val="single" w:sz="4" w:space="0" w:color="auto"/>
            </w:tcBorders>
            <w:hideMark/>
          </w:tcPr>
          <w:p w14:paraId="24393BCC"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980" w:type="dxa"/>
            <w:tcBorders>
              <w:top w:val="single" w:sz="4" w:space="0" w:color="auto"/>
              <w:left w:val="single" w:sz="4" w:space="0" w:color="auto"/>
              <w:bottom w:val="single" w:sz="4" w:space="0" w:color="auto"/>
              <w:right w:val="single" w:sz="4" w:space="0" w:color="auto"/>
            </w:tcBorders>
            <w:hideMark/>
          </w:tcPr>
          <w:p w14:paraId="42B7C6CB"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620" w:type="dxa"/>
            <w:tcBorders>
              <w:top w:val="single" w:sz="4" w:space="0" w:color="auto"/>
              <w:left w:val="single" w:sz="4" w:space="0" w:color="auto"/>
              <w:bottom w:val="single" w:sz="4" w:space="0" w:color="auto"/>
              <w:right w:val="single" w:sz="4" w:space="0" w:color="auto"/>
            </w:tcBorders>
            <w:hideMark/>
          </w:tcPr>
          <w:p w14:paraId="1F5230B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 xml:space="preserve">For macula on RRD, the preoperative BCVA for gas tamponade and SO tamponade were </w:t>
            </w:r>
            <w:proofErr w:type="spellStart"/>
            <w:r>
              <w:rPr>
                <w:rFonts w:ascii="Times New Roman" w:hAnsi="Times New Roman" w:cs="Times New Roman"/>
                <w:sz w:val="16"/>
                <w:szCs w:val="16"/>
                <w:shd w:val="clear" w:color="auto" w:fill="FFFFFF"/>
                <w:lang w:val="en-US"/>
              </w:rPr>
              <w:t>logMAR</w:t>
            </w:r>
            <w:proofErr w:type="spellEnd"/>
            <w:r>
              <w:rPr>
                <w:rFonts w:ascii="Times New Roman" w:hAnsi="Times New Roman" w:cs="Times New Roman"/>
                <w:sz w:val="16"/>
                <w:szCs w:val="16"/>
                <w:shd w:val="clear" w:color="auto" w:fill="FFFFFF"/>
                <w:lang w:val="en-US"/>
              </w:rPr>
              <w:t xml:space="preserve"> 0.11 and 0.2, respectively. Macula off RRD, on the other hand, has preoperative BCVA for gas tamponade and SO tamponade, as </w:t>
            </w:r>
            <w:proofErr w:type="spellStart"/>
            <w:r>
              <w:rPr>
                <w:rFonts w:ascii="Times New Roman" w:hAnsi="Times New Roman" w:cs="Times New Roman"/>
                <w:sz w:val="16"/>
                <w:szCs w:val="16"/>
                <w:shd w:val="clear" w:color="auto" w:fill="FFFFFF"/>
                <w:lang w:val="en-US"/>
              </w:rPr>
              <w:t>logMAR</w:t>
            </w:r>
            <w:proofErr w:type="spellEnd"/>
            <w:r>
              <w:rPr>
                <w:rFonts w:ascii="Times New Roman" w:hAnsi="Times New Roman" w:cs="Times New Roman"/>
                <w:sz w:val="16"/>
                <w:szCs w:val="16"/>
                <w:shd w:val="clear" w:color="auto" w:fill="FFFFFF"/>
                <w:lang w:val="en-US"/>
              </w:rPr>
              <w:t xml:space="preserve"> 1.78 and 1.30, respectively. For macula on RRD, the post-operative BCVA for gas tamponade and SO tamponade were </w:t>
            </w:r>
            <w:proofErr w:type="spellStart"/>
            <w:r>
              <w:rPr>
                <w:rFonts w:ascii="Times New Roman" w:hAnsi="Times New Roman" w:cs="Times New Roman"/>
                <w:sz w:val="16"/>
                <w:szCs w:val="16"/>
                <w:shd w:val="clear" w:color="auto" w:fill="FFFFFF"/>
                <w:lang w:val="en-US"/>
              </w:rPr>
              <w:t>logMAR</w:t>
            </w:r>
            <w:proofErr w:type="spellEnd"/>
            <w:r>
              <w:rPr>
                <w:rFonts w:ascii="Times New Roman" w:hAnsi="Times New Roman" w:cs="Times New Roman"/>
                <w:sz w:val="16"/>
                <w:szCs w:val="16"/>
                <w:shd w:val="clear" w:color="auto" w:fill="FFFFFF"/>
                <w:lang w:val="en-US"/>
              </w:rPr>
              <w:t xml:space="preserve"> 0.08 and 0.16, respectively. Macula off RRD, on the other hand, has postoperative BCVA for gas tamponade and SO tamponade, as </w:t>
            </w:r>
            <w:proofErr w:type="spellStart"/>
            <w:r>
              <w:rPr>
                <w:rFonts w:ascii="Times New Roman" w:hAnsi="Times New Roman" w:cs="Times New Roman"/>
                <w:sz w:val="16"/>
                <w:szCs w:val="16"/>
                <w:shd w:val="clear" w:color="auto" w:fill="FFFFFF"/>
                <w:lang w:val="en-US"/>
              </w:rPr>
              <w:t>logMAR</w:t>
            </w:r>
            <w:proofErr w:type="spellEnd"/>
            <w:r>
              <w:rPr>
                <w:rFonts w:ascii="Times New Roman" w:hAnsi="Times New Roman" w:cs="Times New Roman"/>
                <w:sz w:val="16"/>
                <w:szCs w:val="16"/>
                <w:shd w:val="clear" w:color="auto" w:fill="FFFFFF"/>
                <w:lang w:val="en-US"/>
              </w:rPr>
              <w:t xml:space="preserve"> 0.26 and 0.39, respectively.</w:t>
            </w:r>
          </w:p>
        </w:tc>
        <w:tc>
          <w:tcPr>
            <w:tcW w:w="1350" w:type="dxa"/>
            <w:tcBorders>
              <w:top w:val="single" w:sz="4" w:space="0" w:color="auto"/>
              <w:left w:val="single" w:sz="4" w:space="0" w:color="auto"/>
              <w:bottom w:val="single" w:sz="4" w:space="0" w:color="auto"/>
              <w:right w:val="single" w:sz="4" w:space="0" w:color="auto"/>
            </w:tcBorders>
            <w:hideMark/>
          </w:tcPr>
          <w:p w14:paraId="2F24981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stated </w:t>
            </w:r>
          </w:p>
        </w:tc>
        <w:tc>
          <w:tcPr>
            <w:tcW w:w="1814" w:type="dxa"/>
            <w:tcBorders>
              <w:top w:val="single" w:sz="4" w:space="0" w:color="auto"/>
              <w:left w:val="single" w:sz="4" w:space="0" w:color="auto"/>
              <w:bottom w:val="single" w:sz="4" w:space="0" w:color="auto"/>
              <w:right w:val="single" w:sz="4" w:space="0" w:color="auto"/>
            </w:tcBorders>
            <w:hideMark/>
          </w:tcPr>
          <w:p w14:paraId="29EB13CE"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843" w:type="dxa"/>
            <w:tcBorders>
              <w:top w:val="single" w:sz="4" w:space="0" w:color="auto"/>
              <w:left w:val="single" w:sz="4" w:space="0" w:color="auto"/>
              <w:bottom w:val="single" w:sz="4" w:space="0" w:color="auto"/>
              <w:right w:val="single" w:sz="4" w:space="0" w:color="auto"/>
            </w:tcBorders>
            <w:hideMark/>
          </w:tcPr>
          <w:p w14:paraId="3A6385D3"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The mean postoperative BCVA tended to be worse after SO tamponade, both for macula on and macula off RRD, this was not statistically significant in both groups. </w:t>
            </w:r>
          </w:p>
        </w:tc>
      </w:tr>
      <w:tr w:rsidR="003A4529" w14:paraId="1929A14C"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211DF06E"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Shu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2019  </w:t>
            </w:r>
            <w:sdt>
              <w:sdtPr>
                <w:rPr>
                  <w:rFonts w:ascii="Times New Roman" w:hAnsi="Times New Roman" w:cs="Times New Roman"/>
                  <w:sz w:val="16"/>
                  <w:szCs w:val="16"/>
                  <w:lang w:val="en-US"/>
                </w:rPr>
                <w:tag w:val="MENDELEY_CITATION_v3_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"/>
                <w:id w:val="253408219"/>
                <w:placeholder>
                  <w:docPart w:val="8AD14C0D9D274B6FBE383E2E3A661263"/>
                </w:placeholder>
              </w:sdtPr>
              <w:sdtContent>
                <w:r>
                  <w:rPr>
                    <w:rFonts w:ascii="Times New Roman" w:hAnsi="Times New Roman" w:cs="Times New Roman"/>
                    <w:sz w:val="16"/>
                    <w:szCs w:val="16"/>
                    <w:lang w:val="en-US"/>
                  </w:rPr>
                  <w:t>[54]</w:t>
                </w:r>
              </w:sdtContent>
            </w:sdt>
          </w:p>
        </w:tc>
        <w:tc>
          <w:tcPr>
            <w:tcW w:w="856" w:type="dxa"/>
            <w:tcBorders>
              <w:top w:val="single" w:sz="4" w:space="0" w:color="auto"/>
              <w:left w:val="single" w:sz="4" w:space="0" w:color="auto"/>
              <w:bottom w:val="single" w:sz="4" w:space="0" w:color="auto"/>
              <w:right w:val="single" w:sz="4" w:space="0" w:color="auto"/>
            </w:tcBorders>
            <w:hideMark/>
          </w:tcPr>
          <w:p w14:paraId="149D6C07"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Mean </w:t>
            </w:r>
            <w:r>
              <w:rPr>
                <w:rFonts w:ascii="Times New Roman" w:eastAsia="Times New Roman" w:hAnsi="Times New Roman" w:cs="Times New Roman"/>
                <w:sz w:val="16"/>
                <w:szCs w:val="16"/>
                <w:lang w:val="en-US"/>
              </w:rPr>
              <w:t xml:space="preserve">± SD = </w:t>
            </w:r>
            <w:r>
              <w:rPr>
                <w:rFonts w:ascii="Times New Roman" w:hAnsi="Times New Roman" w:cs="Times New Roman"/>
                <w:sz w:val="16"/>
                <w:szCs w:val="16"/>
                <w:shd w:val="clear" w:color="auto" w:fill="FFFFFF"/>
                <w:lang w:val="en-US"/>
              </w:rPr>
              <w:t>33.0 ± 11.8 (Range = 2–49) years</w:t>
            </w:r>
          </w:p>
        </w:tc>
        <w:tc>
          <w:tcPr>
            <w:tcW w:w="1134" w:type="dxa"/>
            <w:tcBorders>
              <w:top w:val="single" w:sz="4" w:space="0" w:color="auto"/>
              <w:left w:val="single" w:sz="4" w:space="0" w:color="auto"/>
              <w:bottom w:val="single" w:sz="4" w:space="0" w:color="auto"/>
              <w:right w:val="single" w:sz="4" w:space="0" w:color="auto"/>
            </w:tcBorders>
            <w:hideMark/>
          </w:tcPr>
          <w:p w14:paraId="764607A1"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Preoperative PVR cases were excluded</w:t>
            </w:r>
          </w:p>
        </w:tc>
        <w:tc>
          <w:tcPr>
            <w:tcW w:w="1599" w:type="dxa"/>
            <w:tcBorders>
              <w:top w:val="single" w:sz="4" w:space="0" w:color="auto"/>
              <w:left w:val="single" w:sz="4" w:space="0" w:color="auto"/>
              <w:bottom w:val="single" w:sz="4" w:space="0" w:color="auto"/>
              <w:right w:val="single" w:sz="4" w:space="0" w:color="auto"/>
            </w:tcBorders>
            <w:hideMark/>
          </w:tcPr>
          <w:p w14:paraId="779FA971"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980" w:type="dxa"/>
            <w:tcBorders>
              <w:top w:val="single" w:sz="4" w:space="0" w:color="auto"/>
              <w:left w:val="single" w:sz="4" w:space="0" w:color="auto"/>
              <w:bottom w:val="single" w:sz="4" w:space="0" w:color="auto"/>
              <w:right w:val="single" w:sz="4" w:space="0" w:color="auto"/>
            </w:tcBorders>
            <w:hideMark/>
          </w:tcPr>
          <w:p w14:paraId="43343AED"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The PAS rate for all eyes was 93.1%: 92.2% for the SB group and 93.9% for the PPV group. The FAS rate for all eyes was 99.0%: 99.3% for the SB group and 98.9% for the PPV group, with no statistically significant difference between the two groups</w:t>
            </w:r>
          </w:p>
        </w:tc>
        <w:tc>
          <w:tcPr>
            <w:tcW w:w="1620" w:type="dxa"/>
            <w:tcBorders>
              <w:top w:val="single" w:sz="4" w:space="0" w:color="auto"/>
              <w:left w:val="single" w:sz="4" w:space="0" w:color="auto"/>
              <w:bottom w:val="single" w:sz="4" w:space="0" w:color="auto"/>
              <w:right w:val="single" w:sz="4" w:space="0" w:color="auto"/>
            </w:tcBorders>
            <w:hideMark/>
          </w:tcPr>
          <w:p w14:paraId="45C57F12"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Improvements of BCVA were noted. The preoperative BCVA for all patients was 0.52 ± 0.73 </w:t>
            </w:r>
            <w:proofErr w:type="spellStart"/>
            <w:r>
              <w:rPr>
                <w:rFonts w:ascii="Times New Roman" w:hAnsi="Times New Roman" w:cs="Times New Roman"/>
                <w:sz w:val="16"/>
                <w:szCs w:val="16"/>
                <w:shd w:val="clear" w:color="auto" w:fill="FFFFFF"/>
                <w:lang w:val="en-US"/>
              </w:rPr>
              <w:t>logMAR</w:t>
            </w:r>
            <w:proofErr w:type="spellEnd"/>
            <w:r>
              <w:rPr>
                <w:rFonts w:ascii="Times New Roman" w:hAnsi="Times New Roman" w:cs="Times New Roman"/>
                <w:sz w:val="16"/>
                <w:szCs w:val="16"/>
                <w:shd w:val="clear" w:color="auto" w:fill="FFFFFF"/>
                <w:lang w:val="en-US"/>
              </w:rPr>
              <w:t xml:space="preserve">. Final BCVA (the best postoperative BCVA) was 0.17 ± 0.45 </w:t>
            </w:r>
            <w:proofErr w:type="spellStart"/>
            <w:r>
              <w:rPr>
                <w:rFonts w:ascii="Times New Roman" w:hAnsi="Times New Roman" w:cs="Times New Roman"/>
                <w:sz w:val="16"/>
                <w:szCs w:val="16"/>
                <w:shd w:val="clear" w:color="auto" w:fill="FFFFFF"/>
                <w:lang w:val="en-US"/>
              </w:rPr>
              <w:t>logMAR</w:t>
            </w:r>
            <w:proofErr w:type="spellEnd"/>
            <w:r>
              <w:rPr>
                <w:rFonts w:ascii="Times New Roman" w:hAnsi="Times New Roman" w:cs="Times New Roman"/>
                <w:sz w:val="16"/>
                <w:szCs w:val="16"/>
                <w:shd w:val="clear" w:color="auto" w:fill="FFFFFF"/>
                <w:lang w:val="en-US"/>
              </w:rPr>
              <w:t xml:space="preserve">. </w:t>
            </w:r>
          </w:p>
        </w:tc>
        <w:tc>
          <w:tcPr>
            <w:tcW w:w="1350" w:type="dxa"/>
            <w:tcBorders>
              <w:top w:val="single" w:sz="4" w:space="0" w:color="auto"/>
              <w:left w:val="single" w:sz="4" w:space="0" w:color="auto"/>
              <w:bottom w:val="single" w:sz="4" w:space="0" w:color="auto"/>
              <w:right w:val="single" w:sz="4" w:space="0" w:color="auto"/>
            </w:tcBorders>
            <w:hideMark/>
          </w:tcPr>
          <w:p w14:paraId="44A8C1B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 xml:space="preserve">PVR (1.3%), endophthalmitis (0.3%), macular pucker (1.7%), cataract formation (3.9%), elevation of IOP (0.01%) and eye movement disorder (0.002%) were observed. </w:t>
            </w:r>
          </w:p>
        </w:tc>
        <w:tc>
          <w:tcPr>
            <w:tcW w:w="1814" w:type="dxa"/>
            <w:tcBorders>
              <w:top w:val="single" w:sz="4" w:space="0" w:color="auto"/>
              <w:left w:val="single" w:sz="4" w:space="0" w:color="auto"/>
              <w:bottom w:val="single" w:sz="4" w:space="0" w:color="auto"/>
              <w:right w:val="single" w:sz="4" w:space="0" w:color="auto"/>
            </w:tcBorders>
            <w:hideMark/>
          </w:tcPr>
          <w:p w14:paraId="191D2E3A"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Preoperative BCVA, forms</w:t>
            </w:r>
          </w:p>
          <w:p w14:paraId="0F833440"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of tears, locations of tears, atrophic holes, and GRT. </w:t>
            </w:r>
          </w:p>
        </w:tc>
        <w:tc>
          <w:tcPr>
            <w:tcW w:w="1843" w:type="dxa"/>
            <w:tcBorders>
              <w:top w:val="single" w:sz="4" w:space="0" w:color="auto"/>
              <w:left w:val="single" w:sz="4" w:space="0" w:color="auto"/>
              <w:bottom w:val="single" w:sz="4" w:space="0" w:color="auto"/>
              <w:right w:val="single" w:sz="4" w:space="0" w:color="auto"/>
            </w:tcBorders>
            <w:hideMark/>
          </w:tcPr>
          <w:p w14:paraId="3778322C"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This study suggested that SB is a better choice in some cases, even when MIVS is available. In young patients without PVD, SB can be recommended; in young patients with PVD, PPV can be recommended with the expectation of improved PARR and complications.</w:t>
            </w:r>
          </w:p>
        </w:tc>
      </w:tr>
      <w:tr w:rsidR="003A4529" w14:paraId="1E98929F"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6D1D95E2"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lastRenderedPageBreak/>
              <w:t xml:space="preserve">Eiger-Moscovich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2017 </w:t>
            </w:r>
            <w:sdt>
              <w:sdtPr>
                <w:rPr>
                  <w:rFonts w:ascii="Times New Roman" w:hAnsi="Times New Roman" w:cs="Times New Roman"/>
                  <w:sz w:val="16"/>
                  <w:szCs w:val="16"/>
                  <w:lang w:val="en-US"/>
                </w:rPr>
                <w:tag w:val="MENDELEY_CITATION_v3_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"/>
                <w:id w:val="1288247653"/>
                <w:placeholder>
                  <w:docPart w:val="8AD14C0D9D274B6FBE383E2E3A661263"/>
                </w:placeholder>
              </w:sdtPr>
              <w:sdtContent>
                <w:r>
                  <w:rPr>
                    <w:rFonts w:ascii="Times New Roman" w:hAnsi="Times New Roman" w:cs="Times New Roman"/>
                    <w:sz w:val="16"/>
                    <w:szCs w:val="16"/>
                    <w:lang w:val="en-US"/>
                  </w:rPr>
                  <w:t>[55]</w:t>
                </w:r>
              </w:sdtContent>
            </w:sdt>
          </w:p>
        </w:tc>
        <w:tc>
          <w:tcPr>
            <w:tcW w:w="856" w:type="dxa"/>
            <w:tcBorders>
              <w:top w:val="single" w:sz="4" w:space="0" w:color="auto"/>
              <w:left w:val="single" w:sz="4" w:space="0" w:color="auto"/>
              <w:bottom w:val="single" w:sz="4" w:space="0" w:color="auto"/>
              <w:right w:val="single" w:sz="4" w:space="0" w:color="auto"/>
            </w:tcBorders>
            <w:hideMark/>
          </w:tcPr>
          <w:p w14:paraId="230BDE90"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Mean ± SD, 54 ± 12 (Range = 30 to 79) years</w:t>
            </w:r>
          </w:p>
        </w:tc>
        <w:tc>
          <w:tcPr>
            <w:tcW w:w="1134" w:type="dxa"/>
            <w:tcBorders>
              <w:top w:val="single" w:sz="4" w:space="0" w:color="auto"/>
              <w:left w:val="single" w:sz="4" w:space="0" w:color="auto"/>
              <w:bottom w:val="single" w:sz="4" w:space="0" w:color="auto"/>
              <w:right w:val="single" w:sz="4" w:space="0" w:color="auto"/>
            </w:tcBorders>
            <w:hideMark/>
          </w:tcPr>
          <w:p w14:paraId="1965FDAD"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599" w:type="dxa"/>
            <w:tcBorders>
              <w:top w:val="single" w:sz="4" w:space="0" w:color="auto"/>
              <w:left w:val="single" w:sz="4" w:space="0" w:color="auto"/>
              <w:bottom w:val="single" w:sz="4" w:space="0" w:color="auto"/>
              <w:right w:val="single" w:sz="4" w:space="0" w:color="auto"/>
            </w:tcBorders>
            <w:hideMark/>
          </w:tcPr>
          <w:p w14:paraId="78C194A2"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980" w:type="dxa"/>
            <w:tcBorders>
              <w:top w:val="single" w:sz="4" w:space="0" w:color="auto"/>
              <w:left w:val="single" w:sz="4" w:space="0" w:color="auto"/>
              <w:bottom w:val="single" w:sz="4" w:space="0" w:color="auto"/>
              <w:right w:val="single" w:sz="4" w:space="0" w:color="auto"/>
            </w:tcBorders>
            <w:hideMark/>
          </w:tcPr>
          <w:p w14:paraId="3570134C"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Retinal reattachment was achieved intraoperatively in all patients. Repeated detachment with PVR</w:t>
            </w:r>
          </w:p>
          <w:p w14:paraId="27A11B9C"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occurred in one patient (8%), who underwent repeated vitrectomies. At the last follow-up visit, the retina was attached in all patients.</w:t>
            </w:r>
          </w:p>
        </w:tc>
        <w:tc>
          <w:tcPr>
            <w:tcW w:w="1620" w:type="dxa"/>
            <w:tcBorders>
              <w:top w:val="single" w:sz="4" w:space="0" w:color="auto"/>
              <w:left w:val="single" w:sz="4" w:space="0" w:color="auto"/>
              <w:bottom w:val="single" w:sz="4" w:space="0" w:color="auto"/>
              <w:right w:val="single" w:sz="4" w:space="0" w:color="auto"/>
            </w:tcBorders>
            <w:hideMark/>
          </w:tcPr>
          <w:p w14:paraId="6AACF0B5"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The macula was detached at presentation in three patients, </w:t>
            </w:r>
            <w:proofErr w:type="gramStart"/>
            <w:r>
              <w:rPr>
                <w:rFonts w:ascii="Times New Roman" w:hAnsi="Times New Roman" w:cs="Times New Roman"/>
                <w:sz w:val="16"/>
                <w:szCs w:val="16"/>
                <w:shd w:val="clear" w:color="auto" w:fill="FFFFFF"/>
                <w:lang w:val="en-US"/>
              </w:rPr>
              <w:t>all</w:t>
            </w:r>
            <w:proofErr w:type="gramEnd"/>
          </w:p>
          <w:p w14:paraId="079B4313"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of which showed an improvement in BCVA postoperatively</w:t>
            </w:r>
          </w:p>
          <w:p w14:paraId="6A68D1EB"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compared with preoperatively, and the final BCVA was </w:t>
            </w:r>
            <w:proofErr w:type="gramStart"/>
            <w:r>
              <w:rPr>
                <w:rFonts w:ascii="Times New Roman" w:hAnsi="Times New Roman" w:cs="Times New Roman"/>
                <w:sz w:val="16"/>
                <w:szCs w:val="16"/>
                <w:shd w:val="clear" w:color="auto" w:fill="FFFFFF"/>
                <w:lang w:val="en-US"/>
              </w:rPr>
              <w:t>equal</w:t>
            </w:r>
            <w:proofErr w:type="gramEnd"/>
          </w:p>
          <w:p w14:paraId="524A100B"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to or better than 20/100. Of the 10 patients in whom the macula was attached at presentation, six (60%) had a final</w:t>
            </w:r>
          </w:p>
          <w:p w14:paraId="7E565082"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BCVA that was equal to or better than the initial BCVA.</w:t>
            </w:r>
          </w:p>
        </w:tc>
        <w:tc>
          <w:tcPr>
            <w:tcW w:w="1350" w:type="dxa"/>
            <w:tcBorders>
              <w:top w:val="single" w:sz="4" w:space="0" w:color="auto"/>
              <w:left w:val="single" w:sz="4" w:space="0" w:color="auto"/>
              <w:bottom w:val="single" w:sz="4" w:space="0" w:color="auto"/>
              <w:right w:val="single" w:sz="4" w:space="0" w:color="auto"/>
            </w:tcBorders>
            <w:hideMark/>
          </w:tcPr>
          <w:p w14:paraId="505B7540"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Postoperative elevation in IOP was measured in two patients (15%), PFCL was noted in the anterior chamber of one patient, cataract developed in two patients (15%), and CME in another two (15%).</w:t>
            </w:r>
          </w:p>
        </w:tc>
        <w:tc>
          <w:tcPr>
            <w:tcW w:w="1814" w:type="dxa"/>
            <w:tcBorders>
              <w:top w:val="single" w:sz="4" w:space="0" w:color="auto"/>
              <w:left w:val="single" w:sz="4" w:space="0" w:color="auto"/>
              <w:bottom w:val="single" w:sz="4" w:space="0" w:color="auto"/>
              <w:right w:val="single" w:sz="4" w:space="0" w:color="auto"/>
            </w:tcBorders>
            <w:hideMark/>
          </w:tcPr>
          <w:p w14:paraId="5FADF2FD"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843" w:type="dxa"/>
            <w:tcBorders>
              <w:top w:val="single" w:sz="4" w:space="0" w:color="auto"/>
              <w:left w:val="single" w:sz="4" w:space="0" w:color="auto"/>
              <w:bottom w:val="single" w:sz="4" w:space="0" w:color="auto"/>
              <w:right w:val="single" w:sz="4" w:space="0" w:color="auto"/>
            </w:tcBorders>
            <w:hideMark/>
          </w:tcPr>
          <w:p w14:paraId="2F4FAC7A"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PFCL is a safe and effective material for short-term vitreoretinal tamponade following vitrectomy for giant retinal tear</w:t>
            </w:r>
          </w:p>
        </w:tc>
      </w:tr>
      <w:tr w:rsidR="003A4529" w14:paraId="12A29578"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5E3DB07B"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Adelman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2013 </w:t>
            </w:r>
            <w:sdt>
              <w:sdtPr>
                <w:rPr>
                  <w:rFonts w:ascii="Times New Roman" w:hAnsi="Times New Roman" w:cs="Times New Roman"/>
                  <w:sz w:val="16"/>
                  <w:szCs w:val="16"/>
                  <w:lang w:val="en-US"/>
                </w:rPr>
                <w:tag w:val="MENDELEY_CITATION_v3_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"/>
                <w:id w:val="775676321"/>
                <w:placeholder>
                  <w:docPart w:val="8AD14C0D9D274B6FBE383E2E3A661263"/>
                </w:placeholder>
              </w:sdtPr>
              <w:sdtContent>
                <w:r>
                  <w:rPr>
                    <w:rFonts w:ascii="Times New Roman" w:hAnsi="Times New Roman" w:cs="Times New Roman"/>
                    <w:sz w:val="16"/>
                    <w:szCs w:val="16"/>
                    <w:lang w:val="en-US"/>
                  </w:rPr>
                  <w:t>[70]</w:t>
                </w:r>
              </w:sdtContent>
            </w:sdt>
          </w:p>
        </w:tc>
        <w:tc>
          <w:tcPr>
            <w:tcW w:w="856" w:type="dxa"/>
            <w:tcBorders>
              <w:top w:val="single" w:sz="4" w:space="0" w:color="auto"/>
              <w:left w:val="single" w:sz="4" w:space="0" w:color="auto"/>
              <w:bottom w:val="single" w:sz="4" w:space="0" w:color="auto"/>
              <w:right w:val="single" w:sz="4" w:space="0" w:color="auto"/>
            </w:tcBorders>
            <w:hideMark/>
          </w:tcPr>
          <w:p w14:paraId="7FA84CE6"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134" w:type="dxa"/>
            <w:tcBorders>
              <w:top w:val="single" w:sz="4" w:space="0" w:color="auto"/>
              <w:left w:val="single" w:sz="4" w:space="0" w:color="auto"/>
              <w:bottom w:val="single" w:sz="4" w:space="0" w:color="auto"/>
              <w:right w:val="single" w:sz="4" w:space="0" w:color="auto"/>
            </w:tcBorders>
            <w:hideMark/>
          </w:tcPr>
          <w:p w14:paraId="769B1B2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Grade B PVR (n = 917, 11.9%); grade C-1 PVR (n = 637, 8.3%)</w:t>
            </w:r>
          </w:p>
        </w:tc>
        <w:tc>
          <w:tcPr>
            <w:tcW w:w="1599" w:type="dxa"/>
            <w:tcBorders>
              <w:top w:val="single" w:sz="4" w:space="0" w:color="auto"/>
              <w:left w:val="single" w:sz="4" w:space="0" w:color="auto"/>
              <w:bottom w:val="single" w:sz="4" w:space="0" w:color="auto"/>
              <w:right w:val="single" w:sz="4" w:space="0" w:color="auto"/>
            </w:tcBorders>
            <w:hideMark/>
          </w:tcPr>
          <w:p w14:paraId="376E5E7F"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The failure rate was divided into three categories: level one represented the true failure rate of eyes with detached retina judged to be inoperable by the end of the study, level two represented the percentage of eyes with SO remaining in the eye at the end of the study, and level three represented the percentage of eyes that experienced a recurrence of RD or complications after the initial procedure, requiring additional surgery.</w:t>
            </w:r>
          </w:p>
        </w:tc>
        <w:tc>
          <w:tcPr>
            <w:tcW w:w="1980" w:type="dxa"/>
            <w:tcBorders>
              <w:top w:val="single" w:sz="4" w:space="0" w:color="auto"/>
              <w:left w:val="single" w:sz="4" w:space="0" w:color="auto"/>
              <w:bottom w:val="single" w:sz="4" w:space="0" w:color="auto"/>
              <w:right w:val="single" w:sz="4" w:space="0" w:color="auto"/>
            </w:tcBorders>
          </w:tcPr>
          <w:p w14:paraId="202BFD3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Treatment with vitrectomy resulted in a lower level one failure rate. Application of a supplemental SB when vitrectomy was performed </w:t>
            </w:r>
            <w:proofErr w:type="gramStart"/>
            <w:r>
              <w:rPr>
                <w:rFonts w:ascii="Times New Roman" w:eastAsia="Times New Roman" w:hAnsi="Times New Roman" w:cs="Times New Roman"/>
                <w:sz w:val="16"/>
                <w:szCs w:val="16"/>
                <w:lang w:val="en-US"/>
              </w:rPr>
              <w:t>was</w:t>
            </w:r>
            <w:proofErr w:type="gramEnd"/>
          </w:p>
          <w:p w14:paraId="529CE61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associated with a significantly higher level one failure rate when compared with eyes where no SB was placed. When tamponade with either gas or SO was evaluated, the level one failure rate was not statistically </w:t>
            </w:r>
            <w:proofErr w:type="gramStart"/>
            <w:r>
              <w:rPr>
                <w:rFonts w:ascii="Times New Roman" w:eastAsia="Times New Roman" w:hAnsi="Times New Roman" w:cs="Times New Roman"/>
                <w:sz w:val="16"/>
                <w:szCs w:val="16"/>
                <w:lang w:val="en-US"/>
              </w:rPr>
              <w:t>different</w:t>
            </w:r>
            <w:proofErr w:type="gramEnd"/>
          </w:p>
          <w:p w14:paraId="6834D1E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between the two groups, whereas the level two failure rate was </w:t>
            </w:r>
            <w:proofErr w:type="gramStart"/>
            <w:r>
              <w:rPr>
                <w:rFonts w:ascii="Times New Roman" w:eastAsia="Times New Roman" w:hAnsi="Times New Roman" w:cs="Times New Roman"/>
                <w:sz w:val="16"/>
                <w:szCs w:val="16"/>
                <w:lang w:val="en-US"/>
              </w:rPr>
              <w:t>higher</w:t>
            </w:r>
            <w:proofErr w:type="gramEnd"/>
          </w:p>
          <w:p w14:paraId="4D65964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in the SO group. </w:t>
            </w:r>
          </w:p>
          <w:p w14:paraId="4D4342AA"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620" w:type="dxa"/>
            <w:tcBorders>
              <w:top w:val="single" w:sz="4" w:space="0" w:color="auto"/>
              <w:left w:val="single" w:sz="4" w:space="0" w:color="auto"/>
              <w:bottom w:val="single" w:sz="4" w:space="0" w:color="auto"/>
              <w:right w:val="single" w:sz="4" w:space="0" w:color="auto"/>
            </w:tcBorders>
            <w:hideMark/>
          </w:tcPr>
          <w:p w14:paraId="28614CED"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350" w:type="dxa"/>
            <w:tcBorders>
              <w:top w:val="single" w:sz="4" w:space="0" w:color="auto"/>
              <w:left w:val="single" w:sz="4" w:space="0" w:color="auto"/>
              <w:bottom w:val="single" w:sz="4" w:space="0" w:color="auto"/>
              <w:right w:val="single" w:sz="4" w:space="0" w:color="auto"/>
            </w:tcBorders>
            <w:hideMark/>
          </w:tcPr>
          <w:p w14:paraId="37D0D96B"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814" w:type="dxa"/>
            <w:tcBorders>
              <w:top w:val="single" w:sz="4" w:space="0" w:color="auto"/>
              <w:left w:val="single" w:sz="4" w:space="0" w:color="auto"/>
              <w:bottom w:val="single" w:sz="4" w:space="0" w:color="auto"/>
              <w:right w:val="single" w:sz="4" w:space="0" w:color="auto"/>
            </w:tcBorders>
            <w:hideMark/>
          </w:tcPr>
          <w:p w14:paraId="6231B5FC"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Choroidal detachment, significant hypotony, level of PVR (Grade A, B, and C-1), size of the largest retinal break, number of detached quadrants, lens status, total number of tears, and presence of posterior breaks including MHs. </w:t>
            </w:r>
          </w:p>
        </w:tc>
        <w:tc>
          <w:tcPr>
            <w:tcW w:w="1843" w:type="dxa"/>
            <w:tcBorders>
              <w:top w:val="single" w:sz="4" w:space="0" w:color="auto"/>
              <w:left w:val="single" w:sz="4" w:space="0" w:color="auto"/>
              <w:bottom w:val="single" w:sz="4" w:space="0" w:color="auto"/>
              <w:right w:val="single" w:sz="4" w:space="0" w:color="auto"/>
            </w:tcBorders>
          </w:tcPr>
          <w:p w14:paraId="281F75C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This study demonstrated </w:t>
            </w:r>
            <w:proofErr w:type="gramStart"/>
            <w:r>
              <w:rPr>
                <w:rFonts w:ascii="Times New Roman" w:eastAsia="Times New Roman" w:hAnsi="Times New Roman" w:cs="Times New Roman"/>
                <w:sz w:val="16"/>
                <w:szCs w:val="16"/>
                <w:lang w:val="en-US"/>
              </w:rPr>
              <w:t>that</w:t>
            </w:r>
            <w:proofErr w:type="gramEnd"/>
          </w:p>
          <w:p w14:paraId="59F5A54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when choroidal detachment, significant hypotony, a large</w:t>
            </w:r>
          </w:p>
          <w:p w14:paraId="3FD2CD7E"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tear, or a GRT is present, then vitrectomy is the </w:t>
            </w:r>
            <w:proofErr w:type="gramStart"/>
            <w:r>
              <w:rPr>
                <w:rFonts w:ascii="Times New Roman" w:eastAsia="Times New Roman" w:hAnsi="Times New Roman" w:cs="Times New Roman"/>
                <w:sz w:val="16"/>
                <w:szCs w:val="16"/>
                <w:lang w:val="en-US"/>
              </w:rPr>
              <w:t>procedure</w:t>
            </w:r>
            <w:proofErr w:type="gramEnd"/>
          </w:p>
          <w:p w14:paraId="15222AC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of choice.</w:t>
            </w:r>
          </w:p>
          <w:p w14:paraId="5AD0ADA6"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r>
      <w:tr w:rsidR="003A4529" w14:paraId="5583D1CE"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024CE01C"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lastRenderedPageBreak/>
              <w:t xml:space="preserve">Li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2020 </w:t>
            </w:r>
            <w:sdt>
              <w:sdtPr>
                <w:rPr>
                  <w:rFonts w:ascii="Times New Roman" w:hAnsi="Times New Roman" w:cs="Times New Roman"/>
                  <w:sz w:val="16"/>
                  <w:szCs w:val="16"/>
                  <w:lang w:val="en-US"/>
                </w:rPr>
                <w:tag w:val="MENDELEY_CITATION_v3_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"/>
                <w:id w:val="-1756887861"/>
                <w:placeholder>
                  <w:docPart w:val="2A91B2EB6F984EA2999501AAFCC19963"/>
                </w:placeholder>
              </w:sdtPr>
              <w:sdtContent>
                <w:r>
                  <w:rPr>
                    <w:rFonts w:ascii="Times New Roman" w:hAnsi="Times New Roman" w:cs="Times New Roman"/>
                    <w:sz w:val="16"/>
                    <w:szCs w:val="16"/>
                    <w:lang w:val="en-US"/>
                  </w:rPr>
                  <w:t>[56]</w:t>
                </w:r>
              </w:sdtContent>
            </w:sdt>
          </w:p>
        </w:tc>
        <w:tc>
          <w:tcPr>
            <w:tcW w:w="856" w:type="dxa"/>
            <w:tcBorders>
              <w:top w:val="single" w:sz="4" w:space="0" w:color="auto"/>
              <w:left w:val="single" w:sz="4" w:space="0" w:color="auto"/>
              <w:bottom w:val="single" w:sz="4" w:space="0" w:color="auto"/>
              <w:right w:val="single" w:sz="4" w:space="0" w:color="auto"/>
            </w:tcBorders>
            <w:hideMark/>
          </w:tcPr>
          <w:p w14:paraId="5A3E3889"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eastAsia="Times New Roman" w:hAnsi="Times New Roman" w:cs="Times New Roman"/>
                <w:sz w:val="16"/>
                <w:szCs w:val="16"/>
                <w:lang w:val="en-US"/>
              </w:rPr>
              <w:t xml:space="preserve">Mean ± SD = </w:t>
            </w:r>
            <w:r>
              <w:rPr>
                <w:rFonts w:ascii="Times New Roman" w:hAnsi="Times New Roman" w:cs="Times New Roman"/>
                <w:sz w:val="16"/>
                <w:szCs w:val="16"/>
                <w:shd w:val="clear" w:color="auto" w:fill="FFFFFF"/>
                <w:lang w:val="en-US"/>
              </w:rPr>
              <w:t>54.47 ± 11.81 years</w:t>
            </w:r>
          </w:p>
        </w:tc>
        <w:tc>
          <w:tcPr>
            <w:tcW w:w="1134" w:type="dxa"/>
            <w:tcBorders>
              <w:top w:val="single" w:sz="4" w:space="0" w:color="auto"/>
              <w:left w:val="single" w:sz="4" w:space="0" w:color="auto"/>
              <w:bottom w:val="single" w:sz="4" w:space="0" w:color="auto"/>
              <w:right w:val="single" w:sz="4" w:space="0" w:color="auto"/>
            </w:tcBorders>
          </w:tcPr>
          <w:p w14:paraId="200BB99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PVR C1 in two (3.4%) eyes and B or</w:t>
            </w:r>
          </w:p>
          <w:p w14:paraId="7CDC7E5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below in 57 (96.6%) eyes.</w:t>
            </w:r>
          </w:p>
          <w:p w14:paraId="31E7ECA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599" w:type="dxa"/>
            <w:tcBorders>
              <w:top w:val="single" w:sz="4" w:space="0" w:color="auto"/>
              <w:left w:val="single" w:sz="4" w:space="0" w:color="auto"/>
              <w:bottom w:val="single" w:sz="4" w:space="0" w:color="auto"/>
              <w:right w:val="single" w:sz="4" w:space="0" w:color="auto"/>
            </w:tcBorders>
            <w:hideMark/>
          </w:tcPr>
          <w:p w14:paraId="296EB81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stated </w:t>
            </w:r>
          </w:p>
        </w:tc>
        <w:tc>
          <w:tcPr>
            <w:tcW w:w="1980" w:type="dxa"/>
            <w:tcBorders>
              <w:top w:val="single" w:sz="4" w:space="0" w:color="auto"/>
              <w:left w:val="single" w:sz="4" w:space="0" w:color="auto"/>
              <w:bottom w:val="single" w:sz="4" w:space="0" w:color="auto"/>
              <w:right w:val="single" w:sz="4" w:space="0" w:color="auto"/>
            </w:tcBorders>
          </w:tcPr>
          <w:p w14:paraId="1798C94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The PAS and FAS rates were 94.9% (56/59) and 98.3% (58/59), respectively. Of the three eyes which</w:t>
            </w:r>
          </w:p>
          <w:p w14:paraId="5B6FA0B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developed </w:t>
            </w:r>
            <w:proofErr w:type="spellStart"/>
            <w:r>
              <w:rPr>
                <w:rFonts w:ascii="Times New Roman" w:eastAsia="Times New Roman" w:hAnsi="Times New Roman" w:cs="Times New Roman"/>
                <w:sz w:val="16"/>
                <w:szCs w:val="16"/>
                <w:lang w:val="en-US"/>
              </w:rPr>
              <w:t>redetachment</w:t>
            </w:r>
            <w:proofErr w:type="spellEnd"/>
            <w:r>
              <w:rPr>
                <w:rFonts w:ascii="Times New Roman" w:eastAsia="Times New Roman" w:hAnsi="Times New Roman" w:cs="Times New Roman"/>
                <w:sz w:val="16"/>
                <w:szCs w:val="16"/>
                <w:lang w:val="en-US"/>
              </w:rPr>
              <w:t xml:space="preserve"> of the retina, one eye had postoperative progression of PVR, and two eyes were RRD associated with MH in high myopia. Reattachment was achieved after the second surgery in these eyes, and the retina remained attached and stable after SO removal. The other case of </w:t>
            </w:r>
            <w:proofErr w:type="spellStart"/>
            <w:r>
              <w:rPr>
                <w:rFonts w:ascii="Times New Roman" w:eastAsia="Times New Roman" w:hAnsi="Times New Roman" w:cs="Times New Roman"/>
                <w:sz w:val="16"/>
                <w:szCs w:val="16"/>
                <w:lang w:val="en-US"/>
              </w:rPr>
              <w:t>redetachment</w:t>
            </w:r>
            <w:proofErr w:type="spellEnd"/>
            <w:r>
              <w:rPr>
                <w:rFonts w:ascii="Times New Roman" w:eastAsia="Times New Roman" w:hAnsi="Times New Roman" w:cs="Times New Roman"/>
                <w:sz w:val="16"/>
                <w:szCs w:val="16"/>
                <w:lang w:val="en-US"/>
              </w:rPr>
              <w:t xml:space="preserve"> was related to postoperative progression to severe PVR one month after</w:t>
            </w:r>
          </w:p>
          <w:p w14:paraId="647524C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surgery. Subsequent surgery was performed using SO tamponade, but the retina was only partially reattached after SO removal seven months later. At the end of the latest follow-up, 58 (98.3%) eyes achieved reattachment of the retina, and the remaining one eye still had localized detachment due to PVR </w:t>
            </w:r>
            <w:proofErr w:type="gramStart"/>
            <w:r>
              <w:rPr>
                <w:rFonts w:ascii="Times New Roman" w:eastAsia="Times New Roman" w:hAnsi="Times New Roman" w:cs="Times New Roman"/>
                <w:sz w:val="16"/>
                <w:szCs w:val="16"/>
                <w:lang w:val="en-US"/>
              </w:rPr>
              <w:t>recurrence</w:t>
            </w:r>
            <w:proofErr w:type="gramEnd"/>
          </w:p>
          <w:p w14:paraId="7D0FFA9E"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postoperatively. All the three eyes with GRT achieved PAS with air </w:t>
            </w:r>
            <w:proofErr w:type="gramStart"/>
            <w:r>
              <w:rPr>
                <w:rFonts w:ascii="Times New Roman" w:eastAsia="Times New Roman" w:hAnsi="Times New Roman" w:cs="Times New Roman"/>
                <w:sz w:val="16"/>
                <w:szCs w:val="16"/>
                <w:lang w:val="en-US"/>
              </w:rPr>
              <w:t>tamponade</w:t>
            </w:r>
            <w:proofErr w:type="gramEnd"/>
          </w:p>
          <w:p w14:paraId="690E7EE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620" w:type="dxa"/>
            <w:tcBorders>
              <w:top w:val="single" w:sz="4" w:space="0" w:color="auto"/>
              <w:left w:val="single" w:sz="4" w:space="0" w:color="auto"/>
              <w:bottom w:val="single" w:sz="4" w:space="0" w:color="auto"/>
              <w:right w:val="single" w:sz="4" w:space="0" w:color="auto"/>
            </w:tcBorders>
          </w:tcPr>
          <w:p w14:paraId="6C2829EE"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Postoperative BCVA significantly improved from one week onwards after surgery (preoperative: 1.28 ± 0.79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20/381 Snellen equivalent; 1-day: 2.12 ± 0.21</w:t>
            </w:r>
          </w:p>
          <w:p w14:paraId="5BDD7583"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20/2,636 Snellen equivalent; 1-week: 1.00 ±</w:t>
            </w:r>
          </w:p>
          <w:p w14:paraId="59F20BB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0.57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20/200 Snellen equivalent; one month: 0.66</w:t>
            </w:r>
          </w:p>
          <w:p w14:paraId="35B83F4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 0.47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20/91.4 Snellen equivalent; three months: 0.63 ± 0.47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20/85.4 Snellen equivalent.</w:t>
            </w:r>
          </w:p>
          <w:p w14:paraId="785F56E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six-month: 0.54 ± 0.42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20/69.4 Snellen equivalent; P: 0.001). </w:t>
            </w:r>
          </w:p>
          <w:p w14:paraId="7C97031C"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350" w:type="dxa"/>
            <w:tcBorders>
              <w:top w:val="single" w:sz="4" w:space="0" w:color="auto"/>
              <w:left w:val="single" w:sz="4" w:space="0" w:color="auto"/>
              <w:bottom w:val="single" w:sz="4" w:space="0" w:color="auto"/>
              <w:right w:val="single" w:sz="4" w:space="0" w:color="auto"/>
            </w:tcBorders>
          </w:tcPr>
          <w:p w14:paraId="485F45C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Serous choroidal detachment (five eyes, 8.5%), ERM formation (four eyes, 6.8%), secondary</w:t>
            </w:r>
          </w:p>
          <w:p w14:paraId="0A04BFD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cataract surgery was performed in 13 of the 53 phakic eyes (24.5%) during follow-up.</w:t>
            </w:r>
          </w:p>
          <w:p w14:paraId="73400E5D"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814" w:type="dxa"/>
            <w:tcBorders>
              <w:top w:val="single" w:sz="4" w:space="0" w:color="auto"/>
              <w:left w:val="single" w:sz="4" w:space="0" w:color="auto"/>
              <w:bottom w:val="single" w:sz="4" w:space="0" w:color="auto"/>
              <w:right w:val="single" w:sz="4" w:space="0" w:color="auto"/>
            </w:tcBorders>
            <w:hideMark/>
          </w:tcPr>
          <w:p w14:paraId="7B740AA1"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843" w:type="dxa"/>
            <w:tcBorders>
              <w:top w:val="single" w:sz="4" w:space="0" w:color="auto"/>
              <w:left w:val="single" w:sz="4" w:space="0" w:color="auto"/>
              <w:bottom w:val="single" w:sz="4" w:space="0" w:color="auto"/>
              <w:right w:val="single" w:sz="4" w:space="0" w:color="auto"/>
            </w:tcBorders>
          </w:tcPr>
          <w:p w14:paraId="2DC8C4A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Modern small-gauge PPV with air tamponade</w:t>
            </w:r>
          </w:p>
          <w:p w14:paraId="0A2C8EB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could achieve clinically acceptable surgical </w:t>
            </w:r>
            <w:proofErr w:type="gramStart"/>
            <w:r>
              <w:rPr>
                <w:rFonts w:ascii="Times New Roman" w:eastAsia="Times New Roman" w:hAnsi="Times New Roman" w:cs="Times New Roman"/>
                <w:sz w:val="16"/>
                <w:szCs w:val="16"/>
                <w:lang w:val="en-US"/>
              </w:rPr>
              <w:t>outcomes</w:t>
            </w:r>
            <w:proofErr w:type="gramEnd"/>
          </w:p>
          <w:p w14:paraId="6A6AB7D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in the management of primary RRD of short duration,</w:t>
            </w:r>
          </w:p>
          <w:p w14:paraId="1B1CE03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predominantly superior breaks, with three or fewer quadrants involvement, and PVR grading B or below, possibly even for selected cases with GRT. </w:t>
            </w:r>
          </w:p>
          <w:p w14:paraId="3DD2A80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r>
      <w:tr w:rsidR="003A4529" w14:paraId="7626098F"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3D14A274"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Abdala-Caballero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2022 </w:t>
            </w:r>
            <w:sdt>
              <w:sdtPr>
                <w:rPr>
                  <w:rFonts w:ascii="Times New Roman" w:hAnsi="Times New Roman" w:cs="Times New Roman"/>
                  <w:sz w:val="16"/>
                  <w:szCs w:val="16"/>
                  <w:lang w:val="en-US"/>
                </w:rPr>
                <w:tag w:val="MENDELEY_CITATION_v3_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"/>
                <w:id w:val="182096629"/>
                <w:placeholder>
                  <w:docPart w:val="8AD14C0D9D274B6FBE383E2E3A661263"/>
                </w:placeholder>
              </w:sdtPr>
              <w:sdtContent>
                <w:r>
                  <w:rPr>
                    <w:rFonts w:ascii="Times New Roman" w:hAnsi="Times New Roman" w:cs="Times New Roman"/>
                    <w:sz w:val="16"/>
                    <w:szCs w:val="16"/>
                    <w:lang w:val="en-US"/>
                  </w:rPr>
                  <w:t>[57]</w:t>
                </w:r>
              </w:sdtContent>
            </w:sdt>
          </w:p>
        </w:tc>
        <w:tc>
          <w:tcPr>
            <w:tcW w:w="856" w:type="dxa"/>
            <w:tcBorders>
              <w:top w:val="single" w:sz="4" w:space="0" w:color="auto"/>
              <w:left w:val="single" w:sz="4" w:space="0" w:color="auto"/>
              <w:bottom w:val="single" w:sz="4" w:space="0" w:color="auto"/>
              <w:right w:val="single" w:sz="4" w:space="0" w:color="auto"/>
            </w:tcBorders>
          </w:tcPr>
          <w:p w14:paraId="5BA9151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Mean = 49 years</w:t>
            </w:r>
          </w:p>
          <w:p w14:paraId="009A916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(Range = 18–65)</w:t>
            </w:r>
          </w:p>
          <w:p w14:paraId="44C92743"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134" w:type="dxa"/>
            <w:tcBorders>
              <w:top w:val="single" w:sz="4" w:space="0" w:color="auto"/>
              <w:left w:val="single" w:sz="4" w:space="0" w:color="auto"/>
              <w:bottom w:val="single" w:sz="4" w:space="0" w:color="auto"/>
              <w:right w:val="single" w:sz="4" w:space="0" w:color="auto"/>
            </w:tcBorders>
          </w:tcPr>
          <w:p w14:paraId="73F3FF1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PVR grade was B in 14 eyes (44%),</w:t>
            </w:r>
          </w:p>
          <w:p w14:paraId="728D30A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 xml:space="preserve">in second place C1 with 8 cases (26%), </w:t>
            </w:r>
            <w:proofErr w:type="gramStart"/>
            <w:r>
              <w:rPr>
                <w:rFonts w:ascii="Times New Roman" w:eastAsia="Times New Roman" w:hAnsi="Times New Roman" w:cs="Times New Roman"/>
                <w:sz w:val="16"/>
                <w:szCs w:val="16"/>
                <w:lang w:val="en-US"/>
              </w:rPr>
              <w:t>followed</w:t>
            </w:r>
            <w:proofErr w:type="gramEnd"/>
          </w:p>
          <w:p w14:paraId="2D904BB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by A (11%) and C3 (11%) with four eyes each</w:t>
            </w:r>
          </w:p>
          <w:p w14:paraId="13B5654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one, and C2 present in 2 cases (7%).</w:t>
            </w:r>
          </w:p>
          <w:p w14:paraId="30FA23D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599" w:type="dxa"/>
            <w:tcBorders>
              <w:top w:val="single" w:sz="4" w:space="0" w:color="auto"/>
              <w:left w:val="single" w:sz="4" w:space="0" w:color="auto"/>
              <w:bottom w:val="single" w:sz="4" w:space="0" w:color="auto"/>
              <w:right w:val="single" w:sz="4" w:space="0" w:color="auto"/>
            </w:tcBorders>
            <w:hideMark/>
          </w:tcPr>
          <w:p w14:paraId="073CBB0E"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 xml:space="preserve">Not stated </w:t>
            </w:r>
          </w:p>
        </w:tc>
        <w:tc>
          <w:tcPr>
            <w:tcW w:w="1980" w:type="dxa"/>
            <w:tcBorders>
              <w:top w:val="single" w:sz="4" w:space="0" w:color="auto"/>
              <w:left w:val="single" w:sz="4" w:space="0" w:color="auto"/>
              <w:bottom w:val="single" w:sz="4" w:space="0" w:color="auto"/>
              <w:right w:val="single" w:sz="4" w:space="0" w:color="auto"/>
            </w:tcBorders>
          </w:tcPr>
          <w:p w14:paraId="3FE0CF6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A PAS rate of 93% was obtained with the performed technique.</w:t>
            </w:r>
          </w:p>
          <w:p w14:paraId="2E8212B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 xml:space="preserve">In the cases with retinal re-detachment, a second surgery was needed, obtaining 100% FAS </w:t>
            </w:r>
            <w:proofErr w:type="gramStart"/>
            <w:r>
              <w:rPr>
                <w:rFonts w:ascii="Times New Roman" w:eastAsia="Times New Roman" w:hAnsi="Times New Roman" w:cs="Times New Roman"/>
                <w:sz w:val="16"/>
                <w:szCs w:val="16"/>
                <w:lang w:val="en-US"/>
              </w:rPr>
              <w:t>rate</w:t>
            </w:r>
            <w:proofErr w:type="gramEnd"/>
          </w:p>
          <w:p w14:paraId="4F14BDF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620" w:type="dxa"/>
            <w:tcBorders>
              <w:top w:val="single" w:sz="4" w:space="0" w:color="auto"/>
              <w:left w:val="single" w:sz="4" w:space="0" w:color="auto"/>
              <w:bottom w:val="single" w:sz="4" w:space="0" w:color="auto"/>
              <w:right w:val="single" w:sz="4" w:space="0" w:color="auto"/>
            </w:tcBorders>
            <w:hideMark/>
          </w:tcPr>
          <w:p w14:paraId="69C86B2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Mean preoperative BCVA was 20/800 — ≥ 20/400</w:t>
            </w:r>
          </w:p>
          <w:p w14:paraId="48C3500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in 29 eyes (93%).</w:t>
            </w:r>
          </w:p>
          <w:p w14:paraId="07E29B8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 xml:space="preserve">At six months, only one eye (4%) had BCVA ≥ 20/40, and 16 eyes (50%) </w:t>
            </w:r>
            <w:proofErr w:type="gramStart"/>
            <w:r>
              <w:rPr>
                <w:rFonts w:ascii="Times New Roman" w:eastAsia="Times New Roman" w:hAnsi="Times New Roman" w:cs="Times New Roman"/>
                <w:sz w:val="16"/>
                <w:szCs w:val="16"/>
                <w:lang w:val="en-US"/>
              </w:rPr>
              <w:t>had</w:t>
            </w:r>
            <w:proofErr w:type="gramEnd"/>
          </w:p>
          <w:p w14:paraId="1B75423E"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BCVA ≥ 20/400. At one-year of follow-up, one</w:t>
            </w:r>
          </w:p>
          <w:p w14:paraId="7C7B00D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eye (4%) had BCVA ≥ 20/40, 23 eyes had between 20/40–20/200, and eight eyes (22%) had BCVA ≥ 20/400. Compared with BCVA at initial presentation, 29 eyes (93%) were stable or </w:t>
            </w:r>
            <w:proofErr w:type="gramStart"/>
            <w:r>
              <w:rPr>
                <w:rFonts w:ascii="Times New Roman" w:eastAsia="Times New Roman" w:hAnsi="Times New Roman" w:cs="Times New Roman"/>
                <w:sz w:val="16"/>
                <w:szCs w:val="16"/>
                <w:lang w:val="en-US"/>
              </w:rPr>
              <w:t>improved</w:t>
            </w:r>
            <w:proofErr w:type="gramEnd"/>
          </w:p>
          <w:p w14:paraId="15DC1A6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at final follow-up. </w:t>
            </w:r>
          </w:p>
        </w:tc>
        <w:tc>
          <w:tcPr>
            <w:tcW w:w="1350" w:type="dxa"/>
            <w:tcBorders>
              <w:top w:val="single" w:sz="4" w:space="0" w:color="auto"/>
              <w:left w:val="single" w:sz="4" w:space="0" w:color="auto"/>
              <w:bottom w:val="single" w:sz="4" w:space="0" w:color="auto"/>
              <w:right w:val="single" w:sz="4" w:space="0" w:color="auto"/>
            </w:tcBorders>
            <w:hideMark/>
          </w:tcPr>
          <w:p w14:paraId="37EE13F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 xml:space="preserve">Not stated </w:t>
            </w:r>
          </w:p>
        </w:tc>
        <w:tc>
          <w:tcPr>
            <w:tcW w:w="1814" w:type="dxa"/>
            <w:tcBorders>
              <w:top w:val="single" w:sz="4" w:space="0" w:color="auto"/>
              <w:left w:val="single" w:sz="4" w:space="0" w:color="auto"/>
              <w:bottom w:val="single" w:sz="4" w:space="0" w:color="auto"/>
              <w:right w:val="single" w:sz="4" w:space="0" w:color="auto"/>
            </w:tcBorders>
            <w:hideMark/>
          </w:tcPr>
          <w:p w14:paraId="43810B8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The three eyes (7%) that required two </w:t>
            </w:r>
            <w:proofErr w:type="gramStart"/>
            <w:r>
              <w:rPr>
                <w:rFonts w:ascii="Times New Roman" w:eastAsia="Times New Roman" w:hAnsi="Times New Roman" w:cs="Times New Roman"/>
                <w:sz w:val="16"/>
                <w:szCs w:val="16"/>
                <w:lang w:val="en-US"/>
              </w:rPr>
              <w:t>surgeries</w:t>
            </w:r>
            <w:proofErr w:type="gramEnd"/>
          </w:p>
          <w:p w14:paraId="48A40C3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presented retinal re-detachment, and two of </w:t>
            </w:r>
            <w:r>
              <w:rPr>
                <w:rFonts w:ascii="Times New Roman" w:eastAsia="Times New Roman" w:hAnsi="Times New Roman" w:cs="Times New Roman"/>
                <w:sz w:val="16"/>
                <w:szCs w:val="16"/>
                <w:lang w:val="en-US"/>
              </w:rPr>
              <w:lastRenderedPageBreak/>
              <w:t>them had a higher degree of presurgical PVR (grade C</w:t>
            </w:r>
          </w:p>
          <w:p w14:paraId="587663F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compared to lower grades; p = 0.065).  </w:t>
            </w:r>
          </w:p>
        </w:tc>
        <w:tc>
          <w:tcPr>
            <w:tcW w:w="1843" w:type="dxa"/>
            <w:tcBorders>
              <w:top w:val="single" w:sz="4" w:space="0" w:color="auto"/>
              <w:left w:val="single" w:sz="4" w:space="0" w:color="auto"/>
              <w:bottom w:val="single" w:sz="4" w:space="0" w:color="auto"/>
              <w:right w:val="single" w:sz="4" w:space="0" w:color="auto"/>
            </w:tcBorders>
          </w:tcPr>
          <w:p w14:paraId="50E5D27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Initial surgical management, as we presented in</w:t>
            </w:r>
          </w:p>
          <w:p w14:paraId="1BC83A5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 xml:space="preserve">the presence of RD secondary to GRT, is excellent election to achieve high rates of retinal </w:t>
            </w:r>
            <w:proofErr w:type="gramStart"/>
            <w:r>
              <w:rPr>
                <w:rFonts w:ascii="Times New Roman" w:eastAsia="Times New Roman" w:hAnsi="Times New Roman" w:cs="Times New Roman"/>
                <w:sz w:val="16"/>
                <w:szCs w:val="16"/>
                <w:lang w:val="en-US"/>
              </w:rPr>
              <w:t>reattachment</w:t>
            </w:r>
            <w:proofErr w:type="gramEnd"/>
          </w:p>
          <w:p w14:paraId="6B72A89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and reduces the need for a second </w:t>
            </w:r>
            <w:proofErr w:type="gramStart"/>
            <w:r>
              <w:rPr>
                <w:rFonts w:ascii="Times New Roman" w:eastAsia="Times New Roman" w:hAnsi="Times New Roman" w:cs="Times New Roman"/>
                <w:sz w:val="16"/>
                <w:szCs w:val="16"/>
                <w:lang w:val="en-US"/>
              </w:rPr>
              <w:t>surgery</w:t>
            </w:r>
            <w:proofErr w:type="gramEnd"/>
          </w:p>
          <w:p w14:paraId="28B9ACC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r>
      <w:tr w:rsidR="003A4529" w14:paraId="5C11E6E5"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2C49A6CA"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lastRenderedPageBreak/>
              <w:t xml:space="preserve">Ghosh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2004  </w:t>
            </w:r>
            <w:sdt>
              <w:sdtPr>
                <w:rPr>
                  <w:rFonts w:ascii="Times New Roman" w:hAnsi="Times New Roman" w:cs="Times New Roman"/>
                  <w:sz w:val="16"/>
                  <w:szCs w:val="16"/>
                  <w:lang w:val="en-US"/>
                </w:rPr>
                <w:tag w:val="MENDELEY_CITATION_v3_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"/>
                <w:id w:val="-995027817"/>
                <w:placeholder>
                  <w:docPart w:val="8AD14C0D9D274B6FBE383E2E3A661263"/>
                </w:placeholder>
              </w:sdtPr>
              <w:sdtContent>
                <w:r>
                  <w:rPr>
                    <w:rFonts w:ascii="Times New Roman" w:hAnsi="Times New Roman" w:cs="Times New Roman"/>
                    <w:sz w:val="16"/>
                    <w:szCs w:val="16"/>
                    <w:lang w:val="en-US"/>
                  </w:rPr>
                  <w:t>[58]</w:t>
                </w:r>
              </w:sdtContent>
            </w:sdt>
          </w:p>
        </w:tc>
        <w:tc>
          <w:tcPr>
            <w:tcW w:w="856" w:type="dxa"/>
            <w:tcBorders>
              <w:top w:val="single" w:sz="4" w:space="0" w:color="auto"/>
              <w:left w:val="single" w:sz="4" w:space="0" w:color="auto"/>
              <w:bottom w:val="single" w:sz="4" w:space="0" w:color="auto"/>
              <w:right w:val="single" w:sz="4" w:space="0" w:color="auto"/>
            </w:tcBorders>
            <w:hideMark/>
          </w:tcPr>
          <w:p w14:paraId="2090665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Mean = 35.03 years (Range = seven -60 years)</w:t>
            </w:r>
          </w:p>
        </w:tc>
        <w:tc>
          <w:tcPr>
            <w:tcW w:w="1134" w:type="dxa"/>
            <w:tcBorders>
              <w:top w:val="single" w:sz="4" w:space="0" w:color="auto"/>
              <w:left w:val="single" w:sz="4" w:space="0" w:color="auto"/>
              <w:bottom w:val="single" w:sz="4" w:space="0" w:color="auto"/>
              <w:right w:val="single" w:sz="4" w:space="0" w:color="auto"/>
            </w:tcBorders>
            <w:hideMark/>
          </w:tcPr>
          <w:p w14:paraId="5EB2814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stated </w:t>
            </w:r>
          </w:p>
        </w:tc>
        <w:tc>
          <w:tcPr>
            <w:tcW w:w="1599" w:type="dxa"/>
            <w:tcBorders>
              <w:top w:val="single" w:sz="4" w:space="0" w:color="auto"/>
              <w:left w:val="single" w:sz="4" w:space="0" w:color="auto"/>
              <w:bottom w:val="single" w:sz="4" w:space="0" w:color="auto"/>
              <w:right w:val="single" w:sz="4" w:space="0" w:color="auto"/>
            </w:tcBorders>
            <w:hideMark/>
          </w:tcPr>
          <w:p w14:paraId="011655B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stated </w:t>
            </w:r>
          </w:p>
        </w:tc>
        <w:tc>
          <w:tcPr>
            <w:tcW w:w="1980" w:type="dxa"/>
            <w:tcBorders>
              <w:top w:val="single" w:sz="4" w:space="0" w:color="auto"/>
              <w:left w:val="single" w:sz="4" w:space="0" w:color="auto"/>
              <w:bottom w:val="single" w:sz="4" w:space="0" w:color="auto"/>
              <w:right w:val="single" w:sz="4" w:space="0" w:color="auto"/>
            </w:tcBorders>
            <w:hideMark/>
          </w:tcPr>
          <w:p w14:paraId="50E2130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PAS was achieved in 19 patients (65.51%). In all, 10 patients (34.48%) needed more than one surgery to reattach the retina. Of these, six were reattached with one further surgery. Four patients had total retinal detachment with severe PVR and needed between two and three additional surgical procedures. These four patients had persistent RD even after multiple surgeries. The retina was anatomically attached in 25 cases (86.20%) on their last postoperative visit.</w:t>
            </w:r>
          </w:p>
        </w:tc>
        <w:tc>
          <w:tcPr>
            <w:tcW w:w="1620" w:type="dxa"/>
            <w:tcBorders>
              <w:top w:val="single" w:sz="4" w:space="0" w:color="auto"/>
              <w:left w:val="single" w:sz="4" w:space="0" w:color="auto"/>
              <w:bottom w:val="single" w:sz="4" w:space="0" w:color="auto"/>
              <w:right w:val="single" w:sz="4" w:space="0" w:color="auto"/>
            </w:tcBorders>
            <w:hideMark/>
          </w:tcPr>
          <w:p w14:paraId="0C02034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Preoperative BCVA ranged from LP in patients with macular detachment to 6/9 in patients with localized RD not involving the macula. Postoperative BCVA improved in 22 patients (75.86%) with a range from 6/60 to 6/9 and deteriorated in five patients (17.24%) with persistent RD and extensive PVR. Two patients (6.9%) did not have any change in their visual status. There was an improvement of two or more Snellen's lines in nine patients (31.03%).</w:t>
            </w:r>
          </w:p>
        </w:tc>
        <w:tc>
          <w:tcPr>
            <w:tcW w:w="1350" w:type="dxa"/>
            <w:tcBorders>
              <w:top w:val="single" w:sz="4" w:space="0" w:color="auto"/>
              <w:left w:val="single" w:sz="4" w:space="0" w:color="auto"/>
              <w:bottom w:val="single" w:sz="4" w:space="0" w:color="auto"/>
              <w:right w:val="single" w:sz="4" w:space="0" w:color="auto"/>
            </w:tcBorders>
            <w:hideMark/>
          </w:tcPr>
          <w:p w14:paraId="4444EED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One lens trauma (3.4%) and one iatrogenic GRT (3.4%), Seven patients (24.1%) developed cataracts postoperatively, and four (13.8%) had extensive RD and PVR after multiple surgery and had a quiet eye.</w:t>
            </w:r>
          </w:p>
        </w:tc>
        <w:tc>
          <w:tcPr>
            <w:tcW w:w="1814" w:type="dxa"/>
            <w:tcBorders>
              <w:top w:val="single" w:sz="4" w:space="0" w:color="auto"/>
              <w:left w:val="single" w:sz="4" w:space="0" w:color="auto"/>
              <w:bottom w:val="single" w:sz="4" w:space="0" w:color="auto"/>
              <w:right w:val="single" w:sz="4" w:space="0" w:color="auto"/>
            </w:tcBorders>
            <w:hideMark/>
          </w:tcPr>
          <w:p w14:paraId="238BC0D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stated </w:t>
            </w:r>
          </w:p>
        </w:tc>
        <w:tc>
          <w:tcPr>
            <w:tcW w:w="1843" w:type="dxa"/>
            <w:tcBorders>
              <w:top w:val="single" w:sz="4" w:space="0" w:color="auto"/>
              <w:left w:val="single" w:sz="4" w:space="0" w:color="auto"/>
              <w:bottom w:val="single" w:sz="4" w:space="0" w:color="auto"/>
              <w:right w:val="single" w:sz="4" w:space="0" w:color="auto"/>
            </w:tcBorders>
            <w:hideMark/>
          </w:tcPr>
          <w:p w14:paraId="4370DE6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 xml:space="preserve">With newer techniques of surgical treatment of GRTs, the anatomical and visual outcomes are more favorable. </w:t>
            </w:r>
          </w:p>
        </w:tc>
      </w:tr>
      <w:tr w:rsidR="003A4529" w14:paraId="6EF1FD1E"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35D3BD3A"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lastRenderedPageBreak/>
              <w:t xml:space="preserve">Kumar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2018  </w:t>
            </w:r>
            <w:sdt>
              <w:sdtPr>
                <w:rPr>
                  <w:rFonts w:ascii="Times New Roman" w:hAnsi="Times New Roman" w:cs="Times New Roman"/>
                  <w:sz w:val="16"/>
                  <w:szCs w:val="16"/>
                  <w:lang w:val="en-US"/>
                </w:rPr>
                <w:tag w:val="MENDELEY_CITATION_v3_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"/>
                <w:id w:val="-1121610246"/>
                <w:placeholder>
                  <w:docPart w:val="8AD14C0D9D274B6FBE383E2E3A661263"/>
                </w:placeholder>
              </w:sdtPr>
              <w:sdtContent>
                <w:r>
                  <w:rPr>
                    <w:rFonts w:ascii="Times New Roman" w:hAnsi="Times New Roman" w:cs="Times New Roman"/>
                    <w:sz w:val="16"/>
                    <w:szCs w:val="16"/>
                    <w:lang w:val="en-US"/>
                  </w:rPr>
                  <w:t>[59]</w:t>
                </w:r>
              </w:sdtContent>
            </w:sdt>
          </w:p>
        </w:tc>
        <w:tc>
          <w:tcPr>
            <w:tcW w:w="856" w:type="dxa"/>
            <w:tcBorders>
              <w:top w:val="single" w:sz="4" w:space="0" w:color="auto"/>
              <w:left w:val="single" w:sz="4" w:space="0" w:color="auto"/>
              <w:bottom w:val="single" w:sz="4" w:space="0" w:color="auto"/>
              <w:right w:val="single" w:sz="4" w:space="0" w:color="auto"/>
            </w:tcBorders>
            <w:hideMark/>
          </w:tcPr>
          <w:p w14:paraId="170F3257"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Mean = 25.7 years</w:t>
            </w:r>
          </w:p>
        </w:tc>
        <w:tc>
          <w:tcPr>
            <w:tcW w:w="1134" w:type="dxa"/>
            <w:tcBorders>
              <w:top w:val="single" w:sz="4" w:space="0" w:color="auto"/>
              <w:left w:val="single" w:sz="4" w:space="0" w:color="auto"/>
              <w:bottom w:val="single" w:sz="4" w:space="0" w:color="auto"/>
              <w:right w:val="single" w:sz="4" w:space="0" w:color="auto"/>
            </w:tcBorders>
            <w:hideMark/>
          </w:tcPr>
          <w:p w14:paraId="3D0AE608"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76.5% (n = 13/17) of eyes have grade B PVR, one eye had PVR grade A.</w:t>
            </w:r>
          </w:p>
        </w:tc>
        <w:tc>
          <w:tcPr>
            <w:tcW w:w="1599" w:type="dxa"/>
            <w:tcBorders>
              <w:top w:val="single" w:sz="4" w:space="0" w:color="auto"/>
              <w:left w:val="single" w:sz="4" w:space="0" w:color="auto"/>
              <w:bottom w:val="single" w:sz="4" w:space="0" w:color="auto"/>
              <w:right w:val="single" w:sz="4" w:space="0" w:color="auto"/>
            </w:tcBorders>
            <w:hideMark/>
          </w:tcPr>
          <w:p w14:paraId="6627A41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The functional outcome of surgery was evaluated by BVCA at the last follow-up. PAS was primary retinal reattachment without any reoperation at the last follow-up.</w:t>
            </w:r>
          </w:p>
        </w:tc>
        <w:tc>
          <w:tcPr>
            <w:tcW w:w="1980" w:type="dxa"/>
            <w:tcBorders>
              <w:top w:val="single" w:sz="4" w:space="0" w:color="auto"/>
              <w:left w:val="single" w:sz="4" w:space="0" w:color="auto"/>
              <w:bottom w:val="single" w:sz="4" w:space="0" w:color="auto"/>
              <w:right w:val="single" w:sz="4" w:space="0" w:color="auto"/>
            </w:tcBorders>
          </w:tcPr>
          <w:p w14:paraId="19CFB2E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PAS </w:t>
            </w:r>
            <w:proofErr w:type="gramStart"/>
            <w:r>
              <w:rPr>
                <w:rFonts w:ascii="Times New Roman" w:eastAsia="Times New Roman" w:hAnsi="Times New Roman" w:cs="Times New Roman"/>
                <w:sz w:val="16"/>
                <w:szCs w:val="16"/>
                <w:lang w:val="en-US"/>
              </w:rPr>
              <w:t>was</w:t>
            </w:r>
            <w:proofErr w:type="gramEnd"/>
          </w:p>
          <w:p w14:paraId="500EC42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attained in all eyes. FAS rate </w:t>
            </w:r>
            <w:proofErr w:type="gramStart"/>
            <w:r>
              <w:rPr>
                <w:rFonts w:ascii="Times New Roman" w:eastAsia="Times New Roman" w:hAnsi="Times New Roman" w:cs="Times New Roman"/>
                <w:sz w:val="16"/>
                <w:szCs w:val="16"/>
                <w:lang w:val="en-US"/>
              </w:rPr>
              <w:t>was</w:t>
            </w:r>
            <w:proofErr w:type="gramEnd"/>
          </w:p>
          <w:p w14:paraId="6188A2A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achieved in 88.2% of eyes (n = 15/17). </w:t>
            </w:r>
          </w:p>
          <w:p w14:paraId="51D5A6C1"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620" w:type="dxa"/>
            <w:tcBorders>
              <w:top w:val="single" w:sz="4" w:space="0" w:color="auto"/>
              <w:left w:val="single" w:sz="4" w:space="0" w:color="auto"/>
              <w:bottom w:val="single" w:sz="4" w:space="0" w:color="auto"/>
              <w:right w:val="single" w:sz="4" w:space="0" w:color="auto"/>
            </w:tcBorders>
            <w:hideMark/>
          </w:tcPr>
          <w:p w14:paraId="0C6B2723"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Only 35.2% of eyes achieved final VA ≥20/80</w:t>
            </w:r>
          </w:p>
        </w:tc>
        <w:tc>
          <w:tcPr>
            <w:tcW w:w="1350" w:type="dxa"/>
            <w:tcBorders>
              <w:top w:val="single" w:sz="4" w:space="0" w:color="auto"/>
              <w:left w:val="single" w:sz="4" w:space="0" w:color="auto"/>
              <w:bottom w:val="single" w:sz="4" w:space="0" w:color="auto"/>
              <w:right w:val="single" w:sz="4" w:space="0" w:color="auto"/>
            </w:tcBorders>
          </w:tcPr>
          <w:p w14:paraId="05C9283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PVR (two eyes, 11.7%), inferior traction (one eye, 5.9%), Persistent corneal epithelial defect (one eye, 5.9%) corneal</w:t>
            </w:r>
          </w:p>
          <w:p w14:paraId="11183F7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decompensation (one eye, 5.9%), cataract (four eyes, 23.5%), and secondary glaucoma (two eyes, 11.7%).</w:t>
            </w:r>
          </w:p>
          <w:p w14:paraId="6A477346"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814" w:type="dxa"/>
            <w:tcBorders>
              <w:top w:val="single" w:sz="4" w:space="0" w:color="auto"/>
              <w:left w:val="single" w:sz="4" w:space="0" w:color="auto"/>
              <w:bottom w:val="single" w:sz="4" w:space="0" w:color="auto"/>
              <w:right w:val="single" w:sz="4" w:space="0" w:color="auto"/>
            </w:tcBorders>
            <w:hideMark/>
          </w:tcPr>
          <w:p w14:paraId="521E235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stated </w:t>
            </w:r>
          </w:p>
        </w:tc>
        <w:tc>
          <w:tcPr>
            <w:tcW w:w="1843" w:type="dxa"/>
            <w:tcBorders>
              <w:top w:val="single" w:sz="4" w:space="0" w:color="auto"/>
              <w:left w:val="single" w:sz="4" w:space="0" w:color="auto"/>
              <w:bottom w:val="single" w:sz="4" w:space="0" w:color="auto"/>
              <w:right w:val="single" w:sz="4" w:space="0" w:color="auto"/>
            </w:tcBorders>
          </w:tcPr>
          <w:p w14:paraId="693F85F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25-g PPV can achieve excellent retinal reattachment rates in GRT-related RRD without intraoperative and</w:t>
            </w:r>
          </w:p>
          <w:p w14:paraId="4502629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postoperative complications.</w:t>
            </w:r>
          </w:p>
          <w:p w14:paraId="078E08BD"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r>
      <w:tr w:rsidR="003A4529" w14:paraId="7FDC3306"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54886C85"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Schwartz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2002 </w:t>
            </w:r>
            <w:sdt>
              <w:sdtPr>
                <w:rPr>
                  <w:rFonts w:ascii="Times New Roman" w:hAnsi="Times New Roman" w:cs="Times New Roman"/>
                  <w:sz w:val="16"/>
                  <w:szCs w:val="16"/>
                  <w:lang w:val="en-US"/>
                </w:rPr>
                <w:tag w:val="MENDELEY_CITATION_v3_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"/>
                <w:id w:val="-839856958"/>
                <w:placeholder>
                  <w:docPart w:val="8AD14C0D9D274B6FBE383E2E3A661263"/>
                </w:placeholder>
              </w:sdtPr>
              <w:sdtContent>
                <w:r>
                  <w:rPr>
                    <w:rFonts w:ascii="Times New Roman" w:hAnsi="Times New Roman" w:cs="Times New Roman"/>
                    <w:sz w:val="16"/>
                    <w:szCs w:val="16"/>
                    <w:lang w:val="en-US"/>
                  </w:rPr>
                  <w:t>[60]</w:t>
                </w:r>
              </w:sdtContent>
            </w:sdt>
          </w:p>
        </w:tc>
        <w:tc>
          <w:tcPr>
            <w:tcW w:w="856" w:type="dxa"/>
            <w:tcBorders>
              <w:top w:val="single" w:sz="4" w:space="0" w:color="auto"/>
              <w:left w:val="single" w:sz="4" w:space="0" w:color="auto"/>
              <w:bottom w:val="single" w:sz="4" w:space="0" w:color="auto"/>
              <w:right w:val="single" w:sz="4" w:space="0" w:color="auto"/>
            </w:tcBorders>
            <w:hideMark/>
          </w:tcPr>
          <w:p w14:paraId="10B817A4"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134" w:type="dxa"/>
            <w:tcBorders>
              <w:top w:val="single" w:sz="4" w:space="0" w:color="auto"/>
              <w:left w:val="single" w:sz="4" w:space="0" w:color="auto"/>
              <w:bottom w:val="single" w:sz="4" w:space="0" w:color="auto"/>
              <w:right w:val="single" w:sz="4" w:space="0" w:color="auto"/>
            </w:tcBorders>
            <w:hideMark/>
          </w:tcPr>
          <w:p w14:paraId="016FA295"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 </w:t>
            </w:r>
          </w:p>
        </w:tc>
        <w:tc>
          <w:tcPr>
            <w:tcW w:w="1599" w:type="dxa"/>
            <w:tcBorders>
              <w:top w:val="single" w:sz="4" w:space="0" w:color="auto"/>
              <w:left w:val="single" w:sz="4" w:space="0" w:color="auto"/>
              <w:bottom w:val="single" w:sz="4" w:space="0" w:color="auto"/>
              <w:right w:val="single" w:sz="4" w:space="0" w:color="auto"/>
            </w:tcBorders>
            <w:hideMark/>
          </w:tcPr>
          <w:p w14:paraId="32BCE3DB"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980" w:type="dxa"/>
            <w:tcBorders>
              <w:top w:val="single" w:sz="4" w:space="0" w:color="auto"/>
              <w:left w:val="single" w:sz="4" w:space="0" w:color="auto"/>
              <w:bottom w:val="single" w:sz="4" w:space="0" w:color="auto"/>
              <w:right w:val="single" w:sz="4" w:space="0" w:color="auto"/>
            </w:tcBorders>
            <w:hideMark/>
          </w:tcPr>
          <w:p w14:paraId="137E051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186 eyes (82%) achieved reattachment with one SB procedure, an additional 30 eyes (13%) achieved reattachment after one or more vitreoretinal procedures, while 11 eyes (5%) detached at 20 years of follow up. For the four eyes with GRT, no eyes achieved retinal reattachment with one SB procedure, one eye never achieve reattachment despite one additional vitreoretinal surgery, the other three eyes achieved reattachment after one additional surgery, with a median 20 years of visual acuity of 20/200 (range 20/25 to CF)</w:t>
            </w:r>
          </w:p>
        </w:tc>
        <w:tc>
          <w:tcPr>
            <w:tcW w:w="1620" w:type="dxa"/>
            <w:tcBorders>
              <w:top w:val="single" w:sz="4" w:space="0" w:color="auto"/>
              <w:left w:val="single" w:sz="4" w:space="0" w:color="auto"/>
              <w:bottom w:val="single" w:sz="4" w:space="0" w:color="auto"/>
              <w:right w:val="single" w:sz="4" w:space="0" w:color="auto"/>
            </w:tcBorders>
            <w:hideMark/>
          </w:tcPr>
          <w:p w14:paraId="649692CB"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186 eyes (82%) achieved final VA of 20/40, an additional 30 eyes (13%) achieved VA of 20/50 with one or more vitreoretinal procedures, while 11 eyes (5%) have final VA of no light perception at 20 years of follow up.</w:t>
            </w:r>
          </w:p>
        </w:tc>
        <w:tc>
          <w:tcPr>
            <w:tcW w:w="1350" w:type="dxa"/>
            <w:tcBorders>
              <w:top w:val="single" w:sz="4" w:space="0" w:color="auto"/>
              <w:left w:val="single" w:sz="4" w:space="0" w:color="auto"/>
              <w:bottom w:val="single" w:sz="4" w:space="0" w:color="auto"/>
              <w:right w:val="single" w:sz="4" w:space="0" w:color="auto"/>
            </w:tcBorders>
            <w:hideMark/>
          </w:tcPr>
          <w:p w14:paraId="7F8A5DD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choroidal detachment (one eye, 0.8%), orbital cellulitis (one eye, 0.8%)</w:t>
            </w:r>
          </w:p>
        </w:tc>
        <w:tc>
          <w:tcPr>
            <w:tcW w:w="1814" w:type="dxa"/>
            <w:tcBorders>
              <w:top w:val="single" w:sz="4" w:space="0" w:color="auto"/>
              <w:left w:val="single" w:sz="4" w:space="0" w:color="auto"/>
              <w:bottom w:val="single" w:sz="4" w:space="0" w:color="auto"/>
              <w:right w:val="single" w:sz="4" w:space="0" w:color="auto"/>
            </w:tcBorders>
            <w:hideMark/>
          </w:tcPr>
          <w:p w14:paraId="7A3F967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stated </w:t>
            </w:r>
          </w:p>
        </w:tc>
        <w:tc>
          <w:tcPr>
            <w:tcW w:w="1843" w:type="dxa"/>
            <w:tcBorders>
              <w:top w:val="single" w:sz="4" w:space="0" w:color="auto"/>
              <w:left w:val="single" w:sz="4" w:space="0" w:color="auto"/>
              <w:bottom w:val="single" w:sz="4" w:space="0" w:color="auto"/>
              <w:right w:val="single" w:sz="4" w:space="0" w:color="auto"/>
            </w:tcBorders>
            <w:hideMark/>
          </w:tcPr>
          <w:p w14:paraId="747D240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Stability could be achieved in RRD patients using SB as their surgical options.</w:t>
            </w:r>
          </w:p>
        </w:tc>
      </w:tr>
      <w:tr w:rsidR="003A4529" w14:paraId="2735CA3A"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3D9E7194"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Filippelli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2021 </w:t>
            </w:r>
            <w:sdt>
              <w:sdtPr>
                <w:rPr>
                  <w:rFonts w:ascii="Times New Roman" w:hAnsi="Times New Roman" w:cs="Times New Roman"/>
                  <w:sz w:val="16"/>
                  <w:szCs w:val="16"/>
                  <w:lang w:val="en-US"/>
                </w:rPr>
                <w:tag w:val="MENDELEY_CITATION_v3_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"/>
                <w:id w:val="37011154"/>
                <w:placeholder>
                  <w:docPart w:val="8AD14C0D9D274B6FBE383E2E3A661263"/>
                </w:placeholder>
              </w:sdtPr>
              <w:sdtContent>
                <w:r>
                  <w:rPr>
                    <w:rFonts w:ascii="Times New Roman" w:hAnsi="Times New Roman" w:cs="Times New Roman"/>
                    <w:sz w:val="16"/>
                    <w:szCs w:val="16"/>
                    <w:lang w:val="en-US"/>
                  </w:rPr>
                  <w:t>[61]</w:t>
                </w:r>
              </w:sdtContent>
            </w:sdt>
          </w:p>
        </w:tc>
        <w:tc>
          <w:tcPr>
            <w:tcW w:w="856" w:type="dxa"/>
            <w:tcBorders>
              <w:top w:val="single" w:sz="4" w:space="0" w:color="auto"/>
              <w:left w:val="single" w:sz="4" w:space="0" w:color="auto"/>
              <w:bottom w:val="single" w:sz="4" w:space="0" w:color="auto"/>
              <w:right w:val="single" w:sz="4" w:space="0" w:color="auto"/>
            </w:tcBorders>
            <w:hideMark/>
          </w:tcPr>
          <w:p w14:paraId="0278131C"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Mean = 65.8 ± 11.4 (Range =23–87) years</w:t>
            </w:r>
          </w:p>
        </w:tc>
        <w:tc>
          <w:tcPr>
            <w:tcW w:w="1134" w:type="dxa"/>
            <w:tcBorders>
              <w:top w:val="single" w:sz="4" w:space="0" w:color="auto"/>
              <w:left w:val="single" w:sz="4" w:space="0" w:color="auto"/>
              <w:bottom w:val="single" w:sz="4" w:space="0" w:color="auto"/>
              <w:right w:val="single" w:sz="4" w:space="0" w:color="auto"/>
            </w:tcBorders>
            <w:hideMark/>
          </w:tcPr>
          <w:p w14:paraId="5381D291"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PVR was grade A in seven (15.9%), grade B in 28 (63.6%), and </w:t>
            </w:r>
            <w:r>
              <w:rPr>
                <w:rFonts w:ascii="Times New Roman" w:hAnsi="Times New Roman" w:cs="Times New Roman"/>
                <w:sz w:val="16"/>
                <w:szCs w:val="16"/>
                <w:shd w:val="clear" w:color="auto" w:fill="FFFFFF"/>
                <w:lang w:val="en-US"/>
              </w:rPr>
              <w:lastRenderedPageBreak/>
              <w:t>grade C in 9 (20.5%) eyes.</w:t>
            </w:r>
          </w:p>
        </w:tc>
        <w:tc>
          <w:tcPr>
            <w:tcW w:w="1599" w:type="dxa"/>
            <w:tcBorders>
              <w:top w:val="single" w:sz="4" w:space="0" w:color="auto"/>
              <w:left w:val="single" w:sz="4" w:space="0" w:color="auto"/>
              <w:bottom w:val="single" w:sz="4" w:space="0" w:color="auto"/>
              <w:right w:val="single" w:sz="4" w:space="0" w:color="auto"/>
            </w:tcBorders>
            <w:hideMark/>
          </w:tcPr>
          <w:p w14:paraId="3677E3C3"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 xml:space="preserve">PVR was defined as follows: grade A: vitreous haze and pigment; grade B: wrinkling of the inner retinal surface, retinal stiffness, </w:t>
            </w:r>
            <w:r>
              <w:rPr>
                <w:rFonts w:ascii="Times New Roman" w:hAnsi="Times New Roman" w:cs="Times New Roman"/>
                <w:sz w:val="16"/>
                <w:szCs w:val="16"/>
                <w:shd w:val="clear" w:color="auto" w:fill="FFFFFF"/>
                <w:lang w:val="en-US"/>
              </w:rPr>
              <w:lastRenderedPageBreak/>
              <w:t xml:space="preserve">rolled edge of breaks, and vessel tortuosity; and grade C: full-thickness and fixed retinal folds. VA of CF was converted to 1.4, that of HM was converted to 2.7, and that of LP was converted to 3.7 </w:t>
            </w:r>
            <w:proofErr w:type="spellStart"/>
            <w:r>
              <w:rPr>
                <w:rFonts w:ascii="Times New Roman" w:hAnsi="Times New Roman" w:cs="Times New Roman"/>
                <w:sz w:val="16"/>
                <w:szCs w:val="16"/>
                <w:shd w:val="clear" w:color="auto" w:fill="FFFFFF"/>
                <w:lang w:val="en-US"/>
              </w:rPr>
              <w:t>logMAR</w:t>
            </w:r>
            <w:proofErr w:type="spellEnd"/>
            <w:r>
              <w:rPr>
                <w:rFonts w:ascii="Times New Roman" w:hAnsi="Times New Roman" w:cs="Times New Roman"/>
                <w:sz w:val="16"/>
                <w:szCs w:val="16"/>
                <w:shd w:val="clear" w:color="auto" w:fill="FFFFFF"/>
                <w:lang w:val="en-US"/>
              </w:rPr>
              <w:t>.</w:t>
            </w:r>
          </w:p>
        </w:tc>
        <w:tc>
          <w:tcPr>
            <w:tcW w:w="1980" w:type="dxa"/>
            <w:tcBorders>
              <w:top w:val="single" w:sz="4" w:space="0" w:color="auto"/>
              <w:left w:val="single" w:sz="4" w:space="0" w:color="auto"/>
              <w:bottom w:val="single" w:sz="4" w:space="0" w:color="auto"/>
              <w:right w:val="single" w:sz="4" w:space="0" w:color="auto"/>
            </w:tcBorders>
            <w:hideMark/>
          </w:tcPr>
          <w:p w14:paraId="30698D94"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 xml:space="preserve">In both eyes with retinal vessel printings, detachment involved four quadrants in one case (breaks located in the upper and lower quadrants) and three quadrants in the </w:t>
            </w:r>
            <w:r>
              <w:rPr>
                <w:rFonts w:ascii="Times New Roman" w:hAnsi="Times New Roman" w:cs="Times New Roman"/>
                <w:sz w:val="16"/>
                <w:szCs w:val="16"/>
                <w:shd w:val="clear" w:color="auto" w:fill="FFFFFF"/>
                <w:lang w:val="en-US"/>
              </w:rPr>
              <w:lastRenderedPageBreak/>
              <w:t>other (with the break located in the upper quadrants)</w:t>
            </w:r>
          </w:p>
        </w:tc>
        <w:tc>
          <w:tcPr>
            <w:tcW w:w="1620" w:type="dxa"/>
            <w:tcBorders>
              <w:top w:val="single" w:sz="4" w:space="0" w:color="auto"/>
              <w:left w:val="single" w:sz="4" w:space="0" w:color="auto"/>
              <w:bottom w:val="single" w:sz="4" w:space="0" w:color="auto"/>
              <w:right w:val="single" w:sz="4" w:space="0" w:color="auto"/>
            </w:tcBorders>
            <w:hideMark/>
          </w:tcPr>
          <w:p w14:paraId="5C692328"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 xml:space="preserve">Preoperative BCVA was 2.1 ± 1.0 </w:t>
            </w:r>
            <w:proofErr w:type="spellStart"/>
            <w:r>
              <w:rPr>
                <w:rFonts w:ascii="Times New Roman" w:hAnsi="Times New Roman" w:cs="Times New Roman"/>
                <w:sz w:val="16"/>
                <w:szCs w:val="16"/>
                <w:shd w:val="clear" w:color="auto" w:fill="FFFFFF"/>
                <w:lang w:val="en-US"/>
              </w:rPr>
              <w:t>logMAR</w:t>
            </w:r>
            <w:proofErr w:type="spellEnd"/>
            <w:r>
              <w:rPr>
                <w:rFonts w:ascii="Times New Roman" w:hAnsi="Times New Roman" w:cs="Times New Roman"/>
                <w:sz w:val="16"/>
                <w:szCs w:val="16"/>
                <w:shd w:val="clear" w:color="auto" w:fill="FFFFFF"/>
                <w:lang w:val="en-US"/>
              </w:rPr>
              <w:t xml:space="preserve"> and improved to 0.8 ± 0.7 </w:t>
            </w:r>
            <w:proofErr w:type="spellStart"/>
            <w:r>
              <w:rPr>
                <w:rFonts w:ascii="Times New Roman" w:hAnsi="Times New Roman" w:cs="Times New Roman"/>
                <w:sz w:val="16"/>
                <w:szCs w:val="16"/>
                <w:shd w:val="clear" w:color="auto" w:fill="FFFFFF"/>
                <w:lang w:val="en-US"/>
              </w:rPr>
              <w:t>logMAR</w:t>
            </w:r>
            <w:proofErr w:type="spellEnd"/>
            <w:r>
              <w:rPr>
                <w:rFonts w:ascii="Times New Roman" w:hAnsi="Times New Roman" w:cs="Times New Roman"/>
                <w:sz w:val="16"/>
                <w:szCs w:val="16"/>
                <w:shd w:val="clear" w:color="auto" w:fill="FFFFFF"/>
                <w:lang w:val="en-US"/>
              </w:rPr>
              <w:t xml:space="preserve"> at the last follow-up.</w:t>
            </w:r>
          </w:p>
        </w:tc>
        <w:tc>
          <w:tcPr>
            <w:tcW w:w="1350" w:type="dxa"/>
            <w:tcBorders>
              <w:top w:val="single" w:sz="4" w:space="0" w:color="auto"/>
              <w:left w:val="single" w:sz="4" w:space="0" w:color="auto"/>
              <w:bottom w:val="single" w:sz="4" w:space="0" w:color="auto"/>
              <w:right w:val="single" w:sz="4" w:space="0" w:color="auto"/>
            </w:tcBorders>
            <w:hideMark/>
          </w:tcPr>
          <w:p w14:paraId="48769ECE"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A bleb of SO migrated in the anterior chamber in two eyes (4.5%), macular edema developed in three eyes </w:t>
            </w:r>
            <w:r>
              <w:rPr>
                <w:rFonts w:ascii="Times New Roman" w:hAnsi="Times New Roman" w:cs="Times New Roman"/>
                <w:sz w:val="16"/>
                <w:szCs w:val="16"/>
                <w:shd w:val="clear" w:color="auto" w:fill="FFFFFF"/>
                <w:lang w:val="en-US"/>
              </w:rPr>
              <w:lastRenderedPageBreak/>
              <w:t xml:space="preserve">(6.8%), and an IOP ≥ 22 mmHg was recorded in seven eyes (15.9%). One month after the first operation, retinal vessel printings located inferiorly to the retinal vessels (indicative of upward displacement) were noted in 2 eyes (4.5%). </w:t>
            </w:r>
          </w:p>
        </w:tc>
        <w:tc>
          <w:tcPr>
            <w:tcW w:w="1814" w:type="dxa"/>
            <w:tcBorders>
              <w:top w:val="single" w:sz="4" w:space="0" w:color="auto"/>
              <w:left w:val="single" w:sz="4" w:space="0" w:color="auto"/>
              <w:bottom w:val="single" w:sz="4" w:space="0" w:color="auto"/>
              <w:right w:val="single" w:sz="4" w:space="0" w:color="auto"/>
            </w:tcBorders>
            <w:hideMark/>
          </w:tcPr>
          <w:p w14:paraId="09B7268C"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 xml:space="preserve">Not stated </w:t>
            </w:r>
          </w:p>
        </w:tc>
        <w:tc>
          <w:tcPr>
            <w:tcW w:w="1843" w:type="dxa"/>
            <w:tcBorders>
              <w:top w:val="single" w:sz="4" w:space="0" w:color="auto"/>
              <w:left w:val="single" w:sz="4" w:space="0" w:color="auto"/>
              <w:bottom w:val="single" w:sz="4" w:space="0" w:color="auto"/>
              <w:right w:val="single" w:sz="4" w:space="0" w:color="auto"/>
            </w:tcBorders>
            <w:hideMark/>
          </w:tcPr>
          <w:p w14:paraId="524E76F1"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PPV with SO injection for complicated RRD repair is associated with good anatomical and functional outcomes. Furthermore, the rate of unintentional retinal </w:t>
            </w:r>
            <w:r>
              <w:rPr>
                <w:rFonts w:ascii="Times New Roman" w:hAnsi="Times New Roman" w:cs="Times New Roman"/>
                <w:sz w:val="16"/>
                <w:szCs w:val="16"/>
                <w:shd w:val="clear" w:color="auto" w:fill="FFFFFF"/>
                <w:lang w:val="en-US"/>
              </w:rPr>
              <w:lastRenderedPageBreak/>
              <w:t>displacement is very low.</w:t>
            </w:r>
          </w:p>
        </w:tc>
      </w:tr>
      <w:tr w:rsidR="003A4529" w14:paraId="69C2EEEF"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559BE245"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lastRenderedPageBreak/>
              <w:t xml:space="preserve">Christensen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2012 </w:t>
            </w:r>
            <w:sdt>
              <w:sdtPr>
                <w:rPr>
                  <w:rFonts w:ascii="Times New Roman" w:hAnsi="Times New Roman" w:cs="Times New Roman"/>
                  <w:sz w:val="16"/>
                  <w:szCs w:val="16"/>
                  <w:lang w:val="en-US"/>
                </w:rPr>
                <w:tag w:val="MENDELEY_CITATION_v3_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"/>
                <w:id w:val="-1415080942"/>
                <w:placeholder>
                  <w:docPart w:val="8AD14C0D9D274B6FBE383E2E3A661263"/>
                </w:placeholder>
              </w:sdtPr>
              <w:sdtContent>
                <w:r>
                  <w:rPr>
                    <w:rFonts w:ascii="Times New Roman" w:eastAsia="Times New Roman" w:hAnsi="Times New Roman" w:cs="Times New Roman"/>
                    <w:sz w:val="16"/>
                    <w:szCs w:val="16"/>
                    <w:lang w:val="en-US"/>
                  </w:rPr>
                  <w:t>[62]</w:t>
                </w:r>
              </w:sdtContent>
            </w:sdt>
          </w:p>
        </w:tc>
        <w:tc>
          <w:tcPr>
            <w:tcW w:w="856" w:type="dxa"/>
            <w:tcBorders>
              <w:top w:val="single" w:sz="4" w:space="0" w:color="auto"/>
              <w:left w:val="single" w:sz="4" w:space="0" w:color="auto"/>
              <w:bottom w:val="single" w:sz="4" w:space="0" w:color="auto"/>
              <w:right w:val="single" w:sz="4" w:space="0" w:color="auto"/>
            </w:tcBorders>
            <w:hideMark/>
          </w:tcPr>
          <w:p w14:paraId="58444AAE"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For group of using gas as tamponades, mean = 62 (range = 47–75)</w:t>
            </w:r>
            <w:r>
              <w:rPr>
                <w:rFonts w:ascii="Times New Roman" w:hAnsi="Times New Roman" w:cs="Times New Roman"/>
                <w:sz w:val="16"/>
                <w:szCs w:val="16"/>
                <w:shd w:val="clear" w:color="auto" w:fill="FFFFFF"/>
                <w:lang w:val="en-US"/>
              </w:rPr>
              <w:t> </w:t>
            </w:r>
            <w:r>
              <w:rPr>
                <w:rFonts w:ascii="Times New Roman" w:hAnsi="Times New Roman" w:cs="Times New Roman"/>
                <w:sz w:val="16"/>
                <w:szCs w:val="16"/>
                <w:shd w:val="clear" w:color="auto" w:fill="FFFFFF"/>
                <w:lang w:val="en-US"/>
              </w:rPr>
              <w:t>years. While for the group of using SO as tamponades, mean = 51 (rang = 33–69)</w:t>
            </w:r>
            <w:r>
              <w:rPr>
                <w:rFonts w:ascii="Times New Roman" w:hAnsi="Times New Roman" w:cs="Times New Roman"/>
                <w:sz w:val="16"/>
                <w:szCs w:val="16"/>
                <w:shd w:val="clear" w:color="auto" w:fill="FFFFFF"/>
                <w:lang w:val="en-US"/>
              </w:rPr>
              <w:t> </w:t>
            </w:r>
            <w:r>
              <w:rPr>
                <w:rFonts w:ascii="Times New Roman" w:hAnsi="Times New Roman" w:cs="Times New Roman"/>
                <w:sz w:val="16"/>
                <w:szCs w:val="16"/>
                <w:shd w:val="clear" w:color="auto" w:fill="FFFFFF"/>
                <w:lang w:val="en-US"/>
              </w:rPr>
              <w:t>years</w:t>
            </w:r>
          </w:p>
        </w:tc>
        <w:tc>
          <w:tcPr>
            <w:tcW w:w="1134" w:type="dxa"/>
            <w:tcBorders>
              <w:top w:val="single" w:sz="4" w:space="0" w:color="auto"/>
              <w:left w:val="single" w:sz="4" w:space="0" w:color="auto"/>
              <w:bottom w:val="single" w:sz="4" w:space="0" w:color="auto"/>
              <w:right w:val="single" w:sz="4" w:space="0" w:color="auto"/>
            </w:tcBorders>
            <w:hideMark/>
          </w:tcPr>
          <w:p w14:paraId="4EF1D857"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Preoperative PVR grades A and B were seen in both groups, but the exact number of cases were not stated.</w:t>
            </w:r>
          </w:p>
        </w:tc>
        <w:tc>
          <w:tcPr>
            <w:tcW w:w="1599" w:type="dxa"/>
            <w:tcBorders>
              <w:top w:val="single" w:sz="4" w:space="0" w:color="auto"/>
              <w:left w:val="single" w:sz="4" w:space="0" w:color="auto"/>
              <w:bottom w:val="single" w:sz="4" w:space="0" w:color="auto"/>
              <w:right w:val="single" w:sz="4" w:space="0" w:color="auto"/>
            </w:tcBorders>
            <w:hideMark/>
          </w:tcPr>
          <w:p w14:paraId="2F05675C"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980" w:type="dxa"/>
            <w:tcBorders>
              <w:top w:val="single" w:sz="4" w:space="0" w:color="auto"/>
              <w:left w:val="single" w:sz="4" w:space="0" w:color="auto"/>
              <w:bottom w:val="single" w:sz="4" w:space="0" w:color="auto"/>
              <w:right w:val="single" w:sz="4" w:space="0" w:color="auto"/>
            </w:tcBorders>
            <w:hideMark/>
          </w:tcPr>
          <w:p w14:paraId="7D5B0185"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620" w:type="dxa"/>
            <w:tcBorders>
              <w:top w:val="single" w:sz="4" w:space="0" w:color="auto"/>
              <w:left w:val="single" w:sz="4" w:space="0" w:color="auto"/>
              <w:bottom w:val="single" w:sz="4" w:space="0" w:color="auto"/>
              <w:right w:val="single" w:sz="4" w:space="0" w:color="auto"/>
            </w:tcBorders>
            <w:hideMark/>
          </w:tcPr>
          <w:p w14:paraId="27564800"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Both groups with gas tamponade and SO tamponade patients had identical mean preoperative VA of 79 ETDRS letters (6/7.5 Snellen). Median postoperative VA at follow-up was significantly poorer in SO eyes (58 letters, &gt;6/24 Snellen) compared to gas eyes (83 letters, &gt;6/7.5 Snellen. Three of nine (33%) SO eyes had a severe reduction in final BCVA to ≤36 letters (6/60 Snellen) and six of nine (67%) had final BCVA ≤71 letters (6/12 Snellen). No gas eyes had final BCVA below 77 letters (6/9 Snellen)</w:t>
            </w:r>
          </w:p>
        </w:tc>
        <w:tc>
          <w:tcPr>
            <w:tcW w:w="1350" w:type="dxa"/>
            <w:tcBorders>
              <w:top w:val="single" w:sz="4" w:space="0" w:color="auto"/>
              <w:left w:val="single" w:sz="4" w:space="0" w:color="auto"/>
              <w:bottom w:val="single" w:sz="4" w:space="0" w:color="auto"/>
              <w:right w:val="single" w:sz="4" w:space="0" w:color="auto"/>
            </w:tcBorders>
            <w:hideMark/>
          </w:tcPr>
          <w:p w14:paraId="3414E511"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814" w:type="dxa"/>
            <w:tcBorders>
              <w:top w:val="single" w:sz="4" w:space="0" w:color="auto"/>
              <w:left w:val="single" w:sz="4" w:space="0" w:color="auto"/>
              <w:bottom w:val="single" w:sz="4" w:space="0" w:color="auto"/>
              <w:right w:val="single" w:sz="4" w:space="0" w:color="auto"/>
            </w:tcBorders>
            <w:hideMark/>
          </w:tcPr>
          <w:p w14:paraId="20A4987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stated </w:t>
            </w:r>
          </w:p>
        </w:tc>
        <w:tc>
          <w:tcPr>
            <w:tcW w:w="1843" w:type="dxa"/>
            <w:tcBorders>
              <w:top w:val="single" w:sz="4" w:space="0" w:color="auto"/>
              <w:left w:val="single" w:sz="4" w:space="0" w:color="auto"/>
              <w:bottom w:val="single" w:sz="4" w:space="0" w:color="auto"/>
              <w:right w:val="single" w:sz="4" w:space="0" w:color="auto"/>
            </w:tcBorders>
            <w:hideMark/>
          </w:tcPr>
          <w:p w14:paraId="6578E3AA"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Severe visual loss after SO use was observed in 1/3 of patients</w:t>
            </w:r>
          </w:p>
        </w:tc>
      </w:tr>
      <w:tr w:rsidR="003A4529" w14:paraId="01D79DFB"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76554287"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lastRenderedPageBreak/>
              <w:t xml:space="preserve">Baba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2021 </w:t>
            </w:r>
            <w:sdt>
              <w:sdtPr>
                <w:rPr>
                  <w:rFonts w:ascii="Times New Roman" w:hAnsi="Times New Roman" w:cs="Times New Roman"/>
                  <w:sz w:val="16"/>
                  <w:szCs w:val="16"/>
                  <w:lang w:val="en-US"/>
                </w:rPr>
                <w:tag w:val="MENDELEY_CITATION_v3_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"/>
                <w:id w:val="-43846062"/>
                <w:placeholder>
                  <w:docPart w:val="8AD14C0D9D274B6FBE383E2E3A661263"/>
                </w:placeholder>
              </w:sdtPr>
              <w:sdtContent>
                <w:r>
                  <w:rPr>
                    <w:rFonts w:ascii="Times New Roman" w:hAnsi="Times New Roman" w:cs="Times New Roman"/>
                    <w:sz w:val="16"/>
                    <w:szCs w:val="16"/>
                    <w:lang w:val="en-US"/>
                  </w:rPr>
                  <w:t>[63]</w:t>
                </w:r>
              </w:sdtContent>
            </w:sdt>
          </w:p>
        </w:tc>
        <w:tc>
          <w:tcPr>
            <w:tcW w:w="856" w:type="dxa"/>
            <w:tcBorders>
              <w:top w:val="single" w:sz="4" w:space="0" w:color="auto"/>
              <w:left w:val="single" w:sz="4" w:space="0" w:color="auto"/>
              <w:bottom w:val="single" w:sz="4" w:space="0" w:color="auto"/>
              <w:right w:val="single" w:sz="4" w:space="0" w:color="auto"/>
            </w:tcBorders>
            <w:hideMark/>
          </w:tcPr>
          <w:p w14:paraId="3FE630FA"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 minimum of 40 years old</w:t>
            </w:r>
          </w:p>
        </w:tc>
        <w:tc>
          <w:tcPr>
            <w:tcW w:w="1134" w:type="dxa"/>
            <w:tcBorders>
              <w:top w:val="single" w:sz="4" w:space="0" w:color="auto"/>
              <w:left w:val="single" w:sz="4" w:space="0" w:color="auto"/>
              <w:bottom w:val="single" w:sz="4" w:space="0" w:color="auto"/>
              <w:right w:val="single" w:sz="4" w:space="0" w:color="auto"/>
            </w:tcBorders>
            <w:hideMark/>
          </w:tcPr>
          <w:p w14:paraId="7CF1AB1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Yes, but the exact number of cases were not stated</w:t>
            </w:r>
          </w:p>
        </w:tc>
        <w:tc>
          <w:tcPr>
            <w:tcW w:w="1599" w:type="dxa"/>
            <w:tcBorders>
              <w:top w:val="single" w:sz="4" w:space="0" w:color="auto"/>
              <w:left w:val="single" w:sz="4" w:space="0" w:color="auto"/>
              <w:bottom w:val="single" w:sz="4" w:space="0" w:color="auto"/>
              <w:right w:val="single" w:sz="4" w:space="0" w:color="auto"/>
            </w:tcBorders>
          </w:tcPr>
          <w:p w14:paraId="5E3D0A5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The lower VA of no LP were graded as 4.0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units, light perception 3.0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units, HM 2.3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units and CF 2.0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units. PAS was defined as having no additional surgery during the six postoperative months.</w:t>
            </w:r>
          </w:p>
          <w:p w14:paraId="66C17634"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980" w:type="dxa"/>
            <w:tcBorders>
              <w:top w:val="single" w:sz="4" w:space="0" w:color="auto"/>
              <w:left w:val="single" w:sz="4" w:space="0" w:color="auto"/>
              <w:bottom w:val="single" w:sz="4" w:space="0" w:color="auto"/>
              <w:right w:val="single" w:sz="4" w:space="0" w:color="auto"/>
            </w:tcBorders>
          </w:tcPr>
          <w:p w14:paraId="26E08C3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The overall FAS success was 90.8%; PAS in cases treated with SB was 93.1%, PPV was 91.8% and PPV+SB was 68.7%.</w:t>
            </w:r>
          </w:p>
          <w:p w14:paraId="0F71212F"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620" w:type="dxa"/>
            <w:tcBorders>
              <w:top w:val="single" w:sz="4" w:space="0" w:color="auto"/>
              <w:left w:val="single" w:sz="4" w:space="0" w:color="auto"/>
              <w:bottom w:val="single" w:sz="4" w:space="0" w:color="auto"/>
              <w:right w:val="single" w:sz="4" w:space="0" w:color="auto"/>
            </w:tcBorders>
            <w:hideMark/>
          </w:tcPr>
          <w:p w14:paraId="0212C8D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The surgical outcomes were improved, as mean total baseline BCVA improved from 0.52±0.78 to six months post-operative BCVA of 0.09±0.31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Baseline BCVA were 0.15±0.48,</w:t>
            </w:r>
          </w:p>
          <w:p w14:paraId="25AEAB0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0.57±0.79, and 0.87±0.95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units after SB alone, PPV alone, and combined PPV and SB, respectively.</w:t>
            </w:r>
          </w:p>
          <w:p w14:paraId="38E31E3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Postoperative BCVA were 0.03±0.22,</w:t>
            </w:r>
          </w:p>
          <w:p w14:paraId="7C0B983E"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0.08±0.29, and 0.32±0.45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units after SB alone, PPV alone, and combined PPV and SB, respectively. The cases with a high level of failure had poorer postoperative </w:t>
            </w:r>
            <w:proofErr w:type="gramStart"/>
            <w:r>
              <w:rPr>
                <w:rFonts w:ascii="Times New Roman" w:eastAsia="Times New Roman" w:hAnsi="Times New Roman" w:cs="Times New Roman"/>
                <w:sz w:val="16"/>
                <w:szCs w:val="16"/>
                <w:lang w:val="en-US"/>
              </w:rPr>
              <w:t>BCVA</w:t>
            </w:r>
            <w:proofErr w:type="gramEnd"/>
          </w:p>
          <w:p w14:paraId="63DC886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and lower possibility of achieving a BCVA of 0.1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units in cases treated by PPV alone. None of the cases treated by SB had level three failure cases but had the same trend.</w:t>
            </w:r>
          </w:p>
        </w:tc>
        <w:tc>
          <w:tcPr>
            <w:tcW w:w="1350" w:type="dxa"/>
            <w:tcBorders>
              <w:top w:val="single" w:sz="4" w:space="0" w:color="auto"/>
              <w:left w:val="single" w:sz="4" w:space="0" w:color="auto"/>
              <w:bottom w:val="single" w:sz="4" w:space="0" w:color="auto"/>
              <w:right w:val="single" w:sz="4" w:space="0" w:color="auto"/>
            </w:tcBorders>
            <w:hideMark/>
          </w:tcPr>
          <w:p w14:paraId="1E6A617E"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814" w:type="dxa"/>
            <w:tcBorders>
              <w:top w:val="single" w:sz="4" w:space="0" w:color="auto"/>
              <w:left w:val="single" w:sz="4" w:space="0" w:color="auto"/>
              <w:bottom w:val="single" w:sz="4" w:space="0" w:color="auto"/>
              <w:right w:val="single" w:sz="4" w:space="0" w:color="auto"/>
            </w:tcBorders>
          </w:tcPr>
          <w:p w14:paraId="722AD27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Older</w:t>
            </w:r>
          </w:p>
          <w:p w14:paraId="6FD9528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age (&gt;70 years), low IOP (&lt;10mm Hg), high myopia (&gt;−5 diopters), multiple retinal breaks (&gt; four), GRT (&gt;90°), wide RD (&gt; three quadrants) and macula-off RD </w:t>
            </w:r>
            <w:proofErr w:type="gramStart"/>
            <w:r>
              <w:rPr>
                <w:rFonts w:ascii="Times New Roman" w:eastAsia="Times New Roman" w:hAnsi="Times New Roman" w:cs="Times New Roman"/>
                <w:sz w:val="16"/>
                <w:szCs w:val="16"/>
                <w:lang w:val="en-US"/>
              </w:rPr>
              <w:t>were</w:t>
            </w:r>
            <w:proofErr w:type="gramEnd"/>
          </w:p>
          <w:p w14:paraId="7F401EDE"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associated with less probability of postoperative 20/25 vision. </w:t>
            </w:r>
          </w:p>
          <w:p w14:paraId="59ED276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843" w:type="dxa"/>
            <w:tcBorders>
              <w:top w:val="single" w:sz="4" w:space="0" w:color="auto"/>
              <w:left w:val="single" w:sz="4" w:space="0" w:color="auto"/>
              <w:bottom w:val="single" w:sz="4" w:space="0" w:color="auto"/>
              <w:right w:val="single" w:sz="4" w:space="0" w:color="auto"/>
            </w:tcBorders>
          </w:tcPr>
          <w:p w14:paraId="7A0D84E3"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Better BCVA in patients with RRD who had undergone PPV was observed. However, if</w:t>
            </w:r>
          </w:p>
          <w:p w14:paraId="73AFFCE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concurrent cataract surgery is not performed, BCVA will be comparable with either PPV or SB.</w:t>
            </w:r>
          </w:p>
          <w:p w14:paraId="4187626C"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r>
      <w:tr w:rsidR="003A4529" w14:paraId="5050F19B"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47D46A5E" w14:textId="77777777" w:rsidR="003A4529" w:rsidRDefault="003A4529">
            <w:pPr>
              <w:spacing w:line="276" w:lineRule="auto"/>
              <w:rPr>
                <w:rFonts w:ascii="Times New Roman" w:hAnsi="Times New Roman" w:cs="Times New Roman"/>
                <w:sz w:val="16"/>
                <w:szCs w:val="16"/>
                <w:lang w:val="en-US"/>
              </w:rPr>
            </w:pPr>
            <w:proofErr w:type="spellStart"/>
            <w:r>
              <w:rPr>
                <w:rFonts w:ascii="Times New Roman" w:hAnsi="Times New Roman" w:cs="Times New Roman"/>
                <w:sz w:val="16"/>
                <w:szCs w:val="16"/>
                <w:lang w:val="en-US"/>
              </w:rPr>
              <w:t>Hocaoglu</w:t>
            </w:r>
            <w:proofErr w:type="spellEnd"/>
            <w:r>
              <w:rPr>
                <w:rFonts w:ascii="Times New Roman" w:hAnsi="Times New Roman" w:cs="Times New Roman"/>
                <w:sz w:val="16"/>
                <w:szCs w:val="16"/>
                <w:lang w:val="en-US"/>
              </w:rPr>
              <w:t xml:space="preserve">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2019  </w:t>
            </w:r>
            <w:sdt>
              <w:sdtPr>
                <w:rPr>
                  <w:rFonts w:ascii="Times New Roman" w:hAnsi="Times New Roman" w:cs="Times New Roman"/>
                  <w:sz w:val="16"/>
                  <w:szCs w:val="16"/>
                  <w:lang w:val="en-US"/>
                </w:rPr>
                <w:tag w:val="MENDELEY_CITATION_v3_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"/>
                <w:id w:val="373509100"/>
                <w:placeholder>
                  <w:docPart w:val="8AD14C0D9D274B6FBE383E2E3A661263"/>
                </w:placeholder>
              </w:sdtPr>
              <w:sdtContent>
                <w:r>
                  <w:rPr>
                    <w:rFonts w:ascii="Times New Roman" w:hAnsi="Times New Roman" w:cs="Times New Roman"/>
                    <w:sz w:val="16"/>
                    <w:szCs w:val="16"/>
                    <w:lang w:val="en-US"/>
                  </w:rPr>
                  <w:t>[64]</w:t>
                </w:r>
              </w:sdtContent>
            </w:sdt>
          </w:p>
        </w:tc>
        <w:tc>
          <w:tcPr>
            <w:tcW w:w="856" w:type="dxa"/>
            <w:tcBorders>
              <w:top w:val="single" w:sz="4" w:space="0" w:color="auto"/>
              <w:left w:val="single" w:sz="4" w:space="0" w:color="auto"/>
              <w:bottom w:val="single" w:sz="4" w:space="0" w:color="auto"/>
              <w:right w:val="single" w:sz="4" w:space="0" w:color="auto"/>
            </w:tcBorders>
            <w:hideMark/>
          </w:tcPr>
          <w:p w14:paraId="3B017D3B"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Mean </w:t>
            </w:r>
            <w:r>
              <w:rPr>
                <w:rFonts w:ascii="Times New Roman" w:eastAsia="Times New Roman" w:hAnsi="Times New Roman" w:cs="Times New Roman"/>
                <w:sz w:val="16"/>
                <w:szCs w:val="16"/>
                <w:lang w:val="en-US"/>
              </w:rPr>
              <w:t>± SD</w:t>
            </w:r>
            <w:r>
              <w:rPr>
                <w:rFonts w:ascii="Times New Roman" w:hAnsi="Times New Roman" w:cs="Times New Roman"/>
                <w:sz w:val="16"/>
                <w:szCs w:val="16"/>
                <w:shd w:val="clear" w:color="auto" w:fill="FFFFFF"/>
                <w:lang w:val="en-US"/>
              </w:rPr>
              <w:t xml:space="preserve"> = 43.3 ± 13.1 (Range = 9–62)</w:t>
            </w:r>
          </w:p>
        </w:tc>
        <w:tc>
          <w:tcPr>
            <w:tcW w:w="1134" w:type="dxa"/>
            <w:tcBorders>
              <w:top w:val="single" w:sz="4" w:space="0" w:color="auto"/>
              <w:left w:val="single" w:sz="4" w:space="0" w:color="auto"/>
              <w:bottom w:val="single" w:sz="4" w:space="0" w:color="auto"/>
              <w:right w:val="single" w:sz="4" w:space="0" w:color="auto"/>
            </w:tcBorders>
            <w:hideMark/>
          </w:tcPr>
          <w:p w14:paraId="432E0C30"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19 eyes (42%) were found to have some degree of PVR (range, Grade </w:t>
            </w:r>
            <w:r>
              <w:rPr>
                <w:rFonts w:ascii="Times New Roman" w:hAnsi="Times New Roman" w:cs="Times New Roman"/>
                <w:sz w:val="16"/>
                <w:szCs w:val="16"/>
                <w:shd w:val="clear" w:color="auto" w:fill="FFFFFF"/>
                <w:lang w:val="en-US"/>
              </w:rPr>
              <w:lastRenderedPageBreak/>
              <w:t>A–C). Among these, seven eyes (16%) have grade C PVR.</w:t>
            </w:r>
          </w:p>
        </w:tc>
        <w:tc>
          <w:tcPr>
            <w:tcW w:w="1599" w:type="dxa"/>
            <w:tcBorders>
              <w:top w:val="single" w:sz="4" w:space="0" w:color="auto"/>
              <w:left w:val="single" w:sz="4" w:space="0" w:color="auto"/>
              <w:bottom w:val="single" w:sz="4" w:space="0" w:color="auto"/>
              <w:right w:val="single" w:sz="4" w:space="0" w:color="auto"/>
            </w:tcBorders>
            <w:hideMark/>
          </w:tcPr>
          <w:p w14:paraId="5896596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lastRenderedPageBreak/>
              <w:t xml:space="preserve">PAS was defined as a fully attached retina for a minimum of six months after SO removal, without the need for </w:t>
            </w:r>
            <w:r>
              <w:rPr>
                <w:rFonts w:ascii="Times New Roman" w:hAnsi="Times New Roman" w:cs="Times New Roman"/>
                <w:sz w:val="16"/>
                <w:szCs w:val="16"/>
                <w:shd w:val="clear" w:color="auto" w:fill="FFFFFF"/>
                <w:lang w:val="en-US"/>
              </w:rPr>
              <w:lastRenderedPageBreak/>
              <w:t>additional surgery or laser photocoagulation.</w:t>
            </w:r>
          </w:p>
        </w:tc>
        <w:tc>
          <w:tcPr>
            <w:tcW w:w="1980" w:type="dxa"/>
            <w:tcBorders>
              <w:top w:val="single" w:sz="4" w:space="0" w:color="auto"/>
              <w:left w:val="single" w:sz="4" w:space="0" w:color="auto"/>
              <w:bottom w:val="single" w:sz="4" w:space="0" w:color="auto"/>
              <w:right w:val="single" w:sz="4" w:space="0" w:color="auto"/>
            </w:tcBorders>
            <w:hideMark/>
          </w:tcPr>
          <w:p w14:paraId="1AF11865"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lastRenderedPageBreak/>
              <w:t>The PAS rate was 84%, and the overall FAS rate was 98%.</w:t>
            </w:r>
          </w:p>
        </w:tc>
        <w:tc>
          <w:tcPr>
            <w:tcW w:w="1620" w:type="dxa"/>
            <w:tcBorders>
              <w:top w:val="single" w:sz="4" w:space="0" w:color="auto"/>
              <w:left w:val="single" w:sz="4" w:space="0" w:color="auto"/>
              <w:bottom w:val="single" w:sz="4" w:space="0" w:color="auto"/>
              <w:right w:val="single" w:sz="4" w:space="0" w:color="auto"/>
            </w:tcBorders>
            <w:hideMark/>
          </w:tcPr>
          <w:p w14:paraId="2E4188D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 xml:space="preserve">The preoperative mean ± SD visual acuity was 1.5 ± 1.3 </w:t>
            </w:r>
            <w:proofErr w:type="spellStart"/>
            <w:r>
              <w:rPr>
                <w:rFonts w:ascii="Times New Roman" w:hAnsi="Times New Roman" w:cs="Times New Roman"/>
                <w:sz w:val="16"/>
                <w:szCs w:val="16"/>
                <w:shd w:val="clear" w:color="auto" w:fill="FFFFFF"/>
                <w:lang w:val="en-US"/>
              </w:rPr>
              <w:t>logMAR</w:t>
            </w:r>
            <w:proofErr w:type="spellEnd"/>
            <w:r>
              <w:rPr>
                <w:rFonts w:ascii="Times New Roman" w:hAnsi="Times New Roman" w:cs="Times New Roman"/>
                <w:sz w:val="16"/>
                <w:szCs w:val="16"/>
                <w:shd w:val="clear" w:color="auto" w:fill="FFFFFF"/>
                <w:lang w:val="en-US"/>
              </w:rPr>
              <w:t xml:space="preserve">, which is equivalent to Snellen visual acuity of </w:t>
            </w:r>
            <w:r>
              <w:rPr>
                <w:rFonts w:ascii="Times New Roman" w:hAnsi="Times New Roman" w:cs="Times New Roman"/>
                <w:sz w:val="16"/>
                <w:szCs w:val="16"/>
                <w:shd w:val="clear" w:color="auto" w:fill="FFFFFF"/>
                <w:lang w:val="en-US"/>
              </w:rPr>
              <w:lastRenderedPageBreak/>
              <w:t xml:space="preserve">20/580. </w:t>
            </w:r>
            <w:r>
              <w:rPr>
                <w:rFonts w:ascii="Times New Roman" w:hAnsi="Times New Roman" w:cs="Times New Roman"/>
                <w:sz w:val="16"/>
                <w:szCs w:val="16"/>
                <w:lang w:val="en-US"/>
              </w:rPr>
              <w:t xml:space="preserve"> The mean postoperative VA was </w:t>
            </w:r>
            <w:r>
              <w:rPr>
                <w:rFonts w:ascii="Times New Roman" w:hAnsi="Times New Roman" w:cs="Times New Roman"/>
                <w:sz w:val="16"/>
                <w:szCs w:val="16"/>
                <w:shd w:val="clear" w:color="auto" w:fill="FFFFFF"/>
                <w:lang w:val="en-US"/>
              </w:rPr>
              <w:t xml:space="preserve">0.46 ± 0.62 </w:t>
            </w:r>
            <w:proofErr w:type="spellStart"/>
            <w:r>
              <w:rPr>
                <w:rFonts w:ascii="Times New Roman" w:hAnsi="Times New Roman" w:cs="Times New Roman"/>
                <w:sz w:val="16"/>
                <w:szCs w:val="16"/>
                <w:shd w:val="clear" w:color="auto" w:fill="FFFFFF"/>
                <w:lang w:val="en-US"/>
              </w:rPr>
              <w:t>logMAR</w:t>
            </w:r>
            <w:proofErr w:type="spellEnd"/>
            <w:r>
              <w:rPr>
                <w:rFonts w:ascii="Times New Roman" w:hAnsi="Times New Roman" w:cs="Times New Roman"/>
                <w:sz w:val="16"/>
                <w:szCs w:val="16"/>
                <w:shd w:val="clear" w:color="auto" w:fill="FFFFFF"/>
                <w:lang w:val="en-US"/>
              </w:rPr>
              <w:t>. The final VA ≥20/40 was achieved in 64%.</w:t>
            </w:r>
          </w:p>
        </w:tc>
        <w:tc>
          <w:tcPr>
            <w:tcW w:w="1350" w:type="dxa"/>
            <w:tcBorders>
              <w:top w:val="single" w:sz="4" w:space="0" w:color="auto"/>
              <w:left w:val="single" w:sz="4" w:space="0" w:color="auto"/>
              <w:bottom w:val="single" w:sz="4" w:space="0" w:color="auto"/>
              <w:right w:val="single" w:sz="4" w:space="0" w:color="auto"/>
            </w:tcBorders>
            <w:hideMark/>
          </w:tcPr>
          <w:p w14:paraId="232BC27A"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lastRenderedPageBreak/>
              <w:t xml:space="preserve">Transient elevation of IOP in 10 (22%) of eyes, cataract formation (five out of nine </w:t>
            </w:r>
            <w:r>
              <w:rPr>
                <w:rFonts w:ascii="Times New Roman" w:hAnsi="Times New Roman" w:cs="Times New Roman"/>
                <w:sz w:val="16"/>
                <w:szCs w:val="16"/>
                <w:shd w:val="clear" w:color="auto" w:fill="FFFFFF"/>
                <w:lang w:val="en-US"/>
              </w:rPr>
              <w:lastRenderedPageBreak/>
              <w:t>phakic eyes), ERM formation four (9%) eyes.</w:t>
            </w:r>
          </w:p>
        </w:tc>
        <w:tc>
          <w:tcPr>
            <w:tcW w:w="1814" w:type="dxa"/>
            <w:tcBorders>
              <w:top w:val="single" w:sz="4" w:space="0" w:color="auto"/>
              <w:left w:val="single" w:sz="4" w:space="0" w:color="auto"/>
              <w:bottom w:val="single" w:sz="4" w:space="0" w:color="auto"/>
              <w:right w:val="single" w:sz="4" w:space="0" w:color="auto"/>
            </w:tcBorders>
            <w:hideMark/>
          </w:tcPr>
          <w:p w14:paraId="60D08D6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 xml:space="preserve">Not stated </w:t>
            </w:r>
          </w:p>
        </w:tc>
        <w:tc>
          <w:tcPr>
            <w:tcW w:w="1843" w:type="dxa"/>
            <w:tcBorders>
              <w:top w:val="single" w:sz="4" w:space="0" w:color="auto"/>
              <w:left w:val="single" w:sz="4" w:space="0" w:color="auto"/>
              <w:bottom w:val="single" w:sz="4" w:space="0" w:color="auto"/>
              <w:right w:val="single" w:sz="4" w:space="0" w:color="auto"/>
            </w:tcBorders>
            <w:hideMark/>
          </w:tcPr>
          <w:p w14:paraId="3BCD5C0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 xml:space="preserve">The results of this study support management of GRT-related RRD using modern WAVS and improved instrumentation with </w:t>
            </w:r>
            <w:r>
              <w:rPr>
                <w:rFonts w:ascii="Times New Roman" w:hAnsi="Times New Roman" w:cs="Times New Roman"/>
                <w:sz w:val="16"/>
                <w:szCs w:val="16"/>
                <w:shd w:val="clear" w:color="auto" w:fill="FFFFFF"/>
                <w:lang w:val="en-US"/>
              </w:rPr>
              <w:lastRenderedPageBreak/>
              <w:t>vitrectomy alone in a lens-sparing approach. </w:t>
            </w:r>
          </w:p>
        </w:tc>
      </w:tr>
      <w:tr w:rsidR="003A4529" w14:paraId="15663404"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4C519875"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lastRenderedPageBreak/>
              <w:t xml:space="preserve">Minihan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2001  </w:t>
            </w:r>
            <w:sdt>
              <w:sdtPr>
                <w:rPr>
                  <w:rFonts w:ascii="Times New Roman" w:hAnsi="Times New Roman" w:cs="Times New Roman"/>
                  <w:sz w:val="16"/>
                  <w:szCs w:val="16"/>
                  <w:lang w:val="en-US"/>
                </w:rPr>
                <w:tag w:val="MENDELEY_CITATION_v3_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"/>
                <w:id w:val="177167737"/>
                <w:placeholder>
                  <w:docPart w:val="8AD14C0D9D274B6FBE383E2E3A661263"/>
                </w:placeholder>
              </w:sdtPr>
              <w:sdtContent>
                <w:r>
                  <w:rPr>
                    <w:rFonts w:ascii="Times New Roman" w:hAnsi="Times New Roman" w:cs="Times New Roman"/>
                    <w:sz w:val="16"/>
                    <w:szCs w:val="16"/>
                    <w:lang w:val="en-US"/>
                  </w:rPr>
                  <w:t>[65]</w:t>
                </w:r>
              </w:sdtContent>
            </w:sdt>
          </w:p>
        </w:tc>
        <w:tc>
          <w:tcPr>
            <w:tcW w:w="856" w:type="dxa"/>
            <w:tcBorders>
              <w:top w:val="single" w:sz="4" w:space="0" w:color="auto"/>
              <w:left w:val="single" w:sz="4" w:space="0" w:color="auto"/>
              <w:bottom w:val="single" w:sz="4" w:space="0" w:color="auto"/>
              <w:right w:val="single" w:sz="4" w:space="0" w:color="auto"/>
            </w:tcBorders>
            <w:hideMark/>
          </w:tcPr>
          <w:p w14:paraId="71528F7A"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134" w:type="dxa"/>
            <w:tcBorders>
              <w:top w:val="single" w:sz="4" w:space="0" w:color="auto"/>
              <w:left w:val="single" w:sz="4" w:space="0" w:color="auto"/>
              <w:bottom w:val="single" w:sz="4" w:space="0" w:color="auto"/>
              <w:right w:val="single" w:sz="4" w:space="0" w:color="auto"/>
            </w:tcBorders>
          </w:tcPr>
          <w:p w14:paraId="0757266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In 1979–80 32 eyes, and in 1999 24 eyes had </w:t>
            </w:r>
            <w:proofErr w:type="gramStart"/>
            <w:r>
              <w:rPr>
                <w:rFonts w:ascii="Times New Roman" w:eastAsia="Times New Roman" w:hAnsi="Times New Roman" w:cs="Times New Roman"/>
                <w:sz w:val="16"/>
                <w:szCs w:val="16"/>
                <w:lang w:val="en-US"/>
              </w:rPr>
              <w:t>preoperative</w:t>
            </w:r>
            <w:proofErr w:type="gramEnd"/>
          </w:p>
          <w:p w14:paraId="3568B9E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PVR.</w:t>
            </w:r>
          </w:p>
          <w:p w14:paraId="0DB071CB"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p w14:paraId="450A25EE"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22.4% of the total 250 cases were presented with PVR. </w:t>
            </w:r>
          </w:p>
          <w:p w14:paraId="315DE33E"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599" w:type="dxa"/>
            <w:tcBorders>
              <w:top w:val="single" w:sz="4" w:space="0" w:color="auto"/>
              <w:left w:val="single" w:sz="4" w:space="0" w:color="auto"/>
              <w:bottom w:val="single" w:sz="4" w:space="0" w:color="auto"/>
              <w:right w:val="single" w:sz="4" w:space="0" w:color="auto"/>
            </w:tcBorders>
            <w:hideMark/>
          </w:tcPr>
          <w:p w14:paraId="79E39BCF"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980" w:type="dxa"/>
            <w:tcBorders>
              <w:top w:val="single" w:sz="4" w:space="0" w:color="auto"/>
              <w:left w:val="single" w:sz="4" w:space="0" w:color="auto"/>
              <w:bottom w:val="single" w:sz="4" w:space="0" w:color="auto"/>
              <w:right w:val="single" w:sz="4" w:space="0" w:color="auto"/>
            </w:tcBorders>
          </w:tcPr>
          <w:p w14:paraId="2BDD4FA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The FAS rate was 88.7% (110 of 124) and 93.6% (118 of 126), for 1979-80 and 1999 cohort, </w:t>
            </w:r>
            <w:proofErr w:type="gramStart"/>
            <w:r>
              <w:rPr>
                <w:rFonts w:ascii="Times New Roman" w:eastAsia="Times New Roman" w:hAnsi="Times New Roman" w:cs="Times New Roman"/>
                <w:sz w:val="16"/>
                <w:szCs w:val="16"/>
                <w:lang w:val="en-US"/>
              </w:rPr>
              <w:t>respectively</w:t>
            </w:r>
            <w:proofErr w:type="gramEnd"/>
          </w:p>
          <w:p w14:paraId="6446AD3C"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620" w:type="dxa"/>
            <w:tcBorders>
              <w:top w:val="single" w:sz="4" w:space="0" w:color="auto"/>
              <w:left w:val="single" w:sz="4" w:space="0" w:color="auto"/>
              <w:bottom w:val="single" w:sz="4" w:space="0" w:color="auto"/>
              <w:right w:val="single" w:sz="4" w:space="0" w:color="auto"/>
            </w:tcBorders>
          </w:tcPr>
          <w:p w14:paraId="0670CDA3"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Median preoperative VA in 1979–80 and 1999 was counting fingers. Median postoperative VA was 6/24 in 1979–80 and in 1999. In 1979–80. 31% of cases had a final VA of 6/12 or better,</w:t>
            </w:r>
          </w:p>
          <w:p w14:paraId="308D9CD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while 47% did in 1999.</w:t>
            </w:r>
          </w:p>
          <w:p w14:paraId="43C6A78B"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350" w:type="dxa"/>
            <w:tcBorders>
              <w:top w:val="single" w:sz="4" w:space="0" w:color="auto"/>
              <w:left w:val="single" w:sz="4" w:space="0" w:color="auto"/>
              <w:bottom w:val="single" w:sz="4" w:space="0" w:color="auto"/>
              <w:right w:val="single" w:sz="4" w:space="0" w:color="auto"/>
            </w:tcBorders>
            <w:hideMark/>
          </w:tcPr>
          <w:p w14:paraId="37164541"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Postoperative cataracts (18 cases in 1999 versus five in 1979-80)</w:t>
            </w:r>
          </w:p>
        </w:tc>
        <w:tc>
          <w:tcPr>
            <w:tcW w:w="1814" w:type="dxa"/>
            <w:tcBorders>
              <w:top w:val="single" w:sz="4" w:space="0" w:color="auto"/>
              <w:left w:val="single" w:sz="4" w:space="0" w:color="auto"/>
              <w:bottom w:val="single" w:sz="4" w:space="0" w:color="auto"/>
              <w:right w:val="single" w:sz="4" w:space="0" w:color="auto"/>
            </w:tcBorders>
            <w:hideMark/>
          </w:tcPr>
          <w:p w14:paraId="6C6BAC9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stated </w:t>
            </w:r>
          </w:p>
        </w:tc>
        <w:tc>
          <w:tcPr>
            <w:tcW w:w="1843" w:type="dxa"/>
            <w:tcBorders>
              <w:top w:val="single" w:sz="4" w:space="0" w:color="auto"/>
              <w:left w:val="single" w:sz="4" w:space="0" w:color="auto"/>
              <w:bottom w:val="single" w:sz="4" w:space="0" w:color="auto"/>
              <w:right w:val="single" w:sz="4" w:space="0" w:color="auto"/>
            </w:tcBorders>
            <w:hideMark/>
          </w:tcPr>
          <w:p w14:paraId="79C854B2"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RRD that was treated by PPV had increased compared with 20 years ago.</w:t>
            </w:r>
          </w:p>
        </w:tc>
      </w:tr>
      <w:tr w:rsidR="003A4529" w14:paraId="672016A6"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0CE640F8" w14:textId="77777777" w:rsidR="003A4529" w:rsidRDefault="003A4529">
            <w:pPr>
              <w:spacing w:line="276" w:lineRule="auto"/>
              <w:rPr>
                <w:rFonts w:ascii="Times New Roman" w:hAnsi="Times New Roman" w:cs="Times New Roman"/>
                <w:sz w:val="16"/>
                <w:szCs w:val="16"/>
                <w:lang w:val="en-US"/>
              </w:rPr>
            </w:pPr>
            <w:proofErr w:type="spellStart"/>
            <w:r>
              <w:rPr>
                <w:rFonts w:ascii="Times New Roman" w:hAnsi="Times New Roman" w:cs="Times New Roman"/>
                <w:sz w:val="16"/>
                <w:szCs w:val="16"/>
                <w:lang w:val="en-US"/>
              </w:rPr>
              <w:t>MacCumber</w:t>
            </w:r>
            <w:proofErr w:type="spellEnd"/>
            <w:r>
              <w:rPr>
                <w:rFonts w:ascii="Times New Roman" w:hAnsi="Times New Roman" w:cs="Times New Roman"/>
                <w:sz w:val="16"/>
                <w:szCs w:val="16"/>
                <w:lang w:val="en-US"/>
              </w:rPr>
              <w:t xml:space="preserve">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2002 </w:t>
            </w:r>
            <w:sdt>
              <w:sdtPr>
                <w:rPr>
                  <w:rFonts w:ascii="Times New Roman" w:hAnsi="Times New Roman" w:cs="Times New Roman"/>
                  <w:sz w:val="16"/>
                  <w:szCs w:val="16"/>
                  <w:lang w:val="en-US"/>
                </w:rPr>
                <w:tag w:val="MENDELEY_CITATION_v3_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"/>
                <w:id w:val="-586532118"/>
                <w:placeholder>
                  <w:docPart w:val="8AD14C0D9D274B6FBE383E2E3A661263"/>
                </w:placeholder>
              </w:sdtPr>
              <w:sdtContent>
                <w:r>
                  <w:rPr>
                    <w:rFonts w:ascii="Times New Roman" w:hAnsi="Times New Roman" w:cs="Times New Roman"/>
                    <w:sz w:val="16"/>
                    <w:szCs w:val="16"/>
                    <w:lang w:val="en-US"/>
                  </w:rPr>
                  <w:t>[66]</w:t>
                </w:r>
              </w:sdtContent>
            </w:sdt>
          </w:p>
        </w:tc>
        <w:tc>
          <w:tcPr>
            <w:tcW w:w="856" w:type="dxa"/>
            <w:tcBorders>
              <w:top w:val="single" w:sz="4" w:space="0" w:color="auto"/>
              <w:left w:val="single" w:sz="4" w:space="0" w:color="auto"/>
              <w:bottom w:val="single" w:sz="4" w:space="0" w:color="auto"/>
              <w:right w:val="single" w:sz="4" w:space="0" w:color="auto"/>
            </w:tcBorders>
            <w:hideMark/>
          </w:tcPr>
          <w:p w14:paraId="78571074"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134" w:type="dxa"/>
            <w:tcBorders>
              <w:top w:val="single" w:sz="4" w:space="0" w:color="auto"/>
              <w:left w:val="single" w:sz="4" w:space="0" w:color="auto"/>
              <w:bottom w:val="single" w:sz="4" w:space="0" w:color="auto"/>
              <w:right w:val="single" w:sz="4" w:space="0" w:color="auto"/>
            </w:tcBorders>
            <w:hideMark/>
          </w:tcPr>
          <w:p w14:paraId="3F1F3258"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Grade C PVR was present preoperatively in 11 and was anterior in 5, the remaining eyes (n=4) have grade A PVR.</w:t>
            </w:r>
          </w:p>
        </w:tc>
        <w:tc>
          <w:tcPr>
            <w:tcW w:w="1599" w:type="dxa"/>
            <w:tcBorders>
              <w:top w:val="single" w:sz="4" w:space="0" w:color="auto"/>
              <w:left w:val="single" w:sz="4" w:space="0" w:color="auto"/>
              <w:bottom w:val="single" w:sz="4" w:space="0" w:color="auto"/>
              <w:right w:val="single" w:sz="4" w:space="0" w:color="auto"/>
            </w:tcBorders>
            <w:hideMark/>
          </w:tcPr>
          <w:p w14:paraId="2ADB2BB8"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980" w:type="dxa"/>
            <w:tcBorders>
              <w:top w:val="single" w:sz="4" w:space="0" w:color="auto"/>
              <w:left w:val="single" w:sz="4" w:space="0" w:color="auto"/>
              <w:bottom w:val="single" w:sz="4" w:space="0" w:color="auto"/>
              <w:right w:val="single" w:sz="4" w:space="0" w:color="auto"/>
            </w:tcBorders>
            <w:hideMark/>
          </w:tcPr>
          <w:p w14:paraId="3528EBD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14 (93.3%) eyes have complete reattachment at the final visit.</w:t>
            </w:r>
          </w:p>
        </w:tc>
        <w:tc>
          <w:tcPr>
            <w:tcW w:w="1620" w:type="dxa"/>
            <w:tcBorders>
              <w:top w:val="single" w:sz="4" w:space="0" w:color="auto"/>
              <w:left w:val="single" w:sz="4" w:space="0" w:color="auto"/>
              <w:bottom w:val="single" w:sz="4" w:space="0" w:color="auto"/>
              <w:right w:val="single" w:sz="4" w:space="0" w:color="auto"/>
            </w:tcBorders>
            <w:hideMark/>
          </w:tcPr>
          <w:p w14:paraId="7DEC6135"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The preoperative VA was CF in four (26.7%) eyes, HM in five (33.3%) eyes, LP in two (13.3%) eyes, 20/400 in two (13.3%) eyes, 20/250 in one (6.7%) eye, and 20/200 in one (6.7%) eye. The postoperative acuity was CF in three (20%) eyes, 20/400 and 20/70 in two (13.3%) eyes, and one (6.7%) eye each for HM, 20/250, 20/200, 20/80, 20/60, and 20/50. Final VA was better or equal to preoperative VA in all eyes, improving by four ± four lines overall.</w:t>
            </w:r>
          </w:p>
        </w:tc>
        <w:tc>
          <w:tcPr>
            <w:tcW w:w="1350" w:type="dxa"/>
            <w:tcBorders>
              <w:top w:val="single" w:sz="4" w:space="0" w:color="auto"/>
              <w:left w:val="single" w:sz="4" w:space="0" w:color="auto"/>
              <w:bottom w:val="single" w:sz="4" w:space="0" w:color="auto"/>
              <w:right w:val="single" w:sz="4" w:space="0" w:color="auto"/>
            </w:tcBorders>
            <w:hideMark/>
          </w:tcPr>
          <w:p w14:paraId="705A20BE"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Not stated </w:t>
            </w:r>
          </w:p>
        </w:tc>
        <w:tc>
          <w:tcPr>
            <w:tcW w:w="1814" w:type="dxa"/>
            <w:tcBorders>
              <w:top w:val="single" w:sz="4" w:space="0" w:color="auto"/>
              <w:left w:val="single" w:sz="4" w:space="0" w:color="auto"/>
              <w:bottom w:val="single" w:sz="4" w:space="0" w:color="auto"/>
              <w:right w:val="single" w:sz="4" w:space="0" w:color="auto"/>
            </w:tcBorders>
            <w:hideMark/>
          </w:tcPr>
          <w:p w14:paraId="4CA707D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stated </w:t>
            </w:r>
          </w:p>
        </w:tc>
        <w:tc>
          <w:tcPr>
            <w:tcW w:w="1843" w:type="dxa"/>
            <w:tcBorders>
              <w:top w:val="single" w:sz="4" w:space="0" w:color="auto"/>
              <w:left w:val="single" w:sz="4" w:space="0" w:color="auto"/>
              <w:bottom w:val="single" w:sz="4" w:space="0" w:color="auto"/>
              <w:right w:val="single" w:sz="4" w:space="0" w:color="auto"/>
            </w:tcBorders>
            <w:hideMark/>
          </w:tcPr>
          <w:p w14:paraId="3EE4B5D2"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Preserving the capsule helps prevent intraoperative and postoperative complications of gas or SO, simplifying future PCIOL placement, and maintains a normal iris appearance</w:t>
            </w:r>
          </w:p>
        </w:tc>
      </w:tr>
      <w:tr w:rsidR="003A4529" w14:paraId="1509E6D5"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5511C495" w14:textId="77777777" w:rsidR="003A4529" w:rsidRDefault="003A4529">
            <w:pPr>
              <w:spacing w:line="276" w:lineRule="auto"/>
              <w:rPr>
                <w:rFonts w:ascii="Times New Roman" w:hAnsi="Times New Roman" w:cs="Times New Roman"/>
                <w:sz w:val="16"/>
                <w:szCs w:val="16"/>
                <w:lang w:val="en-US"/>
              </w:rPr>
            </w:pPr>
            <w:proofErr w:type="spellStart"/>
            <w:r>
              <w:rPr>
                <w:rFonts w:ascii="Times New Roman" w:hAnsi="Times New Roman" w:cs="Times New Roman"/>
                <w:sz w:val="16"/>
                <w:szCs w:val="16"/>
                <w:lang w:val="en-US"/>
              </w:rPr>
              <w:lastRenderedPageBreak/>
              <w:t>Goezinne</w:t>
            </w:r>
            <w:proofErr w:type="spellEnd"/>
            <w:r>
              <w:rPr>
                <w:rFonts w:ascii="Times New Roman" w:hAnsi="Times New Roman" w:cs="Times New Roman"/>
                <w:sz w:val="16"/>
                <w:szCs w:val="16"/>
                <w:lang w:val="en-US"/>
              </w:rPr>
              <w:t xml:space="preserve">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2008  </w:t>
            </w:r>
            <w:sdt>
              <w:sdtPr>
                <w:rPr>
                  <w:rFonts w:ascii="Times New Roman" w:hAnsi="Times New Roman" w:cs="Times New Roman"/>
                  <w:sz w:val="16"/>
                  <w:szCs w:val="16"/>
                  <w:lang w:val="en-US"/>
                </w:rPr>
                <w:tag w:val="MENDELEY_CITATION_v3_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"/>
                <w:id w:val="2112617838"/>
                <w:placeholder>
                  <w:docPart w:val="8AD14C0D9D274B6FBE383E2E3A661263"/>
                </w:placeholder>
              </w:sdtPr>
              <w:sdtContent>
                <w:r>
                  <w:rPr>
                    <w:rFonts w:ascii="Times New Roman" w:hAnsi="Times New Roman" w:cs="Times New Roman"/>
                    <w:sz w:val="16"/>
                    <w:szCs w:val="16"/>
                    <w:lang w:val="en-US"/>
                  </w:rPr>
                  <w:t>[67]</w:t>
                </w:r>
              </w:sdtContent>
            </w:sdt>
          </w:p>
        </w:tc>
        <w:tc>
          <w:tcPr>
            <w:tcW w:w="856" w:type="dxa"/>
            <w:tcBorders>
              <w:top w:val="single" w:sz="4" w:space="0" w:color="auto"/>
              <w:left w:val="single" w:sz="4" w:space="0" w:color="auto"/>
              <w:bottom w:val="single" w:sz="4" w:space="0" w:color="auto"/>
              <w:right w:val="single" w:sz="4" w:space="0" w:color="auto"/>
            </w:tcBorders>
            <w:hideMark/>
          </w:tcPr>
          <w:p w14:paraId="25AF5FA6"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Mean = 53.2 years (Range = 30–70</w:t>
            </w:r>
          </w:p>
          <w:p w14:paraId="53F51CC6"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years)</w:t>
            </w:r>
          </w:p>
        </w:tc>
        <w:tc>
          <w:tcPr>
            <w:tcW w:w="1134" w:type="dxa"/>
            <w:tcBorders>
              <w:top w:val="single" w:sz="4" w:space="0" w:color="auto"/>
              <w:left w:val="single" w:sz="4" w:space="0" w:color="auto"/>
              <w:bottom w:val="single" w:sz="4" w:space="0" w:color="auto"/>
              <w:right w:val="single" w:sz="4" w:space="0" w:color="auto"/>
            </w:tcBorders>
            <w:hideMark/>
          </w:tcPr>
          <w:p w14:paraId="7D5DBDFB"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19 of the 30 eyes had preoperative PVR grade A (63.3%) and 11 PVR grade B (36.7%)</w:t>
            </w:r>
          </w:p>
        </w:tc>
        <w:tc>
          <w:tcPr>
            <w:tcW w:w="1599" w:type="dxa"/>
            <w:tcBorders>
              <w:top w:val="single" w:sz="4" w:space="0" w:color="auto"/>
              <w:left w:val="single" w:sz="4" w:space="0" w:color="auto"/>
              <w:bottom w:val="single" w:sz="4" w:space="0" w:color="auto"/>
              <w:right w:val="single" w:sz="4" w:space="0" w:color="auto"/>
            </w:tcBorders>
            <w:hideMark/>
          </w:tcPr>
          <w:p w14:paraId="104E2F29"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Anatomic success was defined as a</w:t>
            </w:r>
          </w:p>
          <w:p w14:paraId="2273FDCE"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complete attachment of the retina.</w:t>
            </w:r>
          </w:p>
        </w:tc>
        <w:tc>
          <w:tcPr>
            <w:tcW w:w="1980" w:type="dxa"/>
            <w:tcBorders>
              <w:top w:val="single" w:sz="4" w:space="0" w:color="auto"/>
              <w:left w:val="single" w:sz="4" w:space="0" w:color="auto"/>
              <w:bottom w:val="single" w:sz="4" w:space="0" w:color="auto"/>
              <w:right w:val="single" w:sz="4" w:space="0" w:color="auto"/>
            </w:tcBorders>
            <w:hideMark/>
          </w:tcPr>
          <w:p w14:paraId="56DC8D5E"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PAS after one vitrectomy procedure in this series of 30 eyes was achieved in 21 eyes (70%), and ultimately FAS was attained in 29 (96.7%) eyes.</w:t>
            </w:r>
          </w:p>
        </w:tc>
        <w:tc>
          <w:tcPr>
            <w:tcW w:w="1620" w:type="dxa"/>
            <w:tcBorders>
              <w:top w:val="single" w:sz="4" w:space="0" w:color="auto"/>
              <w:left w:val="single" w:sz="4" w:space="0" w:color="auto"/>
              <w:bottom w:val="single" w:sz="4" w:space="0" w:color="auto"/>
              <w:right w:val="single" w:sz="4" w:space="0" w:color="auto"/>
            </w:tcBorders>
            <w:hideMark/>
          </w:tcPr>
          <w:p w14:paraId="66283E9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In this study, 43% of the eyes had a postoperative</w:t>
            </w:r>
          </w:p>
          <w:p w14:paraId="30F51E5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VA of less than 0.1. In this study, 57% of the patients had a postoperative VA better than 0.1, and 60% had an equal or better postoperative VA than</w:t>
            </w:r>
          </w:p>
          <w:p w14:paraId="4699A50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preoperative, which is comparable to results </w:t>
            </w:r>
            <w:proofErr w:type="gramStart"/>
            <w:r>
              <w:rPr>
                <w:rFonts w:ascii="Times New Roman" w:eastAsia="Times New Roman" w:hAnsi="Times New Roman" w:cs="Times New Roman"/>
                <w:sz w:val="16"/>
                <w:szCs w:val="16"/>
                <w:lang w:val="en-US"/>
              </w:rPr>
              <w:t>reported</w:t>
            </w:r>
            <w:proofErr w:type="gramEnd"/>
          </w:p>
          <w:p w14:paraId="0F5CEAF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earlier by others.</w:t>
            </w:r>
          </w:p>
        </w:tc>
        <w:tc>
          <w:tcPr>
            <w:tcW w:w="1350" w:type="dxa"/>
            <w:tcBorders>
              <w:top w:val="single" w:sz="4" w:space="0" w:color="auto"/>
              <w:left w:val="single" w:sz="4" w:space="0" w:color="auto"/>
              <w:bottom w:val="single" w:sz="4" w:space="0" w:color="auto"/>
              <w:right w:val="single" w:sz="4" w:space="0" w:color="auto"/>
            </w:tcBorders>
            <w:hideMark/>
          </w:tcPr>
          <w:p w14:paraId="7AADDA84"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The development of ERM of the macula with CME in three eyes (33.3%), postoperative endophthalmitis (one patient, 3.3%), high IOP (one patient, 3.3%), and corneal decompensation (one patient, 3.3%).</w:t>
            </w:r>
          </w:p>
        </w:tc>
        <w:tc>
          <w:tcPr>
            <w:tcW w:w="1814" w:type="dxa"/>
            <w:tcBorders>
              <w:top w:val="single" w:sz="4" w:space="0" w:color="auto"/>
              <w:left w:val="single" w:sz="4" w:space="0" w:color="auto"/>
              <w:bottom w:val="single" w:sz="4" w:space="0" w:color="auto"/>
              <w:right w:val="single" w:sz="4" w:space="0" w:color="auto"/>
            </w:tcBorders>
            <w:hideMark/>
          </w:tcPr>
          <w:p w14:paraId="7AA4F84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Encircling SB as risk factor for </w:t>
            </w:r>
            <w:proofErr w:type="spellStart"/>
            <w:r>
              <w:rPr>
                <w:rFonts w:ascii="Times New Roman" w:eastAsia="Times New Roman" w:hAnsi="Times New Roman" w:cs="Times New Roman"/>
                <w:sz w:val="16"/>
                <w:szCs w:val="16"/>
                <w:lang w:val="en-US"/>
              </w:rPr>
              <w:t>redetachment</w:t>
            </w:r>
            <w:proofErr w:type="spellEnd"/>
            <w:r>
              <w:rPr>
                <w:rFonts w:ascii="Times New Roman" w:eastAsia="Times New Roman" w:hAnsi="Times New Roman" w:cs="Times New Roman"/>
                <w:sz w:val="16"/>
                <w:szCs w:val="16"/>
                <w:lang w:val="en-US"/>
              </w:rPr>
              <w:t>.</w:t>
            </w:r>
          </w:p>
        </w:tc>
        <w:tc>
          <w:tcPr>
            <w:tcW w:w="1843" w:type="dxa"/>
            <w:tcBorders>
              <w:top w:val="single" w:sz="4" w:space="0" w:color="auto"/>
              <w:left w:val="single" w:sz="4" w:space="0" w:color="auto"/>
              <w:bottom w:val="single" w:sz="4" w:space="0" w:color="auto"/>
              <w:right w:val="single" w:sz="4" w:space="0" w:color="auto"/>
            </w:tcBorders>
            <w:hideMark/>
          </w:tcPr>
          <w:p w14:paraId="25D5C597"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In conclusion, our study shows that a recurrent RD rate was observed in 30% of cases and that further surgical interventions finally resulted in an attached retina in 97% of the eyes. Vitrectomy with an encircling SB and SO tamponade seems to be a successful treatment for complicated RDs due to GRT.</w:t>
            </w:r>
          </w:p>
        </w:tc>
      </w:tr>
      <w:tr w:rsidR="003A4529" w14:paraId="06FDF900"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37E93CF7" w14:textId="77777777" w:rsidR="003A4529" w:rsidRDefault="003A4529">
            <w:pPr>
              <w:spacing w:line="276" w:lineRule="auto"/>
              <w:rPr>
                <w:rFonts w:ascii="Times New Roman" w:hAnsi="Times New Roman" w:cs="Times New Roman"/>
                <w:sz w:val="16"/>
                <w:szCs w:val="16"/>
                <w:lang w:val="en-US"/>
              </w:rPr>
            </w:pPr>
            <w:r>
              <w:rPr>
                <w:rFonts w:ascii="Times New Roman" w:hAnsi="Times New Roman" w:cs="Times New Roman"/>
                <w:sz w:val="16"/>
                <w:szCs w:val="16"/>
                <w:lang w:val="en-US"/>
              </w:rPr>
              <w:t xml:space="preserve">Chehade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2021  </w:t>
            </w:r>
            <w:sdt>
              <w:sdtPr>
                <w:rPr>
                  <w:rFonts w:ascii="Times New Roman" w:hAnsi="Times New Roman" w:cs="Times New Roman"/>
                  <w:sz w:val="16"/>
                  <w:szCs w:val="16"/>
                  <w:lang w:val="en-US"/>
                </w:rPr>
                <w:tag w:val="MENDELEY_CITATION_v3_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"/>
                <w:id w:val="318464396"/>
                <w:placeholder>
                  <w:docPart w:val="8AD14C0D9D274B6FBE383E2E3A661263"/>
                </w:placeholder>
              </w:sdtPr>
              <w:sdtContent>
                <w:r>
                  <w:rPr>
                    <w:rFonts w:ascii="Times New Roman" w:hAnsi="Times New Roman" w:cs="Times New Roman"/>
                    <w:sz w:val="16"/>
                    <w:szCs w:val="16"/>
                    <w:lang w:val="en-US"/>
                  </w:rPr>
                  <w:t>[68]</w:t>
                </w:r>
              </w:sdtContent>
            </w:sdt>
          </w:p>
        </w:tc>
        <w:tc>
          <w:tcPr>
            <w:tcW w:w="856" w:type="dxa"/>
            <w:tcBorders>
              <w:top w:val="single" w:sz="4" w:space="0" w:color="auto"/>
              <w:left w:val="single" w:sz="4" w:space="0" w:color="auto"/>
              <w:bottom w:val="single" w:sz="4" w:space="0" w:color="auto"/>
              <w:right w:val="single" w:sz="4" w:space="0" w:color="auto"/>
            </w:tcBorders>
            <w:hideMark/>
          </w:tcPr>
          <w:p w14:paraId="09D4A36E"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Mean </w:t>
            </w:r>
            <w:r>
              <w:rPr>
                <w:rFonts w:ascii="Times New Roman" w:eastAsia="Times New Roman" w:hAnsi="Times New Roman" w:cs="Times New Roman"/>
                <w:sz w:val="16"/>
                <w:szCs w:val="16"/>
                <w:lang w:val="en-US"/>
              </w:rPr>
              <w:t xml:space="preserve">± SD </w:t>
            </w:r>
            <w:r>
              <w:rPr>
                <w:rFonts w:ascii="Times New Roman" w:hAnsi="Times New Roman" w:cs="Times New Roman"/>
                <w:sz w:val="16"/>
                <w:szCs w:val="16"/>
                <w:shd w:val="clear" w:color="auto" w:fill="FFFFFF"/>
                <w:lang w:val="en-US"/>
              </w:rPr>
              <w:t>= 61.7 ± 2.79 years</w:t>
            </w:r>
          </w:p>
        </w:tc>
        <w:tc>
          <w:tcPr>
            <w:tcW w:w="1134" w:type="dxa"/>
            <w:tcBorders>
              <w:top w:val="single" w:sz="4" w:space="0" w:color="auto"/>
              <w:left w:val="single" w:sz="4" w:space="0" w:color="auto"/>
              <w:bottom w:val="single" w:sz="4" w:space="0" w:color="auto"/>
              <w:right w:val="single" w:sz="4" w:space="0" w:color="auto"/>
            </w:tcBorders>
            <w:hideMark/>
          </w:tcPr>
          <w:p w14:paraId="3D8E625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PVR-C in 26 (30.6%) eyes</w:t>
            </w:r>
          </w:p>
        </w:tc>
        <w:tc>
          <w:tcPr>
            <w:tcW w:w="1599" w:type="dxa"/>
            <w:tcBorders>
              <w:top w:val="single" w:sz="4" w:space="0" w:color="auto"/>
              <w:left w:val="single" w:sz="4" w:space="0" w:color="auto"/>
              <w:bottom w:val="single" w:sz="4" w:space="0" w:color="auto"/>
              <w:right w:val="single" w:sz="4" w:space="0" w:color="auto"/>
            </w:tcBorders>
            <w:hideMark/>
          </w:tcPr>
          <w:p w14:paraId="1A5E8F7A"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PAS was defined as retinal reattachment with no residual tamponade at </w:t>
            </w:r>
            <w:proofErr w:type="gramStart"/>
            <w:r>
              <w:rPr>
                <w:rFonts w:ascii="Times New Roman" w:eastAsia="Times New Roman" w:hAnsi="Times New Roman" w:cs="Times New Roman"/>
                <w:sz w:val="16"/>
                <w:szCs w:val="16"/>
                <w:lang w:val="en-US"/>
              </w:rPr>
              <w:t>three month</w:t>
            </w:r>
            <w:proofErr w:type="gramEnd"/>
            <w:r>
              <w:rPr>
                <w:rFonts w:ascii="Times New Roman" w:eastAsia="Times New Roman" w:hAnsi="Times New Roman" w:cs="Times New Roman"/>
                <w:sz w:val="16"/>
                <w:szCs w:val="16"/>
                <w:lang w:val="en-US"/>
              </w:rPr>
              <w:t xml:space="preserve"> follow-up and no further surgery required</w:t>
            </w:r>
          </w:p>
          <w:p w14:paraId="38B2EAD3"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other than heavy liquid exchange. </w:t>
            </w:r>
          </w:p>
        </w:tc>
        <w:tc>
          <w:tcPr>
            <w:tcW w:w="1980" w:type="dxa"/>
            <w:tcBorders>
              <w:top w:val="single" w:sz="4" w:space="0" w:color="auto"/>
              <w:left w:val="single" w:sz="4" w:space="0" w:color="auto"/>
              <w:bottom w:val="single" w:sz="4" w:space="0" w:color="auto"/>
              <w:right w:val="single" w:sz="4" w:space="0" w:color="auto"/>
            </w:tcBorders>
            <w:hideMark/>
          </w:tcPr>
          <w:p w14:paraId="42E780A3"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FAS was achieved in 98.8% of cases. </w:t>
            </w:r>
          </w:p>
        </w:tc>
        <w:tc>
          <w:tcPr>
            <w:tcW w:w="1620" w:type="dxa"/>
            <w:tcBorders>
              <w:top w:val="single" w:sz="4" w:space="0" w:color="auto"/>
              <w:left w:val="single" w:sz="4" w:space="0" w:color="auto"/>
              <w:bottom w:val="single" w:sz="4" w:space="0" w:color="auto"/>
              <w:right w:val="single" w:sz="4" w:space="0" w:color="auto"/>
            </w:tcBorders>
          </w:tcPr>
          <w:p w14:paraId="463EBAD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The mean presenting BCVA was 1.57±0.20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w:t>
            </w:r>
            <w:r>
              <w:rPr>
                <w:rFonts w:ascii="Times New Roman" w:hAnsi="Times New Roman" w:cs="Times New Roman"/>
                <w:sz w:val="16"/>
                <w:szCs w:val="16"/>
                <w:lang w:val="en-US"/>
              </w:rPr>
              <w:t xml:space="preserve">while the </w:t>
            </w:r>
            <w:r>
              <w:rPr>
                <w:rFonts w:ascii="Times New Roman" w:eastAsia="Times New Roman" w:hAnsi="Times New Roman" w:cs="Times New Roman"/>
                <w:sz w:val="16"/>
                <w:szCs w:val="16"/>
                <w:lang w:val="en-US"/>
              </w:rPr>
              <w:t xml:space="preserve">mean final BCVA was 0.94±0.20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xml:space="preserve">. The mean improvement in BCVA of 0.64±0.20 </w:t>
            </w:r>
            <w:proofErr w:type="spellStart"/>
            <w:r>
              <w:rPr>
                <w:rFonts w:ascii="Times New Roman" w:eastAsia="Times New Roman" w:hAnsi="Times New Roman" w:cs="Times New Roman"/>
                <w:sz w:val="16"/>
                <w:szCs w:val="16"/>
                <w:lang w:val="en-US"/>
              </w:rPr>
              <w:t>logMAR</w:t>
            </w:r>
            <w:proofErr w:type="spellEnd"/>
            <w:r>
              <w:rPr>
                <w:rFonts w:ascii="Times New Roman" w:eastAsia="Times New Roman" w:hAnsi="Times New Roman" w:cs="Times New Roman"/>
                <w:sz w:val="16"/>
                <w:szCs w:val="16"/>
                <w:lang w:val="en-US"/>
              </w:rPr>
              <w:t>, which was statistically significant. GRT was associated with a lower rate of improvement in BCVA, but a higher rate of</w:t>
            </w:r>
          </w:p>
          <w:p w14:paraId="6F92AAD6"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anatomical success, however, this was not statistically significant (p=0.488 and p=0.713). </w:t>
            </w:r>
          </w:p>
          <w:p w14:paraId="68B0C0B0"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p>
        </w:tc>
        <w:tc>
          <w:tcPr>
            <w:tcW w:w="1350" w:type="dxa"/>
            <w:tcBorders>
              <w:top w:val="single" w:sz="4" w:space="0" w:color="auto"/>
              <w:left w:val="single" w:sz="4" w:space="0" w:color="auto"/>
              <w:bottom w:val="single" w:sz="4" w:space="0" w:color="auto"/>
              <w:right w:val="single" w:sz="4" w:space="0" w:color="auto"/>
            </w:tcBorders>
          </w:tcPr>
          <w:p w14:paraId="5FDCFDF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CME in 14 patients (16.5%), PFCL in the anterior chamber in eight patients (9.4%), persistent elevated IOP</w:t>
            </w:r>
          </w:p>
          <w:p w14:paraId="3C0811B9"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at three months or hypotony in three patients (3.5%) each and granulomatous inflammation in two patients (2.4%). In addition, 20 patients (23.5%) required cataract surgery within the follow-up period.</w:t>
            </w:r>
          </w:p>
          <w:p w14:paraId="1C9CBF00"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c>
          <w:tcPr>
            <w:tcW w:w="1814" w:type="dxa"/>
            <w:tcBorders>
              <w:top w:val="single" w:sz="4" w:space="0" w:color="auto"/>
              <w:left w:val="single" w:sz="4" w:space="0" w:color="auto"/>
              <w:bottom w:val="single" w:sz="4" w:space="0" w:color="auto"/>
              <w:right w:val="single" w:sz="4" w:space="0" w:color="auto"/>
            </w:tcBorders>
            <w:hideMark/>
          </w:tcPr>
          <w:p w14:paraId="44581FD8"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Not stated </w:t>
            </w:r>
          </w:p>
        </w:tc>
        <w:tc>
          <w:tcPr>
            <w:tcW w:w="1843" w:type="dxa"/>
            <w:tcBorders>
              <w:top w:val="single" w:sz="4" w:space="0" w:color="auto"/>
              <w:left w:val="single" w:sz="4" w:space="0" w:color="auto"/>
              <w:bottom w:val="single" w:sz="4" w:space="0" w:color="auto"/>
              <w:right w:val="single" w:sz="4" w:space="0" w:color="auto"/>
            </w:tcBorders>
            <w:hideMark/>
          </w:tcPr>
          <w:p w14:paraId="03CA67D5"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Medium-term tamponade PFD appears to be an efficacious and safe technique for management of a variety of complex RDs, including those secondary to GRT, the presence of PVR-C, inferior location, tractional, traumatic, and re-detachments.</w:t>
            </w:r>
          </w:p>
        </w:tc>
      </w:tr>
      <w:tr w:rsidR="003A4529" w14:paraId="2EB19D81" w14:textId="77777777" w:rsidTr="003A4529">
        <w:trPr>
          <w:trHeight w:val="765"/>
        </w:trPr>
        <w:tc>
          <w:tcPr>
            <w:tcW w:w="1555" w:type="dxa"/>
            <w:tcBorders>
              <w:top w:val="single" w:sz="4" w:space="0" w:color="auto"/>
              <w:left w:val="single" w:sz="4" w:space="0" w:color="auto"/>
              <w:bottom w:val="single" w:sz="4" w:space="0" w:color="auto"/>
              <w:right w:val="single" w:sz="4" w:space="0" w:color="auto"/>
            </w:tcBorders>
            <w:hideMark/>
          </w:tcPr>
          <w:p w14:paraId="58462554" w14:textId="77777777" w:rsidR="003A4529" w:rsidRDefault="003A4529">
            <w:pPr>
              <w:spacing w:line="276" w:lineRule="auto"/>
              <w:rPr>
                <w:rFonts w:ascii="Times New Roman" w:hAnsi="Times New Roman" w:cs="Times New Roman"/>
                <w:sz w:val="16"/>
                <w:szCs w:val="16"/>
                <w:lang w:val="en-US"/>
              </w:rPr>
            </w:pPr>
            <w:proofErr w:type="spellStart"/>
            <w:r>
              <w:rPr>
                <w:rFonts w:ascii="Times New Roman" w:hAnsi="Times New Roman" w:cs="Times New Roman"/>
                <w:sz w:val="16"/>
                <w:szCs w:val="16"/>
                <w:lang w:val="en-US"/>
              </w:rPr>
              <w:t>Bhurayanontachai</w:t>
            </w:r>
            <w:proofErr w:type="spellEnd"/>
            <w:r>
              <w:rPr>
                <w:rFonts w:ascii="Times New Roman" w:hAnsi="Times New Roman" w:cs="Times New Roman"/>
                <w:sz w:val="16"/>
                <w:szCs w:val="16"/>
                <w:lang w:val="en-US"/>
              </w:rPr>
              <w:t xml:space="preserve"> </w:t>
            </w:r>
            <w:r>
              <w:rPr>
                <w:rFonts w:ascii="Times New Roman" w:hAnsi="Times New Roman" w:cs="Times New Roman"/>
                <w:i/>
                <w:iCs/>
                <w:sz w:val="16"/>
                <w:szCs w:val="16"/>
                <w:lang w:val="en-US"/>
              </w:rPr>
              <w:t>et al</w:t>
            </w:r>
            <w:r>
              <w:rPr>
                <w:rFonts w:ascii="Times New Roman" w:hAnsi="Times New Roman" w:cs="Times New Roman"/>
                <w:sz w:val="16"/>
                <w:szCs w:val="16"/>
                <w:lang w:val="en-US"/>
              </w:rPr>
              <w:t xml:space="preserve">., 2021 </w:t>
            </w:r>
            <w:sdt>
              <w:sdtPr>
                <w:rPr>
                  <w:rFonts w:ascii="Times New Roman" w:hAnsi="Times New Roman" w:cs="Times New Roman"/>
                  <w:sz w:val="16"/>
                  <w:szCs w:val="16"/>
                  <w:lang w:val="en-US"/>
                </w:rPr>
                <w:tag w:val="MENDELEY_CITATION_v3_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"/>
                <w:id w:val="19201615"/>
                <w:placeholder>
                  <w:docPart w:val="8AD14C0D9D274B6FBE383E2E3A661263"/>
                </w:placeholder>
              </w:sdtPr>
              <w:sdtContent>
                <w:r>
                  <w:rPr>
                    <w:rFonts w:ascii="Times New Roman" w:eastAsia="Times New Roman" w:hAnsi="Times New Roman" w:cs="Times New Roman"/>
                    <w:sz w:val="16"/>
                    <w:szCs w:val="16"/>
                    <w:lang w:val="en-US"/>
                  </w:rPr>
                  <w:t>[69]</w:t>
                </w:r>
              </w:sdtContent>
            </w:sdt>
          </w:p>
        </w:tc>
        <w:tc>
          <w:tcPr>
            <w:tcW w:w="856" w:type="dxa"/>
            <w:tcBorders>
              <w:top w:val="single" w:sz="4" w:space="0" w:color="auto"/>
              <w:left w:val="single" w:sz="4" w:space="0" w:color="auto"/>
              <w:bottom w:val="single" w:sz="4" w:space="0" w:color="auto"/>
              <w:right w:val="single" w:sz="4" w:space="0" w:color="auto"/>
            </w:tcBorders>
            <w:hideMark/>
          </w:tcPr>
          <w:p w14:paraId="1612E76D"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r>
              <w:rPr>
                <w:rFonts w:ascii="Times New Roman" w:hAnsi="Times New Roman" w:cs="Times New Roman"/>
                <w:sz w:val="16"/>
                <w:szCs w:val="16"/>
                <w:shd w:val="clear" w:color="auto" w:fill="FFFFFF"/>
                <w:lang w:val="en-US"/>
              </w:rPr>
              <w:t xml:space="preserve">Mean </w:t>
            </w:r>
            <w:r>
              <w:rPr>
                <w:rFonts w:ascii="Times New Roman" w:eastAsia="Times New Roman" w:hAnsi="Times New Roman" w:cs="Times New Roman"/>
                <w:sz w:val="16"/>
                <w:szCs w:val="16"/>
                <w:lang w:val="en-US"/>
              </w:rPr>
              <w:t xml:space="preserve">± SD </w:t>
            </w:r>
            <w:r>
              <w:rPr>
                <w:rFonts w:ascii="Times New Roman" w:hAnsi="Times New Roman" w:cs="Times New Roman"/>
                <w:sz w:val="16"/>
                <w:szCs w:val="16"/>
                <w:shd w:val="clear" w:color="auto" w:fill="FFFFFF"/>
                <w:lang w:val="en-US"/>
              </w:rPr>
              <w:t>= 42 ±18.5 years</w:t>
            </w:r>
          </w:p>
        </w:tc>
        <w:tc>
          <w:tcPr>
            <w:tcW w:w="1134" w:type="dxa"/>
            <w:tcBorders>
              <w:top w:val="single" w:sz="4" w:space="0" w:color="auto"/>
              <w:left w:val="single" w:sz="4" w:space="0" w:color="auto"/>
              <w:bottom w:val="single" w:sz="4" w:space="0" w:color="auto"/>
              <w:right w:val="single" w:sz="4" w:space="0" w:color="auto"/>
            </w:tcBorders>
            <w:hideMark/>
          </w:tcPr>
          <w:p w14:paraId="6E450741"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t>Yes, but the exact number of cases were not stated</w:t>
            </w:r>
          </w:p>
        </w:tc>
        <w:tc>
          <w:tcPr>
            <w:tcW w:w="1599" w:type="dxa"/>
            <w:tcBorders>
              <w:top w:val="single" w:sz="4" w:space="0" w:color="auto"/>
              <w:left w:val="single" w:sz="4" w:space="0" w:color="auto"/>
              <w:bottom w:val="single" w:sz="4" w:space="0" w:color="auto"/>
              <w:right w:val="single" w:sz="4" w:space="0" w:color="auto"/>
            </w:tcBorders>
            <w:hideMark/>
          </w:tcPr>
          <w:p w14:paraId="69342D7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 xml:space="preserve">The primary outcome was reattachment of the retina (Anatomical outcome). The secondary outcomes </w:t>
            </w:r>
            <w:r>
              <w:rPr>
                <w:rFonts w:ascii="Times New Roman" w:eastAsia="Times New Roman" w:hAnsi="Times New Roman" w:cs="Times New Roman"/>
                <w:sz w:val="16"/>
                <w:szCs w:val="16"/>
                <w:lang w:val="en-US"/>
              </w:rPr>
              <w:lastRenderedPageBreak/>
              <w:t xml:space="preserve">were vision improvement (functional outcome). </w:t>
            </w:r>
          </w:p>
        </w:tc>
        <w:tc>
          <w:tcPr>
            <w:tcW w:w="1980" w:type="dxa"/>
            <w:tcBorders>
              <w:top w:val="single" w:sz="4" w:space="0" w:color="auto"/>
              <w:left w:val="single" w:sz="4" w:space="0" w:color="auto"/>
              <w:bottom w:val="single" w:sz="4" w:space="0" w:color="auto"/>
              <w:right w:val="single" w:sz="4" w:space="0" w:color="auto"/>
            </w:tcBorders>
            <w:hideMark/>
          </w:tcPr>
          <w:p w14:paraId="11C11AF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 xml:space="preserve">114 eyes (93.5%) had baseline vision worse than 20/200. The retinal reattachment rate was 80.3%. At one year, the </w:t>
            </w:r>
            <w:r>
              <w:rPr>
                <w:rFonts w:ascii="Times New Roman" w:eastAsia="Times New Roman" w:hAnsi="Times New Roman" w:cs="Times New Roman"/>
                <w:sz w:val="16"/>
                <w:szCs w:val="16"/>
                <w:lang w:val="en-US"/>
              </w:rPr>
              <w:lastRenderedPageBreak/>
              <w:t>retention probability of retinal reattachment</w:t>
            </w:r>
          </w:p>
          <w:p w14:paraId="3833CB9F"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was 0.84.</w:t>
            </w:r>
          </w:p>
        </w:tc>
        <w:tc>
          <w:tcPr>
            <w:tcW w:w="1620" w:type="dxa"/>
            <w:tcBorders>
              <w:top w:val="single" w:sz="4" w:space="0" w:color="auto"/>
              <w:left w:val="single" w:sz="4" w:space="0" w:color="auto"/>
              <w:bottom w:val="single" w:sz="4" w:space="0" w:color="auto"/>
              <w:right w:val="single" w:sz="4" w:space="0" w:color="auto"/>
            </w:tcBorders>
            <w:hideMark/>
          </w:tcPr>
          <w:p w14:paraId="36176974"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lang w:val="en-US"/>
              </w:rPr>
              <w:lastRenderedPageBreak/>
              <w:t xml:space="preserve">The mean preoperative BCVA was 1.8 (±0.4) </w:t>
            </w:r>
            <w:proofErr w:type="spellStart"/>
            <w:r>
              <w:rPr>
                <w:rFonts w:ascii="Times New Roman" w:hAnsi="Times New Roman" w:cs="Times New Roman"/>
                <w:sz w:val="16"/>
                <w:szCs w:val="16"/>
                <w:lang w:val="en-US"/>
              </w:rPr>
              <w:t>logMAR</w:t>
            </w:r>
            <w:proofErr w:type="spellEnd"/>
            <w:r>
              <w:rPr>
                <w:rFonts w:ascii="Times New Roman" w:hAnsi="Times New Roman" w:cs="Times New Roman"/>
                <w:sz w:val="16"/>
                <w:szCs w:val="16"/>
                <w:lang w:val="en-US"/>
              </w:rPr>
              <w:t xml:space="preserve">, while the mean postoperative BCVA was 1.6 </w:t>
            </w:r>
            <w:r>
              <w:rPr>
                <w:rFonts w:ascii="Times New Roman" w:hAnsi="Times New Roman" w:cs="Times New Roman"/>
                <w:sz w:val="16"/>
                <w:szCs w:val="16"/>
                <w:lang w:val="en-US"/>
              </w:rPr>
              <w:lastRenderedPageBreak/>
              <w:t xml:space="preserve">(±0.7) </w:t>
            </w:r>
            <w:proofErr w:type="spellStart"/>
            <w:r>
              <w:rPr>
                <w:rFonts w:ascii="Times New Roman" w:hAnsi="Times New Roman" w:cs="Times New Roman"/>
                <w:sz w:val="16"/>
                <w:szCs w:val="16"/>
                <w:lang w:val="en-US"/>
              </w:rPr>
              <w:t>logMAR</w:t>
            </w:r>
            <w:proofErr w:type="spellEnd"/>
            <w:r>
              <w:rPr>
                <w:rFonts w:ascii="Times New Roman" w:hAnsi="Times New Roman" w:cs="Times New Roman"/>
                <w:sz w:val="16"/>
                <w:szCs w:val="16"/>
                <w:lang w:val="en-US"/>
              </w:rPr>
              <w:t xml:space="preserve">. </w:t>
            </w:r>
            <w:r>
              <w:rPr>
                <w:rFonts w:ascii="Times New Roman" w:hAnsi="Times New Roman" w:cs="Times New Roman"/>
                <w:sz w:val="16"/>
                <w:szCs w:val="16"/>
                <w:shd w:val="clear" w:color="auto" w:fill="FFFFFF"/>
                <w:lang w:val="en-US"/>
              </w:rPr>
              <w:t>The visual improvement was found in 45.9% of patients, but the median of final vision was not different between baseline and the last visit.</w:t>
            </w:r>
          </w:p>
        </w:tc>
        <w:tc>
          <w:tcPr>
            <w:tcW w:w="1350" w:type="dxa"/>
            <w:tcBorders>
              <w:top w:val="single" w:sz="4" w:space="0" w:color="auto"/>
              <w:left w:val="single" w:sz="4" w:space="0" w:color="auto"/>
              <w:bottom w:val="single" w:sz="4" w:space="0" w:color="auto"/>
              <w:right w:val="single" w:sz="4" w:space="0" w:color="auto"/>
            </w:tcBorders>
            <w:hideMark/>
          </w:tcPr>
          <w:p w14:paraId="3B35670D"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hAnsi="Times New Roman" w:cs="Times New Roman"/>
                <w:sz w:val="16"/>
                <w:szCs w:val="16"/>
                <w:shd w:val="clear" w:color="auto" w:fill="FFFFFF"/>
                <w:lang w:val="en-US"/>
              </w:rPr>
              <w:lastRenderedPageBreak/>
              <w:t xml:space="preserve">Immediate postoperative IOP elevation which usually occurred the next day after PFCL </w:t>
            </w:r>
            <w:r>
              <w:rPr>
                <w:rFonts w:ascii="Times New Roman" w:hAnsi="Times New Roman" w:cs="Times New Roman"/>
                <w:sz w:val="16"/>
                <w:szCs w:val="16"/>
                <w:shd w:val="clear" w:color="auto" w:fill="FFFFFF"/>
                <w:lang w:val="en-US"/>
              </w:rPr>
              <w:lastRenderedPageBreak/>
              <w:t>placement was found in 51.2% of patients, IOP elevation and hypotony occurring after PFCL removal was found in 25.4 and 23% of eyes, respectively, optic nerve atrophy and cataract progression were equally found in 22.1% of eyes, ERM occurred in 13.1% of eyes, suspected late postoperative endophthalmitis in 0.8% patients.</w:t>
            </w:r>
          </w:p>
        </w:tc>
        <w:tc>
          <w:tcPr>
            <w:tcW w:w="1814" w:type="dxa"/>
            <w:tcBorders>
              <w:top w:val="single" w:sz="4" w:space="0" w:color="auto"/>
              <w:left w:val="single" w:sz="4" w:space="0" w:color="auto"/>
              <w:bottom w:val="single" w:sz="4" w:space="0" w:color="auto"/>
              <w:right w:val="single" w:sz="4" w:space="0" w:color="auto"/>
            </w:tcBorders>
            <w:hideMark/>
          </w:tcPr>
          <w:p w14:paraId="0ABF2462"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lastRenderedPageBreak/>
              <w:t xml:space="preserve">Not stated </w:t>
            </w:r>
          </w:p>
        </w:tc>
        <w:tc>
          <w:tcPr>
            <w:tcW w:w="1843" w:type="dxa"/>
            <w:tcBorders>
              <w:top w:val="single" w:sz="4" w:space="0" w:color="auto"/>
              <w:left w:val="single" w:sz="4" w:space="0" w:color="auto"/>
              <w:bottom w:val="single" w:sz="4" w:space="0" w:color="auto"/>
              <w:right w:val="single" w:sz="4" w:space="0" w:color="auto"/>
            </w:tcBorders>
          </w:tcPr>
          <w:p w14:paraId="61E38217" w14:textId="77777777" w:rsidR="003A4529" w:rsidRDefault="003A4529">
            <w:pPr>
              <w:shd w:val="clear" w:color="auto" w:fill="FFFFFF"/>
              <w:spacing w:line="276" w:lineRule="auto"/>
              <w:rPr>
                <w:rFonts w:ascii="Times New Roman" w:eastAsia="Times New Roman" w:hAnsi="Times New Roman" w:cs="Times New Roman"/>
                <w:sz w:val="16"/>
                <w:szCs w:val="16"/>
                <w:lang w:val="en-US"/>
              </w:rPr>
            </w:pPr>
            <w:r>
              <w:rPr>
                <w:rFonts w:ascii="Times New Roman" w:eastAsia="Times New Roman" w:hAnsi="Times New Roman" w:cs="Times New Roman"/>
                <w:sz w:val="16"/>
                <w:szCs w:val="16"/>
                <w:lang w:val="en-US"/>
              </w:rPr>
              <w:t>The rate of retinal reattachment operated with a short- to medium-term PFCL tamponade achieved a high satisfaction rate.</w:t>
            </w:r>
          </w:p>
          <w:p w14:paraId="700298ED" w14:textId="77777777" w:rsidR="003A4529" w:rsidRDefault="003A4529">
            <w:pPr>
              <w:shd w:val="clear" w:color="auto" w:fill="FFFFFF"/>
              <w:spacing w:line="276" w:lineRule="auto"/>
              <w:rPr>
                <w:rFonts w:ascii="Times New Roman" w:hAnsi="Times New Roman" w:cs="Times New Roman"/>
                <w:sz w:val="16"/>
                <w:szCs w:val="16"/>
                <w:shd w:val="clear" w:color="auto" w:fill="FFFFFF"/>
                <w:lang w:val="en-US"/>
              </w:rPr>
            </w:pPr>
          </w:p>
        </w:tc>
      </w:tr>
    </w:tbl>
    <w:p w14:paraId="6EF43CCB" w14:textId="77777777" w:rsidR="003A4529" w:rsidRDefault="003A4529" w:rsidP="003A4529">
      <w:pPr>
        <w:rPr>
          <w:rFonts w:ascii="Times New Roman" w:hAnsi="Times New Roman" w:cs="Times New Roman"/>
          <w:sz w:val="20"/>
          <w:szCs w:val="20"/>
        </w:rPr>
      </w:pPr>
      <w:r>
        <w:rPr>
          <w:rFonts w:ascii="Times New Roman" w:hAnsi="Times New Roman" w:cs="Times New Roman"/>
          <w:sz w:val="20"/>
          <w:szCs w:val="20"/>
        </w:rPr>
        <w:lastRenderedPageBreak/>
        <w:t xml:space="preserve">AL, axial length;  BCVA, best-corrected visual acuity; CF, counting fingers; CME, cystoid macular </w:t>
      </w:r>
      <w:proofErr w:type="spellStart"/>
      <w:r>
        <w:rPr>
          <w:rFonts w:ascii="Times New Roman" w:hAnsi="Times New Roman" w:cs="Times New Roman"/>
          <w:sz w:val="20"/>
          <w:szCs w:val="20"/>
        </w:rPr>
        <w:t>edema</w:t>
      </w:r>
      <w:proofErr w:type="spellEnd"/>
      <w:r>
        <w:rPr>
          <w:rFonts w:ascii="Times New Roman" w:hAnsi="Times New Roman" w:cs="Times New Roman"/>
          <w:sz w:val="20"/>
          <w:szCs w:val="20"/>
        </w:rPr>
        <w:t xml:space="preserve">; DF, double filling; ETDRS, early treatment diabetic retinopathy study; ERM, epiretinal membrane; FAS, final anatomic success; GRT, giant retinal tear; HM, hand movement;  IOL, intraocular pressure;  </w:t>
      </w:r>
      <w:proofErr w:type="spellStart"/>
      <w:r>
        <w:rPr>
          <w:rFonts w:ascii="Times New Roman" w:hAnsi="Times New Roman" w:cs="Times New Roman"/>
          <w:sz w:val="20"/>
          <w:szCs w:val="20"/>
        </w:rPr>
        <w:t>logMAR</w:t>
      </w:r>
      <w:proofErr w:type="spellEnd"/>
      <w:r>
        <w:rPr>
          <w:rFonts w:ascii="Times New Roman" w:hAnsi="Times New Roman" w:cs="Times New Roman"/>
          <w:sz w:val="20"/>
          <w:szCs w:val="20"/>
        </w:rPr>
        <w:t>, logarithm of the minimum angle of resolution; MH, macular hole, MIVS, microincision vitrectomy surgery; PARR, primary anatomic reattachment rate; PFD, perfluoro decalin; PFO, perfluoro-n-octane;  PVR, proliferative vitreoretinopathy; PPV, pars plana vitrectomy; SB, scleral buckling; SSAS, single surgery anatomical success; SO, silicone oil; PAS, primary anatomic success; PCIOL, posterior chamber intraocular lens; PFCL, perfluorocarbon liquid; VA, visual acuity; SD, standard deviation;</w:t>
      </w:r>
      <w:r>
        <w:rPr>
          <w:rFonts w:ascii="Times New Roman" w:hAnsi="Times New Roman" w:cs="Times New Roman"/>
          <w:sz w:val="16"/>
          <w:szCs w:val="16"/>
          <w:shd w:val="clear" w:color="auto" w:fill="FFFFFF"/>
        </w:rPr>
        <w:t xml:space="preserve"> </w:t>
      </w:r>
      <w:r>
        <w:rPr>
          <w:rFonts w:ascii="Times New Roman" w:hAnsi="Times New Roman" w:cs="Times New Roman"/>
          <w:sz w:val="20"/>
          <w:szCs w:val="20"/>
          <w:shd w:val="clear" w:color="auto" w:fill="FFFFFF"/>
        </w:rPr>
        <w:t xml:space="preserve">WAVS, wide-angle viewing systems; </w:t>
      </w:r>
      <w:r>
        <w:rPr>
          <w:rFonts w:ascii="Times New Roman" w:hAnsi="Times New Roman" w:cs="Times New Roman"/>
          <w:sz w:val="20"/>
          <w:szCs w:val="20"/>
        </w:rPr>
        <w:t>VWTPL, vitrectomy without the intraoperative use of perfluorocarbon liquid</w:t>
      </w:r>
    </w:p>
    <w:p w14:paraId="0193422A" w14:textId="77777777" w:rsidR="00A608ED" w:rsidRDefault="00A608ED"/>
    <w:p w14:paraId="43075A0F" w14:textId="77777777" w:rsidR="003A4529" w:rsidRDefault="003A4529" w:rsidP="003A4529">
      <w:pPr>
        <w:rPr>
          <w:rFonts w:ascii="Times New Roman" w:hAnsi="Times New Roman" w:cs="Times New Roman"/>
        </w:rPr>
      </w:pPr>
    </w:p>
    <w:p w14:paraId="0C16BB2F" w14:textId="77777777" w:rsidR="003A4529" w:rsidRDefault="003A4529" w:rsidP="003A4529">
      <w:pPr>
        <w:rPr>
          <w:rFonts w:ascii="Times New Roman" w:hAnsi="Times New Roman" w:cs="Times New Roman"/>
        </w:rPr>
      </w:pPr>
      <w:r>
        <w:rPr>
          <w:rFonts w:ascii="Times New Roman" w:hAnsi="Times New Roman" w:cs="Times New Roman"/>
          <w:b/>
          <w:bCs/>
        </w:rPr>
        <w:t xml:space="preserve">Table S4. </w:t>
      </w:r>
      <w:r>
        <w:rPr>
          <w:rFonts w:ascii="Times New Roman" w:hAnsi="Times New Roman" w:cs="Times New Roman"/>
        </w:rPr>
        <w:t xml:space="preserve">Quality Assessment of Case Series Using </w:t>
      </w:r>
      <w:r>
        <w:rPr>
          <w:rFonts w:ascii="Times New Roman" w:hAnsi="Times New Roman"/>
        </w:rPr>
        <w:t>Joanna Briggs Institute</w:t>
      </w:r>
      <w:r>
        <w:rPr>
          <w:rFonts w:ascii="Times New Roman" w:hAnsi="Times New Roman" w:cs="Times New Roman"/>
        </w:rPr>
        <w:t xml:space="preserve"> Checklist for Case Series </w:t>
      </w:r>
      <w:sdt>
        <w:sdtPr>
          <w:rPr>
            <w:rFonts w:ascii="Times New Roman" w:hAnsi="Times New Roman" w:cs="Times New Roman"/>
          </w:rPr>
          <w:tag w:val="MENDELEY_CITATION_v3_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"/>
          <w:id w:val="-703796853"/>
          <w:placeholder>
            <w:docPart w:val="F39E560A61B7487E9D74484F2392F116"/>
          </w:placeholder>
        </w:sdtPr>
        <w:sdtContent>
          <w:r>
            <w:rPr>
              <w:rFonts w:ascii="Times New Roman" w:hAnsi="Times New Roman" w:cs="Times New Roman"/>
            </w:rPr>
            <w:t>[26]</w:t>
          </w:r>
        </w:sdtContent>
      </w:sdt>
    </w:p>
    <w:p w14:paraId="5F17A35C" w14:textId="77777777" w:rsidR="003A4529" w:rsidRDefault="003A4529" w:rsidP="003A4529"/>
    <w:tbl>
      <w:tblPr>
        <w:tblStyle w:val="TableGrid"/>
        <w:tblW w:w="0" w:type="auto"/>
        <w:tblLook w:val="04A0" w:firstRow="1" w:lastRow="0" w:firstColumn="1" w:lastColumn="0" w:noHBand="0" w:noVBand="1"/>
      </w:tblPr>
      <w:tblGrid>
        <w:gridCol w:w="462"/>
        <w:gridCol w:w="1052"/>
        <w:gridCol w:w="858"/>
        <w:gridCol w:w="1179"/>
        <w:gridCol w:w="1163"/>
        <w:gridCol w:w="1081"/>
        <w:gridCol w:w="1081"/>
        <w:gridCol w:w="1219"/>
        <w:gridCol w:w="1071"/>
        <w:gridCol w:w="940"/>
        <w:gridCol w:w="1154"/>
        <w:gridCol w:w="1105"/>
        <w:gridCol w:w="585"/>
      </w:tblGrid>
      <w:tr w:rsidR="003A4529" w14:paraId="163DA144" w14:textId="77777777" w:rsidTr="003A4529">
        <w:tc>
          <w:tcPr>
            <w:tcW w:w="481" w:type="dxa"/>
            <w:vMerge w:val="restart"/>
            <w:tcBorders>
              <w:top w:val="single" w:sz="4" w:space="0" w:color="auto"/>
              <w:left w:val="single" w:sz="4" w:space="0" w:color="auto"/>
              <w:bottom w:val="single" w:sz="4" w:space="0" w:color="auto"/>
              <w:right w:val="single" w:sz="4" w:space="0" w:color="auto"/>
            </w:tcBorders>
            <w:hideMark/>
          </w:tcPr>
          <w:p w14:paraId="28E2DD7C" w14:textId="77777777" w:rsidR="003A4529" w:rsidRDefault="003A4529">
            <w:pPr>
              <w:spacing w:line="276" w:lineRule="auto"/>
              <w:rPr>
                <w:rFonts w:ascii="Times New Roman" w:hAnsi="Times New Roman" w:cs="Times New Roman"/>
                <w:b/>
                <w:bCs/>
                <w:sz w:val="18"/>
                <w:szCs w:val="18"/>
              </w:rPr>
            </w:pPr>
            <w:r>
              <w:rPr>
                <w:rFonts w:ascii="Times New Roman" w:hAnsi="Times New Roman" w:cs="Times New Roman"/>
                <w:b/>
                <w:bCs/>
                <w:sz w:val="18"/>
                <w:szCs w:val="18"/>
              </w:rPr>
              <w:t>No.</w:t>
            </w:r>
          </w:p>
        </w:tc>
        <w:tc>
          <w:tcPr>
            <w:tcW w:w="1782" w:type="dxa"/>
            <w:vMerge w:val="restart"/>
            <w:tcBorders>
              <w:top w:val="single" w:sz="4" w:space="0" w:color="auto"/>
              <w:left w:val="single" w:sz="4" w:space="0" w:color="auto"/>
              <w:bottom w:val="single" w:sz="4" w:space="0" w:color="auto"/>
              <w:right w:val="single" w:sz="4" w:space="0" w:color="auto"/>
            </w:tcBorders>
            <w:hideMark/>
          </w:tcPr>
          <w:p w14:paraId="2257A874" w14:textId="77777777" w:rsidR="003A4529" w:rsidRDefault="003A4529">
            <w:pPr>
              <w:spacing w:line="276" w:lineRule="auto"/>
              <w:rPr>
                <w:rFonts w:ascii="Times New Roman" w:hAnsi="Times New Roman" w:cs="Times New Roman"/>
                <w:b/>
                <w:bCs/>
                <w:sz w:val="18"/>
                <w:szCs w:val="18"/>
              </w:rPr>
            </w:pPr>
            <w:r>
              <w:rPr>
                <w:rFonts w:ascii="Times New Roman" w:hAnsi="Times New Roman" w:cs="Times New Roman"/>
                <w:b/>
                <w:bCs/>
                <w:sz w:val="18"/>
                <w:szCs w:val="18"/>
              </w:rPr>
              <w:t>Reference</w:t>
            </w:r>
          </w:p>
        </w:tc>
        <w:tc>
          <w:tcPr>
            <w:tcW w:w="11072" w:type="dxa"/>
            <w:gridSpan w:val="10"/>
            <w:tcBorders>
              <w:top w:val="single" w:sz="4" w:space="0" w:color="auto"/>
              <w:left w:val="single" w:sz="4" w:space="0" w:color="auto"/>
              <w:bottom w:val="single" w:sz="4" w:space="0" w:color="auto"/>
              <w:right w:val="single" w:sz="4" w:space="0" w:color="auto"/>
            </w:tcBorders>
            <w:hideMark/>
          </w:tcPr>
          <w:p w14:paraId="17E62BC8" w14:textId="77777777" w:rsidR="003A4529" w:rsidRDefault="003A4529">
            <w:pPr>
              <w:spacing w:line="276" w:lineRule="auto"/>
              <w:jc w:val="center"/>
              <w:rPr>
                <w:rFonts w:ascii="Times New Roman" w:hAnsi="Times New Roman" w:cs="Times New Roman"/>
                <w:b/>
                <w:bCs/>
                <w:sz w:val="18"/>
                <w:szCs w:val="18"/>
              </w:rPr>
            </w:pPr>
            <w:r>
              <w:rPr>
                <w:rFonts w:ascii="Times New Roman" w:hAnsi="Times New Roman" w:cs="Times New Roman"/>
                <w:b/>
                <w:bCs/>
                <w:sz w:val="18"/>
                <w:szCs w:val="18"/>
              </w:rPr>
              <w:t>Criteria</w:t>
            </w:r>
          </w:p>
        </w:tc>
        <w:tc>
          <w:tcPr>
            <w:tcW w:w="613" w:type="dxa"/>
            <w:vMerge w:val="restart"/>
            <w:tcBorders>
              <w:top w:val="single" w:sz="4" w:space="0" w:color="auto"/>
              <w:left w:val="single" w:sz="4" w:space="0" w:color="auto"/>
              <w:bottom w:val="single" w:sz="4" w:space="0" w:color="auto"/>
              <w:right w:val="single" w:sz="4" w:space="0" w:color="auto"/>
            </w:tcBorders>
            <w:hideMark/>
          </w:tcPr>
          <w:p w14:paraId="742A4FA0" w14:textId="77777777" w:rsidR="003A4529" w:rsidRDefault="003A4529">
            <w:pPr>
              <w:spacing w:line="276" w:lineRule="auto"/>
              <w:rPr>
                <w:rFonts w:ascii="Times New Roman" w:hAnsi="Times New Roman" w:cs="Times New Roman"/>
                <w:b/>
                <w:bCs/>
                <w:sz w:val="18"/>
                <w:szCs w:val="18"/>
              </w:rPr>
            </w:pPr>
            <w:r>
              <w:rPr>
                <w:rFonts w:ascii="Times New Roman" w:hAnsi="Times New Roman" w:cs="Times New Roman"/>
                <w:b/>
                <w:bCs/>
                <w:sz w:val="18"/>
                <w:szCs w:val="18"/>
              </w:rPr>
              <w:t xml:space="preserve">Total score </w:t>
            </w:r>
          </w:p>
        </w:tc>
      </w:tr>
      <w:tr w:rsidR="003A4529" w14:paraId="6C235B42" w14:textId="77777777" w:rsidTr="003A4529">
        <w:tc>
          <w:tcPr>
            <w:tcW w:w="0" w:type="auto"/>
            <w:vMerge/>
            <w:tcBorders>
              <w:top w:val="single" w:sz="4" w:space="0" w:color="auto"/>
              <w:left w:val="single" w:sz="4" w:space="0" w:color="auto"/>
              <w:bottom w:val="single" w:sz="4" w:space="0" w:color="auto"/>
              <w:right w:val="single" w:sz="4" w:space="0" w:color="auto"/>
            </w:tcBorders>
            <w:vAlign w:val="center"/>
            <w:hideMark/>
          </w:tcPr>
          <w:p w14:paraId="55607628" w14:textId="77777777" w:rsidR="003A4529" w:rsidRDefault="003A4529">
            <w:pPr>
              <w:rPr>
                <w:rFonts w:ascii="Times New Roman" w:hAnsi="Times New Roman" w:cs="Times New Roman"/>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A1CF2B" w14:textId="77777777" w:rsidR="003A4529" w:rsidRDefault="003A4529">
            <w:pPr>
              <w:rPr>
                <w:rFonts w:ascii="Times New Roman" w:hAnsi="Times New Roman" w:cs="Times New Roman"/>
                <w:b/>
                <w:bCs/>
                <w:sz w:val="18"/>
                <w:szCs w:val="18"/>
              </w:rPr>
            </w:pPr>
          </w:p>
        </w:tc>
        <w:tc>
          <w:tcPr>
            <w:tcW w:w="462" w:type="dxa"/>
            <w:tcBorders>
              <w:top w:val="single" w:sz="4" w:space="0" w:color="auto"/>
              <w:left w:val="single" w:sz="4" w:space="0" w:color="auto"/>
              <w:bottom w:val="single" w:sz="4" w:space="0" w:color="auto"/>
              <w:right w:val="single" w:sz="4" w:space="0" w:color="auto"/>
            </w:tcBorders>
            <w:hideMark/>
          </w:tcPr>
          <w:p w14:paraId="0A95A161" w14:textId="77777777" w:rsidR="003A4529" w:rsidRDefault="003A4529">
            <w:pPr>
              <w:spacing w:line="276" w:lineRule="auto"/>
              <w:rPr>
                <w:rFonts w:ascii="Times New Roman" w:hAnsi="Times New Roman" w:cs="Times New Roman"/>
                <w:b/>
                <w:bCs/>
                <w:sz w:val="18"/>
                <w:szCs w:val="18"/>
              </w:rPr>
            </w:pPr>
            <w:r>
              <w:rPr>
                <w:rFonts w:ascii="Times New Roman" w:hAnsi="Times New Roman" w:cs="Times New Roman"/>
                <w:b/>
                <w:bCs/>
                <w:sz w:val="18"/>
                <w:szCs w:val="18"/>
              </w:rPr>
              <w:t xml:space="preserve">Clear inclusion criteria </w:t>
            </w:r>
          </w:p>
        </w:tc>
        <w:tc>
          <w:tcPr>
            <w:tcW w:w="1253" w:type="dxa"/>
            <w:tcBorders>
              <w:top w:val="single" w:sz="4" w:space="0" w:color="auto"/>
              <w:left w:val="single" w:sz="4" w:space="0" w:color="auto"/>
              <w:bottom w:val="single" w:sz="4" w:space="0" w:color="auto"/>
              <w:right w:val="single" w:sz="4" w:space="0" w:color="auto"/>
            </w:tcBorders>
            <w:hideMark/>
          </w:tcPr>
          <w:p w14:paraId="295CCA5A" w14:textId="77777777" w:rsidR="003A4529" w:rsidRDefault="003A4529">
            <w:pPr>
              <w:spacing w:line="276" w:lineRule="auto"/>
              <w:rPr>
                <w:rFonts w:ascii="Times New Roman" w:hAnsi="Times New Roman" w:cs="Times New Roman"/>
                <w:b/>
                <w:bCs/>
                <w:sz w:val="18"/>
                <w:szCs w:val="18"/>
              </w:rPr>
            </w:pPr>
            <w:r>
              <w:rPr>
                <w:rFonts w:ascii="Times New Roman" w:hAnsi="Times New Roman" w:cs="Times New Roman"/>
                <w:b/>
                <w:bCs/>
                <w:sz w:val="18"/>
                <w:szCs w:val="18"/>
              </w:rPr>
              <w:t>Standard and reliable measurement of the condition</w:t>
            </w:r>
          </w:p>
        </w:tc>
        <w:tc>
          <w:tcPr>
            <w:tcW w:w="1236" w:type="dxa"/>
            <w:tcBorders>
              <w:top w:val="single" w:sz="4" w:space="0" w:color="auto"/>
              <w:left w:val="single" w:sz="4" w:space="0" w:color="auto"/>
              <w:bottom w:val="single" w:sz="4" w:space="0" w:color="auto"/>
              <w:right w:val="single" w:sz="4" w:space="0" w:color="auto"/>
            </w:tcBorders>
            <w:hideMark/>
          </w:tcPr>
          <w:p w14:paraId="67CB9671" w14:textId="77777777" w:rsidR="003A4529" w:rsidRDefault="003A4529">
            <w:pPr>
              <w:spacing w:line="276" w:lineRule="auto"/>
              <w:rPr>
                <w:rFonts w:ascii="Times New Roman" w:hAnsi="Times New Roman" w:cs="Times New Roman"/>
                <w:b/>
                <w:bCs/>
                <w:sz w:val="18"/>
                <w:szCs w:val="18"/>
              </w:rPr>
            </w:pPr>
            <w:r>
              <w:rPr>
                <w:rFonts w:ascii="Times New Roman" w:hAnsi="Times New Roman" w:cs="Times New Roman"/>
                <w:b/>
                <w:bCs/>
                <w:sz w:val="18"/>
                <w:szCs w:val="18"/>
              </w:rPr>
              <w:t>Valid methods for identification of the condition</w:t>
            </w:r>
          </w:p>
        </w:tc>
        <w:tc>
          <w:tcPr>
            <w:tcW w:w="1147" w:type="dxa"/>
            <w:tcBorders>
              <w:top w:val="single" w:sz="4" w:space="0" w:color="auto"/>
              <w:left w:val="single" w:sz="4" w:space="0" w:color="auto"/>
              <w:bottom w:val="single" w:sz="4" w:space="0" w:color="auto"/>
              <w:right w:val="single" w:sz="4" w:space="0" w:color="auto"/>
            </w:tcBorders>
            <w:hideMark/>
          </w:tcPr>
          <w:p w14:paraId="08574C4A" w14:textId="77777777" w:rsidR="003A4529" w:rsidRDefault="003A4529">
            <w:pPr>
              <w:spacing w:line="276" w:lineRule="auto"/>
              <w:rPr>
                <w:rFonts w:ascii="Times New Roman" w:hAnsi="Times New Roman" w:cs="Times New Roman"/>
                <w:b/>
                <w:bCs/>
                <w:sz w:val="18"/>
                <w:szCs w:val="18"/>
              </w:rPr>
            </w:pPr>
            <w:r>
              <w:rPr>
                <w:rFonts w:ascii="Times New Roman" w:hAnsi="Times New Roman" w:cs="Times New Roman"/>
                <w:b/>
                <w:bCs/>
                <w:sz w:val="18"/>
                <w:szCs w:val="18"/>
              </w:rPr>
              <w:t>Consecutive inclusion of participants</w:t>
            </w:r>
          </w:p>
        </w:tc>
        <w:tc>
          <w:tcPr>
            <w:tcW w:w="1147" w:type="dxa"/>
            <w:tcBorders>
              <w:top w:val="single" w:sz="4" w:space="0" w:color="auto"/>
              <w:left w:val="single" w:sz="4" w:space="0" w:color="auto"/>
              <w:bottom w:val="single" w:sz="4" w:space="0" w:color="auto"/>
              <w:right w:val="single" w:sz="4" w:space="0" w:color="auto"/>
            </w:tcBorders>
            <w:hideMark/>
          </w:tcPr>
          <w:p w14:paraId="18166131" w14:textId="77777777" w:rsidR="003A4529" w:rsidRDefault="003A4529">
            <w:pPr>
              <w:spacing w:line="276" w:lineRule="auto"/>
              <w:rPr>
                <w:rFonts w:ascii="Times New Roman" w:hAnsi="Times New Roman" w:cs="Times New Roman"/>
                <w:b/>
                <w:bCs/>
                <w:sz w:val="18"/>
                <w:szCs w:val="18"/>
              </w:rPr>
            </w:pPr>
            <w:r>
              <w:rPr>
                <w:rFonts w:ascii="Times New Roman" w:hAnsi="Times New Roman" w:cs="Times New Roman"/>
                <w:b/>
                <w:bCs/>
                <w:sz w:val="18"/>
                <w:szCs w:val="18"/>
              </w:rPr>
              <w:t>Complete inclusion of participants</w:t>
            </w:r>
          </w:p>
        </w:tc>
        <w:tc>
          <w:tcPr>
            <w:tcW w:w="1296" w:type="dxa"/>
            <w:tcBorders>
              <w:top w:val="single" w:sz="4" w:space="0" w:color="auto"/>
              <w:left w:val="single" w:sz="4" w:space="0" w:color="auto"/>
              <w:bottom w:val="single" w:sz="4" w:space="0" w:color="auto"/>
              <w:right w:val="single" w:sz="4" w:space="0" w:color="auto"/>
            </w:tcBorders>
            <w:hideMark/>
          </w:tcPr>
          <w:p w14:paraId="2D9B5205" w14:textId="77777777" w:rsidR="003A4529" w:rsidRDefault="003A4529">
            <w:pPr>
              <w:spacing w:line="276" w:lineRule="auto"/>
              <w:rPr>
                <w:rFonts w:ascii="Times New Roman" w:hAnsi="Times New Roman" w:cs="Times New Roman"/>
                <w:b/>
                <w:bCs/>
                <w:sz w:val="18"/>
                <w:szCs w:val="18"/>
              </w:rPr>
            </w:pPr>
            <w:r>
              <w:rPr>
                <w:rFonts w:ascii="Times New Roman" w:hAnsi="Times New Roman" w:cs="Times New Roman"/>
                <w:b/>
                <w:bCs/>
                <w:sz w:val="18"/>
                <w:szCs w:val="18"/>
              </w:rPr>
              <w:t>Reporting of participant demographics</w:t>
            </w:r>
          </w:p>
        </w:tc>
        <w:tc>
          <w:tcPr>
            <w:tcW w:w="1136" w:type="dxa"/>
            <w:tcBorders>
              <w:top w:val="single" w:sz="4" w:space="0" w:color="auto"/>
              <w:left w:val="single" w:sz="4" w:space="0" w:color="auto"/>
              <w:bottom w:val="single" w:sz="4" w:space="0" w:color="auto"/>
              <w:right w:val="single" w:sz="4" w:space="0" w:color="auto"/>
            </w:tcBorders>
            <w:hideMark/>
          </w:tcPr>
          <w:p w14:paraId="3AA64CA7" w14:textId="77777777" w:rsidR="003A4529" w:rsidRDefault="003A4529">
            <w:pPr>
              <w:spacing w:line="276" w:lineRule="auto"/>
              <w:rPr>
                <w:rFonts w:ascii="Times New Roman" w:hAnsi="Times New Roman" w:cs="Times New Roman"/>
                <w:b/>
                <w:bCs/>
                <w:sz w:val="18"/>
                <w:szCs w:val="18"/>
              </w:rPr>
            </w:pPr>
            <w:r>
              <w:rPr>
                <w:rFonts w:ascii="Times New Roman" w:hAnsi="Times New Roman" w:cs="Times New Roman"/>
                <w:b/>
                <w:bCs/>
                <w:sz w:val="18"/>
                <w:szCs w:val="18"/>
              </w:rPr>
              <w:t>Reporting of clinical information</w:t>
            </w:r>
          </w:p>
        </w:tc>
        <w:tc>
          <w:tcPr>
            <w:tcW w:w="996" w:type="dxa"/>
            <w:tcBorders>
              <w:top w:val="single" w:sz="4" w:space="0" w:color="auto"/>
              <w:left w:val="single" w:sz="4" w:space="0" w:color="auto"/>
              <w:bottom w:val="single" w:sz="4" w:space="0" w:color="auto"/>
              <w:right w:val="single" w:sz="4" w:space="0" w:color="auto"/>
            </w:tcBorders>
            <w:hideMark/>
          </w:tcPr>
          <w:p w14:paraId="18D77D69" w14:textId="77777777" w:rsidR="003A4529" w:rsidRDefault="003A4529">
            <w:pPr>
              <w:spacing w:line="276" w:lineRule="auto"/>
              <w:rPr>
                <w:rFonts w:ascii="Times New Roman" w:hAnsi="Times New Roman" w:cs="Times New Roman"/>
                <w:b/>
                <w:bCs/>
                <w:sz w:val="18"/>
                <w:szCs w:val="18"/>
              </w:rPr>
            </w:pPr>
            <w:r>
              <w:rPr>
                <w:rFonts w:ascii="Times New Roman" w:hAnsi="Times New Roman" w:cs="Times New Roman"/>
                <w:b/>
                <w:bCs/>
                <w:sz w:val="18"/>
                <w:szCs w:val="18"/>
              </w:rPr>
              <w:t>Reporting of outcomes or follow-up results</w:t>
            </w:r>
          </w:p>
        </w:tc>
        <w:tc>
          <w:tcPr>
            <w:tcW w:w="1226" w:type="dxa"/>
            <w:tcBorders>
              <w:top w:val="single" w:sz="4" w:space="0" w:color="auto"/>
              <w:left w:val="single" w:sz="4" w:space="0" w:color="auto"/>
              <w:bottom w:val="single" w:sz="4" w:space="0" w:color="auto"/>
              <w:right w:val="single" w:sz="4" w:space="0" w:color="auto"/>
            </w:tcBorders>
            <w:hideMark/>
          </w:tcPr>
          <w:p w14:paraId="1DF2D759" w14:textId="77777777" w:rsidR="003A4529" w:rsidRDefault="003A4529">
            <w:pPr>
              <w:spacing w:line="276" w:lineRule="auto"/>
              <w:rPr>
                <w:rFonts w:ascii="Times New Roman" w:hAnsi="Times New Roman" w:cs="Times New Roman"/>
                <w:b/>
                <w:bCs/>
                <w:sz w:val="18"/>
                <w:szCs w:val="18"/>
              </w:rPr>
            </w:pPr>
            <w:r>
              <w:rPr>
                <w:rFonts w:ascii="Times New Roman" w:hAnsi="Times New Roman" w:cs="Times New Roman"/>
                <w:b/>
                <w:bCs/>
                <w:sz w:val="18"/>
                <w:szCs w:val="18"/>
              </w:rPr>
              <w:t>Reporting of presenting site/clinic demographic information</w:t>
            </w:r>
          </w:p>
        </w:tc>
        <w:tc>
          <w:tcPr>
            <w:tcW w:w="1173" w:type="dxa"/>
            <w:tcBorders>
              <w:top w:val="single" w:sz="4" w:space="0" w:color="auto"/>
              <w:left w:val="single" w:sz="4" w:space="0" w:color="auto"/>
              <w:bottom w:val="single" w:sz="4" w:space="0" w:color="auto"/>
              <w:right w:val="single" w:sz="4" w:space="0" w:color="auto"/>
            </w:tcBorders>
            <w:hideMark/>
          </w:tcPr>
          <w:p w14:paraId="083C3FA3" w14:textId="77777777" w:rsidR="003A4529" w:rsidRDefault="003A4529">
            <w:pPr>
              <w:spacing w:line="276" w:lineRule="auto"/>
              <w:rPr>
                <w:rFonts w:ascii="Times New Roman" w:hAnsi="Times New Roman" w:cs="Times New Roman"/>
                <w:b/>
                <w:bCs/>
                <w:sz w:val="18"/>
                <w:szCs w:val="18"/>
              </w:rPr>
            </w:pPr>
            <w:r>
              <w:rPr>
                <w:rFonts w:ascii="Times New Roman" w:hAnsi="Times New Roman" w:cs="Times New Roman"/>
                <w:b/>
                <w:bCs/>
                <w:sz w:val="18"/>
                <w:szCs w:val="18"/>
              </w:rPr>
              <w:t>Appropriate statistical analysis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61FC93" w14:textId="77777777" w:rsidR="003A4529" w:rsidRDefault="003A4529">
            <w:pPr>
              <w:rPr>
                <w:rFonts w:ascii="Times New Roman" w:hAnsi="Times New Roman" w:cs="Times New Roman"/>
                <w:b/>
                <w:bCs/>
                <w:sz w:val="18"/>
                <w:szCs w:val="18"/>
              </w:rPr>
            </w:pPr>
          </w:p>
        </w:tc>
      </w:tr>
      <w:tr w:rsidR="003A4529" w14:paraId="3F93BA4A"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2370D43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lastRenderedPageBreak/>
              <w:t xml:space="preserve">1. </w:t>
            </w:r>
          </w:p>
        </w:tc>
        <w:tc>
          <w:tcPr>
            <w:tcW w:w="1782" w:type="dxa"/>
            <w:tcBorders>
              <w:top w:val="single" w:sz="4" w:space="0" w:color="auto"/>
              <w:left w:val="single" w:sz="4" w:space="0" w:color="auto"/>
              <w:bottom w:val="single" w:sz="4" w:space="0" w:color="auto"/>
              <w:right w:val="single" w:sz="4" w:space="0" w:color="auto"/>
            </w:tcBorders>
            <w:hideMark/>
          </w:tcPr>
          <w:p w14:paraId="3A8AD2F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Lee et al. </w:t>
            </w:r>
            <w:sdt>
              <w:sdtPr>
                <w:rPr>
                  <w:rFonts w:ascii="Times New Roman" w:hAnsi="Times New Roman" w:cs="Times New Roman"/>
                  <w:sz w:val="18"/>
                  <w:szCs w:val="18"/>
                </w:rPr>
                <w:tag w:val="MENDELEY_CITATION_v3_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"/>
                <w:id w:val="1178238761"/>
                <w:placeholder>
                  <w:docPart w:val="5A09CEF2C69D4F5B819431479C71FAA1"/>
                </w:placeholder>
              </w:sdtPr>
              <w:sdtContent>
                <w:r>
                  <w:rPr>
                    <w:rFonts w:ascii="Times New Roman" w:hAnsi="Times New Roman" w:cs="Times New Roman"/>
                    <w:sz w:val="18"/>
                    <w:szCs w:val="18"/>
                  </w:rPr>
                  <w:t>[10]</w:t>
                </w:r>
              </w:sdtContent>
            </w:sdt>
          </w:p>
        </w:tc>
        <w:tc>
          <w:tcPr>
            <w:tcW w:w="462" w:type="dxa"/>
            <w:tcBorders>
              <w:top w:val="single" w:sz="4" w:space="0" w:color="auto"/>
              <w:left w:val="single" w:sz="4" w:space="0" w:color="auto"/>
              <w:bottom w:val="single" w:sz="4" w:space="0" w:color="auto"/>
              <w:right w:val="single" w:sz="4" w:space="0" w:color="auto"/>
            </w:tcBorders>
            <w:hideMark/>
          </w:tcPr>
          <w:p w14:paraId="7ACB5CE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53" w:type="dxa"/>
            <w:tcBorders>
              <w:top w:val="single" w:sz="4" w:space="0" w:color="auto"/>
              <w:left w:val="single" w:sz="4" w:space="0" w:color="auto"/>
              <w:bottom w:val="single" w:sz="4" w:space="0" w:color="auto"/>
              <w:right w:val="single" w:sz="4" w:space="0" w:color="auto"/>
            </w:tcBorders>
            <w:hideMark/>
          </w:tcPr>
          <w:p w14:paraId="66B75B8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36" w:type="dxa"/>
            <w:tcBorders>
              <w:top w:val="single" w:sz="4" w:space="0" w:color="auto"/>
              <w:left w:val="single" w:sz="4" w:space="0" w:color="auto"/>
              <w:bottom w:val="single" w:sz="4" w:space="0" w:color="auto"/>
              <w:right w:val="single" w:sz="4" w:space="0" w:color="auto"/>
            </w:tcBorders>
            <w:hideMark/>
          </w:tcPr>
          <w:p w14:paraId="233F8657"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57117CD7"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54EF17A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96" w:type="dxa"/>
            <w:tcBorders>
              <w:top w:val="single" w:sz="4" w:space="0" w:color="auto"/>
              <w:left w:val="single" w:sz="4" w:space="0" w:color="auto"/>
              <w:bottom w:val="single" w:sz="4" w:space="0" w:color="auto"/>
              <w:right w:val="single" w:sz="4" w:space="0" w:color="auto"/>
            </w:tcBorders>
            <w:hideMark/>
          </w:tcPr>
          <w:p w14:paraId="736B297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6" w:type="dxa"/>
            <w:tcBorders>
              <w:top w:val="single" w:sz="4" w:space="0" w:color="auto"/>
              <w:left w:val="single" w:sz="4" w:space="0" w:color="auto"/>
              <w:bottom w:val="single" w:sz="4" w:space="0" w:color="auto"/>
              <w:right w:val="single" w:sz="4" w:space="0" w:color="auto"/>
            </w:tcBorders>
            <w:hideMark/>
          </w:tcPr>
          <w:p w14:paraId="7121FB1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96" w:type="dxa"/>
            <w:tcBorders>
              <w:top w:val="single" w:sz="4" w:space="0" w:color="auto"/>
              <w:left w:val="single" w:sz="4" w:space="0" w:color="auto"/>
              <w:bottom w:val="single" w:sz="4" w:space="0" w:color="auto"/>
              <w:right w:val="single" w:sz="4" w:space="0" w:color="auto"/>
            </w:tcBorders>
            <w:hideMark/>
          </w:tcPr>
          <w:p w14:paraId="3FA9905F"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26" w:type="dxa"/>
            <w:tcBorders>
              <w:top w:val="single" w:sz="4" w:space="0" w:color="auto"/>
              <w:left w:val="single" w:sz="4" w:space="0" w:color="auto"/>
              <w:bottom w:val="single" w:sz="4" w:space="0" w:color="auto"/>
              <w:right w:val="single" w:sz="4" w:space="0" w:color="auto"/>
            </w:tcBorders>
            <w:hideMark/>
          </w:tcPr>
          <w:p w14:paraId="67145437"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173" w:type="dxa"/>
            <w:tcBorders>
              <w:top w:val="single" w:sz="4" w:space="0" w:color="auto"/>
              <w:left w:val="single" w:sz="4" w:space="0" w:color="auto"/>
              <w:bottom w:val="single" w:sz="4" w:space="0" w:color="auto"/>
              <w:right w:val="single" w:sz="4" w:space="0" w:color="auto"/>
            </w:tcBorders>
            <w:hideMark/>
          </w:tcPr>
          <w:p w14:paraId="11EFBBA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613" w:type="dxa"/>
            <w:tcBorders>
              <w:top w:val="single" w:sz="4" w:space="0" w:color="auto"/>
              <w:left w:val="single" w:sz="4" w:space="0" w:color="auto"/>
              <w:bottom w:val="single" w:sz="4" w:space="0" w:color="auto"/>
              <w:right w:val="single" w:sz="4" w:space="0" w:color="auto"/>
            </w:tcBorders>
            <w:hideMark/>
          </w:tcPr>
          <w:p w14:paraId="34FF420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9</w:t>
            </w:r>
          </w:p>
        </w:tc>
      </w:tr>
      <w:tr w:rsidR="003A4529" w14:paraId="3B8BB541"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215E7CE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2. </w:t>
            </w:r>
          </w:p>
        </w:tc>
        <w:sdt>
          <w:sdtPr>
            <w:rPr>
              <w:rFonts w:ascii="Times New Roman" w:hAnsi="Times New Roman" w:cs="Times New Roman"/>
              <w:sz w:val="18"/>
              <w:szCs w:val="18"/>
            </w:rPr>
            <w:tag w:val="MENDELEY_CITATION_v3_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"/>
            <w:id w:val="-335303845"/>
            <w:placeholder>
              <w:docPart w:val="5A09CEF2C69D4F5B819431479C71FAA1"/>
            </w:placeholder>
          </w:sdtPr>
          <w:sdtContent>
            <w:tc>
              <w:tcPr>
                <w:tcW w:w="1782" w:type="dxa"/>
                <w:tcBorders>
                  <w:top w:val="single" w:sz="4" w:space="0" w:color="auto"/>
                  <w:left w:val="single" w:sz="4" w:space="0" w:color="auto"/>
                  <w:bottom w:val="single" w:sz="4" w:space="0" w:color="auto"/>
                  <w:right w:val="single" w:sz="4" w:space="0" w:color="auto"/>
                </w:tcBorders>
                <w:hideMark/>
              </w:tcPr>
              <w:p w14:paraId="40E98EF7" w14:textId="77777777" w:rsidR="003A4529" w:rsidRDefault="003A4529">
                <w:pPr>
                  <w:spacing w:line="276" w:lineRule="auto"/>
                  <w:rPr>
                    <w:rFonts w:ascii="Times New Roman" w:hAnsi="Times New Roman" w:cs="Times New Roman"/>
                    <w:sz w:val="18"/>
                    <w:szCs w:val="18"/>
                  </w:rPr>
                </w:pPr>
                <w:proofErr w:type="spellStart"/>
                <w:r>
                  <w:rPr>
                    <w:rFonts w:ascii="Times New Roman" w:hAnsi="Times New Roman" w:cs="Times New Roman"/>
                    <w:sz w:val="18"/>
                    <w:szCs w:val="18"/>
                  </w:rPr>
                  <w:t>Oderinlo</w:t>
                </w:r>
                <w:proofErr w:type="spellEnd"/>
                <w:r>
                  <w:rPr>
                    <w:rFonts w:ascii="Times New Roman" w:hAnsi="Times New Roman" w:cs="Times New Roman"/>
                    <w:sz w:val="18"/>
                    <w:szCs w:val="18"/>
                  </w:rPr>
                  <w:t xml:space="preserve"> et al [37]</w:t>
                </w:r>
              </w:p>
            </w:tc>
          </w:sdtContent>
        </w:sdt>
        <w:tc>
          <w:tcPr>
            <w:tcW w:w="462" w:type="dxa"/>
            <w:tcBorders>
              <w:top w:val="single" w:sz="4" w:space="0" w:color="auto"/>
              <w:left w:val="single" w:sz="4" w:space="0" w:color="auto"/>
              <w:bottom w:val="single" w:sz="4" w:space="0" w:color="auto"/>
              <w:right w:val="single" w:sz="4" w:space="0" w:color="auto"/>
            </w:tcBorders>
            <w:hideMark/>
          </w:tcPr>
          <w:p w14:paraId="5B1E81A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53" w:type="dxa"/>
            <w:tcBorders>
              <w:top w:val="single" w:sz="4" w:space="0" w:color="auto"/>
              <w:left w:val="single" w:sz="4" w:space="0" w:color="auto"/>
              <w:bottom w:val="single" w:sz="4" w:space="0" w:color="auto"/>
              <w:right w:val="single" w:sz="4" w:space="0" w:color="auto"/>
            </w:tcBorders>
            <w:hideMark/>
          </w:tcPr>
          <w:p w14:paraId="3C60E16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36" w:type="dxa"/>
            <w:tcBorders>
              <w:top w:val="single" w:sz="4" w:space="0" w:color="auto"/>
              <w:left w:val="single" w:sz="4" w:space="0" w:color="auto"/>
              <w:bottom w:val="single" w:sz="4" w:space="0" w:color="auto"/>
              <w:right w:val="single" w:sz="4" w:space="0" w:color="auto"/>
            </w:tcBorders>
            <w:hideMark/>
          </w:tcPr>
          <w:p w14:paraId="6BB3D7F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6D70739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0E0E904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96" w:type="dxa"/>
            <w:tcBorders>
              <w:top w:val="single" w:sz="4" w:space="0" w:color="auto"/>
              <w:left w:val="single" w:sz="4" w:space="0" w:color="auto"/>
              <w:bottom w:val="single" w:sz="4" w:space="0" w:color="auto"/>
              <w:right w:val="single" w:sz="4" w:space="0" w:color="auto"/>
            </w:tcBorders>
            <w:hideMark/>
          </w:tcPr>
          <w:p w14:paraId="5FC14DA7"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6" w:type="dxa"/>
            <w:tcBorders>
              <w:top w:val="single" w:sz="4" w:space="0" w:color="auto"/>
              <w:left w:val="single" w:sz="4" w:space="0" w:color="auto"/>
              <w:bottom w:val="single" w:sz="4" w:space="0" w:color="auto"/>
              <w:right w:val="single" w:sz="4" w:space="0" w:color="auto"/>
            </w:tcBorders>
            <w:hideMark/>
          </w:tcPr>
          <w:p w14:paraId="15CCEE6A"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96" w:type="dxa"/>
            <w:tcBorders>
              <w:top w:val="single" w:sz="4" w:space="0" w:color="auto"/>
              <w:left w:val="single" w:sz="4" w:space="0" w:color="auto"/>
              <w:bottom w:val="single" w:sz="4" w:space="0" w:color="auto"/>
              <w:right w:val="single" w:sz="4" w:space="0" w:color="auto"/>
            </w:tcBorders>
            <w:hideMark/>
          </w:tcPr>
          <w:p w14:paraId="71E31DD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26" w:type="dxa"/>
            <w:tcBorders>
              <w:top w:val="single" w:sz="4" w:space="0" w:color="auto"/>
              <w:left w:val="single" w:sz="4" w:space="0" w:color="auto"/>
              <w:bottom w:val="single" w:sz="4" w:space="0" w:color="auto"/>
              <w:right w:val="single" w:sz="4" w:space="0" w:color="auto"/>
            </w:tcBorders>
            <w:hideMark/>
          </w:tcPr>
          <w:p w14:paraId="30FBB57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173" w:type="dxa"/>
            <w:tcBorders>
              <w:top w:val="single" w:sz="4" w:space="0" w:color="auto"/>
              <w:left w:val="single" w:sz="4" w:space="0" w:color="auto"/>
              <w:bottom w:val="single" w:sz="4" w:space="0" w:color="auto"/>
              <w:right w:val="single" w:sz="4" w:space="0" w:color="auto"/>
            </w:tcBorders>
            <w:hideMark/>
          </w:tcPr>
          <w:p w14:paraId="436C73B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613" w:type="dxa"/>
            <w:tcBorders>
              <w:top w:val="single" w:sz="4" w:space="0" w:color="auto"/>
              <w:left w:val="single" w:sz="4" w:space="0" w:color="auto"/>
              <w:bottom w:val="single" w:sz="4" w:space="0" w:color="auto"/>
              <w:right w:val="single" w:sz="4" w:space="0" w:color="auto"/>
            </w:tcBorders>
            <w:hideMark/>
          </w:tcPr>
          <w:p w14:paraId="329FE7C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9</w:t>
            </w:r>
          </w:p>
        </w:tc>
      </w:tr>
      <w:tr w:rsidR="003A4529" w14:paraId="1746C40D"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79B5510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3. </w:t>
            </w:r>
          </w:p>
        </w:tc>
        <w:sdt>
          <w:sdtPr>
            <w:rPr>
              <w:rFonts w:ascii="Times New Roman" w:hAnsi="Times New Roman" w:cs="Times New Roman"/>
              <w:sz w:val="18"/>
              <w:szCs w:val="18"/>
            </w:rPr>
            <w:tag w:val="MENDELEY_CITATION_v3_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"/>
            <w:id w:val="-1866826879"/>
            <w:placeholder>
              <w:docPart w:val="5A09CEF2C69D4F5B819431479C71FAA1"/>
            </w:placeholder>
          </w:sdtPr>
          <w:sdtContent>
            <w:tc>
              <w:tcPr>
                <w:tcW w:w="1782" w:type="dxa"/>
                <w:tcBorders>
                  <w:top w:val="single" w:sz="4" w:space="0" w:color="auto"/>
                  <w:left w:val="single" w:sz="4" w:space="0" w:color="auto"/>
                  <w:bottom w:val="single" w:sz="4" w:space="0" w:color="auto"/>
                  <w:right w:val="single" w:sz="4" w:space="0" w:color="auto"/>
                </w:tcBorders>
                <w:hideMark/>
              </w:tcPr>
              <w:p w14:paraId="3BF2989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Mikhail et al [39]</w:t>
                </w:r>
              </w:p>
            </w:tc>
          </w:sdtContent>
        </w:sdt>
        <w:tc>
          <w:tcPr>
            <w:tcW w:w="462" w:type="dxa"/>
            <w:tcBorders>
              <w:top w:val="single" w:sz="4" w:space="0" w:color="auto"/>
              <w:left w:val="single" w:sz="4" w:space="0" w:color="auto"/>
              <w:bottom w:val="single" w:sz="4" w:space="0" w:color="auto"/>
              <w:right w:val="single" w:sz="4" w:space="0" w:color="auto"/>
            </w:tcBorders>
            <w:hideMark/>
          </w:tcPr>
          <w:p w14:paraId="64D5B0D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53" w:type="dxa"/>
            <w:tcBorders>
              <w:top w:val="single" w:sz="4" w:space="0" w:color="auto"/>
              <w:left w:val="single" w:sz="4" w:space="0" w:color="auto"/>
              <w:bottom w:val="single" w:sz="4" w:space="0" w:color="auto"/>
              <w:right w:val="single" w:sz="4" w:space="0" w:color="auto"/>
            </w:tcBorders>
            <w:hideMark/>
          </w:tcPr>
          <w:p w14:paraId="74EE71A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36" w:type="dxa"/>
            <w:tcBorders>
              <w:top w:val="single" w:sz="4" w:space="0" w:color="auto"/>
              <w:left w:val="single" w:sz="4" w:space="0" w:color="auto"/>
              <w:bottom w:val="single" w:sz="4" w:space="0" w:color="auto"/>
              <w:right w:val="single" w:sz="4" w:space="0" w:color="auto"/>
            </w:tcBorders>
            <w:hideMark/>
          </w:tcPr>
          <w:p w14:paraId="7A8B51C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4DCC78EF"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3848539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96" w:type="dxa"/>
            <w:tcBorders>
              <w:top w:val="single" w:sz="4" w:space="0" w:color="auto"/>
              <w:left w:val="single" w:sz="4" w:space="0" w:color="auto"/>
              <w:bottom w:val="single" w:sz="4" w:space="0" w:color="auto"/>
              <w:right w:val="single" w:sz="4" w:space="0" w:color="auto"/>
            </w:tcBorders>
            <w:hideMark/>
          </w:tcPr>
          <w:p w14:paraId="49BBE83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6" w:type="dxa"/>
            <w:tcBorders>
              <w:top w:val="single" w:sz="4" w:space="0" w:color="auto"/>
              <w:left w:val="single" w:sz="4" w:space="0" w:color="auto"/>
              <w:bottom w:val="single" w:sz="4" w:space="0" w:color="auto"/>
              <w:right w:val="single" w:sz="4" w:space="0" w:color="auto"/>
            </w:tcBorders>
            <w:hideMark/>
          </w:tcPr>
          <w:p w14:paraId="48C7E1A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96" w:type="dxa"/>
            <w:tcBorders>
              <w:top w:val="single" w:sz="4" w:space="0" w:color="auto"/>
              <w:left w:val="single" w:sz="4" w:space="0" w:color="auto"/>
              <w:bottom w:val="single" w:sz="4" w:space="0" w:color="auto"/>
              <w:right w:val="single" w:sz="4" w:space="0" w:color="auto"/>
            </w:tcBorders>
            <w:hideMark/>
          </w:tcPr>
          <w:p w14:paraId="372826BF"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26" w:type="dxa"/>
            <w:tcBorders>
              <w:top w:val="single" w:sz="4" w:space="0" w:color="auto"/>
              <w:left w:val="single" w:sz="4" w:space="0" w:color="auto"/>
              <w:bottom w:val="single" w:sz="4" w:space="0" w:color="auto"/>
              <w:right w:val="single" w:sz="4" w:space="0" w:color="auto"/>
            </w:tcBorders>
            <w:hideMark/>
          </w:tcPr>
          <w:p w14:paraId="1A6342E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173" w:type="dxa"/>
            <w:tcBorders>
              <w:top w:val="single" w:sz="4" w:space="0" w:color="auto"/>
              <w:left w:val="single" w:sz="4" w:space="0" w:color="auto"/>
              <w:bottom w:val="single" w:sz="4" w:space="0" w:color="auto"/>
              <w:right w:val="single" w:sz="4" w:space="0" w:color="auto"/>
            </w:tcBorders>
            <w:hideMark/>
          </w:tcPr>
          <w:p w14:paraId="6D09953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613" w:type="dxa"/>
            <w:tcBorders>
              <w:top w:val="single" w:sz="4" w:space="0" w:color="auto"/>
              <w:left w:val="single" w:sz="4" w:space="0" w:color="auto"/>
              <w:bottom w:val="single" w:sz="4" w:space="0" w:color="auto"/>
              <w:right w:val="single" w:sz="4" w:space="0" w:color="auto"/>
            </w:tcBorders>
            <w:hideMark/>
          </w:tcPr>
          <w:p w14:paraId="23AF4DC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9</w:t>
            </w:r>
          </w:p>
        </w:tc>
      </w:tr>
      <w:tr w:rsidR="003A4529" w14:paraId="0DB6B0E3"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10DBDF8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4. </w:t>
            </w:r>
          </w:p>
        </w:tc>
        <w:sdt>
          <w:sdtPr>
            <w:rPr>
              <w:rFonts w:ascii="Times New Roman" w:hAnsi="Times New Roman" w:cs="Times New Roman"/>
              <w:sz w:val="18"/>
              <w:szCs w:val="18"/>
            </w:rPr>
            <w:tag w:val="MENDELEY_CITATION_v3_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"/>
            <w:id w:val="119894427"/>
            <w:placeholder>
              <w:docPart w:val="5A09CEF2C69D4F5B819431479C71FAA1"/>
            </w:placeholder>
          </w:sdtPr>
          <w:sdtContent>
            <w:tc>
              <w:tcPr>
                <w:tcW w:w="1782" w:type="dxa"/>
                <w:tcBorders>
                  <w:top w:val="single" w:sz="4" w:space="0" w:color="auto"/>
                  <w:left w:val="single" w:sz="4" w:space="0" w:color="auto"/>
                  <w:bottom w:val="single" w:sz="4" w:space="0" w:color="auto"/>
                  <w:right w:val="single" w:sz="4" w:space="0" w:color="auto"/>
                </w:tcBorders>
                <w:hideMark/>
              </w:tcPr>
              <w:p w14:paraId="5E1ABF0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Ghasemi et al. [40]</w:t>
                </w:r>
              </w:p>
            </w:tc>
          </w:sdtContent>
        </w:sdt>
        <w:tc>
          <w:tcPr>
            <w:tcW w:w="462" w:type="dxa"/>
            <w:tcBorders>
              <w:top w:val="single" w:sz="4" w:space="0" w:color="auto"/>
              <w:left w:val="single" w:sz="4" w:space="0" w:color="auto"/>
              <w:bottom w:val="single" w:sz="4" w:space="0" w:color="auto"/>
              <w:right w:val="single" w:sz="4" w:space="0" w:color="auto"/>
            </w:tcBorders>
            <w:hideMark/>
          </w:tcPr>
          <w:p w14:paraId="431EE427"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53" w:type="dxa"/>
            <w:tcBorders>
              <w:top w:val="single" w:sz="4" w:space="0" w:color="auto"/>
              <w:left w:val="single" w:sz="4" w:space="0" w:color="auto"/>
              <w:bottom w:val="single" w:sz="4" w:space="0" w:color="auto"/>
              <w:right w:val="single" w:sz="4" w:space="0" w:color="auto"/>
            </w:tcBorders>
            <w:hideMark/>
          </w:tcPr>
          <w:p w14:paraId="132394FF"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36" w:type="dxa"/>
            <w:tcBorders>
              <w:top w:val="single" w:sz="4" w:space="0" w:color="auto"/>
              <w:left w:val="single" w:sz="4" w:space="0" w:color="auto"/>
              <w:bottom w:val="single" w:sz="4" w:space="0" w:color="auto"/>
              <w:right w:val="single" w:sz="4" w:space="0" w:color="auto"/>
            </w:tcBorders>
            <w:hideMark/>
          </w:tcPr>
          <w:p w14:paraId="5717B28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4328F89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15D5123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96" w:type="dxa"/>
            <w:tcBorders>
              <w:top w:val="single" w:sz="4" w:space="0" w:color="auto"/>
              <w:left w:val="single" w:sz="4" w:space="0" w:color="auto"/>
              <w:bottom w:val="single" w:sz="4" w:space="0" w:color="auto"/>
              <w:right w:val="single" w:sz="4" w:space="0" w:color="auto"/>
            </w:tcBorders>
            <w:hideMark/>
          </w:tcPr>
          <w:p w14:paraId="2A27C62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6" w:type="dxa"/>
            <w:tcBorders>
              <w:top w:val="single" w:sz="4" w:space="0" w:color="auto"/>
              <w:left w:val="single" w:sz="4" w:space="0" w:color="auto"/>
              <w:bottom w:val="single" w:sz="4" w:space="0" w:color="auto"/>
              <w:right w:val="single" w:sz="4" w:space="0" w:color="auto"/>
            </w:tcBorders>
            <w:hideMark/>
          </w:tcPr>
          <w:p w14:paraId="52E8C22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96" w:type="dxa"/>
            <w:tcBorders>
              <w:top w:val="single" w:sz="4" w:space="0" w:color="auto"/>
              <w:left w:val="single" w:sz="4" w:space="0" w:color="auto"/>
              <w:bottom w:val="single" w:sz="4" w:space="0" w:color="auto"/>
              <w:right w:val="single" w:sz="4" w:space="0" w:color="auto"/>
            </w:tcBorders>
            <w:hideMark/>
          </w:tcPr>
          <w:p w14:paraId="466CDD5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26" w:type="dxa"/>
            <w:tcBorders>
              <w:top w:val="single" w:sz="4" w:space="0" w:color="auto"/>
              <w:left w:val="single" w:sz="4" w:space="0" w:color="auto"/>
              <w:bottom w:val="single" w:sz="4" w:space="0" w:color="auto"/>
              <w:right w:val="single" w:sz="4" w:space="0" w:color="auto"/>
            </w:tcBorders>
            <w:hideMark/>
          </w:tcPr>
          <w:p w14:paraId="5973E23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173" w:type="dxa"/>
            <w:tcBorders>
              <w:top w:val="single" w:sz="4" w:space="0" w:color="auto"/>
              <w:left w:val="single" w:sz="4" w:space="0" w:color="auto"/>
              <w:bottom w:val="single" w:sz="4" w:space="0" w:color="auto"/>
              <w:right w:val="single" w:sz="4" w:space="0" w:color="auto"/>
            </w:tcBorders>
            <w:hideMark/>
          </w:tcPr>
          <w:p w14:paraId="4DB9433F"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613" w:type="dxa"/>
            <w:tcBorders>
              <w:top w:val="single" w:sz="4" w:space="0" w:color="auto"/>
              <w:left w:val="single" w:sz="4" w:space="0" w:color="auto"/>
              <w:bottom w:val="single" w:sz="4" w:space="0" w:color="auto"/>
              <w:right w:val="single" w:sz="4" w:space="0" w:color="auto"/>
            </w:tcBorders>
            <w:hideMark/>
          </w:tcPr>
          <w:p w14:paraId="5755B2B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9</w:t>
            </w:r>
          </w:p>
        </w:tc>
      </w:tr>
      <w:tr w:rsidR="003A4529" w14:paraId="5033B297"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34ACBF1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5.</w:t>
            </w:r>
          </w:p>
        </w:tc>
        <w:sdt>
          <w:sdtPr>
            <w:rPr>
              <w:rFonts w:ascii="Times New Roman" w:hAnsi="Times New Roman" w:cs="Times New Roman"/>
              <w:sz w:val="18"/>
              <w:szCs w:val="18"/>
            </w:rPr>
            <w:tag w:val="MENDELEY_CITATION_v3_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"/>
            <w:id w:val="1614782317"/>
            <w:placeholder>
              <w:docPart w:val="5A09CEF2C69D4F5B819431479C71FAA1"/>
            </w:placeholder>
          </w:sdtPr>
          <w:sdtContent>
            <w:tc>
              <w:tcPr>
                <w:tcW w:w="1782" w:type="dxa"/>
                <w:tcBorders>
                  <w:top w:val="single" w:sz="4" w:space="0" w:color="auto"/>
                  <w:left w:val="single" w:sz="4" w:space="0" w:color="auto"/>
                  <w:bottom w:val="single" w:sz="4" w:space="0" w:color="auto"/>
                  <w:right w:val="single" w:sz="4" w:space="0" w:color="auto"/>
                </w:tcBorders>
                <w:hideMark/>
              </w:tcPr>
              <w:p w14:paraId="622BD24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Al-Wadani et al [44]</w:t>
                </w:r>
              </w:p>
            </w:tc>
          </w:sdtContent>
        </w:sdt>
        <w:tc>
          <w:tcPr>
            <w:tcW w:w="462" w:type="dxa"/>
            <w:tcBorders>
              <w:top w:val="single" w:sz="4" w:space="0" w:color="auto"/>
              <w:left w:val="single" w:sz="4" w:space="0" w:color="auto"/>
              <w:bottom w:val="single" w:sz="4" w:space="0" w:color="auto"/>
              <w:right w:val="single" w:sz="4" w:space="0" w:color="auto"/>
            </w:tcBorders>
            <w:hideMark/>
          </w:tcPr>
          <w:p w14:paraId="462E265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53" w:type="dxa"/>
            <w:tcBorders>
              <w:top w:val="single" w:sz="4" w:space="0" w:color="auto"/>
              <w:left w:val="single" w:sz="4" w:space="0" w:color="auto"/>
              <w:bottom w:val="single" w:sz="4" w:space="0" w:color="auto"/>
              <w:right w:val="single" w:sz="4" w:space="0" w:color="auto"/>
            </w:tcBorders>
            <w:hideMark/>
          </w:tcPr>
          <w:p w14:paraId="738099F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36" w:type="dxa"/>
            <w:tcBorders>
              <w:top w:val="single" w:sz="4" w:space="0" w:color="auto"/>
              <w:left w:val="single" w:sz="4" w:space="0" w:color="auto"/>
              <w:bottom w:val="single" w:sz="4" w:space="0" w:color="auto"/>
              <w:right w:val="single" w:sz="4" w:space="0" w:color="auto"/>
            </w:tcBorders>
            <w:hideMark/>
          </w:tcPr>
          <w:p w14:paraId="279F567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26C52D3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75642E8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96" w:type="dxa"/>
            <w:tcBorders>
              <w:top w:val="single" w:sz="4" w:space="0" w:color="auto"/>
              <w:left w:val="single" w:sz="4" w:space="0" w:color="auto"/>
              <w:bottom w:val="single" w:sz="4" w:space="0" w:color="auto"/>
              <w:right w:val="single" w:sz="4" w:space="0" w:color="auto"/>
            </w:tcBorders>
            <w:hideMark/>
          </w:tcPr>
          <w:p w14:paraId="1F590C6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6" w:type="dxa"/>
            <w:tcBorders>
              <w:top w:val="single" w:sz="4" w:space="0" w:color="auto"/>
              <w:left w:val="single" w:sz="4" w:space="0" w:color="auto"/>
              <w:bottom w:val="single" w:sz="4" w:space="0" w:color="auto"/>
              <w:right w:val="single" w:sz="4" w:space="0" w:color="auto"/>
            </w:tcBorders>
            <w:hideMark/>
          </w:tcPr>
          <w:p w14:paraId="363E1A9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96" w:type="dxa"/>
            <w:tcBorders>
              <w:top w:val="single" w:sz="4" w:space="0" w:color="auto"/>
              <w:left w:val="single" w:sz="4" w:space="0" w:color="auto"/>
              <w:bottom w:val="single" w:sz="4" w:space="0" w:color="auto"/>
              <w:right w:val="single" w:sz="4" w:space="0" w:color="auto"/>
            </w:tcBorders>
            <w:hideMark/>
          </w:tcPr>
          <w:p w14:paraId="078F1C2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26" w:type="dxa"/>
            <w:tcBorders>
              <w:top w:val="single" w:sz="4" w:space="0" w:color="auto"/>
              <w:left w:val="single" w:sz="4" w:space="0" w:color="auto"/>
              <w:bottom w:val="single" w:sz="4" w:space="0" w:color="auto"/>
              <w:right w:val="single" w:sz="4" w:space="0" w:color="auto"/>
            </w:tcBorders>
            <w:hideMark/>
          </w:tcPr>
          <w:p w14:paraId="1836C87A"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173" w:type="dxa"/>
            <w:tcBorders>
              <w:top w:val="single" w:sz="4" w:space="0" w:color="auto"/>
              <w:left w:val="single" w:sz="4" w:space="0" w:color="auto"/>
              <w:bottom w:val="single" w:sz="4" w:space="0" w:color="auto"/>
              <w:right w:val="single" w:sz="4" w:space="0" w:color="auto"/>
            </w:tcBorders>
            <w:hideMark/>
          </w:tcPr>
          <w:p w14:paraId="08B5A36D"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613" w:type="dxa"/>
            <w:tcBorders>
              <w:top w:val="single" w:sz="4" w:space="0" w:color="auto"/>
              <w:left w:val="single" w:sz="4" w:space="0" w:color="auto"/>
              <w:bottom w:val="single" w:sz="4" w:space="0" w:color="auto"/>
              <w:right w:val="single" w:sz="4" w:space="0" w:color="auto"/>
            </w:tcBorders>
            <w:hideMark/>
          </w:tcPr>
          <w:p w14:paraId="3B4B3B6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9</w:t>
            </w:r>
          </w:p>
        </w:tc>
      </w:tr>
      <w:tr w:rsidR="003A4529" w14:paraId="3CBFBF1E"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6A573D9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6.</w:t>
            </w:r>
          </w:p>
        </w:tc>
        <w:sdt>
          <w:sdtPr>
            <w:rPr>
              <w:rFonts w:ascii="Times New Roman" w:hAnsi="Times New Roman" w:cs="Times New Roman"/>
              <w:sz w:val="18"/>
              <w:szCs w:val="18"/>
            </w:rPr>
            <w:tag w:val="MENDELEY_CITATION_v3_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"/>
            <w:id w:val="-182054794"/>
            <w:placeholder>
              <w:docPart w:val="5A09CEF2C69D4F5B819431479C71FAA1"/>
            </w:placeholder>
          </w:sdtPr>
          <w:sdtContent>
            <w:tc>
              <w:tcPr>
                <w:tcW w:w="1782" w:type="dxa"/>
                <w:tcBorders>
                  <w:top w:val="single" w:sz="4" w:space="0" w:color="auto"/>
                  <w:left w:val="single" w:sz="4" w:space="0" w:color="auto"/>
                  <w:bottom w:val="single" w:sz="4" w:space="0" w:color="auto"/>
                  <w:right w:val="single" w:sz="4" w:space="0" w:color="auto"/>
                </w:tcBorders>
                <w:hideMark/>
              </w:tcPr>
              <w:p w14:paraId="2FE1E767" w14:textId="77777777" w:rsidR="003A4529" w:rsidRDefault="003A4529">
                <w:pPr>
                  <w:spacing w:line="276" w:lineRule="auto"/>
                  <w:rPr>
                    <w:rFonts w:ascii="Times New Roman" w:hAnsi="Times New Roman" w:cs="Times New Roman"/>
                    <w:sz w:val="18"/>
                    <w:szCs w:val="18"/>
                  </w:rPr>
                </w:pPr>
                <w:proofErr w:type="spellStart"/>
                <w:r>
                  <w:rPr>
                    <w:rFonts w:ascii="Times New Roman" w:hAnsi="Times New Roman" w:cs="Times New Roman"/>
                    <w:sz w:val="18"/>
                    <w:szCs w:val="18"/>
                  </w:rPr>
                  <w:t>Zanzottera</w:t>
                </w:r>
                <w:proofErr w:type="spellEnd"/>
                <w:r>
                  <w:rPr>
                    <w:rFonts w:ascii="Times New Roman" w:hAnsi="Times New Roman" w:cs="Times New Roman"/>
                    <w:sz w:val="18"/>
                    <w:szCs w:val="18"/>
                  </w:rPr>
                  <w:t xml:space="preserve"> eta </w:t>
                </w:r>
                <w:proofErr w:type="gramStart"/>
                <w:r>
                  <w:rPr>
                    <w:rFonts w:ascii="Times New Roman" w:hAnsi="Times New Roman" w:cs="Times New Roman"/>
                    <w:sz w:val="18"/>
                    <w:szCs w:val="18"/>
                  </w:rPr>
                  <w:t>al[</w:t>
                </w:r>
                <w:proofErr w:type="gramEnd"/>
                <w:r>
                  <w:rPr>
                    <w:rFonts w:ascii="Times New Roman" w:hAnsi="Times New Roman" w:cs="Times New Roman"/>
                    <w:sz w:val="18"/>
                    <w:szCs w:val="18"/>
                  </w:rPr>
                  <w:t>45]</w:t>
                </w:r>
              </w:p>
            </w:tc>
          </w:sdtContent>
        </w:sdt>
        <w:tc>
          <w:tcPr>
            <w:tcW w:w="462" w:type="dxa"/>
            <w:tcBorders>
              <w:top w:val="single" w:sz="4" w:space="0" w:color="auto"/>
              <w:left w:val="single" w:sz="4" w:space="0" w:color="auto"/>
              <w:bottom w:val="single" w:sz="4" w:space="0" w:color="auto"/>
              <w:right w:val="single" w:sz="4" w:space="0" w:color="auto"/>
            </w:tcBorders>
            <w:hideMark/>
          </w:tcPr>
          <w:p w14:paraId="08771A5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53" w:type="dxa"/>
            <w:tcBorders>
              <w:top w:val="single" w:sz="4" w:space="0" w:color="auto"/>
              <w:left w:val="single" w:sz="4" w:space="0" w:color="auto"/>
              <w:bottom w:val="single" w:sz="4" w:space="0" w:color="auto"/>
              <w:right w:val="single" w:sz="4" w:space="0" w:color="auto"/>
            </w:tcBorders>
            <w:hideMark/>
          </w:tcPr>
          <w:p w14:paraId="5C3A066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36" w:type="dxa"/>
            <w:tcBorders>
              <w:top w:val="single" w:sz="4" w:space="0" w:color="auto"/>
              <w:left w:val="single" w:sz="4" w:space="0" w:color="auto"/>
              <w:bottom w:val="single" w:sz="4" w:space="0" w:color="auto"/>
              <w:right w:val="single" w:sz="4" w:space="0" w:color="auto"/>
            </w:tcBorders>
            <w:hideMark/>
          </w:tcPr>
          <w:p w14:paraId="39143087"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56966AB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638970E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96" w:type="dxa"/>
            <w:tcBorders>
              <w:top w:val="single" w:sz="4" w:space="0" w:color="auto"/>
              <w:left w:val="single" w:sz="4" w:space="0" w:color="auto"/>
              <w:bottom w:val="single" w:sz="4" w:space="0" w:color="auto"/>
              <w:right w:val="single" w:sz="4" w:space="0" w:color="auto"/>
            </w:tcBorders>
            <w:hideMark/>
          </w:tcPr>
          <w:p w14:paraId="2ABD607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6" w:type="dxa"/>
            <w:tcBorders>
              <w:top w:val="single" w:sz="4" w:space="0" w:color="auto"/>
              <w:left w:val="single" w:sz="4" w:space="0" w:color="auto"/>
              <w:bottom w:val="single" w:sz="4" w:space="0" w:color="auto"/>
              <w:right w:val="single" w:sz="4" w:space="0" w:color="auto"/>
            </w:tcBorders>
            <w:hideMark/>
          </w:tcPr>
          <w:p w14:paraId="3E2B0D4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96" w:type="dxa"/>
            <w:tcBorders>
              <w:top w:val="single" w:sz="4" w:space="0" w:color="auto"/>
              <w:left w:val="single" w:sz="4" w:space="0" w:color="auto"/>
              <w:bottom w:val="single" w:sz="4" w:space="0" w:color="auto"/>
              <w:right w:val="single" w:sz="4" w:space="0" w:color="auto"/>
            </w:tcBorders>
            <w:hideMark/>
          </w:tcPr>
          <w:p w14:paraId="14A81D6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26" w:type="dxa"/>
            <w:tcBorders>
              <w:top w:val="single" w:sz="4" w:space="0" w:color="auto"/>
              <w:left w:val="single" w:sz="4" w:space="0" w:color="auto"/>
              <w:bottom w:val="single" w:sz="4" w:space="0" w:color="auto"/>
              <w:right w:val="single" w:sz="4" w:space="0" w:color="auto"/>
            </w:tcBorders>
            <w:hideMark/>
          </w:tcPr>
          <w:p w14:paraId="107DBBE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173" w:type="dxa"/>
            <w:tcBorders>
              <w:top w:val="single" w:sz="4" w:space="0" w:color="auto"/>
              <w:left w:val="single" w:sz="4" w:space="0" w:color="auto"/>
              <w:bottom w:val="single" w:sz="4" w:space="0" w:color="auto"/>
              <w:right w:val="single" w:sz="4" w:space="0" w:color="auto"/>
            </w:tcBorders>
            <w:hideMark/>
          </w:tcPr>
          <w:p w14:paraId="429DAC6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613" w:type="dxa"/>
            <w:tcBorders>
              <w:top w:val="single" w:sz="4" w:space="0" w:color="auto"/>
              <w:left w:val="single" w:sz="4" w:space="0" w:color="auto"/>
              <w:bottom w:val="single" w:sz="4" w:space="0" w:color="auto"/>
              <w:right w:val="single" w:sz="4" w:space="0" w:color="auto"/>
            </w:tcBorders>
            <w:hideMark/>
          </w:tcPr>
          <w:p w14:paraId="35EC13C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9</w:t>
            </w:r>
          </w:p>
        </w:tc>
      </w:tr>
      <w:tr w:rsidR="003A4529" w14:paraId="65951E33"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2313A51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7.</w:t>
            </w:r>
          </w:p>
        </w:tc>
        <w:sdt>
          <w:sdtPr>
            <w:rPr>
              <w:rFonts w:ascii="Times New Roman" w:hAnsi="Times New Roman" w:cs="Times New Roman"/>
              <w:sz w:val="18"/>
              <w:szCs w:val="18"/>
            </w:rPr>
            <w:tag w:val="MENDELEY_CITATION_v3_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"/>
            <w:id w:val="1218477067"/>
            <w:placeholder>
              <w:docPart w:val="5A09CEF2C69D4F5B819431479C71FAA1"/>
            </w:placeholder>
          </w:sdtPr>
          <w:sdtContent>
            <w:tc>
              <w:tcPr>
                <w:tcW w:w="1782" w:type="dxa"/>
                <w:tcBorders>
                  <w:top w:val="single" w:sz="4" w:space="0" w:color="auto"/>
                  <w:left w:val="single" w:sz="4" w:space="0" w:color="auto"/>
                  <w:bottom w:val="single" w:sz="4" w:space="0" w:color="auto"/>
                  <w:right w:val="single" w:sz="4" w:space="0" w:color="auto"/>
                </w:tcBorders>
                <w:hideMark/>
              </w:tcPr>
              <w:p w14:paraId="43B1FA6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Bai et al. [46]</w:t>
                </w:r>
              </w:p>
            </w:tc>
          </w:sdtContent>
        </w:sdt>
        <w:tc>
          <w:tcPr>
            <w:tcW w:w="462" w:type="dxa"/>
            <w:tcBorders>
              <w:top w:val="single" w:sz="4" w:space="0" w:color="auto"/>
              <w:left w:val="single" w:sz="4" w:space="0" w:color="auto"/>
              <w:bottom w:val="single" w:sz="4" w:space="0" w:color="auto"/>
              <w:right w:val="single" w:sz="4" w:space="0" w:color="auto"/>
            </w:tcBorders>
            <w:hideMark/>
          </w:tcPr>
          <w:p w14:paraId="1DDF924A"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53" w:type="dxa"/>
            <w:tcBorders>
              <w:top w:val="single" w:sz="4" w:space="0" w:color="auto"/>
              <w:left w:val="single" w:sz="4" w:space="0" w:color="auto"/>
              <w:bottom w:val="single" w:sz="4" w:space="0" w:color="auto"/>
              <w:right w:val="single" w:sz="4" w:space="0" w:color="auto"/>
            </w:tcBorders>
            <w:hideMark/>
          </w:tcPr>
          <w:p w14:paraId="24FBF10F"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36" w:type="dxa"/>
            <w:tcBorders>
              <w:top w:val="single" w:sz="4" w:space="0" w:color="auto"/>
              <w:left w:val="single" w:sz="4" w:space="0" w:color="auto"/>
              <w:bottom w:val="single" w:sz="4" w:space="0" w:color="auto"/>
              <w:right w:val="single" w:sz="4" w:space="0" w:color="auto"/>
            </w:tcBorders>
            <w:hideMark/>
          </w:tcPr>
          <w:p w14:paraId="705B8D8F"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0352A13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14003F0F"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96" w:type="dxa"/>
            <w:tcBorders>
              <w:top w:val="single" w:sz="4" w:space="0" w:color="auto"/>
              <w:left w:val="single" w:sz="4" w:space="0" w:color="auto"/>
              <w:bottom w:val="single" w:sz="4" w:space="0" w:color="auto"/>
              <w:right w:val="single" w:sz="4" w:space="0" w:color="auto"/>
            </w:tcBorders>
            <w:hideMark/>
          </w:tcPr>
          <w:p w14:paraId="687FE82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6" w:type="dxa"/>
            <w:tcBorders>
              <w:top w:val="single" w:sz="4" w:space="0" w:color="auto"/>
              <w:left w:val="single" w:sz="4" w:space="0" w:color="auto"/>
              <w:bottom w:val="single" w:sz="4" w:space="0" w:color="auto"/>
              <w:right w:val="single" w:sz="4" w:space="0" w:color="auto"/>
            </w:tcBorders>
            <w:hideMark/>
          </w:tcPr>
          <w:p w14:paraId="0DF94E5A"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96" w:type="dxa"/>
            <w:tcBorders>
              <w:top w:val="single" w:sz="4" w:space="0" w:color="auto"/>
              <w:left w:val="single" w:sz="4" w:space="0" w:color="auto"/>
              <w:bottom w:val="single" w:sz="4" w:space="0" w:color="auto"/>
              <w:right w:val="single" w:sz="4" w:space="0" w:color="auto"/>
            </w:tcBorders>
            <w:hideMark/>
          </w:tcPr>
          <w:p w14:paraId="303F78AF"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26" w:type="dxa"/>
            <w:tcBorders>
              <w:top w:val="single" w:sz="4" w:space="0" w:color="auto"/>
              <w:left w:val="single" w:sz="4" w:space="0" w:color="auto"/>
              <w:bottom w:val="single" w:sz="4" w:space="0" w:color="auto"/>
              <w:right w:val="single" w:sz="4" w:space="0" w:color="auto"/>
            </w:tcBorders>
            <w:hideMark/>
          </w:tcPr>
          <w:p w14:paraId="0E05AEF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173" w:type="dxa"/>
            <w:tcBorders>
              <w:top w:val="single" w:sz="4" w:space="0" w:color="auto"/>
              <w:left w:val="single" w:sz="4" w:space="0" w:color="auto"/>
              <w:bottom w:val="single" w:sz="4" w:space="0" w:color="auto"/>
              <w:right w:val="single" w:sz="4" w:space="0" w:color="auto"/>
            </w:tcBorders>
            <w:hideMark/>
          </w:tcPr>
          <w:p w14:paraId="0B14ED1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613" w:type="dxa"/>
            <w:tcBorders>
              <w:top w:val="single" w:sz="4" w:space="0" w:color="auto"/>
              <w:left w:val="single" w:sz="4" w:space="0" w:color="auto"/>
              <w:bottom w:val="single" w:sz="4" w:space="0" w:color="auto"/>
              <w:right w:val="single" w:sz="4" w:space="0" w:color="auto"/>
            </w:tcBorders>
            <w:hideMark/>
          </w:tcPr>
          <w:p w14:paraId="3CD8D5F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9</w:t>
            </w:r>
          </w:p>
        </w:tc>
      </w:tr>
      <w:tr w:rsidR="003A4529" w14:paraId="5FFC3464"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24B4709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8.</w:t>
            </w:r>
          </w:p>
        </w:tc>
        <w:sdt>
          <w:sdtPr>
            <w:rPr>
              <w:rFonts w:ascii="Times New Roman" w:hAnsi="Times New Roman" w:cs="Times New Roman"/>
              <w:sz w:val="18"/>
              <w:szCs w:val="18"/>
            </w:rPr>
            <w:tag w:val="MENDELEY_CITATION_v3_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"/>
            <w:id w:val="1540933513"/>
            <w:placeholder>
              <w:docPart w:val="5A09CEF2C69D4F5B819431479C71FAA1"/>
            </w:placeholder>
          </w:sdtPr>
          <w:sdtContent>
            <w:tc>
              <w:tcPr>
                <w:tcW w:w="1782" w:type="dxa"/>
                <w:tcBorders>
                  <w:top w:val="single" w:sz="4" w:space="0" w:color="auto"/>
                  <w:left w:val="single" w:sz="4" w:space="0" w:color="auto"/>
                  <w:bottom w:val="single" w:sz="4" w:space="0" w:color="auto"/>
                  <w:right w:val="single" w:sz="4" w:space="0" w:color="auto"/>
                </w:tcBorders>
                <w:hideMark/>
              </w:tcPr>
              <w:p w14:paraId="394FC6BE" w14:textId="77777777" w:rsidR="003A4529" w:rsidRDefault="003A4529">
                <w:pPr>
                  <w:spacing w:line="276" w:lineRule="auto"/>
                  <w:rPr>
                    <w:rFonts w:ascii="Times New Roman" w:hAnsi="Times New Roman" w:cs="Times New Roman"/>
                    <w:sz w:val="18"/>
                    <w:szCs w:val="18"/>
                  </w:rPr>
                </w:pPr>
                <w:proofErr w:type="spellStart"/>
                <w:r>
                  <w:rPr>
                    <w:rFonts w:ascii="Times New Roman" w:hAnsi="Times New Roman" w:cs="Times New Roman"/>
                    <w:sz w:val="18"/>
                    <w:szCs w:val="18"/>
                  </w:rPr>
                  <w:t>Oderinlo</w:t>
                </w:r>
                <w:proofErr w:type="spellEnd"/>
                <w:r>
                  <w:rPr>
                    <w:rFonts w:ascii="Times New Roman" w:hAnsi="Times New Roman" w:cs="Times New Roman"/>
                    <w:sz w:val="18"/>
                    <w:szCs w:val="18"/>
                  </w:rPr>
                  <w:t xml:space="preserve"> et al. [48]</w:t>
                </w:r>
              </w:p>
            </w:tc>
          </w:sdtContent>
        </w:sdt>
        <w:tc>
          <w:tcPr>
            <w:tcW w:w="462" w:type="dxa"/>
            <w:tcBorders>
              <w:top w:val="single" w:sz="4" w:space="0" w:color="auto"/>
              <w:left w:val="single" w:sz="4" w:space="0" w:color="auto"/>
              <w:bottom w:val="single" w:sz="4" w:space="0" w:color="auto"/>
              <w:right w:val="single" w:sz="4" w:space="0" w:color="auto"/>
            </w:tcBorders>
            <w:hideMark/>
          </w:tcPr>
          <w:p w14:paraId="44882CD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53" w:type="dxa"/>
            <w:tcBorders>
              <w:top w:val="single" w:sz="4" w:space="0" w:color="auto"/>
              <w:left w:val="single" w:sz="4" w:space="0" w:color="auto"/>
              <w:bottom w:val="single" w:sz="4" w:space="0" w:color="auto"/>
              <w:right w:val="single" w:sz="4" w:space="0" w:color="auto"/>
            </w:tcBorders>
            <w:hideMark/>
          </w:tcPr>
          <w:p w14:paraId="372DB27D"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36" w:type="dxa"/>
            <w:tcBorders>
              <w:top w:val="single" w:sz="4" w:space="0" w:color="auto"/>
              <w:left w:val="single" w:sz="4" w:space="0" w:color="auto"/>
              <w:bottom w:val="single" w:sz="4" w:space="0" w:color="auto"/>
              <w:right w:val="single" w:sz="4" w:space="0" w:color="auto"/>
            </w:tcBorders>
            <w:hideMark/>
          </w:tcPr>
          <w:p w14:paraId="6F25329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011281C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3E098EAD"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96" w:type="dxa"/>
            <w:tcBorders>
              <w:top w:val="single" w:sz="4" w:space="0" w:color="auto"/>
              <w:left w:val="single" w:sz="4" w:space="0" w:color="auto"/>
              <w:bottom w:val="single" w:sz="4" w:space="0" w:color="auto"/>
              <w:right w:val="single" w:sz="4" w:space="0" w:color="auto"/>
            </w:tcBorders>
            <w:hideMark/>
          </w:tcPr>
          <w:p w14:paraId="0FB3657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6" w:type="dxa"/>
            <w:tcBorders>
              <w:top w:val="single" w:sz="4" w:space="0" w:color="auto"/>
              <w:left w:val="single" w:sz="4" w:space="0" w:color="auto"/>
              <w:bottom w:val="single" w:sz="4" w:space="0" w:color="auto"/>
              <w:right w:val="single" w:sz="4" w:space="0" w:color="auto"/>
            </w:tcBorders>
            <w:hideMark/>
          </w:tcPr>
          <w:p w14:paraId="7047F9F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96" w:type="dxa"/>
            <w:tcBorders>
              <w:top w:val="single" w:sz="4" w:space="0" w:color="auto"/>
              <w:left w:val="single" w:sz="4" w:space="0" w:color="auto"/>
              <w:bottom w:val="single" w:sz="4" w:space="0" w:color="auto"/>
              <w:right w:val="single" w:sz="4" w:space="0" w:color="auto"/>
            </w:tcBorders>
            <w:hideMark/>
          </w:tcPr>
          <w:p w14:paraId="144C747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26" w:type="dxa"/>
            <w:tcBorders>
              <w:top w:val="single" w:sz="4" w:space="0" w:color="auto"/>
              <w:left w:val="single" w:sz="4" w:space="0" w:color="auto"/>
              <w:bottom w:val="single" w:sz="4" w:space="0" w:color="auto"/>
              <w:right w:val="single" w:sz="4" w:space="0" w:color="auto"/>
            </w:tcBorders>
            <w:hideMark/>
          </w:tcPr>
          <w:p w14:paraId="541D7C1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173" w:type="dxa"/>
            <w:tcBorders>
              <w:top w:val="single" w:sz="4" w:space="0" w:color="auto"/>
              <w:left w:val="single" w:sz="4" w:space="0" w:color="auto"/>
              <w:bottom w:val="single" w:sz="4" w:space="0" w:color="auto"/>
              <w:right w:val="single" w:sz="4" w:space="0" w:color="auto"/>
            </w:tcBorders>
            <w:hideMark/>
          </w:tcPr>
          <w:p w14:paraId="0A2F077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613" w:type="dxa"/>
            <w:tcBorders>
              <w:top w:val="single" w:sz="4" w:space="0" w:color="auto"/>
              <w:left w:val="single" w:sz="4" w:space="0" w:color="auto"/>
              <w:bottom w:val="single" w:sz="4" w:space="0" w:color="auto"/>
              <w:right w:val="single" w:sz="4" w:space="0" w:color="auto"/>
            </w:tcBorders>
            <w:hideMark/>
          </w:tcPr>
          <w:p w14:paraId="493DB95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9</w:t>
            </w:r>
          </w:p>
        </w:tc>
      </w:tr>
      <w:tr w:rsidR="003A4529" w14:paraId="26EA75A6"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6972CED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9.</w:t>
            </w:r>
          </w:p>
        </w:tc>
        <w:sdt>
          <w:sdtPr>
            <w:rPr>
              <w:rFonts w:ascii="Times New Roman" w:hAnsi="Times New Roman" w:cs="Times New Roman"/>
              <w:sz w:val="18"/>
              <w:szCs w:val="18"/>
            </w:rPr>
            <w:tag w:val="MENDELEY_CITATION_v3_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"/>
            <w:id w:val="590125192"/>
            <w:placeholder>
              <w:docPart w:val="5A09CEF2C69D4F5B819431479C71FAA1"/>
            </w:placeholder>
          </w:sdtPr>
          <w:sdtContent>
            <w:tc>
              <w:tcPr>
                <w:tcW w:w="1782" w:type="dxa"/>
                <w:tcBorders>
                  <w:top w:val="single" w:sz="4" w:space="0" w:color="auto"/>
                  <w:left w:val="single" w:sz="4" w:space="0" w:color="auto"/>
                  <w:bottom w:val="single" w:sz="4" w:space="0" w:color="auto"/>
                  <w:right w:val="single" w:sz="4" w:space="0" w:color="auto"/>
                </w:tcBorders>
                <w:hideMark/>
              </w:tcPr>
              <w:p w14:paraId="7476319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Tabandeh et al [50]</w:t>
                </w:r>
              </w:p>
            </w:tc>
          </w:sdtContent>
        </w:sdt>
        <w:tc>
          <w:tcPr>
            <w:tcW w:w="462" w:type="dxa"/>
            <w:tcBorders>
              <w:top w:val="single" w:sz="4" w:space="0" w:color="auto"/>
              <w:left w:val="single" w:sz="4" w:space="0" w:color="auto"/>
              <w:bottom w:val="single" w:sz="4" w:space="0" w:color="auto"/>
              <w:right w:val="single" w:sz="4" w:space="0" w:color="auto"/>
            </w:tcBorders>
            <w:hideMark/>
          </w:tcPr>
          <w:p w14:paraId="7559A17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53" w:type="dxa"/>
            <w:tcBorders>
              <w:top w:val="single" w:sz="4" w:space="0" w:color="auto"/>
              <w:left w:val="single" w:sz="4" w:space="0" w:color="auto"/>
              <w:bottom w:val="single" w:sz="4" w:space="0" w:color="auto"/>
              <w:right w:val="single" w:sz="4" w:space="0" w:color="auto"/>
            </w:tcBorders>
            <w:hideMark/>
          </w:tcPr>
          <w:p w14:paraId="0A93EE7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36" w:type="dxa"/>
            <w:tcBorders>
              <w:top w:val="single" w:sz="4" w:space="0" w:color="auto"/>
              <w:left w:val="single" w:sz="4" w:space="0" w:color="auto"/>
              <w:bottom w:val="single" w:sz="4" w:space="0" w:color="auto"/>
              <w:right w:val="single" w:sz="4" w:space="0" w:color="auto"/>
            </w:tcBorders>
            <w:hideMark/>
          </w:tcPr>
          <w:p w14:paraId="6830AA97"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2E0D4EC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4F930B2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96" w:type="dxa"/>
            <w:tcBorders>
              <w:top w:val="single" w:sz="4" w:space="0" w:color="auto"/>
              <w:left w:val="single" w:sz="4" w:space="0" w:color="auto"/>
              <w:bottom w:val="single" w:sz="4" w:space="0" w:color="auto"/>
              <w:right w:val="single" w:sz="4" w:space="0" w:color="auto"/>
            </w:tcBorders>
            <w:hideMark/>
          </w:tcPr>
          <w:p w14:paraId="57204E4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6" w:type="dxa"/>
            <w:tcBorders>
              <w:top w:val="single" w:sz="4" w:space="0" w:color="auto"/>
              <w:left w:val="single" w:sz="4" w:space="0" w:color="auto"/>
              <w:bottom w:val="single" w:sz="4" w:space="0" w:color="auto"/>
              <w:right w:val="single" w:sz="4" w:space="0" w:color="auto"/>
            </w:tcBorders>
            <w:hideMark/>
          </w:tcPr>
          <w:p w14:paraId="0D67FBF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96" w:type="dxa"/>
            <w:tcBorders>
              <w:top w:val="single" w:sz="4" w:space="0" w:color="auto"/>
              <w:left w:val="single" w:sz="4" w:space="0" w:color="auto"/>
              <w:bottom w:val="single" w:sz="4" w:space="0" w:color="auto"/>
              <w:right w:val="single" w:sz="4" w:space="0" w:color="auto"/>
            </w:tcBorders>
            <w:hideMark/>
          </w:tcPr>
          <w:p w14:paraId="693939F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26" w:type="dxa"/>
            <w:tcBorders>
              <w:top w:val="single" w:sz="4" w:space="0" w:color="auto"/>
              <w:left w:val="single" w:sz="4" w:space="0" w:color="auto"/>
              <w:bottom w:val="single" w:sz="4" w:space="0" w:color="auto"/>
              <w:right w:val="single" w:sz="4" w:space="0" w:color="auto"/>
            </w:tcBorders>
            <w:hideMark/>
          </w:tcPr>
          <w:p w14:paraId="5370DA3F"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173" w:type="dxa"/>
            <w:tcBorders>
              <w:top w:val="single" w:sz="4" w:space="0" w:color="auto"/>
              <w:left w:val="single" w:sz="4" w:space="0" w:color="auto"/>
              <w:bottom w:val="single" w:sz="4" w:space="0" w:color="auto"/>
              <w:right w:val="single" w:sz="4" w:space="0" w:color="auto"/>
            </w:tcBorders>
            <w:hideMark/>
          </w:tcPr>
          <w:p w14:paraId="2B717AD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613" w:type="dxa"/>
            <w:tcBorders>
              <w:top w:val="single" w:sz="4" w:space="0" w:color="auto"/>
              <w:left w:val="single" w:sz="4" w:space="0" w:color="auto"/>
              <w:bottom w:val="single" w:sz="4" w:space="0" w:color="auto"/>
              <w:right w:val="single" w:sz="4" w:space="0" w:color="auto"/>
            </w:tcBorders>
            <w:hideMark/>
          </w:tcPr>
          <w:p w14:paraId="3B82E07A"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9</w:t>
            </w:r>
          </w:p>
        </w:tc>
      </w:tr>
      <w:tr w:rsidR="003A4529" w14:paraId="0E27750A"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0BB0262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10.</w:t>
            </w:r>
          </w:p>
        </w:tc>
        <w:sdt>
          <w:sdtPr>
            <w:rPr>
              <w:rFonts w:ascii="Times New Roman" w:hAnsi="Times New Roman" w:cs="Times New Roman"/>
              <w:sz w:val="18"/>
              <w:szCs w:val="18"/>
            </w:rPr>
            <w:tag w:val="MENDELEY_CITATION_v3_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"/>
            <w:id w:val="-1765685153"/>
            <w:placeholder>
              <w:docPart w:val="5A09CEF2C69D4F5B819431479C71FAA1"/>
            </w:placeholder>
          </w:sdtPr>
          <w:sdtContent>
            <w:tc>
              <w:tcPr>
                <w:tcW w:w="1782" w:type="dxa"/>
                <w:tcBorders>
                  <w:top w:val="single" w:sz="4" w:space="0" w:color="auto"/>
                  <w:left w:val="single" w:sz="4" w:space="0" w:color="auto"/>
                  <w:bottom w:val="single" w:sz="4" w:space="0" w:color="auto"/>
                  <w:right w:val="single" w:sz="4" w:space="0" w:color="auto"/>
                </w:tcBorders>
                <w:hideMark/>
              </w:tcPr>
              <w:p w14:paraId="7FB4F05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Elger-Moscovich et al [55]</w:t>
                </w:r>
              </w:p>
            </w:tc>
          </w:sdtContent>
        </w:sdt>
        <w:tc>
          <w:tcPr>
            <w:tcW w:w="462" w:type="dxa"/>
            <w:tcBorders>
              <w:top w:val="single" w:sz="4" w:space="0" w:color="auto"/>
              <w:left w:val="single" w:sz="4" w:space="0" w:color="auto"/>
              <w:bottom w:val="single" w:sz="4" w:space="0" w:color="auto"/>
              <w:right w:val="single" w:sz="4" w:space="0" w:color="auto"/>
            </w:tcBorders>
            <w:hideMark/>
          </w:tcPr>
          <w:p w14:paraId="5B747C8A"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53" w:type="dxa"/>
            <w:tcBorders>
              <w:top w:val="single" w:sz="4" w:space="0" w:color="auto"/>
              <w:left w:val="single" w:sz="4" w:space="0" w:color="auto"/>
              <w:bottom w:val="single" w:sz="4" w:space="0" w:color="auto"/>
              <w:right w:val="single" w:sz="4" w:space="0" w:color="auto"/>
            </w:tcBorders>
            <w:hideMark/>
          </w:tcPr>
          <w:p w14:paraId="1EDA92A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36" w:type="dxa"/>
            <w:tcBorders>
              <w:top w:val="single" w:sz="4" w:space="0" w:color="auto"/>
              <w:left w:val="single" w:sz="4" w:space="0" w:color="auto"/>
              <w:bottom w:val="single" w:sz="4" w:space="0" w:color="auto"/>
              <w:right w:val="single" w:sz="4" w:space="0" w:color="auto"/>
            </w:tcBorders>
            <w:hideMark/>
          </w:tcPr>
          <w:p w14:paraId="4237CB7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71851E5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1AEA03D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96" w:type="dxa"/>
            <w:tcBorders>
              <w:top w:val="single" w:sz="4" w:space="0" w:color="auto"/>
              <w:left w:val="single" w:sz="4" w:space="0" w:color="auto"/>
              <w:bottom w:val="single" w:sz="4" w:space="0" w:color="auto"/>
              <w:right w:val="single" w:sz="4" w:space="0" w:color="auto"/>
            </w:tcBorders>
            <w:hideMark/>
          </w:tcPr>
          <w:p w14:paraId="1EA1277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6" w:type="dxa"/>
            <w:tcBorders>
              <w:top w:val="single" w:sz="4" w:space="0" w:color="auto"/>
              <w:left w:val="single" w:sz="4" w:space="0" w:color="auto"/>
              <w:bottom w:val="single" w:sz="4" w:space="0" w:color="auto"/>
              <w:right w:val="single" w:sz="4" w:space="0" w:color="auto"/>
            </w:tcBorders>
            <w:hideMark/>
          </w:tcPr>
          <w:p w14:paraId="2774D9F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96" w:type="dxa"/>
            <w:tcBorders>
              <w:top w:val="single" w:sz="4" w:space="0" w:color="auto"/>
              <w:left w:val="single" w:sz="4" w:space="0" w:color="auto"/>
              <w:bottom w:val="single" w:sz="4" w:space="0" w:color="auto"/>
              <w:right w:val="single" w:sz="4" w:space="0" w:color="auto"/>
            </w:tcBorders>
            <w:hideMark/>
          </w:tcPr>
          <w:p w14:paraId="48DA1C9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26" w:type="dxa"/>
            <w:tcBorders>
              <w:top w:val="single" w:sz="4" w:space="0" w:color="auto"/>
              <w:left w:val="single" w:sz="4" w:space="0" w:color="auto"/>
              <w:bottom w:val="single" w:sz="4" w:space="0" w:color="auto"/>
              <w:right w:val="single" w:sz="4" w:space="0" w:color="auto"/>
            </w:tcBorders>
            <w:hideMark/>
          </w:tcPr>
          <w:p w14:paraId="72869F9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173" w:type="dxa"/>
            <w:tcBorders>
              <w:top w:val="single" w:sz="4" w:space="0" w:color="auto"/>
              <w:left w:val="single" w:sz="4" w:space="0" w:color="auto"/>
              <w:bottom w:val="single" w:sz="4" w:space="0" w:color="auto"/>
              <w:right w:val="single" w:sz="4" w:space="0" w:color="auto"/>
            </w:tcBorders>
            <w:hideMark/>
          </w:tcPr>
          <w:p w14:paraId="31A6726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613" w:type="dxa"/>
            <w:tcBorders>
              <w:top w:val="single" w:sz="4" w:space="0" w:color="auto"/>
              <w:left w:val="single" w:sz="4" w:space="0" w:color="auto"/>
              <w:bottom w:val="single" w:sz="4" w:space="0" w:color="auto"/>
              <w:right w:val="single" w:sz="4" w:space="0" w:color="auto"/>
            </w:tcBorders>
            <w:hideMark/>
          </w:tcPr>
          <w:p w14:paraId="597F929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9</w:t>
            </w:r>
          </w:p>
        </w:tc>
      </w:tr>
      <w:tr w:rsidR="003A4529" w14:paraId="1CDEB291"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1AC1AD5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11.</w:t>
            </w:r>
          </w:p>
        </w:tc>
        <w:sdt>
          <w:sdtPr>
            <w:rPr>
              <w:rFonts w:ascii="Times New Roman" w:hAnsi="Times New Roman" w:cs="Times New Roman"/>
              <w:sz w:val="18"/>
              <w:szCs w:val="18"/>
            </w:rPr>
            <w:tag w:val="MENDELEY_CITATION_v3_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"/>
            <w:id w:val="873813442"/>
            <w:placeholder>
              <w:docPart w:val="5A09CEF2C69D4F5B819431479C71FAA1"/>
            </w:placeholder>
          </w:sdtPr>
          <w:sdtContent>
            <w:tc>
              <w:tcPr>
                <w:tcW w:w="1782" w:type="dxa"/>
                <w:tcBorders>
                  <w:top w:val="single" w:sz="4" w:space="0" w:color="auto"/>
                  <w:left w:val="single" w:sz="4" w:space="0" w:color="auto"/>
                  <w:bottom w:val="single" w:sz="4" w:space="0" w:color="auto"/>
                  <w:right w:val="single" w:sz="4" w:space="0" w:color="auto"/>
                </w:tcBorders>
                <w:hideMark/>
              </w:tcPr>
              <w:p w14:paraId="1324B37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Li </w:t>
                </w:r>
                <w:proofErr w:type="gramStart"/>
                <w:r>
                  <w:rPr>
                    <w:rFonts w:ascii="Times New Roman" w:hAnsi="Times New Roman" w:cs="Times New Roman"/>
                    <w:sz w:val="18"/>
                    <w:szCs w:val="18"/>
                  </w:rPr>
                  <w:t>et al.[</w:t>
                </w:r>
                <w:proofErr w:type="gramEnd"/>
                <w:r>
                  <w:rPr>
                    <w:rFonts w:ascii="Times New Roman" w:hAnsi="Times New Roman" w:cs="Times New Roman"/>
                    <w:sz w:val="18"/>
                    <w:szCs w:val="18"/>
                  </w:rPr>
                  <w:t>56]</w:t>
                </w:r>
              </w:p>
            </w:tc>
          </w:sdtContent>
        </w:sdt>
        <w:tc>
          <w:tcPr>
            <w:tcW w:w="462" w:type="dxa"/>
            <w:tcBorders>
              <w:top w:val="single" w:sz="4" w:space="0" w:color="auto"/>
              <w:left w:val="single" w:sz="4" w:space="0" w:color="auto"/>
              <w:bottom w:val="single" w:sz="4" w:space="0" w:color="auto"/>
              <w:right w:val="single" w:sz="4" w:space="0" w:color="auto"/>
            </w:tcBorders>
            <w:hideMark/>
          </w:tcPr>
          <w:p w14:paraId="020668B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53" w:type="dxa"/>
            <w:tcBorders>
              <w:top w:val="single" w:sz="4" w:space="0" w:color="auto"/>
              <w:left w:val="single" w:sz="4" w:space="0" w:color="auto"/>
              <w:bottom w:val="single" w:sz="4" w:space="0" w:color="auto"/>
              <w:right w:val="single" w:sz="4" w:space="0" w:color="auto"/>
            </w:tcBorders>
            <w:hideMark/>
          </w:tcPr>
          <w:p w14:paraId="4AEB6DE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36" w:type="dxa"/>
            <w:tcBorders>
              <w:top w:val="single" w:sz="4" w:space="0" w:color="auto"/>
              <w:left w:val="single" w:sz="4" w:space="0" w:color="auto"/>
              <w:bottom w:val="single" w:sz="4" w:space="0" w:color="auto"/>
              <w:right w:val="single" w:sz="4" w:space="0" w:color="auto"/>
            </w:tcBorders>
            <w:hideMark/>
          </w:tcPr>
          <w:p w14:paraId="44E3E65A"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7608D45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4BC7496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96" w:type="dxa"/>
            <w:tcBorders>
              <w:top w:val="single" w:sz="4" w:space="0" w:color="auto"/>
              <w:left w:val="single" w:sz="4" w:space="0" w:color="auto"/>
              <w:bottom w:val="single" w:sz="4" w:space="0" w:color="auto"/>
              <w:right w:val="single" w:sz="4" w:space="0" w:color="auto"/>
            </w:tcBorders>
            <w:hideMark/>
          </w:tcPr>
          <w:p w14:paraId="3756C93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6" w:type="dxa"/>
            <w:tcBorders>
              <w:top w:val="single" w:sz="4" w:space="0" w:color="auto"/>
              <w:left w:val="single" w:sz="4" w:space="0" w:color="auto"/>
              <w:bottom w:val="single" w:sz="4" w:space="0" w:color="auto"/>
              <w:right w:val="single" w:sz="4" w:space="0" w:color="auto"/>
            </w:tcBorders>
            <w:hideMark/>
          </w:tcPr>
          <w:p w14:paraId="1771CE3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96" w:type="dxa"/>
            <w:tcBorders>
              <w:top w:val="single" w:sz="4" w:space="0" w:color="auto"/>
              <w:left w:val="single" w:sz="4" w:space="0" w:color="auto"/>
              <w:bottom w:val="single" w:sz="4" w:space="0" w:color="auto"/>
              <w:right w:val="single" w:sz="4" w:space="0" w:color="auto"/>
            </w:tcBorders>
            <w:hideMark/>
          </w:tcPr>
          <w:p w14:paraId="04011DA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26" w:type="dxa"/>
            <w:tcBorders>
              <w:top w:val="single" w:sz="4" w:space="0" w:color="auto"/>
              <w:left w:val="single" w:sz="4" w:space="0" w:color="auto"/>
              <w:bottom w:val="single" w:sz="4" w:space="0" w:color="auto"/>
              <w:right w:val="single" w:sz="4" w:space="0" w:color="auto"/>
            </w:tcBorders>
            <w:hideMark/>
          </w:tcPr>
          <w:p w14:paraId="39DA507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173" w:type="dxa"/>
            <w:tcBorders>
              <w:top w:val="single" w:sz="4" w:space="0" w:color="auto"/>
              <w:left w:val="single" w:sz="4" w:space="0" w:color="auto"/>
              <w:bottom w:val="single" w:sz="4" w:space="0" w:color="auto"/>
              <w:right w:val="single" w:sz="4" w:space="0" w:color="auto"/>
            </w:tcBorders>
            <w:hideMark/>
          </w:tcPr>
          <w:p w14:paraId="074D370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613" w:type="dxa"/>
            <w:tcBorders>
              <w:top w:val="single" w:sz="4" w:space="0" w:color="auto"/>
              <w:left w:val="single" w:sz="4" w:space="0" w:color="auto"/>
              <w:bottom w:val="single" w:sz="4" w:space="0" w:color="auto"/>
              <w:right w:val="single" w:sz="4" w:space="0" w:color="auto"/>
            </w:tcBorders>
            <w:hideMark/>
          </w:tcPr>
          <w:p w14:paraId="3843D21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9</w:t>
            </w:r>
          </w:p>
        </w:tc>
      </w:tr>
      <w:tr w:rsidR="003A4529" w14:paraId="39D1767B"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267516B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12. </w:t>
            </w:r>
          </w:p>
        </w:tc>
        <w:sdt>
          <w:sdtPr>
            <w:rPr>
              <w:rFonts w:ascii="Times New Roman" w:hAnsi="Times New Roman" w:cs="Times New Roman"/>
              <w:sz w:val="18"/>
              <w:szCs w:val="18"/>
            </w:rPr>
            <w:tag w:val="MENDELEY_CITATION_v3_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"/>
            <w:id w:val="1721476135"/>
            <w:placeholder>
              <w:docPart w:val="5A09CEF2C69D4F5B819431479C71FAA1"/>
            </w:placeholder>
          </w:sdtPr>
          <w:sdtContent>
            <w:tc>
              <w:tcPr>
                <w:tcW w:w="1782" w:type="dxa"/>
                <w:tcBorders>
                  <w:top w:val="single" w:sz="4" w:space="0" w:color="auto"/>
                  <w:left w:val="single" w:sz="4" w:space="0" w:color="auto"/>
                  <w:bottom w:val="single" w:sz="4" w:space="0" w:color="auto"/>
                  <w:right w:val="single" w:sz="4" w:space="0" w:color="auto"/>
                </w:tcBorders>
                <w:hideMark/>
              </w:tcPr>
              <w:p w14:paraId="74F5C44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Abdala-Caballero et al. [57]</w:t>
                </w:r>
              </w:p>
            </w:tc>
          </w:sdtContent>
        </w:sdt>
        <w:tc>
          <w:tcPr>
            <w:tcW w:w="462" w:type="dxa"/>
            <w:tcBorders>
              <w:top w:val="single" w:sz="4" w:space="0" w:color="auto"/>
              <w:left w:val="single" w:sz="4" w:space="0" w:color="auto"/>
              <w:bottom w:val="single" w:sz="4" w:space="0" w:color="auto"/>
              <w:right w:val="single" w:sz="4" w:space="0" w:color="auto"/>
            </w:tcBorders>
            <w:hideMark/>
          </w:tcPr>
          <w:p w14:paraId="1378729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253" w:type="dxa"/>
            <w:tcBorders>
              <w:top w:val="single" w:sz="4" w:space="0" w:color="auto"/>
              <w:left w:val="single" w:sz="4" w:space="0" w:color="auto"/>
              <w:bottom w:val="single" w:sz="4" w:space="0" w:color="auto"/>
              <w:right w:val="single" w:sz="4" w:space="0" w:color="auto"/>
            </w:tcBorders>
            <w:hideMark/>
          </w:tcPr>
          <w:p w14:paraId="0ED038AA"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36" w:type="dxa"/>
            <w:tcBorders>
              <w:top w:val="single" w:sz="4" w:space="0" w:color="auto"/>
              <w:left w:val="single" w:sz="4" w:space="0" w:color="auto"/>
              <w:bottom w:val="single" w:sz="4" w:space="0" w:color="auto"/>
              <w:right w:val="single" w:sz="4" w:space="0" w:color="auto"/>
            </w:tcBorders>
            <w:hideMark/>
          </w:tcPr>
          <w:p w14:paraId="651A7B4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43F7D1A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15337187"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96" w:type="dxa"/>
            <w:tcBorders>
              <w:top w:val="single" w:sz="4" w:space="0" w:color="auto"/>
              <w:left w:val="single" w:sz="4" w:space="0" w:color="auto"/>
              <w:bottom w:val="single" w:sz="4" w:space="0" w:color="auto"/>
              <w:right w:val="single" w:sz="4" w:space="0" w:color="auto"/>
            </w:tcBorders>
            <w:hideMark/>
          </w:tcPr>
          <w:p w14:paraId="71970ACD"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6" w:type="dxa"/>
            <w:tcBorders>
              <w:top w:val="single" w:sz="4" w:space="0" w:color="auto"/>
              <w:left w:val="single" w:sz="4" w:space="0" w:color="auto"/>
              <w:bottom w:val="single" w:sz="4" w:space="0" w:color="auto"/>
              <w:right w:val="single" w:sz="4" w:space="0" w:color="auto"/>
            </w:tcBorders>
            <w:hideMark/>
          </w:tcPr>
          <w:p w14:paraId="4A86549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96" w:type="dxa"/>
            <w:tcBorders>
              <w:top w:val="single" w:sz="4" w:space="0" w:color="auto"/>
              <w:left w:val="single" w:sz="4" w:space="0" w:color="auto"/>
              <w:bottom w:val="single" w:sz="4" w:space="0" w:color="auto"/>
              <w:right w:val="single" w:sz="4" w:space="0" w:color="auto"/>
            </w:tcBorders>
            <w:hideMark/>
          </w:tcPr>
          <w:p w14:paraId="1E689B2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26" w:type="dxa"/>
            <w:tcBorders>
              <w:top w:val="single" w:sz="4" w:space="0" w:color="auto"/>
              <w:left w:val="single" w:sz="4" w:space="0" w:color="auto"/>
              <w:bottom w:val="single" w:sz="4" w:space="0" w:color="auto"/>
              <w:right w:val="single" w:sz="4" w:space="0" w:color="auto"/>
            </w:tcBorders>
            <w:hideMark/>
          </w:tcPr>
          <w:p w14:paraId="2E14B64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173" w:type="dxa"/>
            <w:tcBorders>
              <w:top w:val="single" w:sz="4" w:space="0" w:color="auto"/>
              <w:left w:val="single" w:sz="4" w:space="0" w:color="auto"/>
              <w:bottom w:val="single" w:sz="4" w:space="0" w:color="auto"/>
              <w:right w:val="single" w:sz="4" w:space="0" w:color="auto"/>
            </w:tcBorders>
            <w:hideMark/>
          </w:tcPr>
          <w:p w14:paraId="6BA29C5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613" w:type="dxa"/>
            <w:tcBorders>
              <w:top w:val="single" w:sz="4" w:space="0" w:color="auto"/>
              <w:left w:val="single" w:sz="4" w:space="0" w:color="auto"/>
              <w:bottom w:val="single" w:sz="4" w:space="0" w:color="auto"/>
              <w:right w:val="single" w:sz="4" w:space="0" w:color="auto"/>
            </w:tcBorders>
            <w:hideMark/>
          </w:tcPr>
          <w:p w14:paraId="58546C7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9</w:t>
            </w:r>
          </w:p>
        </w:tc>
      </w:tr>
      <w:tr w:rsidR="003A4529" w14:paraId="2796995E"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33BB2C7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13. </w:t>
            </w:r>
          </w:p>
        </w:tc>
        <w:sdt>
          <w:sdtPr>
            <w:rPr>
              <w:rFonts w:ascii="Times New Roman" w:hAnsi="Times New Roman" w:cs="Times New Roman"/>
              <w:sz w:val="18"/>
              <w:szCs w:val="18"/>
            </w:rPr>
            <w:tag w:val="MENDELEY_CITATION_v3_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"/>
            <w:id w:val="1742606790"/>
            <w:placeholder>
              <w:docPart w:val="5A09CEF2C69D4F5B819431479C71FAA1"/>
            </w:placeholder>
          </w:sdtPr>
          <w:sdtContent>
            <w:tc>
              <w:tcPr>
                <w:tcW w:w="1782" w:type="dxa"/>
                <w:tcBorders>
                  <w:top w:val="single" w:sz="4" w:space="0" w:color="auto"/>
                  <w:left w:val="single" w:sz="4" w:space="0" w:color="auto"/>
                  <w:bottom w:val="single" w:sz="4" w:space="0" w:color="auto"/>
                  <w:right w:val="single" w:sz="4" w:space="0" w:color="auto"/>
                </w:tcBorders>
                <w:hideMark/>
              </w:tcPr>
              <w:p w14:paraId="2EA4CA2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Ghosh </w:t>
                </w:r>
                <w:proofErr w:type="gramStart"/>
                <w:r>
                  <w:rPr>
                    <w:rFonts w:ascii="Times New Roman" w:hAnsi="Times New Roman" w:cs="Times New Roman"/>
                    <w:sz w:val="18"/>
                    <w:szCs w:val="18"/>
                  </w:rPr>
                  <w:t>et al.[</w:t>
                </w:r>
                <w:proofErr w:type="gramEnd"/>
                <w:r>
                  <w:rPr>
                    <w:rFonts w:ascii="Times New Roman" w:hAnsi="Times New Roman" w:cs="Times New Roman"/>
                    <w:sz w:val="18"/>
                    <w:szCs w:val="18"/>
                  </w:rPr>
                  <w:t>58]</w:t>
                </w:r>
              </w:p>
            </w:tc>
          </w:sdtContent>
        </w:sdt>
        <w:tc>
          <w:tcPr>
            <w:tcW w:w="462" w:type="dxa"/>
            <w:tcBorders>
              <w:top w:val="single" w:sz="4" w:space="0" w:color="auto"/>
              <w:left w:val="single" w:sz="4" w:space="0" w:color="auto"/>
              <w:bottom w:val="single" w:sz="4" w:space="0" w:color="auto"/>
              <w:right w:val="single" w:sz="4" w:space="0" w:color="auto"/>
            </w:tcBorders>
            <w:hideMark/>
          </w:tcPr>
          <w:p w14:paraId="02EB677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53" w:type="dxa"/>
            <w:tcBorders>
              <w:top w:val="single" w:sz="4" w:space="0" w:color="auto"/>
              <w:left w:val="single" w:sz="4" w:space="0" w:color="auto"/>
              <w:bottom w:val="single" w:sz="4" w:space="0" w:color="auto"/>
              <w:right w:val="single" w:sz="4" w:space="0" w:color="auto"/>
            </w:tcBorders>
            <w:hideMark/>
          </w:tcPr>
          <w:p w14:paraId="1BEC6C3D"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36" w:type="dxa"/>
            <w:tcBorders>
              <w:top w:val="single" w:sz="4" w:space="0" w:color="auto"/>
              <w:left w:val="single" w:sz="4" w:space="0" w:color="auto"/>
              <w:bottom w:val="single" w:sz="4" w:space="0" w:color="auto"/>
              <w:right w:val="single" w:sz="4" w:space="0" w:color="auto"/>
            </w:tcBorders>
            <w:hideMark/>
          </w:tcPr>
          <w:p w14:paraId="5801224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3E8BC3A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12DE6FD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96" w:type="dxa"/>
            <w:tcBorders>
              <w:top w:val="single" w:sz="4" w:space="0" w:color="auto"/>
              <w:left w:val="single" w:sz="4" w:space="0" w:color="auto"/>
              <w:bottom w:val="single" w:sz="4" w:space="0" w:color="auto"/>
              <w:right w:val="single" w:sz="4" w:space="0" w:color="auto"/>
            </w:tcBorders>
            <w:hideMark/>
          </w:tcPr>
          <w:p w14:paraId="7A7509C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6" w:type="dxa"/>
            <w:tcBorders>
              <w:top w:val="single" w:sz="4" w:space="0" w:color="auto"/>
              <w:left w:val="single" w:sz="4" w:space="0" w:color="auto"/>
              <w:bottom w:val="single" w:sz="4" w:space="0" w:color="auto"/>
              <w:right w:val="single" w:sz="4" w:space="0" w:color="auto"/>
            </w:tcBorders>
            <w:hideMark/>
          </w:tcPr>
          <w:p w14:paraId="770426F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96" w:type="dxa"/>
            <w:tcBorders>
              <w:top w:val="single" w:sz="4" w:space="0" w:color="auto"/>
              <w:left w:val="single" w:sz="4" w:space="0" w:color="auto"/>
              <w:bottom w:val="single" w:sz="4" w:space="0" w:color="auto"/>
              <w:right w:val="single" w:sz="4" w:space="0" w:color="auto"/>
            </w:tcBorders>
            <w:hideMark/>
          </w:tcPr>
          <w:p w14:paraId="7558140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26" w:type="dxa"/>
            <w:tcBorders>
              <w:top w:val="single" w:sz="4" w:space="0" w:color="auto"/>
              <w:left w:val="single" w:sz="4" w:space="0" w:color="auto"/>
              <w:bottom w:val="single" w:sz="4" w:space="0" w:color="auto"/>
              <w:right w:val="single" w:sz="4" w:space="0" w:color="auto"/>
            </w:tcBorders>
            <w:hideMark/>
          </w:tcPr>
          <w:p w14:paraId="4F04DD8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173" w:type="dxa"/>
            <w:tcBorders>
              <w:top w:val="single" w:sz="4" w:space="0" w:color="auto"/>
              <w:left w:val="single" w:sz="4" w:space="0" w:color="auto"/>
              <w:bottom w:val="single" w:sz="4" w:space="0" w:color="auto"/>
              <w:right w:val="single" w:sz="4" w:space="0" w:color="auto"/>
            </w:tcBorders>
            <w:hideMark/>
          </w:tcPr>
          <w:p w14:paraId="08B2880A"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613" w:type="dxa"/>
            <w:tcBorders>
              <w:top w:val="single" w:sz="4" w:space="0" w:color="auto"/>
              <w:left w:val="single" w:sz="4" w:space="0" w:color="auto"/>
              <w:bottom w:val="single" w:sz="4" w:space="0" w:color="auto"/>
              <w:right w:val="single" w:sz="4" w:space="0" w:color="auto"/>
            </w:tcBorders>
            <w:hideMark/>
          </w:tcPr>
          <w:p w14:paraId="4419A9DF"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9</w:t>
            </w:r>
          </w:p>
        </w:tc>
      </w:tr>
      <w:tr w:rsidR="003A4529" w14:paraId="30F1A83C"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57867E5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14. </w:t>
            </w:r>
          </w:p>
        </w:tc>
        <w:sdt>
          <w:sdtPr>
            <w:rPr>
              <w:rFonts w:ascii="Times New Roman" w:hAnsi="Times New Roman" w:cs="Times New Roman"/>
              <w:sz w:val="18"/>
              <w:szCs w:val="18"/>
            </w:rPr>
            <w:tag w:val="MENDELEY_CITATION_v3_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"/>
            <w:id w:val="1413664574"/>
            <w:placeholder>
              <w:docPart w:val="5A09CEF2C69D4F5B819431479C71FAA1"/>
            </w:placeholder>
          </w:sdtPr>
          <w:sdtContent>
            <w:tc>
              <w:tcPr>
                <w:tcW w:w="1782" w:type="dxa"/>
                <w:tcBorders>
                  <w:top w:val="single" w:sz="4" w:space="0" w:color="auto"/>
                  <w:left w:val="single" w:sz="4" w:space="0" w:color="auto"/>
                  <w:bottom w:val="single" w:sz="4" w:space="0" w:color="auto"/>
                  <w:right w:val="single" w:sz="4" w:space="0" w:color="auto"/>
                </w:tcBorders>
                <w:hideMark/>
              </w:tcPr>
              <w:p w14:paraId="5DA8DB17"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Kumar et al. [59]</w:t>
                </w:r>
              </w:p>
            </w:tc>
          </w:sdtContent>
        </w:sdt>
        <w:tc>
          <w:tcPr>
            <w:tcW w:w="462" w:type="dxa"/>
            <w:tcBorders>
              <w:top w:val="single" w:sz="4" w:space="0" w:color="auto"/>
              <w:left w:val="single" w:sz="4" w:space="0" w:color="auto"/>
              <w:bottom w:val="single" w:sz="4" w:space="0" w:color="auto"/>
              <w:right w:val="single" w:sz="4" w:space="0" w:color="auto"/>
            </w:tcBorders>
            <w:hideMark/>
          </w:tcPr>
          <w:p w14:paraId="31E9F04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53" w:type="dxa"/>
            <w:tcBorders>
              <w:top w:val="single" w:sz="4" w:space="0" w:color="auto"/>
              <w:left w:val="single" w:sz="4" w:space="0" w:color="auto"/>
              <w:bottom w:val="single" w:sz="4" w:space="0" w:color="auto"/>
              <w:right w:val="single" w:sz="4" w:space="0" w:color="auto"/>
            </w:tcBorders>
            <w:hideMark/>
          </w:tcPr>
          <w:p w14:paraId="76B29A7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36" w:type="dxa"/>
            <w:tcBorders>
              <w:top w:val="single" w:sz="4" w:space="0" w:color="auto"/>
              <w:left w:val="single" w:sz="4" w:space="0" w:color="auto"/>
              <w:bottom w:val="single" w:sz="4" w:space="0" w:color="auto"/>
              <w:right w:val="single" w:sz="4" w:space="0" w:color="auto"/>
            </w:tcBorders>
            <w:hideMark/>
          </w:tcPr>
          <w:p w14:paraId="3CDDCC6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23F79CB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6D4386F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96" w:type="dxa"/>
            <w:tcBorders>
              <w:top w:val="single" w:sz="4" w:space="0" w:color="auto"/>
              <w:left w:val="single" w:sz="4" w:space="0" w:color="auto"/>
              <w:bottom w:val="single" w:sz="4" w:space="0" w:color="auto"/>
              <w:right w:val="single" w:sz="4" w:space="0" w:color="auto"/>
            </w:tcBorders>
            <w:hideMark/>
          </w:tcPr>
          <w:p w14:paraId="529CDEC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6" w:type="dxa"/>
            <w:tcBorders>
              <w:top w:val="single" w:sz="4" w:space="0" w:color="auto"/>
              <w:left w:val="single" w:sz="4" w:space="0" w:color="auto"/>
              <w:bottom w:val="single" w:sz="4" w:space="0" w:color="auto"/>
              <w:right w:val="single" w:sz="4" w:space="0" w:color="auto"/>
            </w:tcBorders>
            <w:hideMark/>
          </w:tcPr>
          <w:p w14:paraId="671B9C0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96" w:type="dxa"/>
            <w:tcBorders>
              <w:top w:val="single" w:sz="4" w:space="0" w:color="auto"/>
              <w:left w:val="single" w:sz="4" w:space="0" w:color="auto"/>
              <w:bottom w:val="single" w:sz="4" w:space="0" w:color="auto"/>
              <w:right w:val="single" w:sz="4" w:space="0" w:color="auto"/>
            </w:tcBorders>
            <w:hideMark/>
          </w:tcPr>
          <w:p w14:paraId="293CF48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26" w:type="dxa"/>
            <w:tcBorders>
              <w:top w:val="single" w:sz="4" w:space="0" w:color="auto"/>
              <w:left w:val="single" w:sz="4" w:space="0" w:color="auto"/>
              <w:bottom w:val="single" w:sz="4" w:space="0" w:color="auto"/>
              <w:right w:val="single" w:sz="4" w:space="0" w:color="auto"/>
            </w:tcBorders>
            <w:hideMark/>
          </w:tcPr>
          <w:p w14:paraId="227CFBC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173" w:type="dxa"/>
            <w:tcBorders>
              <w:top w:val="single" w:sz="4" w:space="0" w:color="auto"/>
              <w:left w:val="single" w:sz="4" w:space="0" w:color="auto"/>
              <w:bottom w:val="single" w:sz="4" w:space="0" w:color="auto"/>
              <w:right w:val="single" w:sz="4" w:space="0" w:color="auto"/>
            </w:tcBorders>
            <w:hideMark/>
          </w:tcPr>
          <w:p w14:paraId="2FD34E3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613" w:type="dxa"/>
            <w:tcBorders>
              <w:top w:val="single" w:sz="4" w:space="0" w:color="auto"/>
              <w:left w:val="single" w:sz="4" w:space="0" w:color="auto"/>
              <w:bottom w:val="single" w:sz="4" w:space="0" w:color="auto"/>
              <w:right w:val="single" w:sz="4" w:space="0" w:color="auto"/>
            </w:tcBorders>
            <w:hideMark/>
          </w:tcPr>
          <w:p w14:paraId="586B8C4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9</w:t>
            </w:r>
          </w:p>
        </w:tc>
      </w:tr>
      <w:tr w:rsidR="003A4529" w14:paraId="12A76CDB"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41CFC5D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15. </w:t>
            </w:r>
          </w:p>
        </w:tc>
        <w:sdt>
          <w:sdtPr>
            <w:rPr>
              <w:rFonts w:ascii="Times New Roman" w:hAnsi="Times New Roman" w:cs="Times New Roman"/>
              <w:sz w:val="18"/>
              <w:szCs w:val="18"/>
            </w:rPr>
            <w:tag w:val="MENDELEY_CITATION_v3_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"/>
            <w:id w:val="1195956747"/>
            <w:placeholder>
              <w:docPart w:val="5A09CEF2C69D4F5B819431479C71FAA1"/>
            </w:placeholder>
          </w:sdtPr>
          <w:sdtContent>
            <w:tc>
              <w:tcPr>
                <w:tcW w:w="1782" w:type="dxa"/>
                <w:tcBorders>
                  <w:top w:val="single" w:sz="4" w:space="0" w:color="auto"/>
                  <w:left w:val="single" w:sz="4" w:space="0" w:color="auto"/>
                  <w:bottom w:val="single" w:sz="4" w:space="0" w:color="auto"/>
                  <w:right w:val="single" w:sz="4" w:space="0" w:color="auto"/>
                </w:tcBorders>
                <w:hideMark/>
              </w:tcPr>
              <w:p w14:paraId="5AE66E6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Schwartz et al. [60]</w:t>
                </w:r>
              </w:p>
            </w:tc>
          </w:sdtContent>
        </w:sdt>
        <w:tc>
          <w:tcPr>
            <w:tcW w:w="462" w:type="dxa"/>
            <w:tcBorders>
              <w:top w:val="single" w:sz="4" w:space="0" w:color="auto"/>
              <w:left w:val="single" w:sz="4" w:space="0" w:color="auto"/>
              <w:bottom w:val="single" w:sz="4" w:space="0" w:color="auto"/>
              <w:right w:val="single" w:sz="4" w:space="0" w:color="auto"/>
            </w:tcBorders>
            <w:hideMark/>
          </w:tcPr>
          <w:p w14:paraId="55253077"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53" w:type="dxa"/>
            <w:tcBorders>
              <w:top w:val="single" w:sz="4" w:space="0" w:color="auto"/>
              <w:left w:val="single" w:sz="4" w:space="0" w:color="auto"/>
              <w:bottom w:val="single" w:sz="4" w:space="0" w:color="auto"/>
              <w:right w:val="single" w:sz="4" w:space="0" w:color="auto"/>
            </w:tcBorders>
            <w:hideMark/>
          </w:tcPr>
          <w:p w14:paraId="0EC12C0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36" w:type="dxa"/>
            <w:tcBorders>
              <w:top w:val="single" w:sz="4" w:space="0" w:color="auto"/>
              <w:left w:val="single" w:sz="4" w:space="0" w:color="auto"/>
              <w:bottom w:val="single" w:sz="4" w:space="0" w:color="auto"/>
              <w:right w:val="single" w:sz="4" w:space="0" w:color="auto"/>
            </w:tcBorders>
            <w:hideMark/>
          </w:tcPr>
          <w:p w14:paraId="23C310D7"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0D69CB1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2EA11A0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96" w:type="dxa"/>
            <w:tcBorders>
              <w:top w:val="single" w:sz="4" w:space="0" w:color="auto"/>
              <w:left w:val="single" w:sz="4" w:space="0" w:color="auto"/>
              <w:bottom w:val="single" w:sz="4" w:space="0" w:color="auto"/>
              <w:right w:val="single" w:sz="4" w:space="0" w:color="auto"/>
            </w:tcBorders>
            <w:hideMark/>
          </w:tcPr>
          <w:p w14:paraId="7570753A"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6" w:type="dxa"/>
            <w:tcBorders>
              <w:top w:val="single" w:sz="4" w:space="0" w:color="auto"/>
              <w:left w:val="single" w:sz="4" w:space="0" w:color="auto"/>
              <w:bottom w:val="single" w:sz="4" w:space="0" w:color="auto"/>
              <w:right w:val="single" w:sz="4" w:space="0" w:color="auto"/>
            </w:tcBorders>
            <w:hideMark/>
          </w:tcPr>
          <w:p w14:paraId="764E277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96" w:type="dxa"/>
            <w:tcBorders>
              <w:top w:val="single" w:sz="4" w:space="0" w:color="auto"/>
              <w:left w:val="single" w:sz="4" w:space="0" w:color="auto"/>
              <w:bottom w:val="single" w:sz="4" w:space="0" w:color="auto"/>
              <w:right w:val="single" w:sz="4" w:space="0" w:color="auto"/>
            </w:tcBorders>
            <w:hideMark/>
          </w:tcPr>
          <w:p w14:paraId="2F4D8BCD"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26" w:type="dxa"/>
            <w:tcBorders>
              <w:top w:val="single" w:sz="4" w:space="0" w:color="auto"/>
              <w:left w:val="single" w:sz="4" w:space="0" w:color="auto"/>
              <w:bottom w:val="single" w:sz="4" w:space="0" w:color="auto"/>
              <w:right w:val="single" w:sz="4" w:space="0" w:color="auto"/>
            </w:tcBorders>
            <w:hideMark/>
          </w:tcPr>
          <w:p w14:paraId="4CF9038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173" w:type="dxa"/>
            <w:tcBorders>
              <w:top w:val="single" w:sz="4" w:space="0" w:color="auto"/>
              <w:left w:val="single" w:sz="4" w:space="0" w:color="auto"/>
              <w:bottom w:val="single" w:sz="4" w:space="0" w:color="auto"/>
              <w:right w:val="single" w:sz="4" w:space="0" w:color="auto"/>
            </w:tcBorders>
            <w:hideMark/>
          </w:tcPr>
          <w:p w14:paraId="0809138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613" w:type="dxa"/>
            <w:tcBorders>
              <w:top w:val="single" w:sz="4" w:space="0" w:color="auto"/>
              <w:left w:val="single" w:sz="4" w:space="0" w:color="auto"/>
              <w:bottom w:val="single" w:sz="4" w:space="0" w:color="auto"/>
              <w:right w:val="single" w:sz="4" w:space="0" w:color="auto"/>
            </w:tcBorders>
            <w:hideMark/>
          </w:tcPr>
          <w:p w14:paraId="5F3F18CD"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9</w:t>
            </w:r>
          </w:p>
        </w:tc>
      </w:tr>
      <w:tr w:rsidR="003A4529" w14:paraId="384F9FB7"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3C07D51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16. </w:t>
            </w:r>
          </w:p>
        </w:tc>
        <w:sdt>
          <w:sdtPr>
            <w:rPr>
              <w:rFonts w:ascii="Times New Roman" w:hAnsi="Times New Roman" w:cs="Times New Roman"/>
              <w:sz w:val="18"/>
              <w:szCs w:val="18"/>
            </w:rPr>
            <w:tag w:val="MENDELEY_CITATION_v3_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"/>
            <w:id w:val="1792786276"/>
            <w:placeholder>
              <w:docPart w:val="5A09CEF2C69D4F5B819431479C71FAA1"/>
            </w:placeholder>
          </w:sdtPr>
          <w:sdtContent>
            <w:tc>
              <w:tcPr>
                <w:tcW w:w="1782" w:type="dxa"/>
                <w:tcBorders>
                  <w:top w:val="single" w:sz="4" w:space="0" w:color="auto"/>
                  <w:left w:val="single" w:sz="4" w:space="0" w:color="auto"/>
                  <w:bottom w:val="single" w:sz="4" w:space="0" w:color="auto"/>
                  <w:right w:val="single" w:sz="4" w:space="0" w:color="auto"/>
                </w:tcBorders>
                <w:hideMark/>
              </w:tcPr>
              <w:p w14:paraId="1387A54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Filippelli et al. [61]</w:t>
                </w:r>
              </w:p>
            </w:tc>
          </w:sdtContent>
        </w:sdt>
        <w:tc>
          <w:tcPr>
            <w:tcW w:w="462" w:type="dxa"/>
            <w:tcBorders>
              <w:top w:val="single" w:sz="4" w:space="0" w:color="auto"/>
              <w:left w:val="single" w:sz="4" w:space="0" w:color="auto"/>
              <w:bottom w:val="single" w:sz="4" w:space="0" w:color="auto"/>
              <w:right w:val="single" w:sz="4" w:space="0" w:color="auto"/>
            </w:tcBorders>
            <w:hideMark/>
          </w:tcPr>
          <w:p w14:paraId="55DC9CA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53" w:type="dxa"/>
            <w:tcBorders>
              <w:top w:val="single" w:sz="4" w:space="0" w:color="auto"/>
              <w:left w:val="single" w:sz="4" w:space="0" w:color="auto"/>
              <w:bottom w:val="single" w:sz="4" w:space="0" w:color="auto"/>
              <w:right w:val="single" w:sz="4" w:space="0" w:color="auto"/>
            </w:tcBorders>
            <w:hideMark/>
          </w:tcPr>
          <w:p w14:paraId="0B71FF1F"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36" w:type="dxa"/>
            <w:tcBorders>
              <w:top w:val="single" w:sz="4" w:space="0" w:color="auto"/>
              <w:left w:val="single" w:sz="4" w:space="0" w:color="auto"/>
              <w:bottom w:val="single" w:sz="4" w:space="0" w:color="auto"/>
              <w:right w:val="single" w:sz="4" w:space="0" w:color="auto"/>
            </w:tcBorders>
            <w:hideMark/>
          </w:tcPr>
          <w:p w14:paraId="2F54FCF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6A78514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24D25B8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96" w:type="dxa"/>
            <w:tcBorders>
              <w:top w:val="single" w:sz="4" w:space="0" w:color="auto"/>
              <w:left w:val="single" w:sz="4" w:space="0" w:color="auto"/>
              <w:bottom w:val="single" w:sz="4" w:space="0" w:color="auto"/>
              <w:right w:val="single" w:sz="4" w:space="0" w:color="auto"/>
            </w:tcBorders>
            <w:hideMark/>
          </w:tcPr>
          <w:p w14:paraId="350DD18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6" w:type="dxa"/>
            <w:tcBorders>
              <w:top w:val="single" w:sz="4" w:space="0" w:color="auto"/>
              <w:left w:val="single" w:sz="4" w:space="0" w:color="auto"/>
              <w:bottom w:val="single" w:sz="4" w:space="0" w:color="auto"/>
              <w:right w:val="single" w:sz="4" w:space="0" w:color="auto"/>
            </w:tcBorders>
            <w:hideMark/>
          </w:tcPr>
          <w:p w14:paraId="6E2C54E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96" w:type="dxa"/>
            <w:tcBorders>
              <w:top w:val="single" w:sz="4" w:space="0" w:color="auto"/>
              <w:left w:val="single" w:sz="4" w:space="0" w:color="auto"/>
              <w:bottom w:val="single" w:sz="4" w:space="0" w:color="auto"/>
              <w:right w:val="single" w:sz="4" w:space="0" w:color="auto"/>
            </w:tcBorders>
            <w:hideMark/>
          </w:tcPr>
          <w:p w14:paraId="35C1FD7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26" w:type="dxa"/>
            <w:tcBorders>
              <w:top w:val="single" w:sz="4" w:space="0" w:color="auto"/>
              <w:left w:val="single" w:sz="4" w:space="0" w:color="auto"/>
              <w:bottom w:val="single" w:sz="4" w:space="0" w:color="auto"/>
              <w:right w:val="single" w:sz="4" w:space="0" w:color="auto"/>
            </w:tcBorders>
            <w:hideMark/>
          </w:tcPr>
          <w:p w14:paraId="6E26305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173" w:type="dxa"/>
            <w:tcBorders>
              <w:top w:val="single" w:sz="4" w:space="0" w:color="auto"/>
              <w:left w:val="single" w:sz="4" w:space="0" w:color="auto"/>
              <w:bottom w:val="single" w:sz="4" w:space="0" w:color="auto"/>
              <w:right w:val="single" w:sz="4" w:space="0" w:color="auto"/>
            </w:tcBorders>
            <w:hideMark/>
          </w:tcPr>
          <w:p w14:paraId="4A18B56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613" w:type="dxa"/>
            <w:tcBorders>
              <w:top w:val="single" w:sz="4" w:space="0" w:color="auto"/>
              <w:left w:val="single" w:sz="4" w:space="0" w:color="auto"/>
              <w:bottom w:val="single" w:sz="4" w:space="0" w:color="auto"/>
              <w:right w:val="single" w:sz="4" w:space="0" w:color="auto"/>
            </w:tcBorders>
            <w:hideMark/>
          </w:tcPr>
          <w:p w14:paraId="30F4BEF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9</w:t>
            </w:r>
          </w:p>
        </w:tc>
      </w:tr>
      <w:tr w:rsidR="003A4529" w14:paraId="540F378B"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61AF04F9" w14:textId="77777777" w:rsidR="003A4529" w:rsidRDefault="003A4529">
            <w:pPr>
              <w:spacing w:line="276" w:lineRule="auto"/>
              <w:rPr>
                <w:rFonts w:ascii="Times New Roman" w:hAnsi="Times New Roman" w:cs="Times New Roman"/>
                <w:sz w:val="16"/>
                <w:szCs w:val="16"/>
              </w:rPr>
            </w:pPr>
            <w:r>
              <w:rPr>
                <w:rFonts w:ascii="Times New Roman" w:hAnsi="Times New Roman" w:cs="Times New Roman"/>
                <w:sz w:val="16"/>
                <w:szCs w:val="16"/>
              </w:rPr>
              <w:t xml:space="preserve">17. </w:t>
            </w:r>
          </w:p>
        </w:tc>
        <w:sdt>
          <w:sdtPr>
            <w:rPr>
              <w:rFonts w:ascii="Times New Roman" w:hAnsi="Times New Roman" w:cs="Times New Roman"/>
              <w:sz w:val="16"/>
              <w:szCs w:val="16"/>
            </w:rPr>
            <w:tag w:val="MENDELEY_CITATION_v3_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"/>
            <w:id w:val="-1636943318"/>
            <w:placeholder>
              <w:docPart w:val="BA8DA7D332654F24A6E4CD4AA3FCC110"/>
            </w:placeholder>
          </w:sdtPr>
          <w:sdtContent>
            <w:tc>
              <w:tcPr>
                <w:tcW w:w="1782" w:type="dxa"/>
                <w:tcBorders>
                  <w:top w:val="single" w:sz="4" w:space="0" w:color="auto"/>
                  <w:left w:val="single" w:sz="4" w:space="0" w:color="auto"/>
                  <w:bottom w:val="single" w:sz="4" w:space="0" w:color="auto"/>
                  <w:right w:val="single" w:sz="4" w:space="0" w:color="auto"/>
                </w:tcBorders>
                <w:hideMark/>
              </w:tcPr>
              <w:p w14:paraId="125EA7F7" w14:textId="77777777" w:rsidR="003A4529" w:rsidRDefault="003A4529">
                <w:pPr>
                  <w:spacing w:line="276" w:lineRule="auto"/>
                  <w:rPr>
                    <w:rFonts w:ascii="Times New Roman" w:hAnsi="Times New Roman" w:cs="Times New Roman"/>
                    <w:sz w:val="16"/>
                    <w:szCs w:val="16"/>
                  </w:rPr>
                </w:pPr>
                <w:r>
                  <w:rPr>
                    <w:rFonts w:ascii="Times New Roman" w:hAnsi="Times New Roman" w:cs="Times New Roman"/>
                    <w:sz w:val="16"/>
                    <w:szCs w:val="16"/>
                  </w:rPr>
                  <w:t xml:space="preserve">Christensen et al. </w:t>
                </w:r>
                <w:r>
                  <w:rPr>
                    <w:rFonts w:ascii="Times New Roman" w:eastAsia="Times New Roman" w:hAnsi="Times New Roman" w:cs="Times New Roman"/>
                    <w:sz w:val="18"/>
                    <w:szCs w:val="18"/>
                  </w:rPr>
                  <w:t>[62]</w:t>
                </w:r>
              </w:p>
            </w:tc>
          </w:sdtContent>
        </w:sdt>
        <w:tc>
          <w:tcPr>
            <w:tcW w:w="462" w:type="dxa"/>
            <w:tcBorders>
              <w:top w:val="single" w:sz="4" w:space="0" w:color="auto"/>
              <w:left w:val="single" w:sz="4" w:space="0" w:color="auto"/>
              <w:bottom w:val="single" w:sz="4" w:space="0" w:color="auto"/>
              <w:right w:val="single" w:sz="4" w:space="0" w:color="auto"/>
            </w:tcBorders>
            <w:hideMark/>
          </w:tcPr>
          <w:p w14:paraId="545E6A9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53" w:type="dxa"/>
            <w:tcBorders>
              <w:top w:val="single" w:sz="4" w:space="0" w:color="auto"/>
              <w:left w:val="single" w:sz="4" w:space="0" w:color="auto"/>
              <w:bottom w:val="single" w:sz="4" w:space="0" w:color="auto"/>
              <w:right w:val="single" w:sz="4" w:space="0" w:color="auto"/>
            </w:tcBorders>
            <w:hideMark/>
          </w:tcPr>
          <w:p w14:paraId="452C4E7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36" w:type="dxa"/>
            <w:tcBorders>
              <w:top w:val="single" w:sz="4" w:space="0" w:color="auto"/>
              <w:left w:val="single" w:sz="4" w:space="0" w:color="auto"/>
              <w:bottom w:val="single" w:sz="4" w:space="0" w:color="auto"/>
              <w:right w:val="single" w:sz="4" w:space="0" w:color="auto"/>
            </w:tcBorders>
            <w:hideMark/>
          </w:tcPr>
          <w:p w14:paraId="4FCA1D3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17D0A55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3A64084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96" w:type="dxa"/>
            <w:tcBorders>
              <w:top w:val="single" w:sz="4" w:space="0" w:color="auto"/>
              <w:left w:val="single" w:sz="4" w:space="0" w:color="auto"/>
              <w:bottom w:val="single" w:sz="4" w:space="0" w:color="auto"/>
              <w:right w:val="single" w:sz="4" w:space="0" w:color="auto"/>
            </w:tcBorders>
            <w:hideMark/>
          </w:tcPr>
          <w:p w14:paraId="2A9F119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6" w:type="dxa"/>
            <w:tcBorders>
              <w:top w:val="single" w:sz="4" w:space="0" w:color="auto"/>
              <w:left w:val="single" w:sz="4" w:space="0" w:color="auto"/>
              <w:bottom w:val="single" w:sz="4" w:space="0" w:color="auto"/>
              <w:right w:val="single" w:sz="4" w:space="0" w:color="auto"/>
            </w:tcBorders>
            <w:hideMark/>
          </w:tcPr>
          <w:p w14:paraId="3372C0B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96" w:type="dxa"/>
            <w:tcBorders>
              <w:top w:val="single" w:sz="4" w:space="0" w:color="auto"/>
              <w:left w:val="single" w:sz="4" w:space="0" w:color="auto"/>
              <w:bottom w:val="single" w:sz="4" w:space="0" w:color="auto"/>
              <w:right w:val="single" w:sz="4" w:space="0" w:color="auto"/>
            </w:tcBorders>
            <w:hideMark/>
          </w:tcPr>
          <w:p w14:paraId="54583E2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26" w:type="dxa"/>
            <w:tcBorders>
              <w:top w:val="single" w:sz="4" w:space="0" w:color="auto"/>
              <w:left w:val="single" w:sz="4" w:space="0" w:color="auto"/>
              <w:bottom w:val="single" w:sz="4" w:space="0" w:color="auto"/>
              <w:right w:val="single" w:sz="4" w:space="0" w:color="auto"/>
            </w:tcBorders>
            <w:hideMark/>
          </w:tcPr>
          <w:p w14:paraId="5854C91D"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173" w:type="dxa"/>
            <w:tcBorders>
              <w:top w:val="single" w:sz="4" w:space="0" w:color="auto"/>
              <w:left w:val="single" w:sz="4" w:space="0" w:color="auto"/>
              <w:bottom w:val="single" w:sz="4" w:space="0" w:color="auto"/>
              <w:right w:val="single" w:sz="4" w:space="0" w:color="auto"/>
            </w:tcBorders>
            <w:hideMark/>
          </w:tcPr>
          <w:p w14:paraId="47B435CD"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613" w:type="dxa"/>
            <w:tcBorders>
              <w:top w:val="single" w:sz="4" w:space="0" w:color="auto"/>
              <w:left w:val="single" w:sz="4" w:space="0" w:color="auto"/>
              <w:bottom w:val="single" w:sz="4" w:space="0" w:color="auto"/>
              <w:right w:val="single" w:sz="4" w:space="0" w:color="auto"/>
            </w:tcBorders>
            <w:hideMark/>
          </w:tcPr>
          <w:p w14:paraId="6780D24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9</w:t>
            </w:r>
          </w:p>
        </w:tc>
      </w:tr>
      <w:tr w:rsidR="003A4529" w14:paraId="1A79D0E5"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66D2BC37"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18. </w:t>
            </w:r>
          </w:p>
        </w:tc>
        <w:sdt>
          <w:sdtPr>
            <w:rPr>
              <w:rFonts w:ascii="Times New Roman" w:hAnsi="Times New Roman" w:cs="Times New Roman"/>
              <w:sz w:val="18"/>
              <w:szCs w:val="18"/>
            </w:rPr>
            <w:tag w:val="MENDELEY_CITATION_v3_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"/>
            <w:id w:val="-1811164052"/>
            <w:placeholder>
              <w:docPart w:val="5A09CEF2C69D4F5B819431479C71FAA1"/>
            </w:placeholder>
          </w:sdtPr>
          <w:sdtContent>
            <w:tc>
              <w:tcPr>
                <w:tcW w:w="1782" w:type="dxa"/>
                <w:tcBorders>
                  <w:top w:val="single" w:sz="4" w:space="0" w:color="auto"/>
                  <w:left w:val="single" w:sz="4" w:space="0" w:color="auto"/>
                  <w:bottom w:val="single" w:sz="4" w:space="0" w:color="auto"/>
                  <w:right w:val="single" w:sz="4" w:space="0" w:color="auto"/>
                </w:tcBorders>
                <w:hideMark/>
              </w:tcPr>
              <w:p w14:paraId="3D8B7953" w14:textId="77777777" w:rsidR="003A4529" w:rsidRDefault="003A4529">
                <w:pPr>
                  <w:spacing w:line="276" w:lineRule="auto"/>
                  <w:rPr>
                    <w:rFonts w:ascii="Times New Roman" w:hAnsi="Times New Roman" w:cs="Times New Roman"/>
                    <w:sz w:val="18"/>
                    <w:szCs w:val="18"/>
                  </w:rPr>
                </w:pPr>
                <w:proofErr w:type="spellStart"/>
                <w:r>
                  <w:rPr>
                    <w:rFonts w:ascii="Times New Roman" w:hAnsi="Times New Roman" w:cs="Times New Roman"/>
                    <w:sz w:val="18"/>
                    <w:szCs w:val="18"/>
                  </w:rPr>
                  <w:t>Hocaoglu</w:t>
                </w:r>
                <w:proofErr w:type="spellEnd"/>
                <w:r>
                  <w:rPr>
                    <w:rFonts w:ascii="Times New Roman" w:hAnsi="Times New Roman" w:cs="Times New Roman"/>
                    <w:sz w:val="18"/>
                    <w:szCs w:val="18"/>
                  </w:rPr>
                  <w:t xml:space="preserve"> et al. [64]</w:t>
                </w:r>
              </w:p>
            </w:tc>
          </w:sdtContent>
        </w:sdt>
        <w:tc>
          <w:tcPr>
            <w:tcW w:w="462" w:type="dxa"/>
            <w:tcBorders>
              <w:top w:val="single" w:sz="4" w:space="0" w:color="auto"/>
              <w:left w:val="single" w:sz="4" w:space="0" w:color="auto"/>
              <w:bottom w:val="single" w:sz="4" w:space="0" w:color="auto"/>
              <w:right w:val="single" w:sz="4" w:space="0" w:color="auto"/>
            </w:tcBorders>
            <w:hideMark/>
          </w:tcPr>
          <w:p w14:paraId="2ABA3BD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53" w:type="dxa"/>
            <w:tcBorders>
              <w:top w:val="single" w:sz="4" w:space="0" w:color="auto"/>
              <w:left w:val="single" w:sz="4" w:space="0" w:color="auto"/>
              <w:bottom w:val="single" w:sz="4" w:space="0" w:color="auto"/>
              <w:right w:val="single" w:sz="4" w:space="0" w:color="auto"/>
            </w:tcBorders>
            <w:hideMark/>
          </w:tcPr>
          <w:p w14:paraId="4596AD6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36" w:type="dxa"/>
            <w:tcBorders>
              <w:top w:val="single" w:sz="4" w:space="0" w:color="auto"/>
              <w:left w:val="single" w:sz="4" w:space="0" w:color="auto"/>
              <w:bottom w:val="single" w:sz="4" w:space="0" w:color="auto"/>
              <w:right w:val="single" w:sz="4" w:space="0" w:color="auto"/>
            </w:tcBorders>
            <w:hideMark/>
          </w:tcPr>
          <w:p w14:paraId="408628E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75DBBE0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0A16989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96" w:type="dxa"/>
            <w:tcBorders>
              <w:top w:val="single" w:sz="4" w:space="0" w:color="auto"/>
              <w:left w:val="single" w:sz="4" w:space="0" w:color="auto"/>
              <w:bottom w:val="single" w:sz="4" w:space="0" w:color="auto"/>
              <w:right w:val="single" w:sz="4" w:space="0" w:color="auto"/>
            </w:tcBorders>
            <w:hideMark/>
          </w:tcPr>
          <w:p w14:paraId="1FE7D42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6" w:type="dxa"/>
            <w:tcBorders>
              <w:top w:val="single" w:sz="4" w:space="0" w:color="auto"/>
              <w:left w:val="single" w:sz="4" w:space="0" w:color="auto"/>
              <w:bottom w:val="single" w:sz="4" w:space="0" w:color="auto"/>
              <w:right w:val="single" w:sz="4" w:space="0" w:color="auto"/>
            </w:tcBorders>
            <w:hideMark/>
          </w:tcPr>
          <w:p w14:paraId="1BC2E87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96" w:type="dxa"/>
            <w:tcBorders>
              <w:top w:val="single" w:sz="4" w:space="0" w:color="auto"/>
              <w:left w:val="single" w:sz="4" w:space="0" w:color="auto"/>
              <w:bottom w:val="single" w:sz="4" w:space="0" w:color="auto"/>
              <w:right w:val="single" w:sz="4" w:space="0" w:color="auto"/>
            </w:tcBorders>
            <w:hideMark/>
          </w:tcPr>
          <w:p w14:paraId="1F5BC55D"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26" w:type="dxa"/>
            <w:tcBorders>
              <w:top w:val="single" w:sz="4" w:space="0" w:color="auto"/>
              <w:left w:val="single" w:sz="4" w:space="0" w:color="auto"/>
              <w:bottom w:val="single" w:sz="4" w:space="0" w:color="auto"/>
              <w:right w:val="single" w:sz="4" w:space="0" w:color="auto"/>
            </w:tcBorders>
            <w:hideMark/>
          </w:tcPr>
          <w:p w14:paraId="1EAF4EDD"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173" w:type="dxa"/>
            <w:tcBorders>
              <w:top w:val="single" w:sz="4" w:space="0" w:color="auto"/>
              <w:left w:val="single" w:sz="4" w:space="0" w:color="auto"/>
              <w:bottom w:val="single" w:sz="4" w:space="0" w:color="auto"/>
              <w:right w:val="single" w:sz="4" w:space="0" w:color="auto"/>
            </w:tcBorders>
            <w:hideMark/>
          </w:tcPr>
          <w:p w14:paraId="4671321A"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613" w:type="dxa"/>
            <w:tcBorders>
              <w:top w:val="single" w:sz="4" w:space="0" w:color="auto"/>
              <w:left w:val="single" w:sz="4" w:space="0" w:color="auto"/>
              <w:bottom w:val="single" w:sz="4" w:space="0" w:color="auto"/>
              <w:right w:val="single" w:sz="4" w:space="0" w:color="auto"/>
            </w:tcBorders>
            <w:hideMark/>
          </w:tcPr>
          <w:p w14:paraId="7F9BE3A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9</w:t>
            </w:r>
          </w:p>
        </w:tc>
      </w:tr>
      <w:tr w:rsidR="003A4529" w14:paraId="45DAE5F1"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4E4F9677"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lastRenderedPageBreak/>
              <w:t xml:space="preserve">19. </w:t>
            </w:r>
          </w:p>
        </w:tc>
        <w:sdt>
          <w:sdtPr>
            <w:rPr>
              <w:rFonts w:ascii="Times New Roman" w:hAnsi="Times New Roman" w:cs="Times New Roman"/>
              <w:sz w:val="18"/>
              <w:szCs w:val="18"/>
            </w:rPr>
            <w:tag w:val="MENDELEY_CITATION_v3_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"/>
            <w:id w:val="225120161"/>
            <w:placeholder>
              <w:docPart w:val="5A09CEF2C69D4F5B819431479C71FAA1"/>
            </w:placeholder>
          </w:sdtPr>
          <w:sdtContent>
            <w:tc>
              <w:tcPr>
                <w:tcW w:w="1782" w:type="dxa"/>
                <w:tcBorders>
                  <w:top w:val="single" w:sz="4" w:space="0" w:color="auto"/>
                  <w:left w:val="single" w:sz="4" w:space="0" w:color="auto"/>
                  <w:bottom w:val="single" w:sz="4" w:space="0" w:color="auto"/>
                  <w:right w:val="single" w:sz="4" w:space="0" w:color="auto"/>
                </w:tcBorders>
                <w:hideMark/>
              </w:tcPr>
              <w:p w14:paraId="5E4C32B0" w14:textId="77777777" w:rsidR="003A4529" w:rsidRDefault="003A4529">
                <w:pPr>
                  <w:spacing w:line="276" w:lineRule="auto"/>
                  <w:rPr>
                    <w:rFonts w:ascii="Times New Roman" w:hAnsi="Times New Roman" w:cs="Times New Roman"/>
                    <w:sz w:val="18"/>
                    <w:szCs w:val="18"/>
                  </w:rPr>
                </w:pPr>
                <w:proofErr w:type="spellStart"/>
                <w:r>
                  <w:rPr>
                    <w:rFonts w:ascii="Times New Roman" w:hAnsi="Times New Roman" w:cs="Times New Roman"/>
                    <w:sz w:val="18"/>
                    <w:szCs w:val="18"/>
                  </w:rPr>
                  <w:t>MacCumber</w:t>
                </w:r>
                <w:proofErr w:type="spellEnd"/>
                <w:r>
                  <w:rPr>
                    <w:rFonts w:ascii="Times New Roman" w:hAnsi="Times New Roman" w:cs="Times New Roman"/>
                    <w:sz w:val="18"/>
                    <w:szCs w:val="18"/>
                  </w:rPr>
                  <w:t xml:space="preserve"> et al. [66]</w:t>
                </w:r>
              </w:p>
            </w:tc>
          </w:sdtContent>
        </w:sdt>
        <w:tc>
          <w:tcPr>
            <w:tcW w:w="462" w:type="dxa"/>
            <w:tcBorders>
              <w:top w:val="single" w:sz="4" w:space="0" w:color="auto"/>
              <w:left w:val="single" w:sz="4" w:space="0" w:color="auto"/>
              <w:bottom w:val="single" w:sz="4" w:space="0" w:color="auto"/>
              <w:right w:val="single" w:sz="4" w:space="0" w:color="auto"/>
            </w:tcBorders>
            <w:hideMark/>
          </w:tcPr>
          <w:p w14:paraId="2C41738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53" w:type="dxa"/>
            <w:tcBorders>
              <w:top w:val="single" w:sz="4" w:space="0" w:color="auto"/>
              <w:left w:val="single" w:sz="4" w:space="0" w:color="auto"/>
              <w:bottom w:val="single" w:sz="4" w:space="0" w:color="auto"/>
              <w:right w:val="single" w:sz="4" w:space="0" w:color="auto"/>
            </w:tcBorders>
            <w:hideMark/>
          </w:tcPr>
          <w:p w14:paraId="65F93FC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36" w:type="dxa"/>
            <w:tcBorders>
              <w:top w:val="single" w:sz="4" w:space="0" w:color="auto"/>
              <w:left w:val="single" w:sz="4" w:space="0" w:color="auto"/>
              <w:bottom w:val="single" w:sz="4" w:space="0" w:color="auto"/>
              <w:right w:val="single" w:sz="4" w:space="0" w:color="auto"/>
            </w:tcBorders>
            <w:hideMark/>
          </w:tcPr>
          <w:p w14:paraId="2611AC2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0F06711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052C80A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96" w:type="dxa"/>
            <w:tcBorders>
              <w:top w:val="single" w:sz="4" w:space="0" w:color="auto"/>
              <w:left w:val="single" w:sz="4" w:space="0" w:color="auto"/>
              <w:bottom w:val="single" w:sz="4" w:space="0" w:color="auto"/>
              <w:right w:val="single" w:sz="4" w:space="0" w:color="auto"/>
            </w:tcBorders>
            <w:hideMark/>
          </w:tcPr>
          <w:p w14:paraId="17505A97"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6" w:type="dxa"/>
            <w:tcBorders>
              <w:top w:val="single" w:sz="4" w:space="0" w:color="auto"/>
              <w:left w:val="single" w:sz="4" w:space="0" w:color="auto"/>
              <w:bottom w:val="single" w:sz="4" w:space="0" w:color="auto"/>
              <w:right w:val="single" w:sz="4" w:space="0" w:color="auto"/>
            </w:tcBorders>
            <w:hideMark/>
          </w:tcPr>
          <w:p w14:paraId="00B0171F"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996" w:type="dxa"/>
            <w:tcBorders>
              <w:top w:val="single" w:sz="4" w:space="0" w:color="auto"/>
              <w:left w:val="single" w:sz="4" w:space="0" w:color="auto"/>
              <w:bottom w:val="single" w:sz="4" w:space="0" w:color="auto"/>
              <w:right w:val="single" w:sz="4" w:space="0" w:color="auto"/>
            </w:tcBorders>
            <w:hideMark/>
          </w:tcPr>
          <w:p w14:paraId="7E739F9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26" w:type="dxa"/>
            <w:tcBorders>
              <w:top w:val="single" w:sz="4" w:space="0" w:color="auto"/>
              <w:left w:val="single" w:sz="4" w:space="0" w:color="auto"/>
              <w:bottom w:val="single" w:sz="4" w:space="0" w:color="auto"/>
              <w:right w:val="single" w:sz="4" w:space="0" w:color="auto"/>
            </w:tcBorders>
            <w:hideMark/>
          </w:tcPr>
          <w:p w14:paraId="34BDEE1F"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173" w:type="dxa"/>
            <w:tcBorders>
              <w:top w:val="single" w:sz="4" w:space="0" w:color="auto"/>
              <w:left w:val="single" w:sz="4" w:space="0" w:color="auto"/>
              <w:bottom w:val="single" w:sz="4" w:space="0" w:color="auto"/>
              <w:right w:val="single" w:sz="4" w:space="0" w:color="auto"/>
            </w:tcBorders>
            <w:hideMark/>
          </w:tcPr>
          <w:p w14:paraId="7564FC4A"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613" w:type="dxa"/>
            <w:tcBorders>
              <w:top w:val="single" w:sz="4" w:space="0" w:color="auto"/>
              <w:left w:val="single" w:sz="4" w:space="0" w:color="auto"/>
              <w:bottom w:val="single" w:sz="4" w:space="0" w:color="auto"/>
              <w:right w:val="single" w:sz="4" w:space="0" w:color="auto"/>
            </w:tcBorders>
            <w:hideMark/>
          </w:tcPr>
          <w:p w14:paraId="3E2FABB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8</w:t>
            </w:r>
          </w:p>
        </w:tc>
      </w:tr>
      <w:tr w:rsidR="003A4529" w14:paraId="78B6DB13"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79B4285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20.</w:t>
            </w:r>
          </w:p>
        </w:tc>
        <w:sdt>
          <w:sdtPr>
            <w:rPr>
              <w:rFonts w:ascii="Times New Roman" w:hAnsi="Times New Roman" w:cs="Times New Roman"/>
              <w:sz w:val="18"/>
              <w:szCs w:val="18"/>
            </w:rPr>
            <w:tag w:val="MENDELEY_CITATION_v3_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"/>
            <w:id w:val="1945806085"/>
            <w:placeholder>
              <w:docPart w:val="5A09CEF2C69D4F5B819431479C71FAA1"/>
            </w:placeholder>
          </w:sdtPr>
          <w:sdtContent>
            <w:tc>
              <w:tcPr>
                <w:tcW w:w="1782" w:type="dxa"/>
                <w:tcBorders>
                  <w:top w:val="single" w:sz="4" w:space="0" w:color="auto"/>
                  <w:left w:val="single" w:sz="4" w:space="0" w:color="auto"/>
                  <w:bottom w:val="single" w:sz="4" w:space="0" w:color="auto"/>
                  <w:right w:val="single" w:sz="4" w:space="0" w:color="auto"/>
                </w:tcBorders>
                <w:hideMark/>
              </w:tcPr>
              <w:p w14:paraId="0F7B7622" w14:textId="77777777" w:rsidR="003A4529" w:rsidRDefault="003A4529">
                <w:pPr>
                  <w:spacing w:line="276" w:lineRule="auto"/>
                  <w:rPr>
                    <w:rFonts w:ascii="Times New Roman" w:hAnsi="Times New Roman" w:cs="Times New Roman"/>
                    <w:sz w:val="18"/>
                    <w:szCs w:val="18"/>
                  </w:rPr>
                </w:pPr>
                <w:proofErr w:type="spellStart"/>
                <w:r>
                  <w:rPr>
                    <w:rFonts w:ascii="Times New Roman" w:hAnsi="Times New Roman" w:cs="Times New Roman"/>
                    <w:sz w:val="18"/>
                    <w:szCs w:val="18"/>
                  </w:rPr>
                  <w:t>Goezinne</w:t>
                </w:r>
                <w:proofErr w:type="spellEnd"/>
                <w:r>
                  <w:rPr>
                    <w:rFonts w:ascii="Times New Roman" w:hAnsi="Times New Roman" w:cs="Times New Roman"/>
                    <w:sz w:val="18"/>
                    <w:szCs w:val="18"/>
                  </w:rPr>
                  <w:t xml:space="preserve"> et al. [67]</w:t>
                </w:r>
              </w:p>
            </w:tc>
          </w:sdtContent>
        </w:sdt>
        <w:tc>
          <w:tcPr>
            <w:tcW w:w="462" w:type="dxa"/>
            <w:tcBorders>
              <w:top w:val="single" w:sz="4" w:space="0" w:color="auto"/>
              <w:left w:val="single" w:sz="4" w:space="0" w:color="auto"/>
              <w:bottom w:val="single" w:sz="4" w:space="0" w:color="auto"/>
              <w:right w:val="single" w:sz="4" w:space="0" w:color="auto"/>
            </w:tcBorders>
            <w:hideMark/>
          </w:tcPr>
          <w:p w14:paraId="0E6FAD9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53" w:type="dxa"/>
            <w:tcBorders>
              <w:top w:val="single" w:sz="4" w:space="0" w:color="auto"/>
              <w:left w:val="single" w:sz="4" w:space="0" w:color="auto"/>
              <w:bottom w:val="single" w:sz="4" w:space="0" w:color="auto"/>
              <w:right w:val="single" w:sz="4" w:space="0" w:color="auto"/>
            </w:tcBorders>
            <w:hideMark/>
          </w:tcPr>
          <w:p w14:paraId="6D62B53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36" w:type="dxa"/>
            <w:tcBorders>
              <w:top w:val="single" w:sz="4" w:space="0" w:color="auto"/>
              <w:left w:val="single" w:sz="4" w:space="0" w:color="auto"/>
              <w:bottom w:val="single" w:sz="4" w:space="0" w:color="auto"/>
              <w:right w:val="single" w:sz="4" w:space="0" w:color="auto"/>
            </w:tcBorders>
            <w:hideMark/>
          </w:tcPr>
          <w:p w14:paraId="7ECF16D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69ACD6F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26BF312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96" w:type="dxa"/>
            <w:tcBorders>
              <w:top w:val="single" w:sz="4" w:space="0" w:color="auto"/>
              <w:left w:val="single" w:sz="4" w:space="0" w:color="auto"/>
              <w:bottom w:val="single" w:sz="4" w:space="0" w:color="auto"/>
              <w:right w:val="single" w:sz="4" w:space="0" w:color="auto"/>
            </w:tcBorders>
            <w:hideMark/>
          </w:tcPr>
          <w:p w14:paraId="0FCE395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6" w:type="dxa"/>
            <w:tcBorders>
              <w:top w:val="single" w:sz="4" w:space="0" w:color="auto"/>
              <w:left w:val="single" w:sz="4" w:space="0" w:color="auto"/>
              <w:bottom w:val="single" w:sz="4" w:space="0" w:color="auto"/>
              <w:right w:val="single" w:sz="4" w:space="0" w:color="auto"/>
            </w:tcBorders>
            <w:hideMark/>
          </w:tcPr>
          <w:p w14:paraId="757B1FC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96" w:type="dxa"/>
            <w:tcBorders>
              <w:top w:val="single" w:sz="4" w:space="0" w:color="auto"/>
              <w:left w:val="single" w:sz="4" w:space="0" w:color="auto"/>
              <w:bottom w:val="single" w:sz="4" w:space="0" w:color="auto"/>
              <w:right w:val="single" w:sz="4" w:space="0" w:color="auto"/>
            </w:tcBorders>
            <w:hideMark/>
          </w:tcPr>
          <w:p w14:paraId="0F7E7587"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26" w:type="dxa"/>
            <w:tcBorders>
              <w:top w:val="single" w:sz="4" w:space="0" w:color="auto"/>
              <w:left w:val="single" w:sz="4" w:space="0" w:color="auto"/>
              <w:bottom w:val="single" w:sz="4" w:space="0" w:color="auto"/>
              <w:right w:val="single" w:sz="4" w:space="0" w:color="auto"/>
            </w:tcBorders>
            <w:hideMark/>
          </w:tcPr>
          <w:p w14:paraId="016F6EE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173" w:type="dxa"/>
            <w:tcBorders>
              <w:top w:val="single" w:sz="4" w:space="0" w:color="auto"/>
              <w:left w:val="single" w:sz="4" w:space="0" w:color="auto"/>
              <w:bottom w:val="single" w:sz="4" w:space="0" w:color="auto"/>
              <w:right w:val="single" w:sz="4" w:space="0" w:color="auto"/>
            </w:tcBorders>
            <w:hideMark/>
          </w:tcPr>
          <w:p w14:paraId="2AFF140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613" w:type="dxa"/>
            <w:tcBorders>
              <w:top w:val="single" w:sz="4" w:space="0" w:color="auto"/>
              <w:left w:val="single" w:sz="4" w:space="0" w:color="auto"/>
              <w:bottom w:val="single" w:sz="4" w:space="0" w:color="auto"/>
              <w:right w:val="single" w:sz="4" w:space="0" w:color="auto"/>
            </w:tcBorders>
            <w:hideMark/>
          </w:tcPr>
          <w:p w14:paraId="16AFFE2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9</w:t>
            </w:r>
          </w:p>
        </w:tc>
      </w:tr>
      <w:tr w:rsidR="003A4529" w14:paraId="0996A7CB"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19FF5E7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21. </w:t>
            </w:r>
          </w:p>
        </w:tc>
        <w:sdt>
          <w:sdtPr>
            <w:rPr>
              <w:rFonts w:ascii="Times New Roman" w:hAnsi="Times New Roman" w:cs="Times New Roman"/>
              <w:sz w:val="18"/>
              <w:szCs w:val="18"/>
            </w:rPr>
            <w:tag w:val="MENDELEY_CITATION_v3_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"/>
            <w:id w:val="1607154207"/>
            <w:placeholder>
              <w:docPart w:val="5A09CEF2C69D4F5B819431479C71FAA1"/>
            </w:placeholder>
          </w:sdtPr>
          <w:sdtContent>
            <w:tc>
              <w:tcPr>
                <w:tcW w:w="1782" w:type="dxa"/>
                <w:tcBorders>
                  <w:top w:val="single" w:sz="4" w:space="0" w:color="auto"/>
                  <w:left w:val="single" w:sz="4" w:space="0" w:color="auto"/>
                  <w:bottom w:val="single" w:sz="4" w:space="0" w:color="auto"/>
                  <w:right w:val="single" w:sz="4" w:space="0" w:color="auto"/>
                </w:tcBorders>
                <w:hideMark/>
              </w:tcPr>
              <w:p w14:paraId="74D8463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Chehade et al. [68]</w:t>
                </w:r>
              </w:p>
            </w:tc>
          </w:sdtContent>
        </w:sdt>
        <w:tc>
          <w:tcPr>
            <w:tcW w:w="462" w:type="dxa"/>
            <w:tcBorders>
              <w:top w:val="single" w:sz="4" w:space="0" w:color="auto"/>
              <w:left w:val="single" w:sz="4" w:space="0" w:color="auto"/>
              <w:bottom w:val="single" w:sz="4" w:space="0" w:color="auto"/>
              <w:right w:val="single" w:sz="4" w:space="0" w:color="auto"/>
            </w:tcBorders>
            <w:hideMark/>
          </w:tcPr>
          <w:p w14:paraId="280A61E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53" w:type="dxa"/>
            <w:tcBorders>
              <w:top w:val="single" w:sz="4" w:space="0" w:color="auto"/>
              <w:left w:val="single" w:sz="4" w:space="0" w:color="auto"/>
              <w:bottom w:val="single" w:sz="4" w:space="0" w:color="auto"/>
              <w:right w:val="single" w:sz="4" w:space="0" w:color="auto"/>
            </w:tcBorders>
            <w:hideMark/>
          </w:tcPr>
          <w:p w14:paraId="315BB8E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36" w:type="dxa"/>
            <w:tcBorders>
              <w:top w:val="single" w:sz="4" w:space="0" w:color="auto"/>
              <w:left w:val="single" w:sz="4" w:space="0" w:color="auto"/>
              <w:bottom w:val="single" w:sz="4" w:space="0" w:color="auto"/>
              <w:right w:val="single" w:sz="4" w:space="0" w:color="auto"/>
            </w:tcBorders>
            <w:hideMark/>
          </w:tcPr>
          <w:p w14:paraId="26D1872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4F39D79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7" w:type="dxa"/>
            <w:tcBorders>
              <w:top w:val="single" w:sz="4" w:space="0" w:color="auto"/>
              <w:left w:val="single" w:sz="4" w:space="0" w:color="auto"/>
              <w:bottom w:val="single" w:sz="4" w:space="0" w:color="auto"/>
              <w:right w:val="single" w:sz="4" w:space="0" w:color="auto"/>
            </w:tcBorders>
            <w:hideMark/>
          </w:tcPr>
          <w:p w14:paraId="7910136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96" w:type="dxa"/>
            <w:tcBorders>
              <w:top w:val="single" w:sz="4" w:space="0" w:color="auto"/>
              <w:left w:val="single" w:sz="4" w:space="0" w:color="auto"/>
              <w:bottom w:val="single" w:sz="4" w:space="0" w:color="auto"/>
              <w:right w:val="single" w:sz="4" w:space="0" w:color="auto"/>
            </w:tcBorders>
            <w:hideMark/>
          </w:tcPr>
          <w:p w14:paraId="78C4E03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6" w:type="dxa"/>
            <w:tcBorders>
              <w:top w:val="single" w:sz="4" w:space="0" w:color="auto"/>
              <w:left w:val="single" w:sz="4" w:space="0" w:color="auto"/>
              <w:bottom w:val="single" w:sz="4" w:space="0" w:color="auto"/>
              <w:right w:val="single" w:sz="4" w:space="0" w:color="auto"/>
            </w:tcBorders>
            <w:hideMark/>
          </w:tcPr>
          <w:p w14:paraId="33DB2FD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96" w:type="dxa"/>
            <w:tcBorders>
              <w:top w:val="single" w:sz="4" w:space="0" w:color="auto"/>
              <w:left w:val="single" w:sz="4" w:space="0" w:color="auto"/>
              <w:bottom w:val="single" w:sz="4" w:space="0" w:color="auto"/>
              <w:right w:val="single" w:sz="4" w:space="0" w:color="auto"/>
            </w:tcBorders>
            <w:hideMark/>
          </w:tcPr>
          <w:p w14:paraId="7AC7476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226" w:type="dxa"/>
            <w:tcBorders>
              <w:top w:val="single" w:sz="4" w:space="0" w:color="auto"/>
              <w:left w:val="single" w:sz="4" w:space="0" w:color="auto"/>
              <w:bottom w:val="single" w:sz="4" w:space="0" w:color="auto"/>
              <w:right w:val="single" w:sz="4" w:space="0" w:color="auto"/>
            </w:tcBorders>
            <w:hideMark/>
          </w:tcPr>
          <w:p w14:paraId="4A0B6E1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173" w:type="dxa"/>
            <w:tcBorders>
              <w:top w:val="single" w:sz="4" w:space="0" w:color="auto"/>
              <w:left w:val="single" w:sz="4" w:space="0" w:color="auto"/>
              <w:bottom w:val="single" w:sz="4" w:space="0" w:color="auto"/>
              <w:right w:val="single" w:sz="4" w:space="0" w:color="auto"/>
            </w:tcBorders>
            <w:hideMark/>
          </w:tcPr>
          <w:p w14:paraId="338B7EBD"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613" w:type="dxa"/>
            <w:tcBorders>
              <w:top w:val="single" w:sz="4" w:space="0" w:color="auto"/>
              <w:left w:val="single" w:sz="4" w:space="0" w:color="auto"/>
              <w:bottom w:val="single" w:sz="4" w:space="0" w:color="auto"/>
              <w:right w:val="single" w:sz="4" w:space="0" w:color="auto"/>
            </w:tcBorders>
            <w:hideMark/>
          </w:tcPr>
          <w:p w14:paraId="0989E15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9</w:t>
            </w:r>
          </w:p>
        </w:tc>
      </w:tr>
    </w:tbl>
    <w:p w14:paraId="73AFBA69" w14:textId="77777777" w:rsidR="003A4529" w:rsidRDefault="003A4529" w:rsidP="003A4529"/>
    <w:p w14:paraId="4A455B7A" w14:textId="77777777" w:rsidR="003A4529" w:rsidRDefault="003A4529" w:rsidP="003A4529">
      <w:pPr>
        <w:rPr>
          <w:rFonts w:ascii="Times New Roman" w:hAnsi="Times New Roman" w:cs="Times New Roman"/>
          <w:b/>
          <w:bCs/>
        </w:rPr>
      </w:pPr>
      <w:r>
        <w:rPr>
          <w:rFonts w:ascii="Times New Roman" w:hAnsi="Times New Roman" w:cs="Times New Roman"/>
          <w:b/>
          <w:bCs/>
        </w:rPr>
        <w:t xml:space="preserve">Table S5. </w:t>
      </w:r>
      <w:r>
        <w:rPr>
          <w:rFonts w:ascii="Times New Roman" w:hAnsi="Times New Roman" w:cs="Times New Roman"/>
        </w:rPr>
        <w:t xml:space="preserve">Quality Assessment of Cohort Studies using </w:t>
      </w:r>
      <w:r>
        <w:rPr>
          <w:rFonts w:ascii="Times New Roman" w:hAnsi="Times New Roman"/>
        </w:rPr>
        <w:t>Joanna Briggs Institute</w:t>
      </w:r>
      <w:r>
        <w:rPr>
          <w:rFonts w:ascii="Times New Roman" w:hAnsi="Times New Roman" w:cs="Times New Roman"/>
        </w:rPr>
        <w:t xml:space="preserve"> Checklist for Cohort Studies </w:t>
      </w:r>
      <w:sdt>
        <w:sdtPr>
          <w:rPr>
            <w:rFonts w:ascii="Times New Roman" w:hAnsi="Times New Roman" w:cs="Times New Roman"/>
          </w:rPr>
          <w:tag w:val="MENDELEY_CITATION_v3_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"/>
          <w:id w:val="781539125"/>
          <w:placeholder>
            <w:docPart w:val="A9901016D13048FEB509CDD8FCF1D145"/>
          </w:placeholder>
        </w:sdtPr>
        <w:sdtContent>
          <w:r>
            <w:rPr>
              <w:rFonts w:ascii="Times New Roman" w:hAnsi="Times New Roman" w:cs="Times New Roman"/>
            </w:rPr>
            <w:t>[25]</w:t>
          </w:r>
        </w:sdtContent>
      </w:sdt>
      <w:r>
        <w:rPr>
          <w:rFonts w:ascii="Times New Roman" w:hAnsi="Times New Roman" w:cs="Times New Roman"/>
        </w:rPr>
        <w:t>.</w:t>
      </w:r>
    </w:p>
    <w:p w14:paraId="61D321A6" w14:textId="77777777" w:rsidR="003A4529" w:rsidRDefault="003A4529" w:rsidP="003A4529">
      <w:pPr>
        <w:rPr>
          <w:rFonts w:ascii="Times New Roman" w:hAnsi="Times New Roman" w:cs="Times New Roman"/>
          <w:b/>
          <w:bCs/>
        </w:rPr>
      </w:pPr>
    </w:p>
    <w:tbl>
      <w:tblPr>
        <w:tblStyle w:val="TableGrid"/>
        <w:tblW w:w="13320" w:type="dxa"/>
        <w:tblLook w:val="04A0" w:firstRow="1" w:lastRow="0" w:firstColumn="1" w:lastColumn="0" w:noHBand="0" w:noVBand="1"/>
      </w:tblPr>
      <w:tblGrid>
        <w:gridCol w:w="481"/>
        <w:gridCol w:w="1526"/>
        <w:gridCol w:w="901"/>
        <w:gridCol w:w="1034"/>
        <w:gridCol w:w="1138"/>
        <w:gridCol w:w="1141"/>
        <w:gridCol w:w="1070"/>
        <w:gridCol w:w="794"/>
        <w:gridCol w:w="1138"/>
        <w:gridCol w:w="945"/>
        <w:gridCol w:w="1159"/>
        <w:gridCol w:w="963"/>
        <w:gridCol w:w="1067"/>
        <w:gridCol w:w="613"/>
      </w:tblGrid>
      <w:tr w:rsidR="003A4529" w14:paraId="2AB54E1D" w14:textId="77777777" w:rsidTr="003A4529">
        <w:tc>
          <w:tcPr>
            <w:tcW w:w="481" w:type="dxa"/>
            <w:vMerge w:val="restart"/>
            <w:tcBorders>
              <w:top w:val="single" w:sz="4" w:space="0" w:color="auto"/>
              <w:left w:val="single" w:sz="4" w:space="0" w:color="auto"/>
              <w:bottom w:val="single" w:sz="4" w:space="0" w:color="auto"/>
              <w:right w:val="single" w:sz="4" w:space="0" w:color="auto"/>
            </w:tcBorders>
            <w:hideMark/>
          </w:tcPr>
          <w:p w14:paraId="7BBEBE55" w14:textId="77777777" w:rsidR="003A4529" w:rsidRDefault="003A4529">
            <w:pPr>
              <w:spacing w:line="276" w:lineRule="auto"/>
              <w:rPr>
                <w:rFonts w:ascii="Times New Roman" w:hAnsi="Times New Roman" w:cs="Times New Roman"/>
                <w:b/>
                <w:bCs/>
                <w:sz w:val="18"/>
                <w:szCs w:val="18"/>
              </w:rPr>
            </w:pPr>
            <w:r>
              <w:rPr>
                <w:rFonts w:ascii="Times New Roman" w:hAnsi="Times New Roman" w:cs="Times New Roman"/>
                <w:b/>
                <w:bCs/>
                <w:sz w:val="18"/>
                <w:szCs w:val="18"/>
              </w:rPr>
              <w:t>No.</w:t>
            </w:r>
          </w:p>
        </w:tc>
        <w:tc>
          <w:tcPr>
            <w:tcW w:w="983" w:type="dxa"/>
            <w:vMerge w:val="restart"/>
            <w:tcBorders>
              <w:top w:val="single" w:sz="4" w:space="0" w:color="auto"/>
              <w:left w:val="single" w:sz="4" w:space="0" w:color="auto"/>
              <w:bottom w:val="single" w:sz="4" w:space="0" w:color="auto"/>
              <w:right w:val="single" w:sz="4" w:space="0" w:color="auto"/>
            </w:tcBorders>
            <w:hideMark/>
          </w:tcPr>
          <w:p w14:paraId="5F98CBB2" w14:textId="77777777" w:rsidR="003A4529" w:rsidRDefault="003A4529">
            <w:pPr>
              <w:spacing w:line="276" w:lineRule="auto"/>
              <w:rPr>
                <w:rFonts w:ascii="Times New Roman" w:hAnsi="Times New Roman" w:cs="Times New Roman"/>
                <w:b/>
                <w:bCs/>
                <w:sz w:val="18"/>
                <w:szCs w:val="18"/>
              </w:rPr>
            </w:pPr>
            <w:r>
              <w:rPr>
                <w:rFonts w:ascii="Times New Roman" w:hAnsi="Times New Roman" w:cs="Times New Roman"/>
                <w:b/>
                <w:bCs/>
                <w:sz w:val="18"/>
                <w:szCs w:val="18"/>
              </w:rPr>
              <w:t>Reference</w:t>
            </w:r>
          </w:p>
        </w:tc>
        <w:tc>
          <w:tcPr>
            <w:tcW w:w="11350" w:type="dxa"/>
            <w:gridSpan w:val="11"/>
            <w:tcBorders>
              <w:top w:val="single" w:sz="4" w:space="0" w:color="auto"/>
              <w:left w:val="single" w:sz="4" w:space="0" w:color="auto"/>
              <w:bottom w:val="single" w:sz="4" w:space="0" w:color="auto"/>
              <w:right w:val="single" w:sz="4" w:space="0" w:color="auto"/>
            </w:tcBorders>
            <w:hideMark/>
          </w:tcPr>
          <w:p w14:paraId="03CB5F95" w14:textId="77777777" w:rsidR="003A4529" w:rsidRDefault="003A4529">
            <w:pPr>
              <w:spacing w:line="276" w:lineRule="auto"/>
              <w:jc w:val="center"/>
              <w:rPr>
                <w:rFonts w:ascii="Times New Roman" w:hAnsi="Times New Roman" w:cs="Times New Roman"/>
                <w:b/>
                <w:bCs/>
                <w:sz w:val="18"/>
                <w:szCs w:val="18"/>
              </w:rPr>
            </w:pPr>
            <w:r>
              <w:rPr>
                <w:rFonts w:ascii="Times New Roman" w:hAnsi="Times New Roman" w:cs="Times New Roman"/>
                <w:b/>
                <w:bCs/>
                <w:sz w:val="18"/>
                <w:szCs w:val="18"/>
              </w:rPr>
              <w:t>Criteria</w:t>
            </w:r>
          </w:p>
        </w:tc>
        <w:tc>
          <w:tcPr>
            <w:tcW w:w="506" w:type="dxa"/>
            <w:vMerge w:val="restart"/>
            <w:tcBorders>
              <w:top w:val="single" w:sz="4" w:space="0" w:color="auto"/>
              <w:left w:val="single" w:sz="4" w:space="0" w:color="auto"/>
              <w:bottom w:val="single" w:sz="4" w:space="0" w:color="auto"/>
              <w:right w:val="single" w:sz="4" w:space="0" w:color="auto"/>
            </w:tcBorders>
            <w:hideMark/>
          </w:tcPr>
          <w:p w14:paraId="2C1E8A88" w14:textId="77777777" w:rsidR="003A4529" w:rsidRDefault="003A4529">
            <w:pPr>
              <w:spacing w:line="276" w:lineRule="auto"/>
              <w:rPr>
                <w:rFonts w:ascii="Times New Roman" w:hAnsi="Times New Roman" w:cs="Times New Roman"/>
                <w:b/>
                <w:bCs/>
                <w:sz w:val="18"/>
                <w:szCs w:val="18"/>
              </w:rPr>
            </w:pPr>
            <w:r>
              <w:rPr>
                <w:rFonts w:ascii="Times New Roman" w:hAnsi="Times New Roman" w:cs="Times New Roman"/>
                <w:b/>
                <w:bCs/>
                <w:sz w:val="18"/>
                <w:szCs w:val="18"/>
              </w:rPr>
              <w:t xml:space="preserve">Total score </w:t>
            </w:r>
          </w:p>
        </w:tc>
      </w:tr>
      <w:tr w:rsidR="003A4529" w14:paraId="21E1C478" w14:textId="77777777" w:rsidTr="003A4529">
        <w:tc>
          <w:tcPr>
            <w:tcW w:w="0" w:type="auto"/>
            <w:vMerge/>
            <w:tcBorders>
              <w:top w:val="single" w:sz="4" w:space="0" w:color="auto"/>
              <w:left w:val="single" w:sz="4" w:space="0" w:color="auto"/>
              <w:bottom w:val="single" w:sz="4" w:space="0" w:color="auto"/>
              <w:right w:val="single" w:sz="4" w:space="0" w:color="auto"/>
            </w:tcBorders>
            <w:vAlign w:val="center"/>
            <w:hideMark/>
          </w:tcPr>
          <w:p w14:paraId="088265B0" w14:textId="77777777" w:rsidR="003A4529" w:rsidRDefault="003A4529">
            <w:pPr>
              <w:rPr>
                <w:rFonts w:ascii="Times New Roman" w:hAnsi="Times New Roman" w:cs="Times New Roman"/>
                <w:b/>
                <w:bCs/>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83B86E" w14:textId="77777777" w:rsidR="003A4529" w:rsidRDefault="003A4529">
            <w:pPr>
              <w:rPr>
                <w:rFonts w:ascii="Times New Roman" w:hAnsi="Times New Roman" w:cs="Times New Roman"/>
                <w:b/>
                <w:bCs/>
                <w:sz w:val="18"/>
                <w:szCs w:val="18"/>
              </w:rPr>
            </w:pPr>
          </w:p>
        </w:tc>
        <w:tc>
          <w:tcPr>
            <w:tcW w:w="901" w:type="dxa"/>
            <w:tcBorders>
              <w:top w:val="single" w:sz="4" w:space="0" w:color="auto"/>
              <w:left w:val="single" w:sz="4" w:space="0" w:color="auto"/>
              <w:bottom w:val="single" w:sz="4" w:space="0" w:color="auto"/>
              <w:right w:val="single" w:sz="4" w:space="0" w:color="auto"/>
            </w:tcBorders>
            <w:hideMark/>
          </w:tcPr>
          <w:p w14:paraId="1146FCE0" w14:textId="77777777" w:rsidR="003A4529" w:rsidRDefault="003A4529">
            <w:pPr>
              <w:spacing w:line="276" w:lineRule="auto"/>
              <w:rPr>
                <w:rFonts w:ascii="Times New Roman" w:hAnsi="Times New Roman" w:cs="Times New Roman"/>
                <w:b/>
                <w:bCs/>
                <w:sz w:val="16"/>
                <w:szCs w:val="16"/>
              </w:rPr>
            </w:pPr>
            <w:r>
              <w:rPr>
                <w:rFonts w:ascii="Times New Roman" w:hAnsi="Times New Roman" w:cs="Times New Roman"/>
                <w:b/>
                <w:bCs/>
                <w:sz w:val="16"/>
                <w:szCs w:val="16"/>
              </w:rPr>
              <w:t>Similarity of groups</w:t>
            </w:r>
          </w:p>
        </w:tc>
        <w:tc>
          <w:tcPr>
            <w:tcW w:w="1034" w:type="dxa"/>
            <w:tcBorders>
              <w:top w:val="single" w:sz="4" w:space="0" w:color="auto"/>
              <w:left w:val="single" w:sz="4" w:space="0" w:color="auto"/>
              <w:bottom w:val="single" w:sz="4" w:space="0" w:color="auto"/>
              <w:right w:val="single" w:sz="4" w:space="0" w:color="auto"/>
            </w:tcBorders>
            <w:hideMark/>
          </w:tcPr>
          <w:p w14:paraId="6B5FD798" w14:textId="77777777" w:rsidR="003A4529" w:rsidRDefault="003A4529">
            <w:pPr>
              <w:spacing w:line="276" w:lineRule="auto"/>
              <w:rPr>
                <w:rFonts w:ascii="Times New Roman" w:hAnsi="Times New Roman" w:cs="Times New Roman"/>
                <w:b/>
                <w:bCs/>
                <w:sz w:val="16"/>
                <w:szCs w:val="16"/>
              </w:rPr>
            </w:pPr>
            <w:r>
              <w:rPr>
                <w:rFonts w:ascii="Times New Roman" w:hAnsi="Times New Roman" w:cs="Times New Roman"/>
                <w:b/>
                <w:bCs/>
                <w:sz w:val="16"/>
                <w:szCs w:val="16"/>
              </w:rPr>
              <w:t>Consistency in measuring exposures</w:t>
            </w:r>
          </w:p>
        </w:tc>
        <w:tc>
          <w:tcPr>
            <w:tcW w:w="1138" w:type="dxa"/>
            <w:tcBorders>
              <w:top w:val="single" w:sz="4" w:space="0" w:color="auto"/>
              <w:left w:val="single" w:sz="4" w:space="0" w:color="auto"/>
              <w:bottom w:val="single" w:sz="4" w:space="0" w:color="auto"/>
              <w:right w:val="single" w:sz="4" w:space="0" w:color="auto"/>
            </w:tcBorders>
            <w:hideMark/>
          </w:tcPr>
          <w:p w14:paraId="56DEC13A" w14:textId="77777777" w:rsidR="003A4529" w:rsidRDefault="003A4529">
            <w:pPr>
              <w:spacing w:line="276" w:lineRule="auto"/>
              <w:rPr>
                <w:rFonts w:ascii="Times New Roman" w:hAnsi="Times New Roman" w:cs="Times New Roman"/>
                <w:b/>
                <w:bCs/>
                <w:sz w:val="16"/>
                <w:szCs w:val="16"/>
              </w:rPr>
            </w:pPr>
            <w:r>
              <w:rPr>
                <w:rFonts w:ascii="Times New Roman" w:hAnsi="Times New Roman" w:cs="Times New Roman"/>
                <w:b/>
                <w:bCs/>
                <w:sz w:val="16"/>
                <w:szCs w:val="16"/>
              </w:rPr>
              <w:t>Validity and reliability of exposure measurement</w:t>
            </w:r>
          </w:p>
        </w:tc>
        <w:tc>
          <w:tcPr>
            <w:tcW w:w="1141" w:type="dxa"/>
            <w:tcBorders>
              <w:top w:val="single" w:sz="4" w:space="0" w:color="auto"/>
              <w:left w:val="single" w:sz="4" w:space="0" w:color="auto"/>
              <w:bottom w:val="single" w:sz="4" w:space="0" w:color="auto"/>
              <w:right w:val="single" w:sz="4" w:space="0" w:color="auto"/>
            </w:tcBorders>
            <w:hideMark/>
          </w:tcPr>
          <w:p w14:paraId="3AA7B433" w14:textId="77777777" w:rsidR="003A4529" w:rsidRDefault="003A4529">
            <w:pPr>
              <w:spacing w:line="276" w:lineRule="auto"/>
              <w:rPr>
                <w:rFonts w:ascii="Times New Roman" w:hAnsi="Times New Roman" w:cs="Times New Roman"/>
                <w:b/>
                <w:bCs/>
                <w:sz w:val="16"/>
                <w:szCs w:val="16"/>
              </w:rPr>
            </w:pPr>
            <w:r>
              <w:rPr>
                <w:rFonts w:ascii="Times New Roman" w:hAnsi="Times New Roman" w:cs="Times New Roman"/>
                <w:b/>
                <w:bCs/>
                <w:sz w:val="16"/>
                <w:szCs w:val="16"/>
              </w:rPr>
              <w:t>Identification of confounding factors</w:t>
            </w:r>
          </w:p>
        </w:tc>
        <w:tc>
          <w:tcPr>
            <w:tcW w:w="1070" w:type="dxa"/>
            <w:tcBorders>
              <w:top w:val="single" w:sz="4" w:space="0" w:color="auto"/>
              <w:left w:val="single" w:sz="4" w:space="0" w:color="auto"/>
              <w:bottom w:val="single" w:sz="4" w:space="0" w:color="auto"/>
              <w:right w:val="single" w:sz="4" w:space="0" w:color="auto"/>
            </w:tcBorders>
            <w:hideMark/>
          </w:tcPr>
          <w:p w14:paraId="4EB8D21B" w14:textId="77777777" w:rsidR="003A4529" w:rsidRDefault="003A4529">
            <w:pPr>
              <w:spacing w:line="276" w:lineRule="auto"/>
              <w:rPr>
                <w:rFonts w:ascii="Times New Roman" w:hAnsi="Times New Roman" w:cs="Times New Roman"/>
                <w:b/>
                <w:bCs/>
                <w:sz w:val="16"/>
                <w:szCs w:val="16"/>
              </w:rPr>
            </w:pPr>
            <w:r>
              <w:rPr>
                <w:rFonts w:ascii="Times New Roman" w:hAnsi="Times New Roman" w:cs="Times New Roman"/>
                <w:b/>
                <w:bCs/>
                <w:sz w:val="16"/>
                <w:szCs w:val="16"/>
              </w:rPr>
              <w:t>Strategies to deal with confounding factors</w:t>
            </w:r>
          </w:p>
        </w:tc>
        <w:tc>
          <w:tcPr>
            <w:tcW w:w="794" w:type="dxa"/>
            <w:tcBorders>
              <w:top w:val="single" w:sz="4" w:space="0" w:color="auto"/>
              <w:left w:val="single" w:sz="4" w:space="0" w:color="auto"/>
              <w:bottom w:val="single" w:sz="4" w:space="0" w:color="auto"/>
              <w:right w:val="single" w:sz="4" w:space="0" w:color="auto"/>
            </w:tcBorders>
            <w:hideMark/>
          </w:tcPr>
          <w:p w14:paraId="23613DE3" w14:textId="77777777" w:rsidR="003A4529" w:rsidRDefault="003A4529">
            <w:pPr>
              <w:spacing w:line="276" w:lineRule="auto"/>
              <w:rPr>
                <w:rFonts w:ascii="Times New Roman" w:hAnsi="Times New Roman" w:cs="Times New Roman"/>
                <w:b/>
                <w:bCs/>
                <w:sz w:val="16"/>
                <w:szCs w:val="16"/>
              </w:rPr>
            </w:pPr>
            <w:r>
              <w:rPr>
                <w:rFonts w:ascii="Times New Roman" w:hAnsi="Times New Roman" w:cs="Times New Roman"/>
                <w:b/>
                <w:bCs/>
                <w:sz w:val="16"/>
                <w:szCs w:val="16"/>
              </w:rPr>
              <w:t>Absence of outcome at baseline</w:t>
            </w:r>
          </w:p>
        </w:tc>
        <w:tc>
          <w:tcPr>
            <w:tcW w:w="1138" w:type="dxa"/>
            <w:tcBorders>
              <w:top w:val="single" w:sz="4" w:space="0" w:color="auto"/>
              <w:left w:val="single" w:sz="4" w:space="0" w:color="auto"/>
              <w:bottom w:val="single" w:sz="4" w:space="0" w:color="auto"/>
              <w:right w:val="single" w:sz="4" w:space="0" w:color="auto"/>
            </w:tcBorders>
            <w:hideMark/>
          </w:tcPr>
          <w:p w14:paraId="648FEC67" w14:textId="77777777" w:rsidR="003A4529" w:rsidRDefault="003A4529">
            <w:pPr>
              <w:spacing w:line="276" w:lineRule="auto"/>
              <w:rPr>
                <w:rFonts w:ascii="Times New Roman" w:hAnsi="Times New Roman" w:cs="Times New Roman"/>
                <w:b/>
                <w:bCs/>
                <w:sz w:val="16"/>
                <w:szCs w:val="16"/>
              </w:rPr>
            </w:pPr>
            <w:r>
              <w:rPr>
                <w:rFonts w:ascii="Times New Roman" w:hAnsi="Times New Roman" w:cs="Times New Roman"/>
                <w:b/>
                <w:bCs/>
                <w:sz w:val="16"/>
                <w:szCs w:val="16"/>
              </w:rPr>
              <w:t>Validity and reliability of outcome measurement</w:t>
            </w:r>
          </w:p>
        </w:tc>
        <w:tc>
          <w:tcPr>
            <w:tcW w:w="945" w:type="dxa"/>
            <w:tcBorders>
              <w:top w:val="single" w:sz="4" w:space="0" w:color="auto"/>
              <w:left w:val="single" w:sz="4" w:space="0" w:color="auto"/>
              <w:bottom w:val="single" w:sz="4" w:space="0" w:color="auto"/>
              <w:right w:val="single" w:sz="4" w:space="0" w:color="auto"/>
            </w:tcBorders>
            <w:hideMark/>
          </w:tcPr>
          <w:p w14:paraId="006D1B71" w14:textId="77777777" w:rsidR="003A4529" w:rsidRDefault="003A4529">
            <w:pPr>
              <w:spacing w:line="276" w:lineRule="auto"/>
              <w:rPr>
                <w:rFonts w:ascii="Times New Roman" w:hAnsi="Times New Roman" w:cs="Times New Roman"/>
                <w:b/>
                <w:bCs/>
                <w:sz w:val="16"/>
                <w:szCs w:val="16"/>
              </w:rPr>
            </w:pPr>
            <w:r>
              <w:rPr>
                <w:rFonts w:ascii="Times New Roman" w:hAnsi="Times New Roman" w:cs="Times New Roman"/>
                <w:b/>
                <w:bCs/>
                <w:sz w:val="16"/>
                <w:szCs w:val="16"/>
              </w:rPr>
              <w:t>Reporting and sufficiency of follow-up time</w:t>
            </w:r>
          </w:p>
        </w:tc>
        <w:tc>
          <w:tcPr>
            <w:tcW w:w="1159" w:type="dxa"/>
            <w:tcBorders>
              <w:top w:val="single" w:sz="4" w:space="0" w:color="auto"/>
              <w:left w:val="single" w:sz="4" w:space="0" w:color="auto"/>
              <w:bottom w:val="single" w:sz="4" w:space="0" w:color="auto"/>
              <w:right w:val="single" w:sz="4" w:space="0" w:color="auto"/>
            </w:tcBorders>
            <w:hideMark/>
          </w:tcPr>
          <w:p w14:paraId="74C2605D" w14:textId="77777777" w:rsidR="003A4529" w:rsidRDefault="003A4529">
            <w:pPr>
              <w:spacing w:line="276" w:lineRule="auto"/>
              <w:rPr>
                <w:rFonts w:ascii="Times New Roman" w:hAnsi="Times New Roman" w:cs="Times New Roman"/>
                <w:b/>
                <w:bCs/>
                <w:sz w:val="16"/>
                <w:szCs w:val="16"/>
              </w:rPr>
            </w:pPr>
            <w:r>
              <w:rPr>
                <w:rFonts w:ascii="Times New Roman" w:hAnsi="Times New Roman" w:cs="Times New Roman"/>
                <w:b/>
                <w:bCs/>
                <w:sz w:val="16"/>
                <w:szCs w:val="16"/>
              </w:rPr>
              <w:t>Completeness and description of follow-up loss</w:t>
            </w:r>
          </w:p>
        </w:tc>
        <w:tc>
          <w:tcPr>
            <w:tcW w:w="963" w:type="dxa"/>
            <w:tcBorders>
              <w:top w:val="single" w:sz="4" w:space="0" w:color="auto"/>
              <w:left w:val="single" w:sz="4" w:space="0" w:color="auto"/>
              <w:bottom w:val="single" w:sz="4" w:space="0" w:color="auto"/>
              <w:right w:val="single" w:sz="4" w:space="0" w:color="auto"/>
            </w:tcBorders>
            <w:hideMark/>
          </w:tcPr>
          <w:p w14:paraId="5FF7D754" w14:textId="77777777" w:rsidR="003A4529" w:rsidRDefault="003A4529">
            <w:pPr>
              <w:spacing w:line="276" w:lineRule="auto"/>
              <w:rPr>
                <w:rFonts w:ascii="Times New Roman" w:hAnsi="Times New Roman" w:cs="Times New Roman"/>
                <w:b/>
                <w:bCs/>
                <w:sz w:val="16"/>
                <w:szCs w:val="16"/>
              </w:rPr>
            </w:pPr>
            <w:r>
              <w:rPr>
                <w:rFonts w:ascii="Times New Roman" w:hAnsi="Times New Roman" w:cs="Times New Roman"/>
                <w:b/>
                <w:bCs/>
                <w:sz w:val="16"/>
                <w:szCs w:val="16"/>
              </w:rPr>
              <w:t>Strategies to address incomplete follow-up</w:t>
            </w:r>
          </w:p>
        </w:tc>
        <w:tc>
          <w:tcPr>
            <w:tcW w:w="1067" w:type="dxa"/>
            <w:tcBorders>
              <w:top w:val="single" w:sz="4" w:space="0" w:color="auto"/>
              <w:left w:val="single" w:sz="4" w:space="0" w:color="auto"/>
              <w:bottom w:val="single" w:sz="4" w:space="0" w:color="auto"/>
              <w:right w:val="single" w:sz="4" w:space="0" w:color="auto"/>
            </w:tcBorders>
            <w:hideMark/>
          </w:tcPr>
          <w:p w14:paraId="420CAD86" w14:textId="77777777" w:rsidR="003A4529" w:rsidRDefault="003A4529">
            <w:pPr>
              <w:spacing w:line="276" w:lineRule="auto"/>
              <w:rPr>
                <w:rFonts w:ascii="Times New Roman" w:hAnsi="Times New Roman" w:cs="Times New Roman"/>
                <w:b/>
                <w:bCs/>
                <w:sz w:val="16"/>
                <w:szCs w:val="16"/>
              </w:rPr>
            </w:pPr>
            <w:r>
              <w:rPr>
                <w:rFonts w:ascii="Times New Roman" w:hAnsi="Times New Roman" w:cs="Times New Roman"/>
                <w:b/>
                <w:bCs/>
                <w:sz w:val="16"/>
                <w:szCs w:val="16"/>
              </w:rPr>
              <w:t>Appropriate statistical analysis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69B8C1" w14:textId="77777777" w:rsidR="003A4529" w:rsidRDefault="003A4529">
            <w:pPr>
              <w:rPr>
                <w:rFonts w:ascii="Times New Roman" w:hAnsi="Times New Roman" w:cs="Times New Roman"/>
                <w:b/>
                <w:bCs/>
                <w:sz w:val="18"/>
                <w:szCs w:val="18"/>
              </w:rPr>
            </w:pPr>
          </w:p>
        </w:tc>
      </w:tr>
      <w:tr w:rsidR="003A4529" w14:paraId="1930807A"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6D3AE8E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1. </w:t>
            </w:r>
          </w:p>
        </w:tc>
        <w:sdt>
          <w:sdtPr>
            <w:rPr>
              <w:rFonts w:ascii="Times New Roman" w:hAnsi="Times New Roman" w:cs="Times New Roman"/>
              <w:sz w:val="18"/>
              <w:szCs w:val="18"/>
            </w:rPr>
            <w:tag w:val="MENDELEY_CITATION_v3_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"/>
            <w:id w:val="-1293443237"/>
            <w:placeholder>
              <w:docPart w:val="A7D1A8A0E12A4C238AECB32D2FAAD004"/>
            </w:placeholder>
          </w:sdtPr>
          <w:sdtContent>
            <w:tc>
              <w:tcPr>
                <w:tcW w:w="983" w:type="dxa"/>
                <w:tcBorders>
                  <w:top w:val="single" w:sz="4" w:space="0" w:color="auto"/>
                  <w:left w:val="single" w:sz="4" w:space="0" w:color="auto"/>
                  <w:bottom w:val="single" w:sz="4" w:space="0" w:color="auto"/>
                  <w:right w:val="single" w:sz="4" w:space="0" w:color="auto"/>
                </w:tcBorders>
                <w:hideMark/>
              </w:tcPr>
              <w:p w14:paraId="0806312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Sung et al. [36]</w:t>
                </w:r>
              </w:p>
            </w:tc>
          </w:sdtContent>
        </w:sdt>
        <w:tc>
          <w:tcPr>
            <w:tcW w:w="901" w:type="dxa"/>
            <w:tcBorders>
              <w:top w:val="single" w:sz="4" w:space="0" w:color="auto"/>
              <w:left w:val="single" w:sz="4" w:space="0" w:color="auto"/>
              <w:bottom w:val="single" w:sz="4" w:space="0" w:color="auto"/>
              <w:right w:val="single" w:sz="4" w:space="0" w:color="auto"/>
            </w:tcBorders>
            <w:hideMark/>
          </w:tcPr>
          <w:p w14:paraId="7097637A"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34" w:type="dxa"/>
            <w:tcBorders>
              <w:top w:val="single" w:sz="4" w:space="0" w:color="auto"/>
              <w:left w:val="single" w:sz="4" w:space="0" w:color="auto"/>
              <w:bottom w:val="single" w:sz="4" w:space="0" w:color="auto"/>
              <w:right w:val="single" w:sz="4" w:space="0" w:color="auto"/>
            </w:tcBorders>
            <w:hideMark/>
          </w:tcPr>
          <w:p w14:paraId="7AD02AC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1F058D5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1" w:type="dxa"/>
            <w:tcBorders>
              <w:top w:val="single" w:sz="4" w:space="0" w:color="auto"/>
              <w:left w:val="single" w:sz="4" w:space="0" w:color="auto"/>
              <w:bottom w:val="single" w:sz="4" w:space="0" w:color="auto"/>
              <w:right w:val="single" w:sz="4" w:space="0" w:color="auto"/>
            </w:tcBorders>
            <w:hideMark/>
          </w:tcPr>
          <w:p w14:paraId="330B873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70" w:type="dxa"/>
            <w:tcBorders>
              <w:top w:val="single" w:sz="4" w:space="0" w:color="auto"/>
              <w:left w:val="single" w:sz="4" w:space="0" w:color="auto"/>
              <w:bottom w:val="single" w:sz="4" w:space="0" w:color="auto"/>
              <w:right w:val="single" w:sz="4" w:space="0" w:color="auto"/>
            </w:tcBorders>
            <w:hideMark/>
          </w:tcPr>
          <w:p w14:paraId="5C4E14B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794" w:type="dxa"/>
            <w:tcBorders>
              <w:top w:val="single" w:sz="4" w:space="0" w:color="auto"/>
              <w:left w:val="single" w:sz="4" w:space="0" w:color="auto"/>
              <w:bottom w:val="single" w:sz="4" w:space="0" w:color="auto"/>
              <w:right w:val="single" w:sz="4" w:space="0" w:color="auto"/>
            </w:tcBorders>
            <w:hideMark/>
          </w:tcPr>
          <w:p w14:paraId="3A7D162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6BC8C5EA"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45" w:type="dxa"/>
            <w:tcBorders>
              <w:top w:val="single" w:sz="4" w:space="0" w:color="auto"/>
              <w:left w:val="single" w:sz="4" w:space="0" w:color="auto"/>
              <w:bottom w:val="single" w:sz="4" w:space="0" w:color="auto"/>
              <w:right w:val="single" w:sz="4" w:space="0" w:color="auto"/>
            </w:tcBorders>
            <w:hideMark/>
          </w:tcPr>
          <w:p w14:paraId="105D8EB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59" w:type="dxa"/>
            <w:tcBorders>
              <w:top w:val="single" w:sz="4" w:space="0" w:color="auto"/>
              <w:left w:val="single" w:sz="4" w:space="0" w:color="auto"/>
              <w:bottom w:val="single" w:sz="4" w:space="0" w:color="auto"/>
              <w:right w:val="single" w:sz="4" w:space="0" w:color="auto"/>
            </w:tcBorders>
            <w:hideMark/>
          </w:tcPr>
          <w:p w14:paraId="703964F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63" w:type="dxa"/>
            <w:tcBorders>
              <w:top w:val="single" w:sz="4" w:space="0" w:color="auto"/>
              <w:left w:val="single" w:sz="4" w:space="0" w:color="auto"/>
              <w:bottom w:val="single" w:sz="4" w:space="0" w:color="auto"/>
              <w:right w:val="single" w:sz="4" w:space="0" w:color="auto"/>
            </w:tcBorders>
            <w:hideMark/>
          </w:tcPr>
          <w:p w14:paraId="64E41B9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067" w:type="dxa"/>
            <w:tcBorders>
              <w:top w:val="single" w:sz="4" w:space="0" w:color="auto"/>
              <w:left w:val="single" w:sz="4" w:space="0" w:color="auto"/>
              <w:bottom w:val="single" w:sz="4" w:space="0" w:color="auto"/>
              <w:right w:val="single" w:sz="4" w:space="0" w:color="auto"/>
            </w:tcBorders>
            <w:hideMark/>
          </w:tcPr>
          <w:p w14:paraId="1E028BFA"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506" w:type="dxa"/>
            <w:tcBorders>
              <w:top w:val="single" w:sz="4" w:space="0" w:color="auto"/>
              <w:left w:val="single" w:sz="4" w:space="0" w:color="auto"/>
              <w:bottom w:val="single" w:sz="4" w:space="0" w:color="auto"/>
              <w:right w:val="single" w:sz="4" w:space="0" w:color="auto"/>
            </w:tcBorders>
            <w:hideMark/>
          </w:tcPr>
          <w:p w14:paraId="62C0CACA"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10</w:t>
            </w:r>
          </w:p>
        </w:tc>
      </w:tr>
      <w:tr w:rsidR="003A4529" w14:paraId="6A10533C"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74BD7AA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2. </w:t>
            </w:r>
          </w:p>
        </w:tc>
        <w:sdt>
          <w:sdtPr>
            <w:rPr>
              <w:rFonts w:ascii="Times New Roman" w:hAnsi="Times New Roman" w:cs="Times New Roman"/>
              <w:sz w:val="18"/>
              <w:szCs w:val="18"/>
            </w:rPr>
            <w:tag w:val="MENDELEY_CITATION_v3_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"/>
            <w:id w:val="976958591"/>
            <w:placeholder>
              <w:docPart w:val="A7D1A8A0E12A4C238AECB32D2FAAD004"/>
            </w:placeholder>
          </w:sdtPr>
          <w:sdtContent>
            <w:tc>
              <w:tcPr>
                <w:tcW w:w="983" w:type="dxa"/>
                <w:tcBorders>
                  <w:top w:val="single" w:sz="4" w:space="0" w:color="auto"/>
                  <w:left w:val="single" w:sz="4" w:space="0" w:color="auto"/>
                  <w:bottom w:val="single" w:sz="4" w:space="0" w:color="auto"/>
                  <w:right w:val="single" w:sz="4" w:space="0" w:color="auto"/>
                </w:tcBorders>
                <w:hideMark/>
              </w:tcPr>
              <w:p w14:paraId="2417F4B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Ting et al. [38]</w:t>
                </w:r>
              </w:p>
            </w:tc>
          </w:sdtContent>
        </w:sdt>
        <w:tc>
          <w:tcPr>
            <w:tcW w:w="901" w:type="dxa"/>
            <w:tcBorders>
              <w:top w:val="single" w:sz="4" w:space="0" w:color="auto"/>
              <w:left w:val="single" w:sz="4" w:space="0" w:color="auto"/>
              <w:bottom w:val="single" w:sz="4" w:space="0" w:color="auto"/>
              <w:right w:val="single" w:sz="4" w:space="0" w:color="auto"/>
            </w:tcBorders>
            <w:hideMark/>
          </w:tcPr>
          <w:p w14:paraId="461427C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34" w:type="dxa"/>
            <w:tcBorders>
              <w:top w:val="single" w:sz="4" w:space="0" w:color="auto"/>
              <w:left w:val="single" w:sz="4" w:space="0" w:color="auto"/>
              <w:bottom w:val="single" w:sz="4" w:space="0" w:color="auto"/>
              <w:right w:val="single" w:sz="4" w:space="0" w:color="auto"/>
            </w:tcBorders>
            <w:hideMark/>
          </w:tcPr>
          <w:p w14:paraId="0E46336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362F3F9A"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1" w:type="dxa"/>
            <w:tcBorders>
              <w:top w:val="single" w:sz="4" w:space="0" w:color="auto"/>
              <w:left w:val="single" w:sz="4" w:space="0" w:color="auto"/>
              <w:bottom w:val="single" w:sz="4" w:space="0" w:color="auto"/>
              <w:right w:val="single" w:sz="4" w:space="0" w:color="auto"/>
            </w:tcBorders>
            <w:hideMark/>
          </w:tcPr>
          <w:p w14:paraId="4DA7C57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70" w:type="dxa"/>
            <w:tcBorders>
              <w:top w:val="single" w:sz="4" w:space="0" w:color="auto"/>
              <w:left w:val="single" w:sz="4" w:space="0" w:color="auto"/>
              <w:bottom w:val="single" w:sz="4" w:space="0" w:color="auto"/>
              <w:right w:val="single" w:sz="4" w:space="0" w:color="auto"/>
            </w:tcBorders>
            <w:hideMark/>
          </w:tcPr>
          <w:p w14:paraId="384F743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794" w:type="dxa"/>
            <w:tcBorders>
              <w:top w:val="single" w:sz="4" w:space="0" w:color="auto"/>
              <w:left w:val="single" w:sz="4" w:space="0" w:color="auto"/>
              <w:bottom w:val="single" w:sz="4" w:space="0" w:color="auto"/>
              <w:right w:val="single" w:sz="4" w:space="0" w:color="auto"/>
            </w:tcBorders>
            <w:hideMark/>
          </w:tcPr>
          <w:p w14:paraId="5B2A6A3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053908E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45" w:type="dxa"/>
            <w:tcBorders>
              <w:top w:val="single" w:sz="4" w:space="0" w:color="auto"/>
              <w:left w:val="single" w:sz="4" w:space="0" w:color="auto"/>
              <w:bottom w:val="single" w:sz="4" w:space="0" w:color="auto"/>
              <w:right w:val="single" w:sz="4" w:space="0" w:color="auto"/>
            </w:tcBorders>
            <w:hideMark/>
          </w:tcPr>
          <w:p w14:paraId="7817991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59" w:type="dxa"/>
            <w:tcBorders>
              <w:top w:val="single" w:sz="4" w:space="0" w:color="auto"/>
              <w:left w:val="single" w:sz="4" w:space="0" w:color="auto"/>
              <w:bottom w:val="single" w:sz="4" w:space="0" w:color="auto"/>
              <w:right w:val="single" w:sz="4" w:space="0" w:color="auto"/>
            </w:tcBorders>
            <w:hideMark/>
          </w:tcPr>
          <w:p w14:paraId="3C586437"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63" w:type="dxa"/>
            <w:tcBorders>
              <w:top w:val="single" w:sz="4" w:space="0" w:color="auto"/>
              <w:left w:val="single" w:sz="4" w:space="0" w:color="auto"/>
              <w:bottom w:val="single" w:sz="4" w:space="0" w:color="auto"/>
              <w:right w:val="single" w:sz="4" w:space="0" w:color="auto"/>
            </w:tcBorders>
            <w:hideMark/>
          </w:tcPr>
          <w:p w14:paraId="260964A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067" w:type="dxa"/>
            <w:tcBorders>
              <w:top w:val="single" w:sz="4" w:space="0" w:color="auto"/>
              <w:left w:val="single" w:sz="4" w:space="0" w:color="auto"/>
              <w:bottom w:val="single" w:sz="4" w:space="0" w:color="auto"/>
              <w:right w:val="single" w:sz="4" w:space="0" w:color="auto"/>
            </w:tcBorders>
            <w:hideMark/>
          </w:tcPr>
          <w:p w14:paraId="5166356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506" w:type="dxa"/>
            <w:tcBorders>
              <w:top w:val="single" w:sz="4" w:space="0" w:color="auto"/>
              <w:left w:val="single" w:sz="4" w:space="0" w:color="auto"/>
              <w:bottom w:val="single" w:sz="4" w:space="0" w:color="auto"/>
              <w:right w:val="single" w:sz="4" w:space="0" w:color="auto"/>
            </w:tcBorders>
            <w:hideMark/>
          </w:tcPr>
          <w:p w14:paraId="591A894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9</w:t>
            </w:r>
          </w:p>
        </w:tc>
      </w:tr>
      <w:tr w:rsidR="003A4529" w14:paraId="5A57C4FB"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0F560FB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3. </w:t>
            </w:r>
          </w:p>
        </w:tc>
        <w:sdt>
          <w:sdtPr>
            <w:rPr>
              <w:rFonts w:ascii="Times New Roman" w:hAnsi="Times New Roman" w:cs="Times New Roman"/>
              <w:sz w:val="18"/>
              <w:szCs w:val="18"/>
            </w:rPr>
            <w:tag w:val="MENDELEY_CITATION_v3_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"/>
            <w:id w:val="-605505042"/>
            <w:placeholder>
              <w:docPart w:val="A7D1A8A0E12A4C238AECB32D2FAAD004"/>
            </w:placeholder>
          </w:sdtPr>
          <w:sdtContent>
            <w:tc>
              <w:tcPr>
                <w:tcW w:w="983" w:type="dxa"/>
                <w:tcBorders>
                  <w:top w:val="single" w:sz="4" w:space="0" w:color="auto"/>
                  <w:left w:val="single" w:sz="4" w:space="0" w:color="auto"/>
                  <w:bottom w:val="single" w:sz="4" w:space="0" w:color="auto"/>
                  <w:right w:val="single" w:sz="4" w:space="0" w:color="auto"/>
                </w:tcBorders>
                <w:hideMark/>
              </w:tcPr>
              <w:p w14:paraId="73A5E76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Lumi et al. [41]</w:t>
                </w:r>
              </w:p>
            </w:tc>
          </w:sdtContent>
        </w:sdt>
        <w:tc>
          <w:tcPr>
            <w:tcW w:w="901" w:type="dxa"/>
            <w:tcBorders>
              <w:top w:val="single" w:sz="4" w:space="0" w:color="auto"/>
              <w:left w:val="single" w:sz="4" w:space="0" w:color="auto"/>
              <w:bottom w:val="single" w:sz="4" w:space="0" w:color="auto"/>
              <w:right w:val="single" w:sz="4" w:space="0" w:color="auto"/>
            </w:tcBorders>
            <w:hideMark/>
          </w:tcPr>
          <w:p w14:paraId="3EAB20ED"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34" w:type="dxa"/>
            <w:tcBorders>
              <w:top w:val="single" w:sz="4" w:space="0" w:color="auto"/>
              <w:left w:val="single" w:sz="4" w:space="0" w:color="auto"/>
              <w:bottom w:val="single" w:sz="4" w:space="0" w:color="auto"/>
              <w:right w:val="single" w:sz="4" w:space="0" w:color="auto"/>
            </w:tcBorders>
            <w:hideMark/>
          </w:tcPr>
          <w:p w14:paraId="461AFB17"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141F76C7"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1" w:type="dxa"/>
            <w:tcBorders>
              <w:top w:val="single" w:sz="4" w:space="0" w:color="auto"/>
              <w:left w:val="single" w:sz="4" w:space="0" w:color="auto"/>
              <w:bottom w:val="single" w:sz="4" w:space="0" w:color="auto"/>
              <w:right w:val="single" w:sz="4" w:space="0" w:color="auto"/>
            </w:tcBorders>
            <w:hideMark/>
          </w:tcPr>
          <w:p w14:paraId="161C667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70" w:type="dxa"/>
            <w:tcBorders>
              <w:top w:val="single" w:sz="4" w:space="0" w:color="auto"/>
              <w:left w:val="single" w:sz="4" w:space="0" w:color="auto"/>
              <w:bottom w:val="single" w:sz="4" w:space="0" w:color="auto"/>
              <w:right w:val="single" w:sz="4" w:space="0" w:color="auto"/>
            </w:tcBorders>
            <w:hideMark/>
          </w:tcPr>
          <w:p w14:paraId="5A93C99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794" w:type="dxa"/>
            <w:tcBorders>
              <w:top w:val="single" w:sz="4" w:space="0" w:color="auto"/>
              <w:left w:val="single" w:sz="4" w:space="0" w:color="auto"/>
              <w:bottom w:val="single" w:sz="4" w:space="0" w:color="auto"/>
              <w:right w:val="single" w:sz="4" w:space="0" w:color="auto"/>
            </w:tcBorders>
            <w:hideMark/>
          </w:tcPr>
          <w:p w14:paraId="72A9379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60C75DBF"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45" w:type="dxa"/>
            <w:tcBorders>
              <w:top w:val="single" w:sz="4" w:space="0" w:color="auto"/>
              <w:left w:val="single" w:sz="4" w:space="0" w:color="auto"/>
              <w:bottom w:val="single" w:sz="4" w:space="0" w:color="auto"/>
              <w:right w:val="single" w:sz="4" w:space="0" w:color="auto"/>
            </w:tcBorders>
            <w:hideMark/>
          </w:tcPr>
          <w:p w14:paraId="5B644ED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59" w:type="dxa"/>
            <w:tcBorders>
              <w:top w:val="single" w:sz="4" w:space="0" w:color="auto"/>
              <w:left w:val="single" w:sz="4" w:space="0" w:color="auto"/>
              <w:bottom w:val="single" w:sz="4" w:space="0" w:color="auto"/>
              <w:right w:val="single" w:sz="4" w:space="0" w:color="auto"/>
            </w:tcBorders>
            <w:hideMark/>
          </w:tcPr>
          <w:p w14:paraId="3230670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63" w:type="dxa"/>
            <w:tcBorders>
              <w:top w:val="single" w:sz="4" w:space="0" w:color="auto"/>
              <w:left w:val="single" w:sz="4" w:space="0" w:color="auto"/>
              <w:bottom w:val="single" w:sz="4" w:space="0" w:color="auto"/>
              <w:right w:val="single" w:sz="4" w:space="0" w:color="auto"/>
            </w:tcBorders>
            <w:hideMark/>
          </w:tcPr>
          <w:p w14:paraId="05ECDC0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67" w:type="dxa"/>
            <w:tcBorders>
              <w:top w:val="single" w:sz="4" w:space="0" w:color="auto"/>
              <w:left w:val="single" w:sz="4" w:space="0" w:color="auto"/>
              <w:bottom w:val="single" w:sz="4" w:space="0" w:color="auto"/>
              <w:right w:val="single" w:sz="4" w:space="0" w:color="auto"/>
            </w:tcBorders>
            <w:hideMark/>
          </w:tcPr>
          <w:p w14:paraId="6AC278C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506" w:type="dxa"/>
            <w:tcBorders>
              <w:top w:val="single" w:sz="4" w:space="0" w:color="auto"/>
              <w:left w:val="single" w:sz="4" w:space="0" w:color="auto"/>
              <w:bottom w:val="single" w:sz="4" w:space="0" w:color="auto"/>
              <w:right w:val="single" w:sz="4" w:space="0" w:color="auto"/>
            </w:tcBorders>
            <w:hideMark/>
          </w:tcPr>
          <w:p w14:paraId="41A10C0A"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11</w:t>
            </w:r>
          </w:p>
        </w:tc>
      </w:tr>
      <w:tr w:rsidR="003A4529" w14:paraId="569FE615"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742CB9D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4. </w:t>
            </w:r>
          </w:p>
        </w:tc>
        <w:sdt>
          <w:sdtPr>
            <w:rPr>
              <w:rFonts w:ascii="Times New Roman" w:hAnsi="Times New Roman" w:cs="Times New Roman"/>
              <w:sz w:val="18"/>
              <w:szCs w:val="18"/>
            </w:rPr>
            <w:tag w:val="MENDELEY_CITATION_v3_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"/>
            <w:id w:val="1870562465"/>
            <w:placeholder>
              <w:docPart w:val="A7D1A8A0E12A4C238AECB32D2FAAD004"/>
            </w:placeholder>
          </w:sdtPr>
          <w:sdtContent>
            <w:tc>
              <w:tcPr>
                <w:tcW w:w="983" w:type="dxa"/>
                <w:tcBorders>
                  <w:top w:val="single" w:sz="4" w:space="0" w:color="auto"/>
                  <w:left w:val="single" w:sz="4" w:space="0" w:color="auto"/>
                  <w:bottom w:val="single" w:sz="4" w:space="0" w:color="auto"/>
                  <w:right w:val="single" w:sz="4" w:space="0" w:color="auto"/>
                </w:tcBorders>
                <w:hideMark/>
              </w:tcPr>
              <w:p w14:paraId="72E2FD3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Barth et al. [42]</w:t>
                </w:r>
              </w:p>
            </w:tc>
          </w:sdtContent>
        </w:sdt>
        <w:tc>
          <w:tcPr>
            <w:tcW w:w="901" w:type="dxa"/>
            <w:tcBorders>
              <w:top w:val="single" w:sz="4" w:space="0" w:color="auto"/>
              <w:left w:val="single" w:sz="4" w:space="0" w:color="auto"/>
              <w:bottom w:val="single" w:sz="4" w:space="0" w:color="auto"/>
              <w:right w:val="single" w:sz="4" w:space="0" w:color="auto"/>
            </w:tcBorders>
            <w:hideMark/>
          </w:tcPr>
          <w:p w14:paraId="091A28F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34" w:type="dxa"/>
            <w:tcBorders>
              <w:top w:val="single" w:sz="4" w:space="0" w:color="auto"/>
              <w:left w:val="single" w:sz="4" w:space="0" w:color="auto"/>
              <w:bottom w:val="single" w:sz="4" w:space="0" w:color="auto"/>
              <w:right w:val="single" w:sz="4" w:space="0" w:color="auto"/>
            </w:tcBorders>
            <w:hideMark/>
          </w:tcPr>
          <w:p w14:paraId="4BA14AF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05C4CB8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1" w:type="dxa"/>
            <w:tcBorders>
              <w:top w:val="single" w:sz="4" w:space="0" w:color="auto"/>
              <w:left w:val="single" w:sz="4" w:space="0" w:color="auto"/>
              <w:bottom w:val="single" w:sz="4" w:space="0" w:color="auto"/>
              <w:right w:val="single" w:sz="4" w:space="0" w:color="auto"/>
            </w:tcBorders>
            <w:hideMark/>
          </w:tcPr>
          <w:p w14:paraId="69C0DAE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70" w:type="dxa"/>
            <w:tcBorders>
              <w:top w:val="single" w:sz="4" w:space="0" w:color="auto"/>
              <w:left w:val="single" w:sz="4" w:space="0" w:color="auto"/>
              <w:bottom w:val="single" w:sz="4" w:space="0" w:color="auto"/>
              <w:right w:val="single" w:sz="4" w:space="0" w:color="auto"/>
            </w:tcBorders>
            <w:hideMark/>
          </w:tcPr>
          <w:p w14:paraId="269B8A9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794" w:type="dxa"/>
            <w:tcBorders>
              <w:top w:val="single" w:sz="4" w:space="0" w:color="auto"/>
              <w:left w:val="single" w:sz="4" w:space="0" w:color="auto"/>
              <w:bottom w:val="single" w:sz="4" w:space="0" w:color="auto"/>
              <w:right w:val="single" w:sz="4" w:space="0" w:color="auto"/>
            </w:tcBorders>
            <w:hideMark/>
          </w:tcPr>
          <w:p w14:paraId="3821A50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7DC5621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45" w:type="dxa"/>
            <w:tcBorders>
              <w:top w:val="single" w:sz="4" w:space="0" w:color="auto"/>
              <w:left w:val="single" w:sz="4" w:space="0" w:color="auto"/>
              <w:bottom w:val="single" w:sz="4" w:space="0" w:color="auto"/>
              <w:right w:val="single" w:sz="4" w:space="0" w:color="auto"/>
            </w:tcBorders>
            <w:hideMark/>
          </w:tcPr>
          <w:p w14:paraId="18504CE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59" w:type="dxa"/>
            <w:tcBorders>
              <w:top w:val="single" w:sz="4" w:space="0" w:color="auto"/>
              <w:left w:val="single" w:sz="4" w:space="0" w:color="auto"/>
              <w:bottom w:val="single" w:sz="4" w:space="0" w:color="auto"/>
              <w:right w:val="single" w:sz="4" w:space="0" w:color="auto"/>
            </w:tcBorders>
            <w:hideMark/>
          </w:tcPr>
          <w:p w14:paraId="5BA2A68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63" w:type="dxa"/>
            <w:tcBorders>
              <w:top w:val="single" w:sz="4" w:space="0" w:color="auto"/>
              <w:left w:val="single" w:sz="4" w:space="0" w:color="auto"/>
              <w:bottom w:val="single" w:sz="4" w:space="0" w:color="auto"/>
              <w:right w:val="single" w:sz="4" w:space="0" w:color="auto"/>
            </w:tcBorders>
            <w:hideMark/>
          </w:tcPr>
          <w:p w14:paraId="09DAC7B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067" w:type="dxa"/>
            <w:tcBorders>
              <w:top w:val="single" w:sz="4" w:space="0" w:color="auto"/>
              <w:left w:val="single" w:sz="4" w:space="0" w:color="auto"/>
              <w:bottom w:val="single" w:sz="4" w:space="0" w:color="auto"/>
              <w:right w:val="single" w:sz="4" w:space="0" w:color="auto"/>
            </w:tcBorders>
            <w:hideMark/>
          </w:tcPr>
          <w:p w14:paraId="292C359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506" w:type="dxa"/>
            <w:tcBorders>
              <w:top w:val="single" w:sz="4" w:space="0" w:color="auto"/>
              <w:left w:val="single" w:sz="4" w:space="0" w:color="auto"/>
              <w:bottom w:val="single" w:sz="4" w:space="0" w:color="auto"/>
              <w:right w:val="single" w:sz="4" w:space="0" w:color="auto"/>
            </w:tcBorders>
            <w:hideMark/>
          </w:tcPr>
          <w:p w14:paraId="201166C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10</w:t>
            </w:r>
          </w:p>
        </w:tc>
      </w:tr>
      <w:tr w:rsidR="003A4529" w14:paraId="3B56AFF4"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4F4AAA0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5. </w:t>
            </w:r>
          </w:p>
        </w:tc>
        <w:sdt>
          <w:sdtPr>
            <w:rPr>
              <w:rFonts w:ascii="Times New Roman" w:hAnsi="Times New Roman" w:cs="Times New Roman"/>
              <w:sz w:val="18"/>
              <w:szCs w:val="18"/>
            </w:rPr>
            <w:tag w:val="MENDELEY_CITATION_v3_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"/>
            <w:id w:val="318929001"/>
            <w:placeholder>
              <w:docPart w:val="A7D1A8A0E12A4C238AECB32D2FAAD004"/>
            </w:placeholder>
          </w:sdtPr>
          <w:sdtContent>
            <w:tc>
              <w:tcPr>
                <w:tcW w:w="983" w:type="dxa"/>
                <w:tcBorders>
                  <w:top w:val="single" w:sz="4" w:space="0" w:color="auto"/>
                  <w:left w:val="single" w:sz="4" w:space="0" w:color="auto"/>
                  <w:bottom w:val="single" w:sz="4" w:space="0" w:color="auto"/>
                  <w:right w:val="single" w:sz="4" w:space="0" w:color="auto"/>
                </w:tcBorders>
                <w:hideMark/>
              </w:tcPr>
              <w:p w14:paraId="7E6934FD"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Murtagh et al. [43]</w:t>
                </w:r>
              </w:p>
            </w:tc>
          </w:sdtContent>
        </w:sdt>
        <w:tc>
          <w:tcPr>
            <w:tcW w:w="901" w:type="dxa"/>
            <w:tcBorders>
              <w:top w:val="single" w:sz="4" w:space="0" w:color="auto"/>
              <w:left w:val="single" w:sz="4" w:space="0" w:color="auto"/>
              <w:bottom w:val="single" w:sz="4" w:space="0" w:color="auto"/>
              <w:right w:val="single" w:sz="4" w:space="0" w:color="auto"/>
            </w:tcBorders>
            <w:hideMark/>
          </w:tcPr>
          <w:p w14:paraId="2522D07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34" w:type="dxa"/>
            <w:tcBorders>
              <w:top w:val="single" w:sz="4" w:space="0" w:color="auto"/>
              <w:left w:val="single" w:sz="4" w:space="0" w:color="auto"/>
              <w:bottom w:val="single" w:sz="4" w:space="0" w:color="auto"/>
              <w:right w:val="single" w:sz="4" w:space="0" w:color="auto"/>
            </w:tcBorders>
            <w:hideMark/>
          </w:tcPr>
          <w:p w14:paraId="43A31C5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63835CF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1" w:type="dxa"/>
            <w:tcBorders>
              <w:top w:val="single" w:sz="4" w:space="0" w:color="auto"/>
              <w:left w:val="single" w:sz="4" w:space="0" w:color="auto"/>
              <w:bottom w:val="single" w:sz="4" w:space="0" w:color="auto"/>
              <w:right w:val="single" w:sz="4" w:space="0" w:color="auto"/>
            </w:tcBorders>
            <w:hideMark/>
          </w:tcPr>
          <w:p w14:paraId="4193743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70" w:type="dxa"/>
            <w:tcBorders>
              <w:top w:val="single" w:sz="4" w:space="0" w:color="auto"/>
              <w:left w:val="single" w:sz="4" w:space="0" w:color="auto"/>
              <w:bottom w:val="single" w:sz="4" w:space="0" w:color="auto"/>
              <w:right w:val="single" w:sz="4" w:space="0" w:color="auto"/>
            </w:tcBorders>
            <w:hideMark/>
          </w:tcPr>
          <w:p w14:paraId="50DEF43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794" w:type="dxa"/>
            <w:tcBorders>
              <w:top w:val="single" w:sz="4" w:space="0" w:color="auto"/>
              <w:left w:val="single" w:sz="4" w:space="0" w:color="auto"/>
              <w:bottom w:val="single" w:sz="4" w:space="0" w:color="auto"/>
              <w:right w:val="single" w:sz="4" w:space="0" w:color="auto"/>
            </w:tcBorders>
            <w:hideMark/>
          </w:tcPr>
          <w:p w14:paraId="144BDAB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3D1183A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45" w:type="dxa"/>
            <w:tcBorders>
              <w:top w:val="single" w:sz="4" w:space="0" w:color="auto"/>
              <w:left w:val="single" w:sz="4" w:space="0" w:color="auto"/>
              <w:bottom w:val="single" w:sz="4" w:space="0" w:color="auto"/>
              <w:right w:val="single" w:sz="4" w:space="0" w:color="auto"/>
            </w:tcBorders>
            <w:hideMark/>
          </w:tcPr>
          <w:p w14:paraId="63F579B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59" w:type="dxa"/>
            <w:tcBorders>
              <w:top w:val="single" w:sz="4" w:space="0" w:color="auto"/>
              <w:left w:val="single" w:sz="4" w:space="0" w:color="auto"/>
              <w:bottom w:val="single" w:sz="4" w:space="0" w:color="auto"/>
              <w:right w:val="single" w:sz="4" w:space="0" w:color="auto"/>
            </w:tcBorders>
            <w:hideMark/>
          </w:tcPr>
          <w:p w14:paraId="5B4B0A3D"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63" w:type="dxa"/>
            <w:tcBorders>
              <w:top w:val="single" w:sz="4" w:space="0" w:color="auto"/>
              <w:left w:val="single" w:sz="4" w:space="0" w:color="auto"/>
              <w:bottom w:val="single" w:sz="4" w:space="0" w:color="auto"/>
              <w:right w:val="single" w:sz="4" w:space="0" w:color="auto"/>
            </w:tcBorders>
            <w:hideMark/>
          </w:tcPr>
          <w:p w14:paraId="68D4BF2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067" w:type="dxa"/>
            <w:tcBorders>
              <w:top w:val="single" w:sz="4" w:space="0" w:color="auto"/>
              <w:left w:val="single" w:sz="4" w:space="0" w:color="auto"/>
              <w:bottom w:val="single" w:sz="4" w:space="0" w:color="auto"/>
              <w:right w:val="single" w:sz="4" w:space="0" w:color="auto"/>
            </w:tcBorders>
            <w:hideMark/>
          </w:tcPr>
          <w:p w14:paraId="44B6BBDF"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506" w:type="dxa"/>
            <w:tcBorders>
              <w:top w:val="single" w:sz="4" w:space="0" w:color="auto"/>
              <w:left w:val="single" w:sz="4" w:space="0" w:color="auto"/>
              <w:bottom w:val="single" w:sz="4" w:space="0" w:color="auto"/>
              <w:right w:val="single" w:sz="4" w:space="0" w:color="auto"/>
            </w:tcBorders>
            <w:hideMark/>
          </w:tcPr>
          <w:p w14:paraId="31523F6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10</w:t>
            </w:r>
          </w:p>
        </w:tc>
      </w:tr>
      <w:tr w:rsidR="003A4529" w14:paraId="7ED0C8AA"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07A8E83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6. </w:t>
            </w:r>
          </w:p>
        </w:tc>
        <w:sdt>
          <w:sdtPr>
            <w:rPr>
              <w:rFonts w:ascii="Times New Roman" w:hAnsi="Times New Roman" w:cs="Times New Roman"/>
              <w:sz w:val="18"/>
              <w:szCs w:val="18"/>
            </w:rPr>
            <w:tag w:val="MENDELEY_CITATION_v3_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"/>
            <w:id w:val="972017100"/>
            <w:placeholder>
              <w:docPart w:val="A7D1A8A0E12A4C238AECB32D2FAAD004"/>
            </w:placeholder>
          </w:sdtPr>
          <w:sdtContent>
            <w:tc>
              <w:tcPr>
                <w:tcW w:w="983" w:type="dxa"/>
                <w:tcBorders>
                  <w:top w:val="single" w:sz="4" w:space="0" w:color="auto"/>
                  <w:left w:val="single" w:sz="4" w:space="0" w:color="auto"/>
                  <w:bottom w:val="single" w:sz="4" w:space="0" w:color="auto"/>
                  <w:right w:val="single" w:sz="4" w:space="0" w:color="auto"/>
                </w:tcBorders>
                <w:hideMark/>
              </w:tcPr>
              <w:p w14:paraId="75E0CE1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Quiroz-Reyes et al. [47]</w:t>
                </w:r>
              </w:p>
            </w:tc>
          </w:sdtContent>
        </w:sdt>
        <w:tc>
          <w:tcPr>
            <w:tcW w:w="901" w:type="dxa"/>
            <w:tcBorders>
              <w:top w:val="single" w:sz="4" w:space="0" w:color="auto"/>
              <w:left w:val="single" w:sz="4" w:space="0" w:color="auto"/>
              <w:bottom w:val="single" w:sz="4" w:space="0" w:color="auto"/>
              <w:right w:val="single" w:sz="4" w:space="0" w:color="auto"/>
            </w:tcBorders>
            <w:hideMark/>
          </w:tcPr>
          <w:p w14:paraId="4C4EE88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34" w:type="dxa"/>
            <w:tcBorders>
              <w:top w:val="single" w:sz="4" w:space="0" w:color="auto"/>
              <w:left w:val="single" w:sz="4" w:space="0" w:color="auto"/>
              <w:bottom w:val="single" w:sz="4" w:space="0" w:color="auto"/>
              <w:right w:val="single" w:sz="4" w:space="0" w:color="auto"/>
            </w:tcBorders>
            <w:hideMark/>
          </w:tcPr>
          <w:p w14:paraId="0A3A4D7F"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79BBB03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1" w:type="dxa"/>
            <w:tcBorders>
              <w:top w:val="single" w:sz="4" w:space="0" w:color="auto"/>
              <w:left w:val="single" w:sz="4" w:space="0" w:color="auto"/>
              <w:bottom w:val="single" w:sz="4" w:space="0" w:color="auto"/>
              <w:right w:val="single" w:sz="4" w:space="0" w:color="auto"/>
            </w:tcBorders>
            <w:hideMark/>
          </w:tcPr>
          <w:p w14:paraId="30632457"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070" w:type="dxa"/>
            <w:tcBorders>
              <w:top w:val="single" w:sz="4" w:space="0" w:color="auto"/>
              <w:left w:val="single" w:sz="4" w:space="0" w:color="auto"/>
              <w:bottom w:val="single" w:sz="4" w:space="0" w:color="auto"/>
              <w:right w:val="single" w:sz="4" w:space="0" w:color="auto"/>
            </w:tcBorders>
            <w:hideMark/>
          </w:tcPr>
          <w:p w14:paraId="6675DDA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794" w:type="dxa"/>
            <w:tcBorders>
              <w:top w:val="single" w:sz="4" w:space="0" w:color="auto"/>
              <w:left w:val="single" w:sz="4" w:space="0" w:color="auto"/>
              <w:bottom w:val="single" w:sz="4" w:space="0" w:color="auto"/>
              <w:right w:val="single" w:sz="4" w:space="0" w:color="auto"/>
            </w:tcBorders>
            <w:hideMark/>
          </w:tcPr>
          <w:p w14:paraId="52C5CE9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0992B4FF"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45" w:type="dxa"/>
            <w:tcBorders>
              <w:top w:val="single" w:sz="4" w:space="0" w:color="auto"/>
              <w:left w:val="single" w:sz="4" w:space="0" w:color="auto"/>
              <w:bottom w:val="single" w:sz="4" w:space="0" w:color="auto"/>
              <w:right w:val="single" w:sz="4" w:space="0" w:color="auto"/>
            </w:tcBorders>
            <w:hideMark/>
          </w:tcPr>
          <w:p w14:paraId="5C365B1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59" w:type="dxa"/>
            <w:tcBorders>
              <w:top w:val="single" w:sz="4" w:space="0" w:color="auto"/>
              <w:left w:val="single" w:sz="4" w:space="0" w:color="auto"/>
              <w:bottom w:val="single" w:sz="4" w:space="0" w:color="auto"/>
              <w:right w:val="single" w:sz="4" w:space="0" w:color="auto"/>
            </w:tcBorders>
            <w:hideMark/>
          </w:tcPr>
          <w:p w14:paraId="2C50C9D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63" w:type="dxa"/>
            <w:tcBorders>
              <w:top w:val="single" w:sz="4" w:space="0" w:color="auto"/>
              <w:left w:val="single" w:sz="4" w:space="0" w:color="auto"/>
              <w:bottom w:val="single" w:sz="4" w:space="0" w:color="auto"/>
              <w:right w:val="single" w:sz="4" w:space="0" w:color="auto"/>
            </w:tcBorders>
            <w:hideMark/>
          </w:tcPr>
          <w:p w14:paraId="325BD9B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067" w:type="dxa"/>
            <w:tcBorders>
              <w:top w:val="single" w:sz="4" w:space="0" w:color="auto"/>
              <w:left w:val="single" w:sz="4" w:space="0" w:color="auto"/>
              <w:bottom w:val="single" w:sz="4" w:space="0" w:color="auto"/>
              <w:right w:val="single" w:sz="4" w:space="0" w:color="auto"/>
            </w:tcBorders>
            <w:hideMark/>
          </w:tcPr>
          <w:p w14:paraId="08BC9D4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506" w:type="dxa"/>
            <w:tcBorders>
              <w:top w:val="single" w:sz="4" w:space="0" w:color="auto"/>
              <w:left w:val="single" w:sz="4" w:space="0" w:color="auto"/>
              <w:bottom w:val="single" w:sz="4" w:space="0" w:color="auto"/>
              <w:right w:val="single" w:sz="4" w:space="0" w:color="auto"/>
            </w:tcBorders>
            <w:hideMark/>
          </w:tcPr>
          <w:p w14:paraId="46E94A3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9</w:t>
            </w:r>
          </w:p>
        </w:tc>
      </w:tr>
      <w:tr w:rsidR="003A4529" w14:paraId="2A147957"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2AAF13CD"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7. </w:t>
            </w:r>
          </w:p>
        </w:tc>
        <w:sdt>
          <w:sdtPr>
            <w:rPr>
              <w:rFonts w:ascii="Times New Roman" w:hAnsi="Times New Roman" w:cs="Times New Roman"/>
              <w:sz w:val="18"/>
              <w:szCs w:val="18"/>
            </w:rPr>
            <w:tag w:val="MENDELEY_CITATION_v3_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"/>
            <w:id w:val="-2017448745"/>
            <w:placeholder>
              <w:docPart w:val="A7D1A8A0E12A4C238AECB32D2FAAD004"/>
            </w:placeholder>
          </w:sdtPr>
          <w:sdtContent>
            <w:tc>
              <w:tcPr>
                <w:tcW w:w="983" w:type="dxa"/>
                <w:tcBorders>
                  <w:top w:val="single" w:sz="4" w:space="0" w:color="auto"/>
                  <w:left w:val="single" w:sz="4" w:space="0" w:color="auto"/>
                  <w:bottom w:val="single" w:sz="4" w:space="0" w:color="auto"/>
                  <w:right w:val="single" w:sz="4" w:space="0" w:color="auto"/>
                </w:tcBorders>
                <w:hideMark/>
              </w:tcPr>
              <w:p w14:paraId="199764A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Ambiya et al. [49]</w:t>
                </w:r>
              </w:p>
            </w:tc>
          </w:sdtContent>
        </w:sdt>
        <w:tc>
          <w:tcPr>
            <w:tcW w:w="901" w:type="dxa"/>
            <w:tcBorders>
              <w:top w:val="single" w:sz="4" w:space="0" w:color="auto"/>
              <w:left w:val="single" w:sz="4" w:space="0" w:color="auto"/>
              <w:bottom w:val="single" w:sz="4" w:space="0" w:color="auto"/>
              <w:right w:val="single" w:sz="4" w:space="0" w:color="auto"/>
            </w:tcBorders>
            <w:hideMark/>
          </w:tcPr>
          <w:p w14:paraId="5FFC676D"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34" w:type="dxa"/>
            <w:tcBorders>
              <w:top w:val="single" w:sz="4" w:space="0" w:color="auto"/>
              <w:left w:val="single" w:sz="4" w:space="0" w:color="auto"/>
              <w:bottom w:val="single" w:sz="4" w:space="0" w:color="auto"/>
              <w:right w:val="single" w:sz="4" w:space="0" w:color="auto"/>
            </w:tcBorders>
            <w:hideMark/>
          </w:tcPr>
          <w:p w14:paraId="7118B2D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5B92A23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1" w:type="dxa"/>
            <w:tcBorders>
              <w:top w:val="single" w:sz="4" w:space="0" w:color="auto"/>
              <w:left w:val="single" w:sz="4" w:space="0" w:color="auto"/>
              <w:bottom w:val="single" w:sz="4" w:space="0" w:color="auto"/>
              <w:right w:val="single" w:sz="4" w:space="0" w:color="auto"/>
            </w:tcBorders>
            <w:hideMark/>
          </w:tcPr>
          <w:p w14:paraId="2365572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70" w:type="dxa"/>
            <w:tcBorders>
              <w:top w:val="single" w:sz="4" w:space="0" w:color="auto"/>
              <w:left w:val="single" w:sz="4" w:space="0" w:color="auto"/>
              <w:bottom w:val="single" w:sz="4" w:space="0" w:color="auto"/>
              <w:right w:val="single" w:sz="4" w:space="0" w:color="auto"/>
            </w:tcBorders>
            <w:hideMark/>
          </w:tcPr>
          <w:p w14:paraId="01CDE1E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794" w:type="dxa"/>
            <w:tcBorders>
              <w:top w:val="single" w:sz="4" w:space="0" w:color="auto"/>
              <w:left w:val="single" w:sz="4" w:space="0" w:color="auto"/>
              <w:bottom w:val="single" w:sz="4" w:space="0" w:color="auto"/>
              <w:right w:val="single" w:sz="4" w:space="0" w:color="auto"/>
            </w:tcBorders>
            <w:hideMark/>
          </w:tcPr>
          <w:p w14:paraId="525FB66D"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3CE6623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45" w:type="dxa"/>
            <w:tcBorders>
              <w:top w:val="single" w:sz="4" w:space="0" w:color="auto"/>
              <w:left w:val="single" w:sz="4" w:space="0" w:color="auto"/>
              <w:bottom w:val="single" w:sz="4" w:space="0" w:color="auto"/>
              <w:right w:val="single" w:sz="4" w:space="0" w:color="auto"/>
            </w:tcBorders>
            <w:hideMark/>
          </w:tcPr>
          <w:p w14:paraId="6D51E68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59" w:type="dxa"/>
            <w:tcBorders>
              <w:top w:val="single" w:sz="4" w:space="0" w:color="auto"/>
              <w:left w:val="single" w:sz="4" w:space="0" w:color="auto"/>
              <w:bottom w:val="single" w:sz="4" w:space="0" w:color="auto"/>
              <w:right w:val="single" w:sz="4" w:space="0" w:color="auto"/>
            </w:tcBorders>
            <w:hideMark/>
          </w:tcPr>
          <w:p w14:paraId="7A0615D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63" w:type="dxa"/>
            <w:tcBorders>
              <w:top w:val="single" w:sz="4" w:space="0" w:color="auto"/>
              <w:left w:val="single" w:sz="4" w:space="0" w:color="auto"/>
              <w:bottom w:val="single" w:sz="4" w:space="0" w:color="auto"/>
              <w:right w:val="single" w:sz="4" w:space="0" w:color="auto"/>
            </w:tcBorders>
            <w:hideMark/>
          </w:tcPr>
          <w:p w14:paraId="5680037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067" w:type="dxa"/>
            <w:tcBorders>
              <w:top w:val="single" w:sz="4" w:space="0" w:color="auto"/>
              <w:left w:val="single" w:sz="4" w:space="0" w:color="auto"/>
              <w:bottom w:val="single" w:sz="4" w:space="0" w:color="auto"/>
              <w:right w:val="single" w:sz="4" w:space="0" w:color="auto"/>
            </w:tcBorders>
            <w:hideMark/>
          </w:tcPr>
          <w:p w14:paraId="0811AE8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506" w:type="dxa"/>
            <w:tcBorders>
              <w:top w:val="single" w:sz="4" w:space="0" w:color="auto"/>
              <w:left w:val="single" w:sz="4" w:space="0" w:color="auto"/>
              <w:bottom w:val="single" w:sz="4" w:space="0" w:color="auto"/>
              <w:right w:val="single" w:sz="4" w:space="0" w:color="auto"/>
            </w:tcBorders>
            <w:hideMark/>
          </w:tcPr>
          <w:p w14:paraId="2961DAD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10</w:t>
            </w:r>
          </w:p>
        </w:tc>
      </w:tr>
      <w:tr w:rsidR="003A4529" w14:paraId="7EBC515F"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6E7FCA4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8. </w:t>
            </w:r>
          </w:p>
        </w:tc>
        <w:sdt>
          <w:sdtPr>
            <w:rPr>
              <w:rFonts w:ascii="Times New Roman" w:hAnsi="Times New Roman" w:cs="Times New Roman"/>
              <w:sz w:val="18"/>
              <w:szCs w:val="18"/>
            </w:rPr>
            <w:tag w:val="MENDELEY_CITATION_v3_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"/>
            <w:id w:val="1450208525"/>
            <w:placeholder>
              <w:docPart w:val="A7D1A8A0E12A4C238AECB32D2FAAD004"/>
            </w:placeholder>
          </w:sdtPr>
          <w:sdtContent>
            <w:tc>
              <w:tcPr>
                <w:tcW w:w="983" w:type="dxa"/>
                <w:tcBorders>
                  <w:top w:val="single" w:sz="4" w:space="0" w:color="auto"/>
                  <w:left w:val="single" w:sz="4" w:space="0" w:color="auto"/>
                  <w:bottom w:val="single" w:sz="4" w:space="0" w:color="auto"/>
                  <w:right w:val="single" w:sz="4" w:space="0" w:color="auto"/>
                </w:tcBorders>
                <w:hideMark/>
              </w:tcPr>
              <w:p w14:paraId="3780178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Ali et al. [51]</w:t>
                </w:r>
              </w:p>
            </w:tc>
          </w:sdtContent>
        </w:sdt>
        <w:tc>
          <w:tcPr>
            <w:tcW w:w="901" w:type="dxa"/>
            <w:tcBorders>
              <w:top w:val="single" w:sz="4" w:space="0" w:color="auto"/>
              <w:left w:val="single" w:sz="4" w:space="0" w:color="auto"/>
              <w:bottom w:val="single" w:sz="4" w:space="0" w:color="auto"/>
              <w:right w:val="single" w:sz="4" w:space="0" w:color="auto"/>
            </w:tcBorders>
            <w:hideMark/>
          </w:tcPr>
          <w:p w14:paraId="48137B1F"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34" w:type="dxa"/>
            <w:tcBorders>
              <w:top w:val="single" w:sz="4" w:space="0" w:color="auto"/>
              <w:left w:val="single" w:sz="4" w:space="0" w:color="auto"/>
              <w:bottom w:val="single" w:sz="4" w:space="0" w:color="auto"/>
              <w:right w:val="single" w:sz="4" w:space="0" w:color="auto"/>
            </w:tcBorders>
            <w:hideMark/>
          </w:tcPr>
          <w:p w14:paraId="2E672F6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47914AE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1" w:type="dxa"/>
            <w:tcBorders>
              <w:top w:val="single" w:sz="4" w:space="0" w:color="auto"/>
              <w:left w:val="single" w:sz="4" w:space="0" w:color="auto"/>
              <w:bottom w:val="single" w:sz="4" w:space="0" w:color="auto"/>
              <w:right w:val="single" w:sz="4" w:space="0" w:color="auto"/>
            </w:tcBorders>
            <w:hideMark/>
          </w:tcPr>
          <w:p w14:paraId="2BF3F96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070" w:type="dxa"/>
            <w:tcBorders>
              <w:top w:val="single" w:sz="4" w:space="0" w:color="auto"/>
              <w:left w:val="single" w:sz="4" w:space="0" w:color="auto"/>
              <w:bottom w:val="single" w:sz="4" w:space="0" w:color="auto"/>
              <w:right w:val="single" w:sz="4" w:space="0" w:color="auto"/>
            </w:tcBorders>
            <w:hideMark/>
          </w:tcPr>
          <w:p w14:paraId="49B4C58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794" w:type="dxa"/>
            <w:tcBorders>
              <w:top w:val="single" w:sz="4" w:space="0" w:color="auto"/>
              <w:left w:val="single" w:sz="4" w:space="0" w:color="auto"/>
              <w:bottom w:val="single" w:sz="4" w:space="0" w:color="auto"/>
              <w:right w:val="single" w:sz="4" w:space="0" w:color="auto"/>
            </w:tcBorders>
            <w:hideMark/>
          </w:tcPr>
          <w:p w14:paraId="370BB53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57332C7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45" w:type="dxa"/>
            <w:tcBorders>
              <w:top w:val="single" w:sz="4" w:space="0" w:color="auto"/>
              <w:left w:val="single" w:sz="4" w:space="0" w:color="auto"/>
              <w:bottom w:val="single" w:sz="4" w:space="0" w:color="auto"/>
              <w:right w:val="single" w:sz="4" w:space="0" w:color="auto"/>
            </w:tcBorders>
            <w:hideMark/>
          </w:tcPr>
          <w:p w14:paraId="613E6B6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59" w:type="dxa"/>
            <w:tcBorders>
              <w:top w:val="single" w:sz="4" w:space="0" w:color="auto"/>
              <w:left w:val="single" w:sz="4" w:space="0" w:color="auto"/>
              <w:bottom w:val="single" w:sz="4" w:space="0" w:color="auto"/>
              <w:right w:val="single" w:sz="4" w:space="0" w:color="auto"/>
            </w:tcBorders>
            <w:hideMark/>
          </w:tcPr>
          <w:p w14:paraId="32AB773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63" w:type="dxa"/>
            <w:tcBorders>
              <w:top w:val="single" w:sz="4" w:space="0" w:color="auto"/>
              <w:left w:val="single" w:sz="4" w:space="0" w:color="auto"/>
              <w:bottom w:val="single" w:sz="4" w:space="0" w:color="auto"/>
              <w:right w:val="single" w:sz="4" w:space="0" w:color="auto"/>
            </w:tcBorders>
            <w:hideMark/>
          </w:tcPr>
          <w:p w14:paraId="7709F55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067" w:type="dxa"/>
            <w:tcBorders>
              <w:top w:val="single" w:sz="4" w:space="0" w:color="auto"/>
              <w:left w:val="single" w:sz="4" w:space="0" w:color="auto"/>
              <w:bottom w:val="single" w:sz="4" w:space="0" w:color="auto"/>
              <w:right w:val="single" w:sz="4" w:space="0" w:color="auto"/>
            </w:tcBorders>
            <w:hideMark/>
          </w:tcPr>
          <w:p w14:paraId="5415DB7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506" w:type="dxa"/>
            <w:tcBorders>
              <w:top w:val="single" w:sz="4" w:space="0" w:color="auto"/>
              <w:left w:val="single" w:sz="4" w:space="0" w:color="auto"/>
              <w:bottom w:val="single" w:sz="4" w:space="0" w:color="auto"/>
              <w:right w:val="single" w:sz="4" w:space="0" w:color="auto"/>
            </w:tcBorders>
            <w:hideMark/>
          </w:tcPr>
          <w:p w14:paraId="6590CAA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8</w:t>
            </w:r>
          </w:p>
        </w:tc>
      </w:tr>
      <w:tr w:rsidR="003A4529" w14:paraId="65739EFF"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198A936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9. </w:t>
            </w:r>
          </w:p>
        </w:tc>
        <w:tc>
          <w:tcPr>
            <w:tcW w:w="983" w:type="dxa"/>
            <w:tcBorders>
              <w:top w:val="single" w:sz="4" w:space="0" w:color="auto"/>
              <w:left w:val="single" w:sz="4" w:space="0" w:color="auto"/>
              <w:bottom w:val="single" w:sz="4" w:space="0" w:color="auto"/>
              <w:right w:val="single" w:sz="4" w:space="0" w:color="auto"/>
            </w:tcBorders>
            <w:hideMark/>
          </w:tcPr>
          <w:p w14:paraId="744509C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Haugstad et al. </w:t>
            </w:r>
            <w:sdt>
              <w:sdtPr>
                <w:rPr>
                  <w:rFonts w:ascii="Times New Roman" w:hAnsi="Times New Roman" w:cs="Times New Roman"/>
                  <w:sz w:val="18"/>
                  <w:szCs w:val="18"/>
                </w:rPr>
                <w:tag w:val="MENDELEY_CITATION_v3_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"/>
                <w:id w:val="862778506"/>
                <w:placeholder>
                  <w:docPart w:val="A7D1A8A0E12A4C238AECB32D2FAAD004"/>
                </w:placeholder>
              </w:sdtPr>
              <w:sdtContent>
                <w:r>
                  <w:rPr>
                    <w:rFonts w:ascii="Times New Roman" w:hAnsi="Times New Roman" w:cs="Times New Roman"/>
                    <w:sz w:val="18"/>
                    <w:szCs w:val="18"/>
                  </w:rPr>
                  <w:t>[52]</w:t>
                </w:r>
              </w:sdtContent>
            </w:sdt>
          </w:p>
        </w:tc>
        <w:tc>
          <w:tcPr>
            <w:tcW w:w="901" w:type="dxa"/>
            <w:tcBorders>
              <w:top w:val="single" w:sz="4" w:space="0" w:color="auto"/>
              <w:left w:val="single" w:sz="4" w:space="0" w:color="auto"/>
              <w:bottom w:val="single" w:sz="4" w:space="0" w:color="auto"/>
              <w:right w:val="single" w:sz="4" w:space="0" w:color="auto"/>
            </w:tcBorders>
            <w:hideMark/>
          </w:tcPr>
          <w:p w14:paraId="1794850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34" w:type="dxa"/>
            <w:tcBorders>
              <w:top w:val="single" w:sz="4" w:space="0" w:color="auto"/>
              <w:left w:val="single" w:sz="4" w:space="0" w:color="auto"/>
              <w:bottom w:val="single" w:sz="4" w:space="0" w:color="auto"/>
              <w:right w:val="single" w:sz="4" w:space="0" w:color="auto"/>
            </w:tcBorders>
            <w:hideMark/>
          </w:tcPr>
          <w:p w14:paraId="37BF91A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4B431A5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1" w:type="dxa"/>
            <w:tcBorders>
              <w:top w:val="single" w:sz="4" w:space="0" w:color="auto"/>
              <w:left w:val="single" w:sz="4" w:space="0" w:color="auto"/>
              <w:bottom w:val="single" w:sz="4" w:space="0" w:color="auto"/>
              <w:right w:val="single" w:sz="4" w:space="0" w:color="auto"/>
            </w:tcBorders>
            <w:hideMark/>
          </w:tcPr>
          <w:p w14:paraId="68566CA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70" w:type="dxa"/>
            <w:tcBorders>
              <w:top w:val="single" w:sz="4" w:space="0" w:color="auto"/>
              <w:left w:val="single" w:sz="4" w:space="0" w:color="auto"/>
              <w:bottom w:val="single" w:sz="4" w:space="0" w:color="auto"/>
              <w:right w:val="single" w:sz="4" w:space="0" w:color="auto"/>
            </w:tcBorders>
            <w:hideMark/>
          </w:tcPr>
          <w:p w14:paraId="5693DFF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794" w:type="dxa"/>
            <w:tcBorders>
              <w:top w:val="single" w:sz="4" w:space="0" w:color="auto"/>
              <w:left w:val="single" w:sz="4" w:space="0" w:color="auto"/>
              <w:bottom w:val="single" w:sz="4" w:space="0" w:color="auto"/>
              <w:right w:val="single" w:sz="4" w:space="0" w:color="auto"/>
            </w:tcBorders>
            <w:hideMark/>
          </w:tcPr>
          <w:p w14:paraId="0205077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15FD15B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45" w:type="dxa"/>
            <w:tcBorders>
              <w:top w:val="single" w:sz="4" w:space="0" w:color="auto"/>
              <w:left w:val="single" w:sz="4" w:space="0" w:color="auto"/>
              <w:bottom w:val="single" w:sz="4" w:space="0" w:color="auto"/>
              <w:right w:val="single" w:sz="4" w:space="0" w:color="auto"/>
            </w:tcBorders>
            <w:hideMark/>
          </w:tcPr>
          <w:p w14:paraId="2935BB2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59" w:type="dxa"/>
            <w:tcBorders>
              <w:top w:val="single" w:sz="4" w:space="0" w:color="auto"/>
              <w:left w:val="single" w:sz="4" w:space="0" w:color="auto"/>
              <w:bottom w:val="single" w:sz="4" w:space="0" w:color="auto"/>
              <w:right w:val="single" w:sz="4" w:space="0" w:color="auto"/>
            </w:tcBorders>
            <w:hideMark/>
          </w:tcPr>
          <w:p w14:paraId="0D59E38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63" w:type="dxa"/>
            <w:tcBorders>
              <w:top w:val="single" w:sz="4" w:space="0" w:color="auto"/>
              <w:left w:val="single" w:sz="4" w:space="0" w:color="auto"/>
              <w:bottom w:val="single" w:sz="4" w:space="0" w:color="auto"/>
              <w:right w:val="single" w:sz="4" w:space="0" w:color="auto"/>
            </w:tcBorders>
            <w:hideMark/>
          </w:tcPr>
          <w:p w14:paraId="4C7B288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067" w:type="dxa"/>
            <w:tcBorders>
              <w:top w:val="single" w:sz="4" w:space="0" w:color="auto"/>
              <w:left w:val="single" w:sz="4" w:space="0" w:color="auto"/>
              <w:bottom w:val="single" w:sz="4" w:space="0" w:color="auto"/>
              <w:right w:val="single" w:sz="4" w:space="0" w:color="auto"/>
            </w:tcBorders>
            <w:hideMark/>
          </w:tcPr>
          <w:p w14:paraId="2BCFC05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506" w:type="dxa"/>
            <w:tcBorders>
              <w:top w:val="single" w:sz="4" w:space="0" w:color="auto"/>
              <w:left w:val="single" w:sz="4" w:space="0" w:color="auto"/>
              <w:bottom w:val="single" w:sz="4" w:space="0" w:color="auto"/>
              <w:right w:val="single" w:sz="4" w:space="0" w:color="auto"/>
            </w:tcBorders>
            <w:hideMark/>
          </w:tcPr>
          <w:p w14:paraId="5C1324B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10</w:t>
            </w:r>
          </w:p>
        </w:tc>
      </w:tr>
      <w:tr w:rsidR="003A4529" w14:paraId="6282790A"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1FA790C7"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10. </w:t>
            </w:r>
          </w:p>
        </w:tc>
        <w:sdt>
          <w:sdtPr>
            <w:rPr>
              <w:rFonts w:ascii="Times New Roman" w:hAnsi="Times New Roman" w:cs="Times New Roman"/>
              <w:sz w:val="18"/>
              <w:szCs w:val="18"/>
            </w:rPr>
            <w:tag w:val="MENDELEY_CITATION_v3_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"/>
            <w:id w:val="495394150"/>
            <w:placeholder>
              <w:docPart w:val="A7D1A8A0E12A4C238AECB32D2FAAD004"/>
            </w:placeholder>
          </w:sdtPr>
          <w:sdtContent>
            <w:tc>
              <w:tcPr>
                <w:tcW w:w="983" w:type="dxa"/>
                <w:tcBorders>
                  <w:top w:val="single" w:sz="4" w:space="0" w:color="auto"/>
                  <w:left w:val="single" w:sz="4" w:space="0" w:color="auto"/>
                  <w:bottom w:val="single" w:sz="4" w:space="0" w:color="auto"/>
                  <w:right w:val="single" w:sz="4" w:space="0" w:color="auto"/>
                </w:tcBorders>
                <w:hideMark/>
              </w:tcPr>
              <w:p w14:paraId="7A69EA98" w14:textId="77777777" w:rsidR="003A4529" w:rsidRDefault="003A4529">
                <w:pPr>
                  <w:spacing w:line="276" w:lineRule="auto"/>
                  <w:rPr>
                    <w:rFonts w:ascii="Times New Roman" w:hAnsi="Times New Roman" w:cs="Times New Roman"/>
                    <w:sz w:val="18"/>
                    <w:szCs w:val="18"/>
                  </w:rPr>
                </w:pPr>
                <w:proofErr w:type="spellStart"/>
                <w:r>
                  <w:rPr>
                    <w:rFonts w:ascii="Times New Roman" w:hAnsi="Times New Roman" w:cs="Times New Roman"/>
                    <w:sz w:val="18"/>
                    <w:szCs w:val="18"/>
                  </w:rPr>
                  <w:t>Scheelinck</w:t>
                </w:r>
                <w:proofErr w:type="spellEnd"/>
                <w:r>
                  <w:rPr>
                    <w:rFonts w:ascii="Times New Roman" w:hAnsi="Times New Roman" w:cs="Times New Roman"/>
                    <w:sz w:val="18"/>
                    <w:szCs w:val="18"/>
                  </w:rPr>
                  <w:t xml:space="preserve"> et al. [53]</w:t>
                </w:r>
              </w:p>
            </w:tc>
          </w:sdtContent>
        </w:sdt>
        <w:tc>
          <w:tcPr>
            <w:tcW w:w="901" w:type="dxa"/>
            <w:tcBorders>
              <w:top w:val="single" w:sz="4" w:space="0" w:color="auto"/>
              <w:left w:val="single" w:sz="4" w:space="0" w:color="auto"/>
              <w:bottom w:val="single" w:sz="4" w:space="0" w:color="auto"/>
              <w:right w:val="single" w:sz="4" w:space="0" w:color="auto"/>
            </w:tcBorders>
            <w:hideMark/>
          </w:tcPr>
          <w:p w14:paraId="4C59D44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34" w:type="dxa"/>
            <w:tcBorders>
              <w:top w:val="single" w:sz="4" w:space="0" w:color="auto"/>
              <w:left w:val="single" w:sz="4" w:space="0" w:color="auto"/>
              <w:bottom w:val="single" w:sz="4" w:space="0" w:color="auto"/>
              <w:right w:val="single" w:sz="4" w:space="0" w:color="auto"/>
            </w:tcBorders>
            <w:hideMark/>
          </w:tcPr>
          <w:p w14:paraId="2D31D32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6B7E68D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1" w:type="dxa"/>
            <w:tcBorders>
              <w:top w:val="single" w:sz="4" w:space="0" w:color="auto"/>
              <w:left w:val="single" w:sz="4" w:space="0" w:color="auto"/>
              <w:bottom w:val="single" w:sz="4" w:space="0" w:color="auto"/>
              <w:right w:val="single" w:sz="4" w:space="0" w:color="auto"/>
            </w:tcBorders>
            <w:hideMark/>
          </w:tcPr>
          <w:p w14:paraId="6B87F81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70" w:type="dxa"/>
            <w:tcBorders>
              <w:top w:val="single" w:sz="4" w:space="0" w:color="auto"/>
              <w:left w:val="single" w:sz="4" w:space="0" w:color="auto"/>
              <w:bottom w:val="single" w:sz="4" w:space="0" w:color="auto"/>
              <w:right w:val="single" w:sz="4" w:space="0" w:color="auto"/>
            </w:tcBorders>
            <w:hideMark/>
          </w:tcPr>
          <w:p w14:paraId="5A46307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794" w:type="dxa"/>
            <w:tcBorders>
              <w:top w:val="single" w:sz="4" w:space="0" w:color="auto"/>
              <w:left w:val="single" w:sz="4" w:space="0" w:color="auto"/>
              <w:bottom w:val="single" w:sz="4" w:space="0" w:color="auto"/>
              <w:right w:val="single" w:sz="4" w:space="0" w:color="auto"/>
            </w:tcBorders>
            <w:hideMark/>
          </w:tcPr>
          <w:p w14:paraId="51BD835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6E6593F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45" w:type="dxa"/>
            <w:tcBorders>
              <w:top w:val="single" w:sz="4" w:space="0" w:color="auto"/>
              <w:left w:val="single" w:sz="4" w:space="0" w:color="auto"/>
              <w:bottom w:val="single" w:sz="4" w:space="0" w:color="auto"/>
              <w:right w:val="single" w:sz="4" w:space="0" w:color="auto"/>
            </w:tcBorders>
            <w:hideMark/>
          </w:tcPr>
          <w:p w14:paraId="49E9B33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159" w:type="dxa"/>
            <w:tcBorders>
              <w:top w:val="single" w:sz="4" w:space="0" w:color="auto"/>
              <w:left w:val="single" w:sz="4" w:space="0" w:color="auto"/>
              <w:bottom w:val="single" w:sz="4" w:space="0" w:color="auto"/>
              <w:right w:val="single" w:sz="4" w:space="0" w:color="auto"/>
            </w:tcBorders>
            <w:hideMark/>
          </w:tcPr>
          <w:p w14:paraId="258CE1A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63" w:type="dxa"/>
            <w:tcBorders>
              <w:top w:val="single" w:sz="4" w:space="0" w:color="auto"/>
              <w:left w:val="single" w:sz="4" w:space="0" w:color="auto"/>
              <w:bottom w:val="single" w:sz="4" w:space="0" w:color="auto"/>
              <w:right w:val="single" w:sz="4" w:space="0" w:color="auto"/>
            </w:tcBorders>
            <w:hideMark/>
          </w:tcPr>
          <w:p w14:paraId="28BA997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067" w:type="dxa"/>
            <w:tcBorders>
              <w:top w:val="single" w:sz="4" w:space="0" w:color="auto"/>
              <w:left w:val="single" w:sz="4" w:space="0" w:color="auto"/>
              <w:bottom w:val="single" w:sz="4" w:space="0" w:color="auto"/>
              <w:right w:val="single" w:sz="4" w:space="0" w:color="auto"/>
            </w:tcBorders>
            <w:hideMark/>
          </w:tcPr>
          <w:p w14:paraId="199F42FA"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506" w:type="dxa"/>
            <w:tcBorders>
              <w:top w:val="single" w:sz="4" w:space="0" w:color="auto"/>
              <w:left w:val="single" w:sz="4" w:space="0" w:color="auto"/>
              <w:bottom w:val="single" w:sz="4" w:space="0" w:color="auto"/>
              <w:right w:val="single" w:sz="4" w:space="0" w:color="auto"/>
            </w:tcBorders>
            <w:hideMark/>
          </w:tcPr>
          <w:p w14:paraId="0DD9403F"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9</w:t>
            </w:r>
          </w:p>
        </w:tc>
      </w:tr>
      <w:tr w:rsidR="003A4529" w14:paraId="3A1A2A35"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426A71C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11. </w:t>
            </w:r>
          </w:p>
        </w:tc>
        <w:sdt>
          <w:sdtPr>
            <w:rPr>
              <w:rFonts w:ascii="Times New Roman" w:hAnsi="Times New Roman" w:cs="Times New Roman"/>
              <w:sz w:val="18"/>
              <w:szCs w:val="18"/>
            </w:rPr>
            <w:tag w:val="MENDELEY_CITATION_v3_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"/>
            <w:id w:val="-2040571118"/>
            <w:placeholder>
              <w:docPart w:val="A7D1A8A0E12A4C238AECB32D2FAAD004"/>
            </w:placeholder>
          </w:sdtPr>
          <w:sdtContent>
            <w:tc>
              <w:tcPr>
                <w:tcW w:w="983" w:type="dxa"/>
                <w:tcBorders>
                  <w:top w:val="single" w:sz="4" w:space="0" w:color="auto"/>
                  <w:left w:val="single" w:sz="4" w:space="0" w:color="auto"/>
                  <w:bottom w:val="single" w:sz="4" w:space="0" w:color="auto"/>
                  <w:right w:val="single" w:sz="4" w:space="0" w:color="auto"/>
                </w:tcBorders>
                <w:hideMark/>
              </w:tcPr>
              <w:p w14:paraId="089B2CB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Shu et al. [54]</w:t>
                </w:r>
              </w:p>
            </w:tc>
          </w:sdtContent>
        </w:sdt>
        <w:tc>
          <w:tcPr>
            <w:tcW w:w="901" w:type="dxa"/>
            <w:tcBorders>
              <w:top w:val="single" w:sz="4" w:space="0" w:color="auto"/>
              <w:left w:val="single" w:sz="4" w:space="0" w:color="auto"/>
              <w:bottom w:val="single" w:sz="4" w:space="0" w:color="auto"/>
              <w:right w:val="single" w:sz="4" w:space="0" w:color="auto"/>
            </w:tcBorders>
            <w:hideMark/>
          </w:tcPr>
          <w:p w14:paraId="440F516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34" w:type="dxa"/>
            <w:tcBorders>
              <w:top w:val="single" w:sz="4" w:space="0" w:color="auto"/>
              <w:left w:val="single" w:sz="4" w:space="0" w:color="auto"/>
              <w:bottom w:val="single" w:sz="4" w:space="0" w:color="auto"/>
              <w:right w:val="single" w:sz="4" w:space="0" w:color="auto"/>
            </w:tcBorders>
            <w:hideMark/>
          </w:tcPr>
          <w:p w14:paraId="1AB1DB7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343D4D4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1" w:type="dxa"/>
            <w:tcBorders>
              <w:top w:val="single" w:sz="4" w:space="0" w:color="auto"/>
              <w:left w:val="single" w:sz="4" w:space="0" w:color="auto"/>
              <w:bottom w:val="single" w:sz="4" w:space="0" w:color="auto"/>
              <w:right w:val="single" w:sz="4" w:space="0" w:color="auto"/>
            </w:tcBorders>
            <w:hideMark/>
          </w:tcPr>
          <w:p w14:paraId="2ECA8FF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70" w:type="dxa"/>
            <w:tcBorders>
              <w:top w:val="single" w:sz="4" w:space="0" w:color="auto"/>
              <w:left w:val="single" w:sz="4" w:space="0" w:color="auto"/>
              <w:bottom w:val="single" w:sz="4" w:space="0" w:color="auto"/>
              <w:right w:val="single" w:sz="4" w:space="0" w:color="auto"/>
            </w:tcBorders>
            <w:hideMark/>
          </w:tcPr>
          <w:p w14:paraId="2C018AD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794" w:type="dxa"/>
            <w:tcBorders>
              <w:top w:val="single" w:sz="4" w:space="0" w:color="auto"/>
              <w:left w:val="single" w:sz="4" w:space="0" w:color="auto"/>
              <w:bottom w:val="single" w:sz="4" w:space="0" w:color="auto"/>
              <w:right w:val="single" w:sz="4" w:space="0" w:color="auto"/>
            </w:tcBorders>
            <w:hideMark/>
          </w:tcPr>
          <w:p w14:paraId="52371B1D"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2718014D"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45" w:type="dxa"/>
            <w:tcBorders>
              <w:top w:val="single" w:sz="4" w:space="0" w:color="auto"/>
              <w:left w:val="single" w:sz="4" w:space="0" w:color="auto"/>
              <w:bottom w:val="single" w:sz="4" w:space="0" w:color="auto"/>
              <w:right w:val="single" w:sz="4" w:space="0" w:color="auto"/>
            </w:tcBorders>
            <w:hideMark/>
          </w:tcPr>
          <w:p w14:paraId="5EF6B1AD"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59" w:type="dxa"/>
            <w:tcBorders>
              <w:top w:val="single" w:sz="4" w:space="0" w:color="auto"/>
              <w:left w:val="single" w:sz="4" w:space="0" w:color="auto"/>
              <w:bottom w:val="single" w:sz="4" w:space="0" w:color="auto"/>
              <w:right w:val="single" w:sz="4" w:space="0" w:color="auto"/>
            </w:tcBorders>
            <w:hideMark/>
          </w:tcPr>
          <w:p w14:paraId="390B175C"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63" w:type="dxa"/>
            <w:tcBorders>
              <w:top w:val="single" w:sz="4" w:space="0" w:color="auto"/>
              <w:left w:val="single" w:sz="4" w:space="0" w:color="auto"/>
              <w:bottom w:val="single" w:sz="4" w:space="0" w:color="auto"/>
              <w:right w:val="single" w:sz="4" w:space="0" w:color="auto"/>
            </w:tcBorders>
            <w:hideMark/>
          </w:tcPr>
          <w:p w14:paraId="798BF24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067" w:type="dxa"/>
            <w:tcBorders>
              <w:top w:val="single" w:sz="4" w:space="0" w:color="auto"/>
              <w:left w:val="single" w:sz="4" w:space="0" w:color="auto"/>
              <w:bottom w:val="single" w:sz="4" w:space="0" w:color="auto"/>
              <w:right w:val="single" w:sz="4" w:space="0" w:color="auto"/>
            </w:tcBorders>
            <w:hideMark/>
          </w:tcPr>
          <w:p w14:paraId="08DA36B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506" w:type="dxa"/>
            <w:tcBorders>
              <w:top w:val="single" w:sz="4" w:space="0" w:color="auto"/>
              <w:left w:val="single" w:sz="4" w:space="0" w:color="auto"/>
              <w:bottom w:val="single" w:sz="4" w:space="0" w:color="auto"/>
              <w:right w:val="single" w:sz="4" w:space="0" w:color="auto"/>
            </w:tcBorders>
            <w:hideMark/>
          </w:tcPr>
          <w:p w14:paraId="3671782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10</w:t>
            </w:r>
          </w:p>
        </w:tc>
      </w:tr>
      <w:tr w:rsidR="003A4529" w14:paraId="63B91CA1"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18D2112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12. </w:t>
            </w:r>
          </w:p>
        </w:tc>
        <w:sdt>
          <w:sdtPr>
            <w:rPr>
              <w:rFonts w:ascii="Times New Roman" w:hAnsi="Times New Roman" w:cs="Times New Roman"/>
              <w:sz w:val="18"/>
              <w:szCs w:val="18"/>
            </w:rPr>
            <w:tag w:val="MENDELEY_CITATION_v3_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"/>
            <w:id w:val="1335498126"/>
            <w:placeholder>
              <w:docPart w:val="A7D1A8A0E12A4C238AECB32D2FAAD004"/>
            </w:placeholder>
          </w:sdtPr>
          <w:sdtContent>
            <w:tc>
              <w:tcPr>
                <w:tcW w:w="983" w:type="dxa"/>
                <w:tcBorders>
                  <w:top w:val="single" w:sz="4" w:space="0" w:color="auto"/>
                  <w:left w:val="single" w:sz="4" w:space="0" w:color="auto"/>
                  <w:bottom w:val="single" w:sz="4" w:space="0" w:color="auto"/>
                  <w:right w:val="single" w:sz="4" w:space="0" w:color="auto"/>
                </w:tcBorders>
                <w:hideMark/>
              </w:tcPr>
              <w:p w14:paraId="4DE85C6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Adelman et al. [70]</w:t>
                </w:r>
              </w:p>
            </w:tc>
          </w:sdtContent>
        </w:sdt>
        <w:tc>
          <w:tcPr>
            <w:tcW w:w="901" w:type="dxa"/>
            <w:tcBorders>
              <w:top w:val="single" w:sz="4" w:space="0" w:color="auto"/>
              <w:left w:val="single" w:sz="4" w:space="0" w:color="auto"/>
              <w:bottom w:val="single" w:sz="4" w:space="0" w:color="auto"/>
              <w:right w:val="single" w:sz="4" w:space="0" w:color="auto"/>
            </w:tcBorders>
            <w:hideMark/>
          </w:tcPr>
          <w:p w14:paraId="662DE2D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34" w:type="dxa"/>
            <w:tcBorders>
              <w:top w:val="single" w:sz="4" w:space="0" w:color="auto"/>
              <w:left w:val="single" w:sz="4" w:space="0" w:color="auto"/>
              <w:bottom w:val="single" w:sz="4" w:space="0" w:color="auto"/>
              <w:right w:val="single" w:sz="4" w:space="0" w:color="auto"/>
            </w:tcBorders>
            <w:hideMark/>
          </w:tcPr>
          <w:p w14:paraId="0963280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3C03153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1" w:type="dxa"/>
            <w:tcBorders>
              <w:top w:val="single" w:sz="4" w:space="0" w:color="auto"/>
              <w:left w:val="single" w:sz="4" w:space="0" w:color="auto"/>
              <w:bottom w:val="single" w:sz="4" w:space="0" w:color="auto"/>
              <w:right w:val="single" w:sz="4" w:space="0" w:color="auto"/>
            </w:tcBorders>
            <w:hideMark/>
          </w:tcPr>
          <w:p w14:paraId="5D51D12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70" w:type="dxa"/>
            <w:tcBorders>
              <w:top w:val="single" w:sz="4" w:space="0" w:color="auto"/>
              <w:left w:val="single" w:sz="4" w:space="0" w:color="auto"/>
              <w:bottom w:val="single" w:sz="4" w:space="0" w:color="auto"/>
              <w:right w:val="single" w:sz="4" w:space="0" w:color="auto"/>
            </w:tcBorders>
            <w:hideMark/>
          </w:tcPr>
          <w:p w14:paraId="26D257EF"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794" w:type="dxa"/>
            <w:tcBorders>
              <w:top w:val="single" w:sz="4" w:space="0" w:color="auto"/>
              <w:left w:val="single" w:sz="4" w:space="0" w:color="auto"/>
              <w:bottom w:val="single" w:sz="4" w:space="0" w:color="auto"/>
              <w:right w:val="single" w:sz="4" w:space="0" w:color="auto"/>
            </w:tcBorders>
            <w:hideMark/>
          </w:tcPr>
          <w:p w14:paraId="6E84223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5E21B99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45" w:type="dxa"/>
            <w:tcBorders>
              <w:top w:val="single" w:sz="4" w:space="0" w:color="auto"/>
              <w:left w:val="single" w:sz="4" w:space="0" w:color="auto"/>
              <w:bottom w:val="single" w:sz="4" w:space="0" w:color="auto"/>
              <w:right w:val="single" w:sz="4" w:space="0" w:color="auto"/>
            </w:tcBorders>
            <w:hideMark/>
          </w:tcPr>
          <w:p w14:paraId="4EDA1B2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59" w:type="dxa"/>
            <w:tcBorders>
              <w:top w:val="single" w:sz="4" w:space="0" w:color="auto"/>
              <w:left w:val="single" w:sz="4" w:space="0" w:color="auto"/>
              <w:bottom w:val="single" w:sz="4" w:space="0" w:color="auto"/>
              <w:right w:val="single" w:sz="4" w:space="0" w:color="auto"/>
            </w:tcBorders>
            <w:hideMark/>
          </w:tcPr>
          <w:p w14:paraId="205017E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63" w:type="dxa"/>
            <w:tcBorders>
              <w:top w:val="single" w:sz="4" w:space="0" w:color="auto"/>
              <w:left w:val="single" w:sz="4" w:space="0" w:color="auto"/>
              <w:bottom w:val="single" w:sz="4" w:space="0" w:color="auto"/>
              <w:right w:val="single" w:sz="4" w:space="0" w:color="auto"/>
            </w:tcBorders>
            <w:hideMark/>
          </w:tcPr>
          <w:p w14:paraId="3BB110D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067" w:type="dxa"/>
            <w:tcBorders>
              <w:top w:val="single" w:sz="4" w:space="0" w:color="auto"/>
              <w:left w:val="single" w:sz="4" w:space="0" w:color="auto"/>
              <w:bottom w:val="single" w:sz="4" w:space="0" w:color="auto"/>
              <w:right w:val="single" w:sz="4" w:space="0" w:color="auto"/>
            </w:tcBorders>
            <w:hideMark/>
          </w:tcPr>
          <w:p w14:paraId="12DFFCD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506" w:type="dxa"/>
            <w:tcBorders>
              <w:top w:val="single" w:sz="4" w:space="0" w:color="auto"/>
              <w:left w:val="single" w:sz="4" w:space="0" w:color="auto"/>
              <w:bottom w:val="single" w:sz="4" w:space="0" w:color="auto"/>
              <w:right w:val="single" w:sz="4" w:space="0" w:color="auto"/>
            </w:tcBorders>
            <w:hideMark/>
          </w:tcPr>
          <w:p w14:paraId="35F3C42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10</w:t>
            </w:r>
          </w:p>
        </w:tc>
      </w:tr>
      <w:tr w:rsidR="003A4529" w14:paraId="3FA9193B"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4F8C2E1F"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13. </w:t>
            </w:r>
          </w:p>
        </w:tc>
        <w:sdt>
          <w:sdtPr>
            <w:rPr>
              <w:rFonts w:ascii="Times New Roman" w:hAnsi="Times New Roman" w:cs="Times New Roman"/>
              <w:sz w:val="18"/>
              <w:szCs w:val="18"/>
            </w:rPr>
            <w:tag w:val="MENDELEY_CITATION_v3_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"/>
            <w:id w:val="1326327457"/>
            <w:placeholder>
              <w:docPart w:val="A7D1A8A0E12A4C238AECB32D2FAAD004"/>
            </w:placeholder>
          </w:sdtPr>
          <w:sdtContent>
            <w:tc>
              <w:tcPr>
                <w:tcW w:w="983" w:type="dxa"/>
                <w:tcBorders>
                  <w:top w:val="single" w:sz="4" w:space="0" w:color="auto"/>
                  <w:left w:val="single" w:sz="4" w:space="0" w:color="auto"/>
                  <w:bottom w:val="single" w:sz="4" w:space="0" w:color="auto"/>
                  <w:right w:val="single" w:sz="4" w:space="0" w:color="auto"/>
                </w:tcBorders>
                <w:hideMark/>
              </w:tcPr>
              <w:p w14:paraId="4FD228BD"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Baba et al. [63]</w:t>
                </w:r>
              </w:p>
            </w:tc>
          </w:sdtContent>
        </w:sdt>
        <w:tc>
          <w:tcPr>
            <w:tcW w:w="901" w:type="dxa"/>
            <w:tcBorders>
              <w:top w:val="single" w:sz="4" w:space="0" w:color="auto"/>
              <w:left w:val="single" w:sz="4" w:space="0" w:color="auto"/>
              <w:bottom w:val="single" w:sz="4" w:space="0" w:color="auto"/>
              <w:right w:val="single" w:sz="4" w:space="0" w:color="auto"/>
            </w:tcBorders>
            <w:hideMark/>
          </w:tcPr>
          <w:p w14:paraId="4C71AD7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34" w:type="dxa"/>
            <w:tcBorders>
              <w:top w:val="single" w:sz="4" w:space="0" w:color="auto"/>
              <w:left w:val="single" w:sz="4" w:space="0" w:color="auto"/>
              <w:bottom w:val="single" w:sz="4" w:space="0" w:color="auto"/>
              <w:right w:val="single" w:sz="4" w:space="0" w:color="auto"/>
            </w:tcBorders>
            <w:hideMark/>
          </w:tcPr>
          <w:p w14:paraId="4018305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7B02E3A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1" w:type="dxa"/>
            <w:tcBorders>
              <w:top w:val="single" w:sz="4" w:space="0" w:color="auto"/>
              <w:left w:val="single" w:sz="4" w:space="0" w:color="auto"/>
              <w:bottom w:val="single" w:sz="4" w:space="0" w:color="auto"/>
              <w:right w:val="single" w:sz="4" w:space="0" w:color="auto"/>
            </w:tcBorders>
            <w:hideMark/>
          </w:tcPr>
          <w:p w14:paraId="38E44F0A"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70" w:type="dxa"/>
            <w:tcBorders>
              <w:top w:val="single" w:sz="4" w:space="0" w:color="auto"/>
              <w:left w:val="single" w:sz="4" w:space="0" w:color="auto"/>
              <w:bottom w:val="single" w:sz="4" w:space="0" w:color="auto"/>
              <w:right w:val="single" w:sz="4" w:space="0" w:color="auto"/>
            </w:tcBorders>
            <w:hideMark/>
          </w:tcPr>
          <w:p w14:paraId="29B916AA"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794" w:type="dxa"/>
            <w:tcBorders>
              <w:top w:val="single" w:sz="4" w:space="0" w:color="auto"/>
              <w:left w:val="single" w:sz="4" w:space="0" w:color="auto"/>
              <w:bottom w:val="single" w:sz="4" w:space="0" w:color="auto"/>
              <w:right w:val="single" w:sz="4" w:space="0" w:color="auto"/>
            </w:tcBorders>
            <w:hideMark/>
          </w:tcPr>
          <w:p w14:paraId="3CA73E0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7703EE0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45" w:type="dxa"/>
            <w:tcBorders>
              <w:top w:val="single" w:sz="4" w:space="0" w:color="auto"/>
              <w:left w:val="single" w:sz="4" w:space="0" w:color="auto"/>
              <w:bottom w:val="single" w:sz="4" w:space="0" w:color="auto"/>
              <w:right w:val="single" w:sz="4" w:space="0" w:color="auto"/>
            </w:tcBorders>
            <w:hideMark/>
          </w:tcPr>
          <w:p w14:paraId="6CCE9D8A"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59" w:type="dxa"/>
            <w:tcBorders>
              <w:top w:val="single" w:sz="4" w:space="0" w:color="auto"/>
              <w:left w:val="single" w:sz="4" w:space="0" w:color="auto"/>
              <w:bottom w:val="single" w:sz="4" w:space="0" w:color="auto"/>
              <w:right w:val="single" w:sz="4" w:space="0" w:color="auto"/>
            </w:tcBorders>
            <w:hideMark/>
          </w:tcPr>
          <w:p w14:paraId="4D7E96AA"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63" w:type="dxa"/>
            <w:tcBorders>
              <w:top w:val="single" w:sz="4" w:space="0" w:color="auto"/>
              <w:left w:val="single" w:sz="4" w:space="0" w:color="auto"/>
              <w:bottom w:val="single" w:sz="4" w:space="0" w:color="auto"/>
              <w:right w:val="single" w:sz="4" w:space="0" w:color="auto"/>
            </w:tcBorders>
            <w:hideMark/>
          </w:tcPr>
          <w:p w14:paraId="0C66E86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067" w:type="dxa"/>
            <w:tcBorders>
              <w:top w:val="single" w:sz="4" w:space="0" w:color="auto"/>
              <w:left w:val="single" w:sz="4" w:space="0" w:color="auto"/>
              <w:bottom w:val="single" w:sz="4" w:space="0" w:color="auto"/>
              <w:right w:val="single" w:sz="4" w:space="0" w:color="auto"/>
            </w:tcBorders>
            <w:hideMark/>
          </w:tcPr>
          <w:p w14:paraId="62ED84F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506" w:type="dxa"/>
            <w:tcBorders>
              <w:top w:val="single" w:sz="4" w:space="0" w:color="auto"/>
              <w:left w:val="single" w:sz="4" w:space="0" w:color="auto"/>
              <w:bottom w:val="single" w:sz="4" w:space="0" w:color="auto"/>
              <w:right w:val="single" w:sz="4" w:space="0" w:color="auto"/>
            </w:tcBorders>
            <w:hideMark/>
          </w:tcPr>
          <w:p w14:paraId="4D11D1C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10</w:t>
            </w:r>
          </w:p>
        </w:tc>
      </w:tr>
      <w:tr w:rsidR="003A4529" w14:paraId="0FAAD6BC"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5539BBC8"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 xml:space="preserve">14. </w:t>
            </w:r>
          </w:p>
        </w:tc>
        <w:sdt>
          <w:sdtPr>
            <w:rPr>
              <w:rFonts w:ascii="Times New Roman" w:hAnsi="Times New Roman" w:cs="Times New Roman"/>
              <w:sz w:val="18"/>
              <w:szCs w:val="18"/>
            </w:rPr>
            <w:tag w:val="MENDELEY_CITATION_v3_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"/>
            <w:id w:val="2045868995"/>
            <w:placeholder>
              <w:docPart w:val="A7D1A8A0E12A4C238AECB32D2FAAD004"/>
            </w:placeholder>
          </w:sdtPr>
          <w:sdtContent>
            <w:tc>
              <w:tcPr>
                <w:tcW w:w="983" w:type="dxa"/>
                <w:tcBorders>
                  <w:top w:val="single" w:sz="4" w:space="0" w:color="auto"/>
                  <w:left w:val="single" w:sz="4" w:space="0" w:color="auto"/>
                  <w:bottom w:val="single" w:sz="4" w:space="0" w:color="auto"/>
                  <w:right w:val="single" w:sz="4" w:space="0" w:color="auto"/>
                </w:tcBorders>
                <w:hideMark/>
              </w:tcPr>
              <w:p w14:paraId="22E5CF3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Minihan et al. [65]</w:t>
                </w:r>
              </w:p>
            </w:tc>
          </w:sdtContent>
        </w:sdt>
        <w:tc>
          <w:tcPr>
            <w:tcW w:w="901" w:type="dxa"/>
            <w:tcBorders>
              <w:top w:val="single" w:sz="4" w:space="0" w:color="auto"/>
              <w:left w:val="single" w:sz="4" w:space="0" w:color="auto"/>
              <w:bottom w:val="single" w:sz="4" w:space="0" w:color="auto"/>
              <w:right w:val="single" w:sz="4" w:space="0" w:color="auto"/>
            </w:tcBorders>
            <w:hideMark/>
          </w:tcPr>
          <w:p w14:paraId="654AFF24"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34" w:type="dxa"/>
            <w:tcBorders>
              <w:top w:val="single" w:sz="4" w:space="0" w:color="auto"/>
              <w:left w:val="single" w:sz="4" w:space="0" w:color="auto"/>
              <w:bottom w:val="single" w:sz="4" w:space="0" w:color="auto"/>
              <w:right w:val="single" w:sz="4" w:space="0" w:color="auto"/>
            </w:tcBorders>
            <w:hideMark/>
          </w:tcPr>
          <w:p w14:paraId="092AEE9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4F0F903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1" w:type="dxa"/>
            <w:tcBorders>
              <w:top w:val="single" w:sz="4" w:space="0" w:color="auto"/>
              <w:left w:val="single" w:sz="4" w:space="0" w:color="auto"/>
              <w:bottom w:val="single" w:sz="4" w:space="0" w:color="auto"/>
              <w:right w:val="single" w:sz="4" w:space="0" w:color="auto"/>
            </w:tcBorders>
            <w:hideMark/>
          </w:tcPr>
          <w:p w14:paraId="231B54E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70" w:type="dxa"/>
            <w:tcBorders>
              <w:top w:val="single" w:sz="4" w:space="0" w:color="auto"/>
              <w:left w:val="single" w:sz="4" w:space="0" w:color="auto"/>
              <w:bottom w:val="single" w:sz="4" w:space="0" w:color="auto"/>
              <w:right w:val="single" w:sz="4" w:space="0" w:color="auto"/>
            </w:tcBorders>
            <w:hideMark/>
          </w:tcPr>
          <w:p w14:paraId="6A952F7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794" w:type="dxa"/>
            <w:tcBorders>
              <w:top w:val="single" w:sz="4" w:space="0" w:color="auto"/>
              <w:left w:val="single" w:sz="4" w:space="0" w:color="auto"/>
              <w:bottom w:val="single" w:sz="4" w:space="0" w:color="auto"/>
              <w:right w:val="single" w:sz="4" w:space="0" w:color="auto"/>
            </w:tcBorders>
            <w:hideMark/>
          </w:tcPr>
          <w:p w14:paraId="784A79E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5C33DAC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45" w:type="dxa"/>
            <w:tcBorders>
              <w:top w:val="single" w:sz="4" w:space="0" w:color="auto"/>
              <w:left w:val="single" w:sz="4" w:space="0" w:color="auto"/>
              <w:bottom w:val="single" w:sz="4" w:space="0" w:color="auto"/>
              <w:right w:val="single" w:sz="4" w:space="0" w:color="auto"/>
            </w:tcBorders>
            <w:hideMark/>
          </w:tcPr>
          <w:p w14:paraId="4C5BE25F"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159" w:type="dxa"/>
            <w:tcBorders>
              <w:top w:val="single" w:sz="4" w:space="0" w:color="auto"/>
              <w:left w:val="single" w:sz="4" w:space="0" w:color="auto"/>
              <w:bottom w:val="single" w:sz="4" w:space="0" w:color="auto"/>
              <w:right w:val="single" w:sz="4" w:space="0" w:color="auto"/>
            </w:tcBorders>
            <w:hideMark/>
          </w:tcPr>
          <w:p w14:paraId="7C08428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63" w:type="dxa"/>
            <w:tcBorders>
              <w:top w:val="single" w:sz="4" w:space="0" w:color="auto"/>
              <w:left w:val="single" w:sz="4" w:space="0" w:color="auto"/>
              <w:bottom w:val="single" w:sz="4" w:space="0" w:color="auto"/>
              <w:right w:val="single" w:sz="4" w:space="0" w:color="auto"/>
            </w:tcBorders>
            <w:hideMark/>
          </w:tcPr>
          <w:p w14:paraId="63EE3EF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067" w:type="dxa"/>
            <w:tcBorders>
              <w:top w:val="single" w:sz="4" w:space="0" w:color="auto"/>
              <w:left w:val="single" w:sz="4" w:space="0" w:color="auto"/>
              <w:bottom w:val="single" w:sz="4" w:space="0" w:color="auto"/>
              <w:right w:val="single" w:sz="4" w:space="0" w:color="auto"/>
            </w:tcBorders>
            <w:hideMark/>
          </w:tcPr>
          <w:p w14:paraId="45F1790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506" w:type="dxa"/>
            <w:tcBorders>
              <w:top w:val="single" w:sz="4" w:space="0" w:color="auto"/>
              <w:left w:val="single" w:sz="4" w:space="0" w:color="auto"/>
              <w:bottom w:val="single" w:sz="4" w:space="0" w:color="auto"/>
              <w:right w:val="single" w:sz="4" w:space="0" w:color="auto"/>
            </w:tcBorders>
            <w:hideMark/>
          </w:tcPr>
          <w:p w14:paraId="5BBD7E80"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9</w:t>
            </w:r>
          </w:p>
        </w:tc>
      </w:tr>
      <w:tr w:rsidR="003A4529" w14:paraId="56794FC9" w14:textId="77777777" w:rsidTr="003A4529">
        <w:tc>
          <w:tcPr>
            <w:tcW w:w="481" w:type="dxa"/>
            <w:tcBorders>
              <w:top w:val="single" w:sz="4" w:space="0" w:color="auto"/>
              <w:left w:val="single" w:sz="4" w:space="0" w:color="auto"/>
              <w:bottom w:val="single" w:sz="4" w:space="0" w:color="auto"/>
              <w:right w:val="single" w:sz="4" w:space="0" w:color="auto"/>
            </w:tcBorders>
            <w:hideMark/>
          </w:tcPr>
          <w:p w14:paraId="27FCA2CB"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lastRenderedPageBreak/>
              <w:t xml:space="preserve">15. </w:t>
            </w:r>
          </w:p>
        </w:tc>
        <w:sdt>
          <w:sdtPr>
            <w:rPr>
              <w:rFonts w:ascii="Times New Roman" w:hAnsi="Times New Roman" w:cs="Times New Roman"/>
              <w:sz w:val="18"/>
              <w:szCs w:val="18"/>
            </w:rPr>
            <w:tag w:val="MENDELEY_CITATION_v3_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"/>
            <w:id w:val="-1576970973"/>
            <w:placeholder>
              <w:docPart w:val="A7D1A8A0E12A4C238AECB32D2FAAD004"/>
            </w:placeholder>
          </w:sdtPr>
          <w:sdtContent>
            <w:tc>
              <w:tcPr>
                <w:tcW w:w="983" w:type="dxa"/>
                <w:tcBorders>
                  <w:top w:val="single" w:sz="4" w:space="0" w:color="auto"/>
                  <w:left w:val="single" w:sz="4" w:space="0" w:color="auto"/>
                  <w:bottom w:val="single" w:sz="4" w:space="0" w:color="auto"/>
                  <w:right w:val="single" w:sz="4" w:space="0" w:color="auto"/>
                </w:tcBorders>
                <w:hideMark/>
              </w:tcPr>
              <w:p w14:paraId="21FE1DF0" w14:textId="77777777" w:rsidR="003A4529" w:rsidRDefault="003A4529">
                <w:pPr>
                  <w:spacing w:line="276" w:lineRule="auto"/>
                  <w:rPr>
                    <w:rFonts w:ascii="Times New Roman" w:hAnsi="Times New Roman" w:cs="Times New Roman"/>
                    <w:sz w:val="18"/>
                    <w:szCs w:val="18"/>
                  </w:rPr>
                </w:pPr>
                <w:proofErr w:type="spellStart"/>
                <w:r>
                  <w:rPr>
                    <w:rFonts w:ascii="Times New Roman" w:hAnsi="Times New Roman" w:cs="Times New Roman"/>
                    <w:sz w:val="18"/>
                    <w:szCs w:val="18"/>
                  </w:rPr>
                  <w:t>Bhurayanontachai</w:t>
                </w:r>
                <w:proofErr w:type="spellEnd"/>
                <w:r>
                  <w:rPr>
                    <w:rFonts w:ascii="Times New Roman" w:hAnsi="Times New Roman" w:cs="Times New Roman"/>
                    <w:sz w:val="18"/>
                    <w:szCs w:val="18"/>
                  </w:rPr>
                  <w:t xml:space="preserve"> et al. </w:t>
                </w:r>
                <w:r>
                  <w:rPr>
                    <w:rFonts w:ascii="Times New Roman" w:eastAsia="Times New Roman" w:hAnsi="Times New Roman" w:cs="Times New Roman"/>
                    <w:sz w:val="18"/>
                    <w:szCs w:val="18"/>
                  </w:rPr>
                  <w:t>[69]</w:t>
                </w:r>
              </w:p>
            </w:tc>
          </w:sdtContent>
        </w:sdt>
        <w:tc>
          <w:tcPr>
            <w:tcW w:w="901" w:type="dxa"/>
            <w:tcBorders>
              <w:top w:val="single" w:sz="4" w:space="0" w:color="auto"/>
              <w:left w:val="single" w:sz="4" w:space="0" w:color="auto"/>
              <w:bottom w:val="single" w:sz="4" w:space="0" w:color="auto"/>
              <w:right w:val="single" w:sz="4" w:space="0" w:color="auto"/>
            </w:tcBorders>
            <w:hideMark/>
          </w:tcPr>
          <w:p w14:paraId="2CCF5203"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34" w:type="dxa"/>
            <w:tcBorders>
              <w:top w:val="single" w:sz="4" w:space="0" w:color="auto"/>
              <w:left w:val="single" w:sz="4" w:space="0" w:color="auto"/>
              <w:bottom w:val="single" w:sz="4" w:space="0" w:color="auto"/>
              <w:right w:val="single" w:sz="4" w:space="0" w:color="auto"/>
            </w:tcBorders>
            <w:hideMark/>
          </w:tcPr>
          <w:p w14:paraId="2889FE0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50E42511"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41" w:type="dxa"/>
            <w:tcBorders>
              <w:top w:val="single" w:sz="4" w:space="0" w:color="auto"/>
              <w:left w:val="single" w:sz="4" w:space="0" w:color="auto"/>
              <w:bottom w:val="single" w:sz="4" w:space="0" w:color="auto"/>
              <w:right w:val="single" w:sz="4" w:space="0" w:color="auto"/>
            </w:tcBorders>
            <w:hideMark/>
          </w:tcPr>
          <w:p w14:paraId="5B6EF00A"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070" w:type="dxa"/>
            <w:tcBorders>
              <w:top w:val="single" w:sz="4" w:space="0" w:color="auto"/>
              <w:left w:val="single" w:sz="4" w:space="0" w:color="auto"/>
              <w:bottom w:val="single" w:sz="4" w:space="0" w:color="auto"/>
              <w:right w:val="single" w:sz="4" w:space="0" w:color="auto"/>
            </w:tcBorders>
            <w:hideMark/>
          </w:tcPr>
          <w:p w14:paraId="49FB9AEE"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794" w:type="dxa"/>
            <w:tcBorders>
              <w:top w:val="single" w:sz="4" w:space="0" w:color="auto"/>
              <w:left w:val="single" w:sz="4" w:space="0" w:color="auto"/>
              <w:bottom w:val="single" w:sz="4" w:space="0" w:color="auto"/>
              <w:right w:val="single" w:sz="4" w:space="0" w:color="auto"/>
            </w:tcBorders>
            <w:hideMark/>
          </w:tcPr>
          <w:p w14:paraId="54737A7F"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38" w:type="dxa"/>
            <w:tcBorders>
              <w:top w:val="single" w:sz="4" w:space="0" w:color="auto"/>
              <w:left w:val="single" w:sz="4" w:space="0" w:color="auto"/>
              <w:bottom w:val="single" w:sz="4" w:space="0" w:color="auto"/>
              <w:right w:val="single" w:sz="4" w:space="0" w:color="auto"/>
            </w:tcBorders>
            <w:hideMark/>
          </w:tcPr>
          <w:p w14:paraId="6D2F3266"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45" w:type="dxa"/>
            <w:tcBorders>
              <w:top w:val="single" w:sz="4" w:space="0" w:color="auto"/>
              <w:left w:val="single" w:sz="4" w:space="0" w:color="auto"/>
              <w:bottom w:val="single" w:sz="4" w:space="0" w:color="auto"/>
              <w:right w:val="single" w:sz="4" w:space="0" w:color="auto"/>
            </w:tcBorders>
            <w:hideMark/>
          </w:tcPr>
          <w:p w14:paraId="46AD7235"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1159" w:type="dxa"/>
            <w:tcBorders>
              <w:top w:val="single" w:sz="4" w:space="0" w:color="auto"/>
              <w:left w:val="single" w:sz="4" w:space="0" w:color="auto"/>
              <w:bottom w:val="single" w:sz="4" w:space="0" w:color="auto"/>
              <w:right w:val="single" w:sz="4" w:space="0" w:color="auto"/>
            </w:tcBorders>
            <w:hideMark/>
          </w:tcPr>
          <w:p w14:paraId="07033E8A"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963" w:type="dxa"/>
            <w:tcBorders>
              <w:top w:val="single" w:sz="4" w:space="0" w:color="auto"/>
              <w:left w:val="single" w:sz="4" w:space="0" w:color="auto"/>
              <w:bottom w:val="single" w:sz="4" w:space="0" w:color="auto"/>
              <w:right w:val="single" w:sz="4" w:space="0" w:color="auto"/>
            </w:tcBorders>
            <w:hideMark/>
          </w:tcPr>
          <w:p w14:paraId="2282DB19"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0</w:t>
            </w:r>
          </w:p>
        </w:tc>
        <w:tc>
          <w:tcPr>
            <w:tcW w:w="1067" w:type="dxa"/>
            <w:tcBorders>
              <w:top w:val="single" w:sz="4" w:space="0" w:color="auto"/>
              <w:left w:val="single" w:sz="4" w:space="0" w:color="auto"/>
              <w:bottom w:val="single" w:sz="4" w:space="0" w:color="auto"/>
              <w:right w:val="single" w:sz="4" w:space="0" w:color="auto"/>
            </w:tcBorders>
            <w:hideMark/>
          </w:tcPr>
          <w:p w14:paraId="111C12F2"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w:t>
            </w:r>
          </w:p>
        </w:tc>
        <w:tc>
          <w:tcPr>
            <w:tcW w:w="506" w:type="dxa"/>
            <w:tcBorders>
              <w:top w:val="single" w:sz="4" w:space="0" w:color="auto"/>
              <w:left w:val="single" w:sz="4" w:space="0" w:color="auto"/>
              <w:bottom w:val="single" w:sz="4" w:space="0" w:color="auto"/>
              <w:right w:val="single" w:sz="4" w:space="0" w:color="auto"/>
            </w:tcBorders>
            <w:hideMark/>
          </w:tcPr>
          <w:p w14:paraId="7D0F7E9D" w14:textId="77777777" w:rsidR="003A4529" w:rsidRDefault="003A4529">
            <w:pPr>
              <w:spacing w:line="276" w:lineRule="auto"/>
              <w:rPr>
                <w:rFonts w:ascii="Times New Roman" w:hAnsi="Times New Roman" w:cs="Times New Roman"/>
                <w:sz w:val="18"/>
                <w:szCs w:val="18"/>
              </w:rPr>
            </w:pPr>
            <w:r>
              <w:rPr>
                <w:rFonts w:ascii="Times New Roman" w:hAnsi="Times New Roman" w:cs="Times New Roman"/>
                <w:sz w:val="18"/>
                <w:szCs w:val="18"/>
              </w:rPr>
              <w:t>10</w:t>
            </w:r>
          </w:p>
        </w:tc>
      </w:tr>
    </w:tbl>
    <w:p w14:paraId="06F6AA83" w14:textId="77777777" w:rsidR="003A4529" w:rsidRDefault="003A4529" w:rsidP="003A4529">
      <w:pPr>
        <w:spacing w:line="360" w:lineRule="auto"/>
        <w:rPr>
          <w:rFonts w:ascii="Times New Roman" w:hAnsi="Times New Roman" w:cs="Times New Roman"/>
          <w:kern w:val="0"/>
          <w14:ligatures w14:val="none"/>
        </w:rPr>
        <w:sectPr w:rsidR="003A4529" w:rsidSect="00093C63">
          <w:pgSz w:w="15840" w:h="12240" w:orient="landscape"/>
          <w:pgMar w:top="1440" w:right="1440" w:bottom="1440" w:left="1440" w:header="720" w:footer="720" w:gutter="0"/>
          <w:cols w:space="720"/>
        </w:sectPr>
      </w:pPr>
    </w:p>
    <w:p w14:paraId="3FF82AEC" w14:textId="77777777" w:rsidR="003A4529" w:rsidRDefault="003A4529" w:rsidP="003A4529"/>
    <w:p w14:paraId="198EF52F" w14:textId="77777777" w:rsidR="003A4529" w:rsidRDefault="003A4529"/>
    <w:sectPr w:rsidR="003A4529" w:rsidSect="00093C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529"/>
    <w:rsid w:val="00093C63"/>
    <w:rsid w:val="000C00C3"/>
    <w:rsid w:val="002910CA"/>
    <w:rsid w:val="00302717"/>
    <w:rsid w:val="003A4529"/>
    <w:rsid w:val="0070513D"/>
    <w:rsid w:val="00904FEE"/>
    <w:rsid w:val="00987BFA"/>
    <w:rsid w:val="00A608ED"/>
    <w:rsid w:val="00AD5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B76F1"/>
  <w15:chartTrackingRefBased/>
  <w15:docId w15:val="{CAB867F7-21BA-4FD8-BB93-F6E186CA2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529"/>
    <w:pPr>
      <w:spacing w:after="0" w:line="240" w:lineRule="auto"/>
    </w:pPr>
    <w:rPr>
      <w:sz w:val="24"/>
      <w:szCs w:val="24"/>
      <w:lang w:val="en-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A4529"/>
    <w:pPr>
      <w:spacing w:after="0" w:line="240" w:lineRule="auto"/>
    </w:pPr>
    <w:rPr>
      <w:sz w:val="24"/>
      <w:szCs w:val="24"/>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3A4529"/>
    <w:pPr>
      <w:spacing w:before="100" w:beforeAutospacing="1" w:after="100" w:afterAutospacing="1"/>
    </w:pPr>
    <w:rPr>
      <w:rFonts w:ascii="Times New Roman" w:eastAsia="Times New Roman" w:hAnsi="Times New Roman" w:cs="Times New Roman"/>
      <w:kern w:val="0"/>
      <w:lang w:val="en-US"/>
      <w14:ligatures w14:val="none"/>
    </w:rPr>
  </w:style>
  <w:style w:type="paragraph" w:styleId="CommentText">
    <w:name w:val="annotation text"/>
    <w:basedOn w:val="Normal"/>
    <w:link w:val="CommentTextChar"/>
    <w:uiPriority w:val="99"/>
    <w:semiHidden/>
    <w:unhideWhenUsed/>
    <w:rsid w:val="003A4529"/>
    <w:rPr>
      <w:sz w:val="20"/>
      <w:szCs w:val="20"/>
    </w:rPr>
  </w:style>
  <w:style w:type="character" w:customStyle="1" w:styleId="CommentTextChar">
    <w:name w:val="Comment Text Char"/>
    <w:basedOn w:val="DefaultParagraphFont"/>
    <w:link w:val="CommentText"/>
    <w:uiPriority w:val="99"/>
    <w:semiHidden/>
    <w:rsid w:val="003A4529"/>
    <w:rPr>
      <w:sz w:val="20"/>
      <w:szCs w:val="20"/>
      <w:lang w:val="en-MY"/>
    </w:rPr>
  </w:style>
  <w:style w:type="character" w:styleId="CommentReference">
    <w:name w:val="annotation reference"/>
    <w:basedOn w:val="DefaultParagraphFont"/>
    <w:uiPriority w:val="99"/>
    <w:semiHidden/>
    <w:unhideWhenUsed/>
    <w:rsid w:val="003A4529"/>
    <w:rPr>
      <w:sz w:val="16"/>
      <w:szCs w:val="16"/>
    </w:rPr>
  </w:style>
  <w:style w:type="table" w:customStyle="1" w:styleId="TableGrid1">
    <w:name w:val="Table Grid1"/>
    <w:basedOn w:val="TableNormal"/>
    <w:uiPriority w:val="39"/>
    <w:rsid w:val="003A4529"/>
    <w:pPr>
      <w:spacing w:after="0" w:line="240" w:lineRule="auto"/>
    </w:pPr>
    <w:rPr>
      <w:rFonts w:eastAsiaTheme="minorEastAsia"/>
      <w:kern w:val="0"/>
      <w:lang w:val="en-MY" w:eastAsia="zh-C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1847349">
      <w:bodyDiv w:val="1"/>
      <w:marLeft w:val="0"/>
      <w:marRight w:val="0"/>
      <w:marTop w:val="0"/>
      <w:marBottom w:val="0"/>
      <w:divBdr>
        <w:top w:val="none" w:sz="0" w:space="0" w:color="auto"/>
        <w:left w:val="none" w:sz="0" w:space="0" w:color="auto"/>
        <w:bottom w:val="none" w:sz="0" w:space="0" w:color="auto"/>
        <w:right w:val="none" w:sz="0" w:space="0" w:color="auto"/>
      </w:divBdr>
    </w:div>
    <w:div w:id="1266963634">
      <w:bodyDiv w:val="1"/>
      <w:marLeft w:val="0"/>
      <w:marRight w:val="0"/>
      <w:marTop w:val="0"/>
      <w:marBottom w:val="0"/>
      <w:divBdr>
        <w:top w:val="none" w:sz="0" w:space="0" w:color="auto"/>
        <w:left w:val="none" w:sz="0" w:space="0" w:color="auto"/>
        <w:bottom w:val="none" w:sz="0" w:space="0" w:color="auto"/>
        <w:right w:val="none" w:sz="0" w:space="0" w:color="auto"/>
      </w:divBdr>
    </w:div>
    <w:div w:id="1362778103">
      <w:bodyDiv w:val="1"/>
      <w:marLeft w:val="0"/>
      <w:marRight w:val="0"/>
      <w:marTop w:val="0"/>
      <w:marBottom w:val="0"/>
      <w:divBdr>
        <w:top w:val="none" w:sz="0" w:space="0" w:color="auto"/>
        <w:left w:val="none" w:sz="0" w:space="0" w:color="auto"/>
        <w:bottom w:val="none" w:sz="0" w:space="0" w:color="auto"/>
        <w:right w:val="none" w:sz="0" w:space="0" w:color="auto"/>
      </w:divBdr>
    </w:div>
    <w:div w:id="2018847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BD129A35D34ED0BE35B593F7D2E5F3"/>
        <w:category>
          <w:name w:val="General"/>
          <w:gallery w:val="placeholder"/>
        </w:category>
        <w:types>
          <w:type w:val="bbPlcHdr"/>
        </w:types>
        <w:behaviors>
          <w:behavior w:val="content"/>
        </w:behaviors>
        <w:guid w:val="{675373DD-EDF7-4CE5-96CA-E57E3A7AEBC2}"/>
      </w:docPartPr>
      <w:docPartBody>
        <w:p w:rsidR="00000000" w:rsidRDefault="00BA7973" w:rsidP="00BA7973">
          <w:pPr>
            <w:pStyle w:val="33BD129A35D34ED0BE35B593F7D2E5F3"/>
          </w:pPr>
          <w:r>
            <w:rPr>
              <w:rStyle w:val="PlaceholderText"/>
            </w:rPr>
            <w:t>Click or tap here to enter text.</w:t>
          </w:r>
        </w:p>
      </w:docPartBody>
    </w:docPart>
    <w:docPart>
      <w:docPartPr>
        <w:name w:val="102606E8DF364B53BB4A63877D9736E1"/>
        <w:category>
          <w:name w:val="General"/>
          <w:gallery w:val="placeholder"/>
        </w:category>
        <w:types>
          <w:type w:val="bbPlcHdr"/>
        </w:types>
        <w:behaviors>
          <w:behavior w:val="content"/>
        </w:behaviors>
        <w:guid w:val="{E5F377FB-EFD0-4E3D-92FB-FB5D9F1938C9}"/>
      </w:docPartPr>
      <w:docPartBody>
        <w:p w:rsidR="00000000" w:rsidRDefault="00BA7973" w:rsidP="00BA7973">
          <w:pPr>
            <w:pStyle w:val="102606E8DF364B53BB4A63877D9736E1"/>
          </w:pPr>
          <w:r>
            <w:rPr>
              <w:rStyle w:val="PlaceholderText"/>
            </w:rPr>
            <w:t>Click or tap here to enter text.</w:t>
          </w:r>
        </w:p>
      </w:docPartBody>
    </w:docPart>
    <w:docPart>
      <w:docPartPr>
        <w:name w:val="30E386FECA95497DB572A0903583C5E9"/>
        <w:category>
          <w:name w:val="General"/>
          <w:gallery w:val="placeholder"/>
        </w:category>
        <w:types>
          <w:type w:val="bbPlcHdr"/>
        </w:types>
        <w:behaviors>
          <w:behavior w:val="content"/>
        </w:behaviors>
        <w:guid w:val="{9649E1D8-40CD-4811-A1F0-07445B6281E1}"/>
      </w:docPartPr>
      <w:docPartBody>
        <w:p w:rsidR="00000000" w:rsidRDefault="00BA7973" w:rsidP="00BA7973">
          <w:pPr>
            <w:pStyle w:val="30E386FECA95497DB572A0903583C5E9"/>
          </w:pPr>
          <w:r>
            <w:rPr>
              <w:rStyle w:val="PlaceholderText"/>
            </w:rPr>
            <w:t>Click or tap here to enter text.</w:t>
          </w:r>
        </w:p>
      </w:docPartBody>
    </w:docPart>
    <w:docPart>
      <w:docPartPr>
        <w:name w:val="1551377B1557451685B97559A31D3A7D"/>
        <w:category>
          <w:name w:val="General"/>
          <w:gallery w:val="placeholder"/>
        </w:category>
        <w:types>
          <w:type w:val="bbPlcHdr"/>
        </w:types>
        <w:behaviors>
          <w:behavior w:val="content"/>
        </w:behaviors>
        <w:guid w:val="{66B31C2D-A140-414F-92C8-2B611835B2B5}"/>
      </w:docPartPr>
      <w:docPartBody>
        <w:p w:rsidR="00000000" w:rsidRDefault="00BA7973" w:rsidP="00BA7973">
          <w:pPr>
            <w:pStyle w:val="1551377B1557451685B97559A31D3A7D"/>
          </w:pPr>
          <w:r>
            <w:rPr>
              <w:rStyle w:val="PlaceholderText"/>
            </w:rPr>
            <w:t>Click or tap here to enter text.</w:t>
          </w:r>
        </w:p>
      </w:docPartBody>
    </w:docPart>
    <w:docPart>
      <w:docPartPr>
        <w:name w:val="8AD14C0D9D274B6FBE383E2E3A661263"/>
        <w:category>
          <w:name w:val="General"/>
          <w:gallery w:val="placeholder"/>
        </w:category>
        <w:types>
          <w:type w:val="bbPlcHdr"/>
        </w:types>
        <w:behaviors>
          <w:behavior w:val="content"/>
        </w:behaviors>
        <w:guid w:val="{79B8D776-377B-4CB9-98D4-3612029512BF}"/>
      </w:docPartPr>
      <w:docPartBody>
        <w:p w:rsidR="00000000" w:rsidRDefault="00BA7973" w:rsidP="00BA7973">
          <w:pPr>
            <w:pStyle w:val="8AD14C0D9D274B6FBE383E2E3A661263"/>
          </w:pPr>
          <w:r>
            <w:rPr>
              <w:rStyle w:val="PlaceholderText"/>
            </w:rPr>
            <w:t>Click or tap here to enter text.</w:t>
          </w:r>
        </w:p>
      </w:docPartBody>
    </w:docPart>
    <w:docPart>
      <w:docPartPr>
        <w:name w:val="2A91B2EB6F984EA2999501AAFCC19963"/>
        <w:category>
          <w:name w:val="General"/>
          <w:gallery w:val="placeholder"/>
        </w:category>
        <w:types>
          <w:type w:val="bbPlcHdr"/>
        </w:types>
        <w:behaviors>
          <w:behavior w:val="content"/>
        </w:behaviors>
        <w:guid w:val="{BCF619F5-07A5-44AF-A581-952BA9726107}"/>
      </w:docPartPr>
      <w:docPartBody>
        <w:p w:rsidR="00000000" w:rsidRDefault="00BA7973" w:rsidP="00BA7973">
          <w:pPr>
            <w:pStyle w:val="2A91B2EB6F984EA2999501AAFCC19963"/>
          </w:pPr>
          <w:r>
            <w:rPr>
              <w:rStyle w:val="PlaceholderText"/>
            </w:rPr>
            <w:t>Click or tap here to enter text.</w:t>
          </w:r>
        </w:p>
      </w:docPartBody>
    </w:docPart>
    <w:docPart>
      <w:docPartPr>
        <w:name w:val="F39E560A61B7487E9D74484F2392F116"/>
        <w:category>
          <w:name w:val="General"/>
          <w:gallery w:val="placeholder"/>
        </w:category>
        <w:types>
          <w:type w:val="bbPlcHdr"/>
        </w:types>
        <w:behaviors>
          <w:behavior w:val="content"/>
        </w:behaviors>
        <w:guid w:val="{DBC32B98-48E9-4C2F-8DB6-74A63C31354E}"/>
      </w:docPartPr>
      <w:docPartBody>
        <w:p w:rsidR="00000000" w:rsidRDefault="00BA7973" w:rsidP="00BA7973">
          <w:pPr>
            <w:pStyle w:val="F39E560A61B7487E9D74484F2392F116"/>
          </w:pPr>
          <w:r>
            <w:rPr>
              <w:rStyle w:val="PlaceholderText"/>
            </w:rPr>
            <w:t>Click or tap here to enter text.</w:t>
          </w:r>
        </w:p>
      </w:docPartBody>
    </w:docPart>
    <w:docPart>
      <w:docPartPr>
        <w:name w:val="5A09CEF2C69D4F5B819431479C71FAA1"/>
        <w:category>
          <w:name w:val="General"/>
          <w:gallery w:val="placeholder"/>
        </w:category>
        <w:types>
          <w:type w:val="bbPlcHdr"/>
        </w:types>
        <w:behaviors>
          <w:behavior w:val="content"/>
        </w:behaviors>
        <w:guid w:val="{687A49F3-DF58-422B-8D32-5BF4728E7221}"/>
      </w:docPartPr>
      <w:docPartBody>
        <w:p w:rsidR="00000000" w:rsidRDefault="00BA7973" w:rsidP="00BA7973">
          <w:pPr>
            <w:pStyle w:val="5A09CEF2C69D4F5B819431479C71FAA1"/>
          </w:pPr>
          <w:r>
            <w:rPr>
              <w:rStyle w:val="PlaceholderText"/>
            </w:rPr>
            <w:t>Click or tap here to enter text.</w:t>
          </w:r>
        </w:p>
      </w:docPartBody>
    </w:docPart>
    <w:docPart>
      <w:docPartPr>
        <w:name w:val="BA8DA7D332654F24A6E4CD4AA3FCC110"/>
        <w:category>
          <w:name w:val="General"/>
          <w:gallery w:val="placeholder"/>
        </w:category>
        <w:types>
          <w:type w:val="bbPlcHdr"/>
        </w:types>
        <w:behaviors>
          <w:behavior w:val="content"/>
        </w:behaviors>
        <w:guid w:val="{1D7293DE-BAEC-478F-9FA1-370425CD5BE1}"/>
      </w:docPartPr>
      <w:docPartBody>
        <w:p w:rsidR="00000000" w:rsidRDefault="00BA7973" w:rsidP="00BA7973">
          <w:pPr>
            <w:pStyle w:val="BA8DA7D332654F24A6E4CD4AA3FCC110"/>
          </w:pPr>
          <w:r>
            <w:rPr>
              <w:rStyle w:val="PlaceholderText"/>
            </w:rPr>
            <w:t>Click or tap here to enter text.</w:t>
          </w:r>
        </w:p>
      </w:docPartBody>
    </w:docPart>
    <w:docPart>
      <w:docPartPr>
        <w:name w:val="A9901016D13048FEB509CDD8FCF1D145"/>
        <w:category>
          <w:name w:val="General"/>
          <w:gallery w:val="placeholder"/>
        </w:category>
        <w:types>
          <w:type w:val="bbPlcHdr"/>
        </w:types>
        <w:behaviors>
          <w:behavior w:val="content"/>
        </w:behaviors>
        <w:guid w:val="{BF41A91C-CCAB-44C8-81B7-E15DB58D0159}"/>
      </w:docPartPr>
      <w:docPartBody>
        <w:p w:rsidR="00000000" w:rsidRDefault="00BA7973" w:rsidP="00BA7973">
          <w:pPr>
            <w:pStyle w:val="A9901016D13048FEB509CDD8FCF1D145"/>
          </w:pPr>
          <w:r>
            <w:rPr>
              <w:rStyle w:val="PlaceholderText"/>
            </w:rPr>
            <w:t>Click or tap here to enter text.</w:t>
          </w:r>
        </w:p>
      </w:docPartBody>
    </w:docPart>
    <w:docPart>
      <w:docPartPr>
        <w:name w:val="A7D1A8A0E12A4C238AECB32D2FAAD004"/>
        <w:category>
          <w:name w:val="General"/>
          <w:gallery w:val="placeholder"/>
        </w:category>
        <w:types>
          <w:type w:val="bbPlcHdr"/>
        </w:types>
        <w:behaviors>
          <w:behavior w:val="content"/>
        </w:behaviors>
        <w:guid w:val="{CD214425-86B7-471F-A4B2-37E676B8D85D}"/>
      </w:docPartPr>
      <w:docPartBody>
        <w:p w:rsidR="00000000" w:rsidRDefault="00BA7973" w:rsidP="00BA7973">
          <w:pPr>
            <w:pStyle w:val="A7D1A8A0E12A4C238AECB32D2FAAD004"/>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973"/>
    <w:rsid w:val="00606AE8"/>
    <w:rsid w:val="00BA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A7973"/>
  </w:style>
  <w:style w:type="paragraph" w:customStyle="1" w:styleId="33BD129A35D34ED0BE35B593F7D2E5F3">
    <w:name w:val="33BD129A35D34ED0BE35B593F7D2E5F3"/>
    <w:rsid w:val="00BA7973"/>
  </w:style>
  <w:style w:type="paragraph" w:customStyle="1" w:styleId="102606E8DF364B53BB4A63877D9736E1">
    <w:name w:val="102606E8DF364B53BB4A63877D9736E1"/>
    <w:rsid w:val="00BA7973"/>
  </w:style>
  <w:style w:type="paragraph" w:customStyle="1" w:styleId="30E386FECA95497DB572A0903583C5E9">
    <w:name w:val="30E386FECA95497DB572A0903583C5E9"/>
    <w:rsid w:val="00BA7973"/>
  </w:style>
  <w:style w:type="paragraph" w:customStyle="1" w:styleId="1551377B1557451685B97559A31D3A7D">
    <w:name w:val="1551377B1557451685B97559A31D3A7D"/>
    <w:rsid w:val="00BA7973"/>
  </w:style>
  <w:style w:type="paragraph" w:customStyle="1" w:styleId="8AD14C0D9D274B6FBE383E2E3A661263">
    <w:name w:val="8AD14C0D9D274B6FBE383E2E3A661263"/>
    <w:rsid w:val="00BA7973"/>
  </w:style>
  <w:style w:type="paragraph" w:customStyle="1" w:styleId="2A91B2EB6F984EA2999501AAFCC19963">
    <w:name w:val="2A91B2EB6F984EA2999501AAFCC19963"/>
    <w:rsid w:val="00BA7973"/>
  </w:style>
  <w:style w:type="paragraph" w:customStyle="1" w:styleId="F39E560A61B7487E9D74484F2392F116">
    <w:name w:val="F39E560A61B7487E9D74484F2392F116"/>
    <w:rsid w:val="00BA7973"/>
  </w:style>
  <w:style w:type="paragraph" w:customStyle="1" w:styleId="5A09CEF2C69D4F5B819431479C71FAA1">
    <w:name w:val="5A09CEF2C69D4F5B819431479C71FAA1"/>
    <w:rsid w:val="00BA7973"/>
  </w:style>
  <w:style w:type="paragraph" w:customStyle="1" w:styleId="BA8DA7D332654F24A6E4CD4AA3FCC110">
    <w:name w:val="BA8DA7D332654F24A6E4CD4AA3FCC110"/>
    <w:rsid w:val="00BA7973"/>
  </w:style>
  <w:style w:type="paragraph" w:customStyle="1" w:styleId="A9901016D13048FEB509CDD8FCF1D145">
    <w:name w:val="A9901016D13048FEB509CDD8FCF1D145"/>
    <w:rsid w:val="00BA7973"/>
  </w:style>
  <w:style w:type="paragraph" w:customStyle="1" w:styleId="A7D1A8A0E12A4C238AECB32D2FAAD004">
    <w:name w:val="A7D1A8A0E12A4C238AECB32D2FAAD004"/>
    <w:rsid w:val="00BA79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51</Pages>
  <Words>13639</Words>
  <Characters>77748</Characters>
  <Application>Microsoft Office Word</Application>
  <DocSecurity>0</DocSecurity>
  <Lines>647</Lines>
  <Paragraphs>182</Paragraphs>
  <ScaleCrop>false</ScaleCrop>
  <Company>Springer Nature</Company>
  <LinksUpToDate>false</LinksUpToDate>
  <CharactersWithSpaces>91205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Priti Ambadas Kale</dc:creator>
  <cp:keywords/>
  <dc:description/>
  <cp:lastModifiedBy>Priti Ambadas Kale</cp:lastModifiedBy>
  <cp:revision>1</cp:revision>
  <dcterms:created xsi:type="dcterms:W3CDTF">2024-04-02T17:47:00Z</dcterms:created>
  <dcterms:modified xsi:type="dcterms:W3CDTF">2024-04-02T17:50:00Z</dcterms:modified>
</cp:coreProperties>
</file>