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30" w:rsidRDefault="001C3B30" w:rsidP="001C3B30">
      <w:pPr>
        <w:pStyle w:val="Tables"/>
        <w:spacing w:line="48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Supplementary Tables</w:t>
      </w:r>
    </w:p>
    <w:p w:rsidR="001C3B30" w:rsidRPr="002E5F73" w:rsidRDefault="001C3B30" w:rsidP="001C3B30">
      <w:pPr>
        <w:pStyle w:val="Tables"/>
        <w:spacing w:line="480" w:lineRule="auto"/>
        <w:rPr>
          <w:rFonts w:cs="Times New Roman"/>
        </w:rPr>
      </w:pPr>
      <w:r>
        <w:rPr>
          <w:rFonts w:cs="Times New Roman"/>
          <w:b/>
        </w:rPr>
        <w:br/>
        <w:t xml:space="preserve">Supplementary </w:t>
      </w:r>
      <w:r w:rsidRPr="002E5F73">
        <w:rPr>
          <w:rFonts w:cs="Times New Roman"/>
          <w:b/>
        </w:rPr>
        <w:t xml:space="preserve">Table </w:t>
      </w:r>
      <w:r>
        <w:rPr>
          <w:rFonts w:cs="Times New Roman"/>
          <w:b/>
        </w:rPr>
        <w:t>1</w:t>
      </w:r>
      <w:r w:rsidRPr="002E5F73">
        <w:rPr>
          <w:rFonts w:cs="Times New Roman"/>
        </w:rPr>
        <w:t>. 30</w:t>
      </w:r>
      <w:r>
        <w:rPr>
          <w:rFonts w:cs="Times New Roman"/>
        </w:rPr>
        <w:t>-</w:t>
      </w:r>
      <w:r w:rsidRPr="002E5F73">
        <w:rPr>
          <w:rFonts w:cs="Times New Roman"/>
        </w:rPr>
        <w:t>Second Chair Stand Test results in people 12 months after total hip arthroplasty compared to normative values stratified by age and sex. (n=108)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0"/>
        <w:gridCol w:w="2038"/>
        <w:gridCol w:w="1809"/>
        <w:gridCol w:w="3300"/>
        <w:gridCol w:w="3402"/>
      </w:tblGrid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E5F73">
              <w:rPr>
                <w:rFonts w:ascii="Times New Roman" w:hAnsi="Times New Roman" w:cs="Times New Roman"/>
                <w:b/>
              </w:rPr>
              <w:t>Age Group (Male)</w:t>
            </w:r>
          </w:p>
        </w:tc>
        <w:tc>
          <w:tcPr>
            <w:tcW w:w="2038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E5F73">
              <w:rPr>
                <w:rFonts w:ascii="Times New Roman" w:hAnsi="Times New Roman" w:cs="Times New Roman"/>
                <w:b/>
              </w:rPr>
              <w:t>Number of participants</w:t>
            </w:r>
          </w:p>
        </w:tc>
        <w:tc>
          <w:tcPr>
            <w:tcW w:w="1809" w:type="dxa"/>
          </w:tcPr>
          <w:p w:rsidR="001C3B30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E5F73">
              <w:rPr>
                <w:rFonts w:ascii="Times New Roman" w:hAnsi="Times New Roman" w:cs="Times New Roman"/>
                <w:b/>
              </w:rPr>
              <w:t>Mean ± SD</w:t>
            </w:r>
          </w:p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(Repetitions)</w:t>
            </w:r>
          </w:p>
        </w:tc>
        <w:tc>
          <w:tcPr>
            <w:tcW w:w="330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E5F73">
              <w:rPr>
                <w:rFonts w:ascii="Times New Roman" w:hAnsi="Times New Roman" w:cs="Times New Roman"/>
                <w:b/>
              </w:rPr>
              <w:t>Normative Values</w:t>
            </w:r>
            <w:r>
              <w:rPr>
                <w:rFonts w:ascii="Times New Roman" w:hAnsi="Times New Roman" w:cs="Times New Roman"/>
                <w:b/>
              </w:rPr>
              <w:fldChar w:fldCharType="begin" w:fldLock="1"/>
            </w:r>
            <w:r>
              <w:rPr>
                <w:rFonts w:ascii="Times New Roman" w:hAnsi="Times New Roman" w:cs="Times New Roman"/>
                <w:b/>
              </w:rPr>
              <w:instrText>ADDIN CSL_CITATION {"citationItems":[{"id":"ITEM-1","itemData":{"author":[{"dropping-particle":"","family":"Rikli","given":"Roberta E.","non-dropping-particle":"","parse-names":false,"suffix":""},{"dropping-particle":"","family":"Jones","given":"Jessie C.","non-dropping-particle":"","parse-names":false,"suffix":""}],"container-title":"Journal of Aging and Physical Activity","id":"ITEM-1","issued":{"date-parts":[["1999"]]},"page":"162-181","title":"Functional fitness normative scores for community-residing older adults, ages 60-94","type":"article-journal","volume":"7"},"uris":["http://www.mendeley.com/documents/?uuid=f4a15e5a-49c2-484d-80df-7320e6d35062"]}],"mendeley":{"formattedCitation":"(Rikli &amp; Jones, 1999)","plainTextFormattedCitation":"(Rikli &amp; Jones, 1999)","previouslyFormattedCitation":"(Rikli &amp; Jones, 1999)"},"properties":{"noteIndex":0},"schema":"https://github.com/citation-style-language/schema/raw/master/csl-citation.json"}</w:instrText>
            </w:r>
            <w:r>
              <w:rPr>
                <w:rFonts w:ascii="Times New Roman" w:hAnsi="Times New Roman" w:cs="Times New Roman"/>
                <w:b/>
              </w:rPr>
              <w:fldChar w:fldCharType="separate"/>
            </w:r>
            <w:r w:rsidRPr="009B2D7D">
              <w:rPr>
                <w:rFonts w:ascii="Times New Roman" w:hAnsi="Times New Roman" w:cs="Times New Roman"/>
                <w:noProof/>
              </w:rPr>
              <w:t>(</w:t>
            </w:r>
            <w:proofErr w:type="spellStart"/>
            <w:r w:rsidRPr="009B2D7D">
              <w:rPr>
                <w:rFonts w:ascii="Times New Roman" w:hAnsi="Times New Roman" w:cs="Times New Roman"/>
                <w:noProof/>
              </w:rPr>
              <w:t>Rikli</w:t>
            </w:r>
            <w:proofErr w:type="spellEnd"/>
            <w:r w:rsidRPr="009B2D7D">
              <w:rPr>
                <w:rFonts w:ascii="Times New Roman" w:hAnsi="Times New Roman" w:cs="Times New Roman"/>
                <w:noProof/>
              </w:rPr>
              <w:t xml:space="preserve"> &amp; Jones, 1999)</w:t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</w:p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E5F73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Repetitions</w:t>
            </w:r>
            <w:r w:rsidRPr="002E5F73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3402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E5F73">
              <w:rPr>
                <w:rFonts w:ascii="Times New Roman" w:hAnsi="Times New Roman" w:cs="Times New Roman"/>
                <w:b/>
              </w:rPr>
              <w:t>Participants below normative values, n (%)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 xml:space="preserve">60 – 64 </w:t>
            </w:r>
          </w:p>
        </w:tc>
        <w:tc>
          <w:tcPr>
            <w:tcW w:w="2038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09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 xml:space="preserve">10.8 </w:t>
            </w:r>
            <w:r w:rsidRPr="002E5F73">
              <w:rPr>
                <w:rFonts w:ascii="Times New Roman" w:hAnsi="Times New Roman" w:cs="Times New Roman"/>
                <w:color w:val="1A1A1A"/>
              </w:rPr>
              <w:t>± 2.2</w:t>
            </w:r>
          </w:p>
        </w:tc>
        <w:tc>
          <w:tcPr>
            <w:tcW w:w="330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02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4 (80.0)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 xml:space="preserve">65 – 69 </w:t>
            </w:r>
          </w:p>
        </w:tc>
        <w:tc>
          <w:tcPr>
            <w:tcW w:w="2038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09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color w:val="1A1A1A"/>
              </w:rPr>
            </w:pPr>
            <w:r w:rsidRPr="002E5F73">
              <w:rPr>
                <w:rFonts w:ascii="Times New Roman" w:hAnsi="Times New Roman" w:cs="Times New Roman"/>
              </w:rPr>
              <w:t xml:space="preserve">12.0 </w:t>
            </w:r>
            <w:r w:rsidRPr="002E5F73">
              <w:rPr>
                <w:rFonts w:ascii="Times New Roman" w:hAnsi="Times New Roman" w:cs="Times New Roman"/>
                <w:color w:val="1A1A1A"/>
              </w:rPr>
              <w:t>± 3.1</w:t>
            </w:r>
          </w:p>
        </w:tc>
        <w:tc>
          <w:tcPr>
            <w:tcW w:w="330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02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7 (77.8)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 xml:space="preserve">70 – 74 </w:t>
            </w:r>
          </w:p>
        </w:tc>
        <w:tc>
          <w:tcPr>
            <w:tcW w:w="2038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09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color w:val="1A1A1A"/>
              </w:rPr>
            </w:pPr>
            <w:r w:rsidRPr="002E5F73">
              <w:rPr>
                <w:rFonts w:ascii="Times New Roman" w:hAnsi="Times New Roman" w:cs="Times New Roman"/>
              </w:rPr>
              <w:t xml:space="preserve">9.9 </w:t>
            </w:r>
            <w:r w:rsidRPr="002E5F73">
              <w:rPr>
                <w:rFonts w:ascii="Times New Roman" w:hAnsi="Times New Roman" w:cs="Times New Roman"/>
                <w:color w:val="1A1A1A"/>
              </w:rPr>
              <w:t>± 4.3</w:t>
            </w:r>
          </w:p>
        </w:tc>
        <w:tc>
          <w:tcPr>
            <w:tcW w:w="330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02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9 (69.2)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 xml:space="preserve">75 – 79 </w:t>
            </w:r>
          </w:p>
        </w:tc>
        <w:tc>
          <w:tcPr>
            <w:tcW w:w="2038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09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color w:val="1A1A1A"/>
              </w:rPr>
            </w:pPr>
            <w:r w:rsidRPr="002E5F73">
              <w:rPr>
                <w:rFonts w:ascii="Times New Roman" w:hAnsi="Times New Roman" w:cs="Times New Roman"/>
              </w:rPr>
              <w:t xml:space="preserve">10.6 </w:t>
            </w:r>
            <w:r w:rsidRPr="002E5F73">
              <w:rPr>
                <w:rFonts w:ascii="Times New Roman" w:hAnsi="Times New Roman" w:cs="Times New Roman"/>
                <w:color w:val="1A1A1A"/>
              </w:rPr>
              <w:t>± 2.6</w:t>
            </w:r>
          </w:p>
        </w:tc>
        <w:tc>
          <w:tcPr>
            <w:tcW w:w="330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02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4 (44.4)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 xml:space="preserve">80 – 84 </w:t>
            </w:r>
          </w:p>
        </w:tc>
        <w:tc>
          <w:tcPr>
            <w:tcW w:w="2038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9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color w:val="1A1A1A"/>
              </w:rPr>
            </w:pPr>
            <w:r w:rsidRPr="002E5F73">
              <w:rPr>
                <w:rFonts w:ascii="Times New Roman" w:hAnsi="Times New Roman" w:cs="Times New Roman"/>
              </w:rPr>
              <w:t xml:space="preserve">11.3 </w:t>
            </w:r>
            <w:r w:rsidRPr="002E5F73">
              <w:rPr>
                <w:rFonts w:ascii="Times New Roman" w:hAnsi="Times New Roman" w:cs="Times New Roman"/>
                <w:color w:val="1A1A1A"/>
              </w:rPr>
              <w:t>± 2.9</w:t>
            </w:r>
          </w:p>
        </w:tc>
        <w:tc>
          <w:tcPr>
            <w:tcW w:w="330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02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3 (50.0)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 xml:space="preserve">85 – 89 </w:t>
            </w:r>
          </w:p>
        </w:tc>
        <w:tc>
          <w:tcPr>
            <w:tcW w:w="2038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9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30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02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0 (0.0)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  <w:b/>
              </w:rPr>
              <w:t>Age Group (Female)</w:t>
            </w:r>
          </w:p>
        </w:tc>
        <w:tc>
          <w:tcPr>
            <w:tcW w:w="2038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  <w:b/>
              </w:rPr>
              <w:t>Number of participants</w:t>
            </w:r>
          </w:p>
        </w:tc>
        <w:tc>
          <w:tcPr>
            <w:tcW w:w="1809" w:type="dxa"/>
          </w:tcPr>
          <w:p w:rsidR="001C3B30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1A1A1A"/>
              </w:rPr>
            </w:pPr>
            <w:r w:rsidRPr="002E5F73">
              <w:rPr>
                <w:rFonts w:ascii="Times New Roman" w:hAnsi="Times New Roman" w:cs="Times New Roman"/>
                <w:b/>
              </w:rPr>
              <w:t>Mean</w:t>
            </w:r>
            <w:r w:rsidRPr="002E5F73">
              <w:rPr>
                <w:rFonts w:ascii="Times New Roman" w:hAnsi="Times New Roman" w:cs="Times New Roman"/>
                <w:b/>
                <w:lang w:val="en-CA"/>
              </w:rPr>
              <w:t xml:space="preserve"> </w:t>
            </w:r>
            <w:r w:rsidRPr="002E5F73">
              <w:rPr>
                <w:rFonts w:ascii="Times New Roman" w:hAnsi="Times New Roman" w:cs="Times New Roman"/>
                <w:b/>
                <w:color w:val="1A1A1A"/>
              </w:rPr>
              <w:t>± SD</w:t>
            </w:r>
          </w:p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1A1A1A"/>
              </w:rPr>
              <w:t>(Repetitions)</w:t>
            </w:r>
          </w:p>
        </w:tc>
        <w:tc>
          <w:tcPr>
            <w:tcW w:w="330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E5F73">
              <w:rPr>
                <w:rFonts w:ascii="Times New Roman" w:hAnsi="Times New Roman" w:cs="Times New Roman"/>
                <w:b/>
              </w:rPr>
              <w:t>Normative Value</w:t>
            </w:r>
            <w:r>
              <w:rPr>
                <w:rFonts w:ascii="Times New Roman" w:hAnsi="Times New Roman" w:cs="Times New Roman"/>
                <w:b/>
              </w:rPr>
              <w:fldChar w:fldCharType="begin" w:fldLock="1"/>
            </w:r>
            <w:r>
              <w:rPr>
                <w:rFonts w:ascii="Times New Roman" w:hAnsi="Times New Roman" w:cs="Times New Roman"/>
                <w:b/>
              </w:rPr>
              <w:instrText>ADDIN CSL_CITATION {"citationItems":[{"id":"ITEM-1","itemData":{"author":[{"dropping-particle":"","family":"Rikli","given":"Roberta E.","non-dropping-particle":"","parse-names":false,"suffix":""},{"dropping-particle":"","family":"Jones","given":"Jessie C.","non-dropping-particle":"","parse-names":false,"suffix":""}],"container-title":"Journal of Aging and Physical Activity","id":"ITEM-1","issued":{"date-parts":[["1999"]]},"page":"162-181","title":"Functional fitness normative scores for community-residing older adults, ages 60-94","type":"article-journal","volume":"7"},"uris":["http://www.mendeley.com/documents/?uuid=f4a15e5a-49c2-484d-80df-7320e6d35062"]}],"mendeley":{"formattedCitation":"(Rikli &amp; Jones, 1999)","plainTextFormattedCitation":"(Rikli &amp; Jones, 1999)","previouslyFormattedCitation":"(Rikli &amp; Jones, 1999)"},"properties":{"noteIndex":0},"schema":"https://github.com/citation-style-language/schema/raw/master/csl-citation.json"}</w:instrText>
            </w:r>
            <w:r>
              <w:rPr>
                <w:rFonts w:ascii="Times New Roman" w:hAnsi="Times New Roman" w:cs="Times New Roman"/>
                <w:b/>
              </w:rPr>
              <w:fldChar w:fldCharType="separate"/>
            </w:r>
            <w:r w:rsidRPr="009B2D7D">
              <w:rPr>
                <w:rFonts w:ascii="Times New Roman" w:hAnsi="Times New Roman" w:cs="Times New Roman"/>
                <w:noProof/>
              </w:rPr>
              <w:t>(</w:t>
            </w:r>
            <w:proofErr w:type="spellStart"/>
            <w:r w:rsidRPr="009B2D7D">
              <w:rPr>
                <w:rFonts w:ascii="Times New Roman" w:hAnsi="Times New Roman" w:cs="Times New Roman"/>
                <w:noProof/>
              </w:rPr>
              <w:t>Rikli</w:t>
            </w:r>
            <w:proofErr w:type="spellEnd"/>
            <w:r w:rsidRPr="009B2D7D">
              <w:rPr>
                <w:rFonts w:ascii="Times New Roman" w:hAnsi="Times New Roman" w:cs="Times New Roman"/>
                <w:noProof/>
              </w:rPr>
              <w:t xml:space="preserve"> &amp; Jones, 1999)</w:t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</w:p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Repetitions</w:t>
            </w:r>
            <w:r w:rsidRPr="002E5F73">
              <w:rPr>
                <w:rFonts w:ascii="Times New Roman" w:hAnsi="Times New Roman" w:cs="Times New Roman"/>
                <w:b/>
                <w:color w:val="1A1A1A"/>
              </w:rPr>
              <w:t>)</w:t>
            </w:r>
          </w:p>
        </w:tc>
        <w:tc>
          <w:tcPr>
            <w:tcW w:w="3402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  <w:b/>
              </w:rPr>
              <w:t>Participants below normative values, n (%)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lastRenderedPageBreak/>
              <w:t xml:space="preserve">60 – 64 </w:t>
            </w:r>
          </w:p>
        </w:tc>
        <w:tc>
          <w:tcPr>
            <w:tcW w:w="2038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09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color w:val="1A1A1A"/>
              </w:rPr>
            </w:pPr>
            <w:r w:rsidRPr="002E5F73">
              <w:rPr>
                <w:rFonts w:ascii="Times New Roman" w:hAnsi="Times New Roman" w:cs="Times New Roman"/>
              </w:rPr>
              <w:t xml:space="preserve">11.8 </w:t>
            </w:r>
            <w:r w:rsidRPr="002E5F73">
              <w:rPr>
                <w:rFonts w:ascii="Times New Roman" w:hAnsi="Times New Roman" w:cs="Times New Roman"/>
                <w:color w:val="1A1A1A"/>
              </w:rPr>
              <w:t>± 2.6</w:t>
            </w:r>
          </w:p>
        </w:tc>
        <w:tc>
          <w:tcPr>
            <w:tcW w:w="330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02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5 (62.5)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 xml:space="preserve">65 – 69 </w:t>
            </w:r>
          </w:p>
        </w:tc>
        <w:tc>
          <w:tcPr>
            <w:tcW w:w="2038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809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color w:val="1A1A1A"/>
              </w:rPr>
            </w:pPr>
            <w:r w:rsidRPr="002E5F73">
              <w:rPr>
                <w:rFonts w:ascii="Times New Roman" w:hAnsi="Times New Roman" w:cs="Times New Roman"/>
              </w:rPr>
              <w:t xml:space="preserve">11.1 </w:t>
            </w:r>
            <w:r w:rsidRPr="002E5F73">
              <w:rPr>
                <w:rFonts w:ascii="Times New Roman" w:hAnsi="Times New Roman" w:cs="Times New Roman"/>
                <w:color w:val="1A1A1A"/>
              </w:rPr>
              <w:t>± 3.1</w:t>
            </w:r>
          </w:p>
        </w:tc>
        <w:tc>
          <w:tcPr>
            <w:tcW w:w="330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02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15 (71.4)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 xml:space="preserve">70 – 74 </w:t>
            </w:r>
          </w:p>
        </w:tc>
        <w:tc>
          <w:tcPr>
            <w:tcW w:w="2038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09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color w:val="1A1A1A"/>
              </w:rPr>
            </w:pPr>
            <w:r w:rsidRPr="002E5F73">
              <w:rPr>
                <w:rFonts w:ascii="Times New Roman" w:hAnsi="Times New Roman" w:cs="Times New Roman"/>
              </w:rPr>
              <w:t xml:space="preserve">10.9 </w:t>
            </w:r>
            <w:r w:rsidRPr="002E5F73">
              <w:rPr>
                <w:rFonts w:ascii="Times New Roman" w:hAnsi="Times New Roman" w:cs="Times New Roman"/>
                <w:color w:val="1A1A1A"/>
              </w:rPr>
              <w:t>± 1.9</w:t>
            </w:r>
          </w:p>
        </w:tc>
        <w:tc>
          <w:tcPr>
            <w:tcW w:w="330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02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5 (38.5)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 xml:space="preserve">75 – 79 </w:t>
            </w:r>
          </w:p>
        </w:tc>
        <w:tc>
          <w:tcPr>
            <w:tcW w:w="2038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09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color w:val="1A1A1A"/>
              </w:rPr>
            </w:pPr>
            <w:r w:rsidRPr="002E5F73">
              <w:rPr>
                <w:rFonts w:ascii="Times New Roman" w:hAnsi="Times New Roman" w:cs="Times New Roman"/>
              </w:rPr>
              <w:t xml:space="preserve">8.9 </w:t>
            </w:r>
            <w:r w:rsidRPr="002E5F73">
              <w:rPr>
                <w:rFonts w:ascii="Times New Roman" w:hAnsi="Times New Roman" w:cs="Times New Roman"/>
                <w:color w:val="1A1A1A"/>
              </w:rPr>
              <w:t>± 6.1</w:t>
            </w:r>
          </w:p>
        </w:tc>
        <w:tc>
          <w:tcPr>
            <w:tcW w:w="330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02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7 (63.6)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 xml:space="preserve">80 – 84 </w:t>
            </w:r>
          </w:p>
        </w:tc>
        <w:tc>
          <w:tcPr>
            <w:tcW w:w="2038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09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color w:val="1A1A1A"/>
              </w:rPr>
            </w:pPr>
            <w:r w:rsidRPr="002E5F73">
              <w:rPr>
                <w:rFonts w:ascii="Times New Roman" w:hAnsi="Times New Roman" w:cs="Times New Roman"/>
              </w:rPr>
              <w:t xml:space="preserve">6.6 </w:t>
            </w:r>
            <w:r w:rsidRPr="002E5F73">
              <w:rPr>
                <w:rFonts w:ascii="Times New Roman" w:hAnsi="Times New Roman" w:cs="Times New Roman"/>
                <w:color w:val="1A1A1A"/>
              </w:rPr>
              <w:t>± 4.0</w:t>
            </w:r>
          </w:p>
        </w:tc>
        <w:tc>
          <w:tcPr>
            <w:tcW w:w="330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02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8 (72.7)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 xml:space="preserve">85 – 89 </w:t>
            </w:r>
          </w:p>
        </w:tc>
        <w:tc>
          <w:tcPr>
            <w:tcW w:w="2038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09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0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02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1 (100.0)</w:t>
            </w:r>
          </w:p>
        </w:tc>
      </w:tr>
    </w:tbl>
    <w:p w:rsidR="001C3B30" w:rsidRPr="002E5F73" w:rsidRDefault="001C3B30" w:rsidP="001C3B30">
      <w:pPr>
        <w:spacing w:line="480" w:lineRule="auto"/>
        <w:rPr>
          <w:rFonts w:ascii="Times New Roman" w:hAnsi="Times New Roman" w:cs="Times New Roman"/>
        </w:rPr>
      </w:pPr>
    </w:p>
    <w:p w:rsidR="001C3B30" w:rsidRPr="002E5F73" w:rsidRDefault="001C3B30" w:rsidP="001C3B30">
      <w:pPr>
        <w:spacing w:line="480" w:lineRule="auto"/>
        <w:rPr>
          <w:rFonts w:ascii="Times New Roman" w:hAnsi="Times New Roman" w:cs="Times New Roman"/>
        </w:rPr>
      </w:pPr>
    </w:p>
    <w:p w:rsidR="001C3B30" w:rsidRPr="002E5F73" w:rsidRDefault="001C3B30" w:rsidP="001C3B30">
      <w:pPr>
        <w:spacing w:line="480" w:lineRule="auto"/>
        <w:rPr>
          <w:rFonts w:ascii="Times New Roman" w:hAnsi="Times New Roman" w:cs="Times New Roman"/>
        </w:rPr>
      </w:pPr>
    </w:p>
    <w:p w:rsidR="001C3B30" w:rsidRPr="002E5F73" w:rsidRDefault="001C3B30" w:rsidP="001C3B30">
      <w:pPr>
        <w:spacing w:line="480" w:lineRule="auto"/>
        <w:rPr>
          <w:rFonts w:ascii="Times New Roman" w:hAnsi="Times New Roman" w:cs="Times New Roman"/>
        </w:rPr>
      </w:pPr>
    </w:p>
    <w:p w:rsidR="001C3B30" w:rsidRPr="002E5F73" w:rsidRDefault="001C3B30" w:rsidP="001C3B30">
      <w:pPr>
        <w:spacing w:line="480" w:lineRule="auto"/>
        <w:rPr>
          <w:rFonts w:ascii="Times New Roman" w:hAnsi="Times New Roman" w:cs="Times New Roman"/>
        </w:rPr>
      </w:pPr>
    </w:p>
    <w:p w:rsidR="001C3B30" w:rsidRPr="002E5F73" w:rsidRDefault="001C3B30" w:rsidP="001C3B30">
      <w:pPr>
        <w:widowControl w:val="0"/>
        <w:spacing w:line="480" w:lineRule="auto"/>
        <w:rPr>
          <w:rFonts w:ascii="Times New Roman" w:hAnsi="Times New Roman" w:cs="Times New Roman"/>
        </w:rPr>
      </w:pPr>
      <w:bookmarkStart w:id="0" w:name="_Toc521339147"/>
      <w:r w:rsidRPr="002E5F73">
        <w:rPr>
          <w:rFonts w:ascii="Times New Roman" w:hAnsi="Times New Roman" w:cs="Times New Roman"/>
        </w:rPr>
        <w:br w:type="page"/>
      </w:r>
    </w:p>
    <w:p w:rsidR="001C3B30" w:rsidRPr="002E5F73" w:rsidRDefault="001C3B30" w:rsidP="001C3B30">
      <w:pPr>
        <w:pStyle w:val="Tables"/>
        <w:spacing w:line="480" w:lineRule="auto"/>
        <w:rPr>
          <w:rFonts w:cs="Times New Roman"/>
        </w:rPr>
      </w:pPr>
      <w:bookmarkStart w:id="1" w:name="_Toc521339148"/>
      <w:bookmarkEnd w:id="0"/>
      <w:r>
        <w:rPr>
          <w:rFonts w:cs="Times New Roman"/>
          <w:b/>
        </w:rPr>
        <w:lastRenderedPageBreak/>
        <w:t xml:space="preserve">Supplementary </w:t>
      </w:r>
      <w:r w:rsidRPr="002E5F73">
        <w:rPr>
          <w:rFonts w:cs="Times New Roman"/>
          <w:b/>
        </w:rPr>
        <w:t xml:space="preserve">Table </w:t>
      </w:r>
      <w:r>
        <w:rPr>
          <w:rFonts w:cs="Times New Roman"/>
          <w:b/>
        </w:rPr>
        <w:t>2</w:t>
      </w:r>
      <w:r w:rsidRPr="002E5F73">
        <w:rPr>
          <w:rFonts w:cs="Times New Roman"/>
          <w:b/>
        </w:rPr>
        <w:t>.</w:t>
      </w:r>
      <w:r w:rsidRPr="002E5F73">
        <w:rPr>
          <w:rFonts w:cs="Times New Roman"/>
        </w:rPr>
        <w:t xml:space="preserve"> Timed Up-and-Go Test scores in people 12 months after total hip arthroplasty compared to normative values stratified by age. (n=107)</w:t>
      </w:r>
      <w:bookmarkEnd w:id="1"/>
    </w:p>
    <w:p w:rsidR="001C3B30" w:rsidRPr="002E5F73" w:rsidRDefault="001C3B30" w:rsidP="001C3B30">
      <w:pPr>
        <w:pStyle w:val="Tables"/>
        <w:spacing w:line="480" w:lineRule="auto"/>
        <w:rPr>
          <w:rFonts w:cs="Times New Roman"/>
        </w:rPr>
      </w:pPr>
    </w:p>
    <w:tbl>
      <w:tblPr>
        <w:tblStyle w:val="TableGrid"/>
        <w:tblW w:w="12753" w:type="dxa"/>
        <w:tblLook w:val="04A0" w:firstRow="1" w:lastRow="0" w:firstColumn="1" w:lastColumn="0" w:noHBand="0" w:noVBand="1"/>
      </w:tblPr>
      <w:tblGrid>
        <w:gridCol w:w="1920"/>
        <w:gridCol w:w="3320"/>
        <w:gridCol w:w="1985"/>
        <w:gridCol w:w="2693"/>
        <w:gridCol w:w="2835"/>
      </w:tblGrid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  <w:b/>
              </w:rPr>
              <w:t xml:space="preserve">Age Group </w:t>
            </w:r>
          </w:p>
        </w:tc>
        <w:tc>
          <w:tcPr>
            <w:tcW w:w="332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  <w:b/>
              </w:rPr>
              <w:t xml:space="preserve">Number of participants </w:t>
            </w:r>
          </w:p>
        </w:tc>
        <w:tc>
          <w:tcPr>
            <w:tcW w:w="1985" w:type="dxa"/>
          </w:tcPr>
          <w:p w:rsidR="001C3B30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color w:val="1A1A1A"/>
              </w:rPr>
            </w:pPr>
            <w:r w:rsidRPr="002E5F73">
              <w:rPr>
                <w:rFonts w:ascii="Times New Roman" w:hAnsi="Times New Roman" w:cs="Times New Roman"/>
                <w:b/>
              </w:rPr>
              <w:t>Mean</w:t>
            </w:r>
            <w:r w:rsidRPr="002E5F73">
              <w:rPr>
                <w:rFonts w:ascii="Times New Roman" w:hAnsi="Times New Roman" w:cs="Times New Roman"/>
                <w:b/>
                <w:lang w:val="en-CA"/>
              </w:rPr>
              <w:t xml:space="preserve"> </w:t>
            </w:r>
            <w:r w:rsidRPr="002E5F73">
              <w:rPr>
                <w:rFonts w:ascii="Times New Roman" w:hAnsi="Times New Roman" w:cs="Times New Roman"/>
                <w:b/>
                <w:color w:val="1A1A1A"/>
              </w:rPr>
              <w:t>± SD</w:t>
            </w:r>
          </w:p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1A1A1A"/>
              </w:rPr>
              <w:t>(Seconds)</w:t>
            </w:r>
          </w:p>
        </w:tc>
        <w:tc>
          <w:tcPr>
            <w:tcW w:w="2693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  <w:b/>
              </w:rPr>
              <w:t xml:space="preserve">Normative Data </w:t>
            </w:r>
            <w:r>
              <w:rPr>
                <w:rFonts w:ascii="Times New Roman" w:hAnsi="Times New Roman" w:cs="Times New Roman"/>
                <w:b/>
              </w:rPr>
              <w:fldChar w:fldCharType="begin" w:fldLock="1"/>
            </w:r>
            <w:r>
              <w:rPr>
                <w:rFonts w:ascii="Times New Roman" w:hAnsi="Times New Roman" w:cs="Times New Roman"/>
                <w:b/>
              </w:rPr>
              <w:instrText>ADDIN CSL_CITATION {"citationItems":[{"id":"ITEM-1","itemData":{"author":[{"dropping-particle":"","family":"Steffen","given":"Teresa M.","non-dropping-particle":"","parse-names":false,"suffix":""},{"dropping-particle":"","family":"Hacker","given":"Timothy A.","non-dropping-particle":"","parse-names":false,"suffix":""},{"dropping-particle":"","family":"Mollinger","given":"Lousie","non-dropping-particle":"","parse-names":false,"suffix":""}],"container-title":"Physical Therapy","id":"ITEM-1","issue":"2","issued":{"date-parts":[["2002"]]},"page":"128-137","title":"Age and gender-related test performance in community-dwelling eledely people: Six Minute Walk Test, Berg Balance Scale, Timed Up &amp; Go Test, and gait speeds","type":"article-journal","volume":"82"},"uris":["http://www.mendeley.com/documents/?uuid=c4123cf4-42d9-488c-94bf-7433dde07eec"]}],"mendeley":{"formattedCitation":"(Steffen et al., 2002)","plainTextFormattedCitation":"(Steffen et al., 2002)","previouslyFormattedCitation":"(Steffen et al., 2002)"},"properties":{"noteIndex":0},"schema":"https://github.com/citation-style-language/schema/raw/master/csl-citation.json"}</w:instrText>
            </w:r>
            <w:r>
              <w:rPr>
                <w:rFonts w:ascii="Times New Roman" w:hAnsi="Times New Roman" w:cs="Times New Roman"/>
                <w:b/>
              </w:rPr>
              <w:fldChar w:fldCharType="separate"/>
            </w:r>
            <w:r w:rsidRPr="009B2D7D">
              <w:rPr>
                <w:rFonts w:ascii="Times New Roman" w:hAnsi="Times New Roman" w:cs="Times New Roman"/>
                <w:noProof/>
              </w:rPr>
              <w:t>(Steffen et al., 2002)</w:t>
            </w:r>
            <w:r>
              <w:rPr>
                <w:rFonts w:ascii="Times New Roman" w:hAnsi="Times New Roman" w:cs="Times New Roman"/>
                <w:b/>
              </w:rPr>
              <w:fldChar w:fldCharType="end"/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E5F73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Seconds</w:t>
            </w:r>
            <w:r w:rsidRPr="002E5F73">
              <w:rPr>
                <w:rFonts w:ascii="Times New Roman" w:hAnsi="Times New Roman" w:cs="Times New Roman"/>
                <w:b/>
                <w:color w:val="1A1A1A"/>
              </w:rPr>
              <w:t>)</w:t>
            </w:r>
            <w:r w:rsidRPr="002E5F7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  <w:b/>
              </w:rPr>
              <w:t>Participants below normative values, n (%)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 xml:space="preserve">60 – 69 </w:t>
            </w:r>
          </w:p>
        </w:tc>
        <w:tc>
          <w:tcPr>
            <w:tcW w:w="332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985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color w:val="1A1A1A"/>
              </w:rPr>
            </w:pPr>
            <w:r w:rsidRPr="002E5F73">
              <w:rPr>
                <w:rFonts w:ascii="Times New Roman" w:hAnsi="Times New Roman" w:cs="Times New Roman"/>
              </w:rPr>
              <w:t>9.84</w:t>
            </w:r>
            <w:r w:rsidRPr="002E5F73">
              <w:rPr>
                <w:rFonts w:ascii="Times New Roman" w:hAnsi="Times New Roman" w:cs="Times New Roman"/>
                <w:lang w:val="en-CA"/>
              </w:rPr>
              <w:t xml:space="preserve"> </w:t>
            </w:r>
            <w:r w:rsidRPr="002E5F73">
              <w:rPr>
                <w:rFonts w:ascii="Times New Roman" w:hAnsi="Times New Roman" w:cs="Times New Roman"/>
                <w:color w:val="1A1A1A"/>
              </w:rPr>
              <w:t>± 2.47</w:t>
            </w:r>
          </w:p>
        </w:tc>
        <w:tc>
          <w:tcPr>
            <w:tcW w:w="2693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5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36 (83.7)</w:t>
            </w:r>
          </w:p>
        </w:tc>
      </w:tr>
      <w:tr w:rsidR="001C3B30" w:rsidRPr="002E5F73" w:rsidTr="00C504BD">
        <w:tc>
          <w:tcPr>
            <w:tcW w:w="1920" w:type="dxa"/>
          </w:tcPr>
          <w:p w:rsidR="001C3B30" w:rsidRPr="002E5F73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 xml:space="preserve">70 – 79 </w:t>
            </w:r>
          </w:p>
        </w:tc>
        <w:tc>
          <w:tcPr>
            <w:tcW w:w="3320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985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color w:val="1A1A1A"/>
              </w:rPr>
            </w:pPr>
            <w:r w:rsidRPr="002E5F73">
              <w:rPr>
                <w:rFonts w:ascii="Times New Roman" w:hAnsi="Times New Roman" w:cs="Times New Roman"/>
              </w:rPr>
              <w:t xml:space="preserve">10.70 </w:t>
            </w:r>
            <w:r w:rsidRPr="002E5F73">
              <w:rPr>
                <w:rFonts w:ascii="Times New Roman" w:hAnsi="Times New Roman" w:cs="Times New Roman"/>
                <w:color w:val="1A1A1A"/>
              </w:rPr>
              <w:t>± 2.13</w:t>
            </w:r>
          </w:p>
        </w:tc>
        <w:tc>
          <w:tcPr>
            <w:tcW w:w="2693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</w:tcPr>
          <w:p w:rsidR="001C3B30" w:rsidRPr="002E5F73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E5F73">
              <w:rPr>
                <w:rFonts w:ascii="Times New Roman" w:hAnsi="Times New Roman" w:cs="Times New Roman"/>
              </w:rPr>
              <w:t>35 (77.8)</w:t>
            </w:r>
          </w:p>
        </w:tc>
      </w:tr>
      <w:tr w:rsidR="001C3B30" w:rsidRPr="00B26B56" w:rsidTr="00C504BD">
        <w:trPr>
          <w:trHeight w:val="283"/>
        </w:trPr>
        <w:tc>
          <w:tcPr>
            <w:tcW w:w="1920" w:type="dxa"/>
          </w:tcPr>
          <w:p w:rsidR="001C3B30" w:rsidRPr="00D22D2C" w:rsidRDefault="001C3B30" w:rsidP="00C504B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22D2C">
              <w:rPr>
                <w:rFonts w:ascii="Times New Roman" w:hAnsi="Times New Roman" w:cs="Times New Roman"/>
              </w:rPr>
              <w:t xml:space="preserve">80 – 89 </w:t>
            </w:r>
          </w:p>
        </w:tc>
        <w:tc>
          <w:tcPr>
            <w:tcW w:w="3320" w:type="dxa"/>
          </w:tcPr>
          <w:p w:rsidR="001C3B30" w:rsidRPr="00D22D2C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85" w:type="dxa"/>
          </w:tcPr>
          <w:p w:rsidR="001C3B30" w:rsidRPr="00D22D2C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  <w:color w:val="1A1A1A"/>
              </w:rPr>
            </w:pPr>
            <w:r>
              <w:rPr>
                <w:rFonts w:ascii="Times New Roman" w:hAnsi="Times New Roman" w:cs="Times New Roman"/>
                <w:color w:val="1A1A1A"/>
              </w:rPr>
              <w:t>13.11 ± 5.26</w:t>
            </w:r>
          </w:p>
        </w:tc>
        <w:tc>
          <w:tcPr>
            <w:tcW w:w="2693" w:type="dxa"/>
          </w:tcPr>
          <w:p w:rsidR="001C3B30" w:rsidRPr="00D22D2C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22D2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35" w:type="dxa"/>
          </w:tcPr>
          <w:p w:rsidR="001C3B30" w:rsidRPr="00D22D2C" w:rsidRDefault="001C3B30" w:rsidP="00C504B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22D2C">
              <w:rPr>
                <w:rFonts w:ascii="Times New Roman" w:hAnsi="Times New Roman" w:cs="Times New Roman"/>
              </w:rPr>
              <w:t>12 (63.2)</w:t>
            </w:r>
          </w:p>
        </w:tc>
      </w:tr>
    </w:tbl>
    <w:p w:rsidR="001C3B30" w:rsidRPr="002E5F73" w:rsidRDefault="001C3B30" w:rsidP="001C3B30">
      <w:pPr>
        <w:spacing w:line="480" w:lineRule="auto"/>
        <w:rPr>
          <w:rFonts w:ascii="Times New Roman" w:hAnsi="Times New Roman" w:cs="Times New Roman"/>
        </w:rPr>
      </w:pPr>
    </w:p>
    <w:p w:rsidR="001C3B30" w:rsidRPr="002E5F73" w:rsidRDefault="001C3B30" w:rsidP="001C3B30">
      <w:pPr>
        <w:pStyle w:val="NoSpacing"/>
        <w:spacing w:line="480" w:lineRule="auto"/>
        <w:rPr>
          <w:rFonts w:ascii="Times New Roman" w:hAnsi="Times New Roman" w:cs="Times New Roman"/>
        </w:rPr>
      </w:pPr>
    </w:p>
    <w:p w:rsidR="001C3B30" w:rsidRPr="002E5F73" w:rsidRDefault="001C3B30" w:rsidP="001C3B30">
      <w:pPr>
        <w:spacing w:line="480" w:lineRule="auto"/>
        <w:rPr>
          <w:rFonts w:ascii="Times New Roman" w:hAnsi="Times New Roman" w:cs="Times New Roman"/>
        </w:rPr>
      </w:pPr>
    </w:p>
    <w:p w:rsidR="001C3B30" w:rsidRPr="002E5F73" w:rsidRDefault="001C3B30" w:rsidP="001C3B30">
      <w:pPr>
        <w:spacing w:line="480" w:lineRule="auto"/>
        <w:rPr>
          <w:rFonts w:ascii="Times New Roman" w:hAnsi="Times New Roman" w:cs="Times New Roman"/>
        </w:rPr>
      </w:pPr>
    </w:p>
    <w:p w:rsidR="001C3B30" w:rsidRPr="002E5F73" w:rsidRDefault="001C3B30" w:rsidP="001C3B30">
      <w:pPr>
        <w:spacing w:line="480" w:lineRule="auto"/>
        <w:rPr>
          <w:rFonts w:ascii="Times New Roman" w:hAnsi="Times New Roman" w:cs="Times New Roman"/>
        </w:rPr>
      </w:pPr>
    </w:p>
    <w:p w:rsidR="001C3B30" w:rsidRPr="002E5F73" w:rsidRDefault="001C3B30" w:rsidP="001C3B30">
      <w:pPr>
        <w:spacing w:line="480" w:lineRule="auto"/>
        <w:rPr>
          <w:rFonts w:ascii="Times New Roman" w:hAnsi="Times New Roman" w:cs="Times New Roman"/>
        </w:rPr>
      </w:pPr>
    </w:p>
    <w:p w:rsidR="001C3B30" w:rsidRPr="002E5F73" w:rsidRDefault="001C3B30" w:rsidP="001C3B30">
      <w:pPr>
        <w:spacing w:line="480" w:lineRule="auto"/>
        <w:rPr>
          <w:rFonts w:ascii="Times New Roman" w:hAnsi="Times New Roman" w:cs="Times New Roman"/>
        </w:rPr>
      </w:pPr>
    </w:p>
    <w:p w:rsidR="009142E6" w:rsidRDefault="009142E6">
      <w:bookmarkStart w:id="2" w:name="_GoBack"/>
      <w:bookmarkEnd w:id="2"/>
    </w:p>
    <w:sectPr w:rsidR="009142E6" w:rsidSect="001C3B3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B30"/>
    <w:rsid w:val="001C3B30"/>
    <w:rsid w:val="0091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3C3990-5CCA-4A8B-B758-8F1942038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B30"/>
    <w:pPr>
      <w:spacing w:after="0" w:line="240" w:lineRule="auto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3B30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">
    <w:name w:val="Tables"/>
    <w:basedOn w:val="NoSpacing"/>
    <w:qFormat/>
    <w:rsid w:val="001C3B30"/>
    <w:rPr>
      <w:rFonts w:ascii="Times New Roman" w:hAnsi="Times New Roman"/>
    </w:rPr>
  </w:style>
  <w:style w:type="paragraph" w:styleId="NoSpacing">
    <w:name w:val="No Spacing"/>
    <w:uiPriority w:val="1"/>
    <w:qFormat/>
    <w:rsid w:val="001C3B30"/>
    <w:pPr>
      <w:spacing w:after="0" w:line="240" w:lineRule="auto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Winifred Hunter</dc:creator>
  <cp:keywords/>
  <dc:description/>
  <cp:lastModifiedBy>Susan Winifred Hunter</cp:lastModifiedBy>
  <cp:revision>1</cp:revision>
  <dcterms:created xsi:type="dcterms:W3CDTF">2019-12-17T16:32:00Z</dcterms:created>
  <dcterms:modified xsi:type="dcterms:W3CDTF">2019-12-17T16:32:00Z</dcterms:modified>
</cp:coreProperties>
</file>