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  <w:proofErr w:type="gramStart"/>
      <w:r w:rsidRPr="00F357CE">
        <w:rPr>
          <w:rFonts w:asciiTheme="majorBidi" w:hAnsiTheme="majorBidi" w:cstheme="majorBidi"/>
          <w:b/>
          <w:bCs/>
        </w:rPr>
        <w:t>Supplementary Table 1.</w:t>
      </w:r>
      <w:proofErr w:type="gramEnd"/>
      <w:r w:rsidRPr="00F357CE">
        <w:rPr>
          <w:rFonts w:asciiTheme="majorBidi" w:hAnsiTheme="majorBidi" w:cstheme="majorBidi"/>
          <w:b/>
          <w:bCs/>
        </w:rPr>
        <w:t xml:space="preserve"> Distribution of Malignancy Types </w:t>
      </w:r>
      <w:proofErr w:type="gramStart"/>
      <w:r w:rsidRPr="00F357CE">
        <w:rPr>
          <w:rFonts w:asciiTheme="majorBidi" w:hAnsiTheme="majorBidi" w:cstheme="majorBidi"/>
          <w:b/>
          <w:bCs/>
        </w:rPr>
        <w:t>Among</w:t>
      </w:r>
      <w:proofErr w:type="gramEnd"/>
      <w:r w:rsidRPr="00F357CE">
        <w:rPr>
          <w:rFonts w:asciiTheme="majorBidi" w:hAnsiTheme="majorBidi" w:cstheme="majorBidi"/>
          <w:b/>
          <w:bCs/>
        </w:rPr>
        <w:t xml:space="preserve"> Study Cohort</w:t>
      </w:r>
    </w:p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11160" w:type="dxa"/>
        <w:tblInd w:w="-545" w:type="dxa"/>
        <w:tblLook w:val="04A0" w:firstRow="1" w:lastRow="0" w:firstColumn="1" w:lastColumn="0" w:noHBand="0" w:noVBand="1"/>
      </w:tblPr>
      <w:tblGrid>
        <w:gridCol w:w="990"/>
        <w:gridCol w:w="4950"/>
        <w:gridCol w:w="2430"/>
        <w:gridCol w:w="2790"/>
      </w:tblGrid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Patient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Malignancy Type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Radiation Exposure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Anthracycline Exposure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Multiple myeloma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Multiple myeloma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Multiple myeloma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Multiple myeloma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Multiple myeloma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Multiple myeloma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Light chain (AL) amyloidosis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Light chain (AL) amyloidosis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Light chain (AL) amyloidosis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Suspected amyloidosis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950" w:type="dxa"/>
            <w:shd w:val="clear" w:color="auto" w:fill="auto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</w:rPr>
              <w:t>Large cell lymphoma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</w:rPr>
              <w:t>Hodgkin lymphoma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Hodgkin lymphoma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</w:rPr>
              <w:t>Breast and prior lymphoma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</w:rPr>
              <w:t>Lymphoma and breast cancers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</w:rPr>
              <w:t>Follicular lymphoma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 xml:space="preserve">Hodgkin lymphoma 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Lymphoma,  prostate cancer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Acute myelogenous leukemia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Chronic myeloid Leukemia /renal cell carcinoma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Chronic myeloid Leukemia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Chronic myeloid Leukemia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Lung cancer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FF0000"/>
              </w:rPr>
              <w:t>+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Duodenal neuroendocrine tumor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</w:rPr>
              <w:t>Breast and bladder cancers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Bladder cancer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</w:rPr>
              <w:t>Suspected lung cancer with pulmonary nodules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  <w:tr w:rsidR="007A75F5" w:rsidRPr="00F357CE" w:rsidTr="006E4478">
        <w:tc>
          <w:tcPr>
            <w:tcW w:w="9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495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</w:rPr>
              <w:t>Suspected gastrointestinal malignancy</w:t>
            </w:r>
          </w:p>
        </w:tc>
        <w:tc>
          <w:tcPr>
            <w:tcW w:w="243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  <w:tc>
          <w:tcPr>
            <w:tcW w:w="2790" w:type="dxa"/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4F81BD" w:themeColor="accent1"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4F81BD" w:themeColor="accent1"/>
              </w:rPr>
              <w:t>-</w:t>
            </w:r>
          </w:p>
        </w:tc>
      </w:tr>
    </w:tbl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</w:p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  <w:r w:rsidRPr="00F357CE">
        <w:rPr>
          <w:rFonts w:asciiTheme="majorBidi" w:hAnsiTheme="majorBidi" w:cstheme="majorBidi"/>
          <w:b/>
          <w:bCs/>
        </w:rPr>
        <w:br w:type="page"/>
      </w:r>
      <w:proofErr w:type="gramStart"/>
      <w:r w:rsidRPr="00F357CE">
        <w:rPr>
          <w:rFonts w:asciiTheme="majorBidi" w:hAnsiTheme="majorBidi" w:cstheme="majorBidi"/>
          <w:b/>
          <w:bCs/>
        </w:rPr>
        <w:lastRenderedPageBreak/>
        <w:t>Supplementary Table 2.</w:t>
      </w:r>
      <w:proofErr w:type="gramEnd"/>
      <w:r w:rsidRPr="00F357CE">
        <w:rPr>
          <w:rFonts w:asciiTheme="majorBidi" w:hAnsiTheme="majorBidi" w:cstheme="majorBidi"/>
          <w:b/>
          <w:bCs/>
        </w:rPr>
        <w:t xml:space="preserve"> Additional Multivariable Modeling for Recurrent Event Analysis, focusing on HFH admissions following device Implantation.</w:t>
      </w:r>
    </w:p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5"/>
        <w:gridCol w:w="1738"/>
        <w:gridCol w:w="1862"/>
        <w:gridCol w:w="2113"/>
        <w:gridCol w:w="900"/>
      </w:tblGrid>
      <w:tr w:rsidR="007A75F5" w:rsidRPr="00F357CE" w:rsidTr="006E4478">
        <w:trPr>
          <w:cantSplit/>
          <w:trHeight w:hRule="exact" w:val="352"/>
          <w:tblHeader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Multivariable Model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Covariate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Level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HR (95% CI)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P-value</w:t>
            </w:r>
          </w:p>
        </w:tc>
      </w:tr>
      <w:tr w:rsidR="007A75F5" w:rsidRPr="00F357CE" w:rsidTr="006E4478">
        <w:trPr>
          <w:cantSplit/>
          <w:trHeight w:hRule="exact" w:val="36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Model 2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 xml:space="preserve">Prior HFH 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1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2.93 (0.70-12.26)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0.14</w:t>
            </w:r>
          </w:p>
        </w:tc>
      </w:tr>
      <w:tr w:rsidR="007A75F5" w:rsidRPr="00F357CE" w:rsidTr="006E4478">
        <w:trPr>
          <w:cantSplit/>
          <w:trHeight w:hRule="exact" w:val="36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2.50 (0.69-9.08)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0.17</w:t>
            </w:r>
          </w:p>
        </w:tc>
      </w:tr>
      <w:tr w:rsidR="007A75F5" w:rsidRPr="00F357CE" w:rsidTr="006E4478">
        <w:trPr>
          <w:cantSplit/>
          <w:trHeight w:hRule="exact" w:val="36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</w:rPr>
              <w:t>≥3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5.18 (1.82-14.78)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  <w:color w:val="000000"/>
              </w:rPr>
              <w:t>0.002</w:t>
            </w:r>
          </w:p>
        </w:tc>
      </w:tr>
      <w:tr w:rsidR="007A75F5" w:rsidRPr="00F357CE" w:rsidTr="006E4478">
        <w:trPr>
          <w:cantSplit/>
          <w:trHeight w:hRule="exact" w:val="352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PAS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1 Unit Change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1.04 (1.01-1.07)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  <w:color w:val="000000"/>
              </w:rPr>
              <w:t>0.009</w:t>
            </w:r>
          </w:p>
        </w:tc>
      </w:tr>
      <w:tr w:rsidR="007A75F5" w:rsidRPr="00F357CE" w:rsidTr="006E4478">
        <w:trPr>
          <w:cantSplit/>
          <w:trHeight w:hRule="exact" w:val="27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1 Unit Change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1.07 (1.03-1.12)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  <w:color w:val="000000"/>
              </w:rPr>
              <w:t>0.002</w:t>
            </w:r>
          </w:p>
        </w:tc>
      </w:tr>
      <w:tr w:rsidR="007A75F5" w:rsidRPr="00F357CE" w:rsidTr="006E4478">
        <w:trPr>
          <w:cantSplit/>
          <w:trHeight w:hRule="exact" w:val="36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Model 3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 xml:space="preserve">Prior HFH 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1 Unit Change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1.28 (1.11-1.48)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  <w:color w:val="000000"/>
              </w:rPr>
              <w:t>0.001</w:t>
            </w:r>
          </w:p>
        </w:tc>
      </w:tr>
      <w:tr w:rsidR="007A75F5" w:rsidRPr="00F357CE" w:rsidTr="006E4478">
        <w:trPr>
          <w:cantSplit/>
          <w:trHeight w:hRule="exact" w:val="36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</w:rPr>
              <w:t>≤18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1.000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7A75F5" w:rsidRPr="00F357CE" w:rsidTr="006E4478">
        <w:trPr>
          <w:cantSplit/>
          <w:trHeight w:hRule="exact" w:val="36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</w:rPr>
              <w:t>&gt;18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4.52 (1.41-14.56)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  <w:color w:val="000000"/>
              </w:rPr>
              <w:t>0.011</w:t>
            </w:r>
          </w:p>
        </w:tc>
      </w:tr>
      <w:tr w:rsidR="007A75F5" w:rsidRPr="00F357CE" w:rsidTr="006E4478">
        <w:trPr>
          <w:cantSplit/>
          <w:trHeight w:hRule="exact" w:val="352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Model 4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Prior HFH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2.28 (0.53-9.82)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0.27</w:t>
            </w:r>
          </w:p>
        </w:tc>
      </w:tr>
      <w:tr w:rsidR="007A75F5" w:rsidRPr="00F357CE" w:rsidTr="006E4478">
        <w:trPr>
          <w:cantSplit/>
          <w:trHeight w:hRule="exact" w:val="280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3.15 (0.91-10.89)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0.07</w:t>
            </w:r>
          </w:p>
        </w:tc>
      </w:tr>
      <w:tr w:rsidR="007A75F5" w:rsidRPr="00F357CE" w:rsidTr="006E4478">
        <w:trPr>
          <w:cantSplit/>
          <w:trHeight w:hRule="exact" w:val="352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</w:rPr>
              <w:t>≥3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5.07 (1.93-13.37)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  <w:color w:val="000000"/>
              </w:rPr>
              <w:t>0.001</w:t>
            </w:r>
          </w:p>
        </w:tc>
      </w:tr>
      <w:tr w:rsidR="007A75F5" w:rsidRPr="00F357CE" w:rsidTr="006E4478">
        <w:trPr>
          <w:cantSplit/>
          <w:trHeight w:hRule="exact" w:val="280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</w:rPr>
              <w:t>&gt;18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4.06 (1.32-12.53)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  <w:color w:val="000000"/>
              </w:rPr>
              <w:t>0.015</w:t>
            </w:r>
          </w:p>
        </w:tc>
      </w:tr>
    </w:tbl>
    <w:p w:rsidR="007A75F5" w:rsidRPr="00F357CE" w:rsidRDefault="007A75F5" w:rsidP="007A75F5">
      <w:pPr>
        <w:rPr>
          <w:rFonts w:asciiTheme="majorBidi" w:hAnsiTheme="majorBidi" w:cstheme="majorBidi"/>
        </w:rPr>
      </w:pPr>
      <w:r w:rsidRPr="00F357CE">
        <w:rPr>
          <w:rFonts w:asciiTheme="majorBidi" w:hAnsiTheme="majorBidi" w:cstheme="majorBidi"/>
        </w:rPr>
        <w:t>HFH: heart failure hospitalization, HR: Hazards ratio, PAS: pulmonary artery systolic pressure, PADP: pulmonary artery diastolic pressure.</w:t>
      </w: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Default="007A75F5" w:rsidP="007A75F5">
      <w:pPr>
        <w:rPr>
          <w:rFonts w:ascii="Arial" w:hAnsi="Arial" w:cs="Arial"/>
        </w:rPr>
      </w:pPr>
    </w:p>
    <w:p w:rsidR="007A75F5" w:rsidRPr="009724EE" w:rsidRDefault="007A75F5" w:rsidP="007A75F5">
      <w:pPr>
        <w:rPr>
          <w:rFonts w:ascii="Arial" w:hAnsi="Arial" w:cs="Arial"/>
        </w:rPr>
      </w:pPr>
    </w:p>
    <w:p w:rsidR="007A75F5" w:rsidRPr="009724EE" w:rsidRDefault="007A75F5" w:rsidP="007A75F5">
      <w:pPr>
        <w:rPr>
          <w:rFonts w:ascii="Arial" w:hAnsi="Arial" w:cs="Arial"/>
        </w:rPr>
      </w:pPr>
    </w:p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  <w:proofErr w:type="gramStart"/>
      <w:r w:rsidRPr="00F357CE">
        <w:rPr>
          <w:rFonts w:asciiTheme="majorBidi" w:hAnsiTheme="majorBidi" w:cstheme="majorBidi"/>
          <w:b/>
          <w:bCs/>
        </w:rPr>
        <w:t>Supplementary Table 3.</w:t>
      </w:r>
      <w:r>
        <w:rPr>
          <w:rFonts w:asciiTheme="majorBidi" w:hAnsiTheme="majorBidi" w:cstheme="majorBidi"/>
          <w:b/>
          <w:bCs/>
        </w:rPr>
        <w:t>1.</w:t>
      </w:r>
      <w:proofErr w:type="gramEnd"/>
      <w:r>
        <w:rPr>
          <w:rFonts w:asciiTheme="majorBidi" w:hAnsiTheme="majorBidi" w:cstheme="majorBidi"/>
          <w:b/>
          <w:bCs/>
        </w:rPr>
        <w:t xml:space="preserve"> </w:t>
      </w:r>
      <w:proofErr w:type="gramStart"/>
      <w:r w:rsidRPr="00F357CE">
        <w:rPr>
          <w:rFonts w:asciiTheme="majorBidi" w:hAnsiTheme="majorBidi" w:cstheme="majorBidi"/>
          <w:b/>
          <w:bCs/>
        </w:rPr>
        <w:t>Predictive Value of NT-</w:t>
      </w:r>
      <w:proofErr w:type="spellStart"/>
      <w:r w:rsidRPr="00F357CE">
        <w:rPr>
          <w:rFonts w:asciiTheme="majorBidi" w:hAnsiTheme="majorBidi" w:cstheme="majorBidi"/>
          <w:b/>
          <w:bCs/>
        </w:rPr>
        <w:t>ProBNP</w:t>
      </w:r>
      <w:proofErr w:type="spellEnd"/>
      <w:r w:rsidRPr="00F357CE">
        <w:rPr>
          <w:rFonts w:asciiTheme="majorBidi" w:hAnsiTheme="majorBidi" w:cstheme="majorBidi"/>
          <w:b/>
          <w:bCs/>
        </w:rPr>
        <w:t xml:space="preserve"> and PAD for Post-Device Placement Hospital Admissions.</w:t>
      </w:r>
      <w:proofErr w:type="gramEnd"/>
    </w:p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5"/>
        <w:gridCol w:w="1738"/>
        <w:gridCol w:w="1862"/>
        <w:gridCol w:w="2113"/>
        <w:gridCol w:w="900"/>
      </w:tblGrid>
      <w:tr w:rsidR="007A75F5" w:rsidRPr="00F357CE" w:rsidTr="006E4478">
        <w:trPr>
          <w:cantSplit/>
          <w:trHeight w:hRule="exact" w:val="298"/>
          <w:tblHeader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Multivariable Model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Covariate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Level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HR (95% CI)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P-value</w:t>
            </w:r>
          </w:p>
        </w:tc>
      </w:tr>
      <w:tr w:rsidR="007A75F5" w:rsidRPr="00F357CE" w:rsidTr="006E4478">
        <w:trPr>
          <w:cantSplit/>
          <w:trHeight w:hRule="exact" w:val="415"/>
          <w:tblHeader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Model 1#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</w:rPr>
              <w:t>NT-</w:t>
            </w:r>
            <w:proofErr w:type="spellStart"/>
            <w:r w:rsidRPr="00F357CE">
              <w:rPr>
                <w:rFonts w:asciiTheme="majorBidi" w:eastAsia="Calibri" w:hAnsiTheme="majorBidi" w:cstheme="majorBidi"/>
              </w:rPr>
              <w:t>ProBNP</w:t>
            </w:r>
            <w:proofErr w:type="spellEnd"/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</w:rPr>
              <w:t>≥400</w:t>
            </w:r>
            <w:r w:rsidRPr="00F357C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F357CE">
              <w:rPr>
                <w:rFonts w:asciiTheme="majorBidi" w:eastAsia="Calibri" w:hAnsiTheme="majorBidi" w:cstheme="majorBidi"/>
              </w:rPr>
              <w:t>pg</w:t>
            </w:r>
            <w:proofErr w:type="spellEnd"/>
            <w:r w:rsidRPr="00F357CE">
              <w:rPr>
                <w:rFonts w:asciiTheme="majorBidi" w:eastAsia="Calibri" w:hAnsiTheme="majorBidi" w:cstheme="majorBidi"/>
              </w:rPr>
              <w:t>/mL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3.05 (1.27-7.31)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000000"/>
              </w:rPr>
              <w:t>0.013</w:t>
            </w:r>
          </w:p>
        </w:tc>
      </w:tr>
      <w:tr w:rsidR="007A75F5" w:rsidRPr="00F357CE" w:rsidTr="006E4478">
        <w:trPr>
          <w:cantSplit/>
          <w:trHeight w:hRule="exact" w:val="361"/>
          <w:tblHeader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1 unit change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1.08 (1.02-1.14)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000000"/>
              </w:rPr>
              <w:t>0.005</w:t>
            </w:r>
          </w:p>
        </w:tc>
      </w:tr>
      <w:tr w:rsidR="007A75F5" w:rsidRPr="00F357CE" w:rsidTr="006E4478">
        <w:trPr>
          <w:cantSplit/>
          <w:trHeight w:hRule="exact" w:val="230"/>
          <w:tblHeader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7A75F5" w:rsidRPr="00F357CE" w:rsidTr="006E4478">
        <w:trPr>
          <w:cantSplit/>
          <w:trHeight w:hRule="exact" w:val="487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Model 2#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hAnsiTheme="majorBidi" w:cstheme="majorBidi"/>
              </w:rPr>
              <w:t>NT-</w:t>
            </w:r>
            <w:proofErr w:type="spellStart"/>
            <w:r w:rsidRPr="00F357CE">
              <w:rPr>
                <w:rFonts w:asciiTheme="majorBidi" w:hAnsiTheme="majorBidi" w:cstheme="majorBidi"/>
              </w:rPr>
              <w:t>ProBNP</w:t>
            </w:r>
            <w:proofErr w:type="spellEnd"/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≥400</w:t>
            </w:r>
            <w:r w:rsidRPr="00F357CE">
              <w:rPr>
                <w:rFonts w:asciiTheme="majorBidi" w:eastAsia="Calibri" w:hAnsiTheme="majorBidi" w:cstheme="majorBidi"/>
              </w:rPr>
              <w:t xml:space="preserve"> </w:t>
            </w:r>
            <w:proofErr w:type="spellStart"/>
            <w:r w:rsidRPr="00F357CE">
              <w:rPr>
                <w:rFonts w:asciiTheme="majorBidi" w:eastAsia="Calibri" w:hAnsiTheme="majorBidi" w:cstheme="majorBidi"/>
              </w:rPr>
              <w:t>pg</w:t>
            </w:r>
            <w:proofErr w:type="spellEnd"/>
            <w:r w:rsidRPr="00F357CE">
              <w:rPr>
                <w:rFonts w:asciiTheme="majorBidi" w:eastAsia="Calibri" w:hAnsiTheme="majorBidi" w:cstheme="majorBidi"/>
              </w:rPr>
              <w:t>/mL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2.36 (1.14-4.89)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000000"/>
              </w:rPr>
              <w:t>0.021</w:t>
            </w:r>
          </w:p>
        </w:tc>
      </w:tr>
      <w:tr w:rsidR="007A75F5" w:rsidRPr="00F357CE" w:rsidTr="006E4478">
        <w:trPr>
          <w:cantSplit/>
          <w:trHeight w:hRule="exact" w:val="45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  <w:color w:val="000000"/>
              </w:rPr>
              <w:t>&gt;18 mmHg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1.94 (0.64-5.96)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0.24</w:t>
            </w:r>
          </w:p>
        </w:tc>
      </w:tr>
      <w:tr w:rsidR="007A75F5" w:rsidRPr="00F357CE" w:rsidTr="006E4478">
        <w:trPr>
          <w:cantSplit/>
          <w:trHeight w:hRule="exact" w:val="36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7A75F5" w:rsidRPr="00F357CE" w:rsidTr="006E4478">
        <w:trPr>
          <w:cantSplit/>
          <w:trHeight w:hRule="exact" w:val="63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Model 3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NT-</w:t>
            </w:r>
            <w:proofErr w:type="spellStart"/>
            <w:r w:rsidRPr="00F357CE">
              <w:rPr>
                <w:rFonts w:asciiTheme="majorBidi" w:hAnsiTheme="majorBidi" w:cstheme="majorBidi"/>
              </w:rPr>
              <w:t>ProBNP</w:t>
            </w:r>
            <w:proofErr w:type="spellEnd"/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</w:rPr>
              <w:t xml:space="preserve">≥400 </w:t>
            </w:r>
            <w:proofErr w:type="spellStart"/>
            <w:r w:rsidRPr="00F357CE">
              <w:rPr>
                <w:rFonts w:asciiTheme="majorBidi" w:eastAsia="Calibri" w:hAnsiTheme="majorBidi" w:cstheme="majorBidi"/>
              </w:rPr>
              <w:t>pg</w:t>
            </w:r>
            <w:proofErr w:type="spellEnd"/>
            <w:r w:rsidRPr="00F357CE">
              <w:rPr>
                <w:rFonts w:asciiTheme="majorBidi" w:eastAsia="Calibri" w:hAnsiTheme="majorBidi" w:cstheme="majorBidi"/>
              </w:rPr>
              <w:t>/mL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1.89 (0.90-3.97)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0.095</w:t>
            </w:r>
          </w:p>
        </w:tc>
      </w:tr>
      <w:tr w:rsidR="007A75F5" w:rsidRPr="00F357CE" w:rsidTr="006E4478">
        <w:trPr>
          <w:cantSplit/>
          <w:trHeight w:hRule="exact" w:val="45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</w:rPr>
              <w:t>1 unit change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1.11 (1.04-1.18)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b/>
                <w:bCs/>
                <w:color w:val="000000"/>
              </w:rPr>
              <w:t>0.001</w:t>
            </w:r>
          </w:p>
        </w:tc>
      </w:tr>
      <w:tr w:rsidR="007A75F5" w:rsidRPr="00F357CE" w:rsidTr="006E4478">
        <w:trPr>
          <w:cantSplit/>
          <w:trHeight w:hRule="exact" w:val="451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  <w:b/>
                <w:bCs/>
              </w:rPr>
              <w:t>Model 4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eastAsia="Calibri" w:hAnsiTheme="majorBidi" w:cstheme="majorBidi"/>
              </w:rPr>
              <w:t>NT-</w:t>
            </w:r>
            <w:proofErr w:type="spellStart"/>
            <w:r w:rsidRPr="00F357CE">
              <w:rPr>
                <w:rFonts w:asciiTheme="majorBidi" w:eastAsia="Calibri" w:hAnsiTheme="majorBidi" w:cstheme="majorBidi"/>
              </w:rPr>
              <w:t>ProBNP</w:t>
            </w:r>
            <w:proofErr w:type="spellEnd"/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hAnsiTheme="majorBidi" w:cstheme="majorBidi"/>
              </w:rPr>
              <w:t xml:space="preserve">≥400 </w:t>
            </w:r>
            <w:proofErr w:type="spellStart"/>
            <w:r w:rsidRPr="00F357CE">
              <w:rPr>
                <w:rFonts w:asciiTheme="majorBidi" w:eastAsia="Calibri" w:hAnsiTheme="majorBidi" w:cstheme="majorBidi"/>
              </w:rPr>
              <w:t>pg</w:t>
            </w:r>
            <w:proofErr w:type="spellEnd"/>
            <w:r w:rsidRPr="00F357CE">
              <w:rPr>
                <w:rFonts w:asciiTheme="majorBidi" w:eastAsia="Calibri" w:hAnsiTheme="majorBidi" w:cstheme="majorBidi"/>
              </w:rPr>
              <w:t>/mL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1.55 (0.75-3.20)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0.242</w:t>
            </w:r>
          </w:p>
        </w:tc>
      </w:tr>
      <w:tr w:rsidR="007A75F5" w:rsidRPr="00F357CE" w:rsidTr="006E4478">
        <w:trPr>
          <w:cantSplit/>
          <w:trHeight w:hRule="exact" w:val="352"/>
        </w:trPr>
        <w:tc>
          <w:tcPr>
            <w:tcW w:w="2455" w:type="dxa"/>
            <w:shd w:val="clear" w:color="auto" w:fill="FFFFFF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eastAsia="Calibr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hAnsiTheme="majorBidi" w:cstheme="majorBidi"/>
              </w:rPr>
              <w:t>&gt;18 mmHg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  <w:color w:val="000000"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3.19 (1.00-10.17)</w:t>
            </w:r>
          </w:p>
        </w:tc>
        <w:tc>
          <w:tcPr>
            <w:tcW w:w="900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F357CE" w:rsidRDefault="007A75F5" w:rsidP="006E4478">
            <w:pPr>
              <w:rPr>
                <w:rFonts w:asciiTheme="majorBidi" w:eastAsia="Calibri" w:hAnsiTheme="majorBidi" w:cstheme="majorBidi"/>
              </w:rPr>
            </w:pPr>
            <w:r w:rsidRPr="00F357CE">
              <w:rPr>
                <w:rFonts w:asciiTheme="majorBidi" w:hAnsiTheme="majorBidi" w:cstheme="majorBidi"/>
                <w:color w:val="000000"/>
              </w:rPr>
              <w:t>0.050</w:t>
            </w:r>
          </w:p>
        </w:tc>
      </w:tr>
    </w:tbl>
    <w:p w:rsidR="007A75F5" w:rsidRPr="00F357CE" w:rsidRDefault="007A75F5" w:rsidP="007A75F5">
      <w:pPr>
        <w:rPr>
          <w:rFonts w:asciiTheme="majorBidi" w:hAnsiTheme="majorBidi" w:cstheme="majorBidi"/>
        </w:rPr>
      </w:pPr>
      <w:r w:rsidRPr="00F357CE">
        <w:rPr>
          <w:rFonts w:asciiTheme="majorBidi" w:hAnsiTheme="majorBidi" w:cstheme="majorBidi"/>
        </w:rPr>
        <w:t xml:space="preserve">* In the biomarker data, there were only 4 cases with </w:t>
      </w:r>
      <w:proofErr w:type="spellStart"/>
      <w:r w:rsidRPr="00F357CE">
        <w:rPr>
          <w:rFonts w:asciiTheme="majorBidi" w:hAnsiTheme="majorBidi" w:cstheme="majorBidi"/>
        </w:rPr>
        <w:t>proBNP</w:t>
      </w:r>
      <w:proofErr w:type="spellEnd"/>
      <w:r w:rsidRPr="00F357CE">
        <w:rPr>
          <w:rFonts w:asciiTheme="majorBidi" w:hAnsiTheme="majorBidi" w:cstheme="majorBidi"/>
        </w:rPr>
        <w:t xml:space="preserve">&lt;125. Therefore, we only used 400 as a cutoff value. PADP: pulmonary artery diastolic pressure. #Models 1 and 2 are for predicting any hospital admission. Models 3 &amp;4 are for predicting any HFH. </w:t>
      </w: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</w:p>
    <w:p w:rsidR="007A75F5" w:rsidRPr="00726591" w:rsidRDefault="007A75F5" w:rsidP="007A75F5">
      <w:pPr>
        <w:rPr>
          <w:rFonts w:asciiTheme="majorBidi" w:hAnsiTheme="majorBidi" w:cstheme="majorBidi"/>
          <w:b/>
          <w:bCs/>
          <w:color w:val="EE0000"/>
        </w:rPr>
      </w:pPr>
      <w:proofErr w:type="gramStart"/>
      <w:r w:rsidRPr="00726591">
        <w:rPr>
          <w:rFonts w:asciiTheme="majorBidi" w:hAnsiTheme="majorBidi" w:cstheme="majorBidi"/>
          <w:b/>
          <w:bCs/>
          <w:color w:val="EE0000"/>
        </w:rPr>
        <w:t>Supplementary Table 3.2.</w:t>
      </w:r>
      <w:proofErr w:type="gramEnd"/>
      <w:r w:rsidRPr="00726591">
        <w:rPr>
          <w:rFonts w:asciiTheme="majorBidi" w:hAnsiTheme="majorBidi" w:cstheme="majorBidi"/>
          <w:b/>
          <w:bCs/>
          <w:color w:val="EE0000"/>
        </w:rPr>
        <w:t xml:space="preserve"> Predictive Value of NT-</w:t>
      </w:r>
      <w:proofErr w:type="spellStart"/>
      <w:r w:rsidRPr="00726591">
        <w:rPr>
          <w:rFonts w:asciiTheme="majorBidi" w:hAnsiTheme="majorBidi" w:cstheme="majorBidi"/>
          <w:b/>
          <w:bCs/>
          <w:color w:val="EE0000"/>
        </w:rPr>
        <w:t>ProBNP</w:t>
      </w:r>
      <w:proofErr w:type="spellEnd"/>
      <w:r w:rsidRPr="00726591">
        <w:rPr>
          <w:rFonts w:asciiTheme="majorBidi" w:hAnsiTheme="majorBidi" w:cstheme="majorBidi"/>
          <w:b/>
          <w:bCs/>
          <w:color w:val="EE0000"/>
        </w:rPr>
        <w:t xml:space="preserve"> and PAD for Post-Device Placement Hospital Admissions stratified by renal dysfunction</w:t>
      </w:r>
      <w:r>
        <w:rPr>
          <w:rFonts w:asciiTheme="majorBidi" w:hAnsiTheme="majorBidi" w:cstheme="majorBidi"/>
          <w:b/>
          <w:bCs/>
          <w:color w:val="EE0000"/>
        </w:rPr>
        <w:t>.</w:t>
      </w: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726591" w:rsidRDefault="007A75F5" w:rsidP="007A75F5">
      <w:pPr>
        <w:rPr>
          <w:rFonts w:asciiTheme="majorBidi" w:hAnsiTheme="majorBidi" w:cstheme="majorBidi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5"/>
        <w:gridCol w:w="1738"/>
        <w:gridCol w:w="1862"/>
        <w:gridCol w:w="2113"/>
        <w:gridCol w:w="1037"/>
      </w:tblGrid>
      <w:tr w:rsidR="007A75F5" w:rsidRPr="00726591" w:rsidTr="006E4478">
        <w:trPr>
          <w:cantSplit/>
          <w:trHeight w:hRule="exact" w:val="298"/>
          <w:tblHeader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Multivariable Model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Covariate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Level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HR (95% CI)</w:t>
            </w: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7A75F5" w:rsidRPr="00726591" w:rsidTr="006E4478">
        <w:trPr>
          <w:cantSplit/>
          <w:trHeight w:hRule="exact" w:val="415"/>
          <w:tblHeader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lastRenderedPageBreak/>
              <w:t>Model 1#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NT-</w:t>
            </w:r>
            <w:proofErr w:type="spellStart"/>
            <w:r w:rsidRPr="00726591">
              <w:rPr>
                <w:rFonts w:asciiTheme="majorBidi" w:hAnsiTheme="majorBidi" w:cstheme="majorBidi"/>
              </w:rPr>
              <w:t>ProBNP</w:t>
            </w:r>
            <w:proofErr w:type="spellEnd"/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</w:rPr>
              <w:t xml:space="preserve">≥400 </w:t>
            </w:r>
            <w:proofErr w:type="spellStart"/>
            <w:r w:rsidRPr="00726591">
              <w:rPr>
                <w:rFonts w:asciiTheme="majorBidi" w:hAnsiTheme="majorBidi" w:cstheme="majorBidi"/>
              </w:rPr>
              <w:t>pg</w:t>
            </w:r>
            <w:proofErr w:type="spellEnd"/>
            <w:r w:rsidRPr="00726591">
              <w:rPr>
                <w:rFonts w:asciiTheme="majorBidi" w:hAnsiTheme="majorBidi" w:cstheme="majorBidi"/>
              </w:rPr>
              <w:t>/mL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</w:rPr>
              <w:t>2.09 (0.91-4.80)</w:t>
            </w: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0.08</w:t>
            </w:r>
          </w:p>
        </w:tc>
      </w:tr>
      <w:tr w:rsidR="007A75F5" w:rsidRPr="00726591" w:rsidTr="006E4478">
        <w:trPr>
          <w:cantSplit/>
          <w:trHeight w:hRule="exact" w:val="361"/>
          <w:tblHeader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</w:rPr>
              <w:t>1 unit change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</w:rPr>
              <w:t>1.08 (1.02-1.16)</w:t>
            </w: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0.014</w:t>
            </w:r>
          </w:p>
        </w:tc>
      </w:tr>
      <w:tr w:rsidR="007A75F5" w:rsidRPr="00726591" w:rsidTr="006E4478">
        <w:trPr>
          <w:cantSplit/>
          <w:trHeight w:hRule="exact" w:val="230"/>
          <w:tblHeader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A75F5" w:rsidRPr="00726591" w:rsidTr="006E4478">
        <w:trPr>
          <w:cantSplit/>
          <w:trHeight w:hRule="exact" w:val="487"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Model 2#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NT-</w:t>
            </w:r>
            <w:proofErr w:type="spellStart"/>
            <w:r w:rsidRPr="00726591">
              <w:rPr>
                <w:rFonts w:asciiTheme="majorBidi" w:hAnsiTheme="majorBidi" w:cstheme="majorBidi"/>
              </w:rPr>
              <w:t>ProBNP</w:t>
            </w:r>
            <w:proofErr w:type="spellEnd"/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 xml:space="preserve">≥400 </w:t>
            </w:r>
            <w:proofErr w:type="spellStart"/>
            <w:r w:rsidRPr="00726591">
              <w:rPr>
                <w:rFonts w:asciiTheme="majorBidi" w:hAnsiTheme="majorBidi" w:cstheme="majorBidi"/>
              </w:rPr>
              <w:t>pg</w:t>
            </w:r>
            <w:proofErr w:type="spellEnd"/>
            <w:r w:rsidRPr="00726591">
              <w:rPr>
                <w:rFonts w:asciiTheme="majorBidi" w:hAnsiTheme="majorBidi" w:cstheme="majorBidi"/>
              </w:rPr>
              <w:t>/mL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1.86 (0.64-5.41)</w:t>
            </w: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0.26</w:t>
            </w:r>
          </w:p>
        </w:tc>
      </w:tr>
      <w:tr w:rsidR="007A75F5" w:rsidRPr="00726591" w:rsidTr="006E4478">
        <w:trPr>
          <w:cantSplit/>
          <w:trHeight w:hRule="exact" w:val="451"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&gt;18 mmHg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2.80 (0.92-8,51)</w:t>
            </w: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0.07</w:t>
            </w:r>
          </w:p>
        </w:tc>
      </w:tr>
      <w:tr w:rsidR="007A75F5" w:rsidRPr="00726591" w:rsidTr="006E4478">
        <w:trPr>
          <w:cantSplit/>
          <w:trHeight w:hRule="exact" w:val="361"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</w:tr>
      <w:tr w:rsidR="007A75F5" w:rsidRPr="00726591" w:rsidTr="006E4478">
        <w:trPr>
          <w:cantSplit/>
          <w:trHeight w:hRule="exact" w:val="631"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Model 3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NT-</w:t>
            </w:r>
            <w:proofErr w:type="spellStart"/>
            <w:r w:rsidRPr="00726591">
              <w:rPr>
                <w:rFonts w:asciiTheme="majorBidi" w:hAnsiTheme="majorBidi" w:cstheme="majorBidi"/>
              </w:rPr>
              <w:t>ProBNP</w:t>
            </w:r>
            <w:proofErr w:type="spellEnd"/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 xml:space="preserve">≥400 </w:t>
            </w:r>
            <w:proofErr w:type="spellStart"/>
            <w:r w:rsidRPr="00726591">
              <w:rPr>
                <w:rFonts w:asciiTheme="majorBidi" w:hAnsiTheme="majorBidi" w:cstheme="majorBidi"/>
              </w:rPr>
              <w:t>pg</w:t>
            </w:r>
            <w:proofErr w:type="spellEnd"/>
            <w:r w:rsidRPr="00726591">
              <w:rPr>
                <w:rFonts w:asciiTheme="majorBidi" w:hAnsiTheme="majorBidi" w:cstheme="majorBidi"/>
              </w:rPr>
              <w:t>/mL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1.43 (0.78-2.62)</w:t>
            </w: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0.25</w:t>
            </w:r>
          </w:p>
        </w:tc>
      </w:tr>
      <w:tr w:rsidR="007A75F5" w:rsidRPr="00726591" w:rsidTr="006E4478">
        <w:trPr>
          <w:cantSplit/>
          <w:trHeight w:hRule="exact" w:val="451"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1 unit change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1.07 (1.01-1.14)</w:t>
            </w: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0.02</w:t>
            </w:r>
          </w:p>
        </w:tc>
      </w:tr>
      <w:tr w:rsidR="007A75F5" w:rsidRPr="00726591" w:rsidTr="006E4478">
        <w:trPr>
          <w:cantSplit/>
          <w:trHeight w:hRule="exact" w:val="451"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  <w:b/>
                <w:bCs/>
              </w:rPr>
              <w:t>Model 4</w:t>
            </w: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NT-</w:t>
            </w:r>
            <w:proofErr w:type="spellStart"/>
            <w:r w:rsidRPr="00726591">
              <w:rPr>
                <w:rFonts w:asciiTheme="majorBidi" w:hAnsiTheme="majorBidi" w:cstheme="majorBidi"/>
              </w:rPr>
              <w:t>ProBNP</w:t>
            </w:r>
            <w:proofErr w:type="spellEnd"/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 xml:space="preserve">≥400 </w:t>
            </w:r>
            <w:proofErr w:type="spellStart"/>
            <w:r w:rsidRPr="00726591">
              <w:rPr>
                <w:rFonts w:asciiTheme="majorBidi" w:hAnsiTheme="majorBidi" w:cstheme="majorBidi"/>
              </w:rPr>
              <w:t>pg</w:t>
            </w:r>
            <w:proofErr w:type="spellEnd"/>
            <w:r w:rsidRPr="00726591">
              <w:rPr>
                <w:rFonts w:asciiTheme="majorBidi" w:hAnsiTheme="majorBidi" w:cstheme="majorBidi"/>
              </w:rPr>
              <w:t>/mL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1.09 (0.54-2.24)</w:t>
            </w: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  <w:r w:rsidRPr="00726591">
              <w:rPr>
                <w:rFonts w:asciiTheme="majorBidi" w:hAnsiTheme="majorBidi" w:cstheme="majorBidi"/>
              </w:rPr>
              <w:t>0.80</w:t>
            </w:r>
          </w:p>
        </w:tc>
      </w:tr>
      <w:tr w:rsidR="007A75F5" w:rsidRPr="00726591" w:rsidTr="006E4478">
        <w:trPr>
          <w:cantSplit/>
          <w:trHeight w:hRule="exact" w:val="352"/>
        </w:trPr>
        <w:tc>
          <w:tcPr>
            <w:tcW w:w="2455" w:type="dxa"/>
            <w:shd w:val="clear" w:color="auto" w:fill="FFFFFF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3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PAD</w:t>
            </w:r>
          </w:p>
        </w:tc>
        <w:tc>
          <w:tcPr>
            <w:tcW w:w="1862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&gt;18 mmHg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2.91 (1.02-8.31)</w:t>
            </w:r>
          </w:p>
        </w:tc>
        <w:tc>
          <w:tcPr>
            <w:tcW w:w="1037" w:type="dxa"/>
            <w:shd w:val="clear" w:color="auto" w:fill="FFFFFF"/>
            <w:tcMar>
              <w:left w:w="60" w:type="dxa"/>
              <w:right w:w="60" w:type="dxa"/>
            </w:tcMar>
          </w:tcPr>
          <w:p w:rsidR="007A75F5" w:rsidRPr="00726591" w:rsidRDefault="007A75F5" w:rsidP="006E4478">
            <w:pPr>
              <w:rPr>
                <w:rFonts w:asciiTheme="majorBidi" w:hAnsiTheme="majorBidi" w:cstheme="majorBidi"/>
              </w:rPr>
            </w:pPr>
            <w:r w:rsidRPr="00726591">
              <w:rPr>
                <w:rFonts w:asciiTheme="majorBidi" w:hAnsiTheme="majorBidi" w:cstheme="majorBidi"/>
              </w:rPr>
              <w:t>0.046</w:t>
            </w:r>
          </w:p>
        </w:tc>
      </w:tr>
    </w:tbl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Theme="majorBidi" w:hAnsiTheme="majorBidi" w:cstheme="majorBidi"/>
        </w:rPr>
      </w:pPr>
    </w:p>
    <w:p w:rsidR="007A75F5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</w:rPr>
      </w:pPr>
    </w:p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  <w:proofErr w:type="gramStart"/>
      <w:r w:rsidRPr="00F357CE">
        <w:rPr>
          <w:rFonts w:asciiTheme="majorBidi" w:hAnsiTheme="majorBidi" w:cstheme="majorBidi"/>
          <w:b/>
          <w:bCs/>
        </w:rPr>
        <w:t>Supplementary Figure 1.</w:t>
      </w:r>
      <w:proofErr w:type="gramEnd"/>
      <w:r w:rsidRPr="00F357CE">
        <w:rPr>
          <w:rFonts w:asciiTheme="majorBidi" w:hAnsiTheme="majorBidi" w:cstheme="majorBidi"/>
          <w:b/>
          <w:bCs/>
        </w:rPr>
        <w:t xml:space="preserve">  Mean cumulative number of HFH after device placement Stratified by prior (</w:t>
      </w:r>
      <w:r w:rsidRPr="00F357CE">
        <w:rPr>
          <w:rFonts w:asciiTheme="majorBidi" w:hAnsiTheme="majorBidi" w:cstheme="majorBidi"/>
          <w:b/>
          <w:bCs/>
          <w:i/>
          <w:iCs/>
        </w:rPr>
        <w:t>A</w:t>
      </w:r>
      <w:r w:rsidRPr="00F357CE">
        <w:rPr>
          <w:rFonts w:asciiTheme="majorBidi" w:hAnsiTheme="majorBidi" w:cstheme="majorBidi"/>
          <w:b/>
          <w:bCs/>
        </w:rPr>
        <w:t>) HFH, (</w:t>
      </w:r>
      <w:r w:rsidRPr="00F357CE">
        <w:rPr>
          <w:rFonts w:asciiTheme="majorBidi" w:hAnsiTheme="majorBidi" w:cstheme="majorBidi"/>
          <w:b/>
          <w:bCs/>
          <w:i/>
          <w:iCs/>
        </w:rPr>
        <w:t>B</w:t>
      </w:r>
      <w:r w:rsidRPr="00F357CE">
        <w:rPr>
          <w:rFonts w:asciiTheme="majorBidi" w:hAnsiTheme="majorBidi" w:cstheme="majorBidi"/>
          <w:b/>
          <w:bCs/>
        </w:rPr>
        <w:t>) PAD, (</w:t>
      </w:r>
      <w:r w:rsidRPr="00F357CE">
        <w:rPr>
          <w:rFonts w:asciiTheme="majorBidi" w:hAnsiTheme="majorBidi" w:cstheme="majorBidi"/>
          <w:b/>
          <w:bCs/>
          <w:i/>
          <w:iCs/>
        </w:rPr>
        <w:t>C</w:t>
      </w:r>
      <w:r w:rsidRPr="00F357CE">
        <w:rPr>
          <w:rFonts w:asciiTheme="majorBidi" w:hAnsiTheme="majorBidi" w:cstheme="majorBidi"/>
          <w:b/>
          <w:bCs/>
        </w:rPr>
        <w:t xml:space="preserve">) </w:t>
      </w:r>
      <w:proofErr w:type="spellStart"/>
      <w:r w:rsidRPr="00F357CE">
        <w:rPr>
          <w:rFonts w:asciiTheme="majorBidi" w:hAnsiTheme="majorBidi" w:cstheme="majorBidi"/>
          <w:b/>
          <w:bCs/>
        </w:rPr>
        <w:t>mPAP</w:t>
      </w:r>
      <w:proofErr w:type="spellEnd"/>
      <w:r w:rsidRPr="00F357CE">
        <w:rPr>
          <w:rFonts w:asciiTheme="majorBidi" w:hAnsiTheme="majorBidi" w:cstheme="majorBidi"/>
          <w:b/>
          <w:bCs/>
        </w:rPr>
        <w:t xml:space="preserve"> and (</w:t>
      </w:r>
      <w:r w:rsidRPr="00F357CE">
        <w:rPr>
          <w:rFonts w:asciiTheme="majorBidi" w:hAnsiTheme="majorBidi" w:cstheme="majorBidi"/>
          <w:b/>
          <w:bCs/>
          <w:i/>
          <w:iCs/>
        </w:rPr>
        <w:t>D</w:t>
      </w:r>
      <w:r w:rsidRPr="00F357CE">
        <w:rPr>
          <w:rFonts w:asciiTheme="majorBidi" w:hAnsiTheme="majorBidi" w:cstheme="majorBidi"/>
          <w:b/>
          <w:bCs/>
        </w:rPr>
        <w:t>) PAS.</w:t>
      </w:r>
    </w:p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</w:p>
    <w:p w:rsidR="007A75F5" w:rsidRPr="009724EE" w:rsidRDefault="00400D95" w:rsidP="007A75F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>
            <wp:extent cx="5943600" cy="3708908"/>
            <wp:effectExtent l="0" t="0" r="0" b="6350"/>
            <wp:docPr id="1" name="Picture 1" descr="C:\Users\e756641\AppData\Local\Temp\8\SALB40.tmp\S1_ES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756641\AppData\Local\Temp\8\SALB40.tmp\S1_ESM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5F5" w:rsidRPr="009724EE" w:rsidRDefault="007A75F5" w:rsidP="007A75F5">
      <w:pPr>
        <w:rPr>
          <w:rFonts w:ascii="Arial" w:hAnsi="Arial" w:cs="Arial"/>
          <w:b/>
          <w:bCs/>
        </w:rPr>
      </w:pPr>
    </w:p>
    <w:p w:rsidR="007A75F5" w:rsidRPr="009724EE" w:rsidRDefault="007A75F5" w:rsidP="007A75F5">
      <w:pPr>
        <w:rPr>
          <w:rFonts w:ascii="Arial" w:hAnsi="Arial" w:cs="Arial"/>
          <w:b/>
          <w:bCs/>
        </w:rPr>
      </w:pPr>
    </w:p>
    <w:p w:rsidR="007A75F5" w:rsidRPr="009724EE" w:rsidRDefault="007A75F5" w:rsidP="007A75F5">
      <w:pPr>
        <w:rPr>
          <w:rFonts w:ascii="Arial" w:hAnsi="Arial" w:cs="Arial"/>
          <w:b/>
          <w:bCs/>
        </w:rPr>
      </w:pPr>
    </w:p>
    <w:p w:rsidR="007A75F5" w:rsidRPr="009724EE" w:rsidRDefault="007A75F5" w:rsidP="007A75F5">
      <w:pPr>
        <w:rPr>
          <w:rFonts w:ascii="Arial" w:hAnsi="Arial" w:cs="Arial"/>
          <w:b/>
          <w:bCs/>
        </w:rPr>
      </w:pPr>
    </w:p>
    <w:p w:rsidR="007A75F5" w:rsidRDefault="007A75F5" w:rsidP="007A75F5">
      <w:pPr>
        <w:rPr>
          <w:rFonts w:ascii="Arial" w:hAnsi="Arial" w:cs="Arial"/>
          <w:b/>
          <w:bCs/>
        </w:rPr>
      </w:pPr>
    </w:p>
    <w:p w:rsidR="005B1DA0" w:rsidRPr="009724EE" w:rsidRDefault="005B1DA0" w:rsidP="007A75F5">
      <w:pPr>
        <w:rPr>
          <w:rFonts w:ascii="Arial" w:hAnsi="Arial" w:cs="Arial"/>
          <w:b/>
          <w:bCs/>
        </w:rPr>
      </w:pPr>
    </w:p>
    <w:p w:rsidR="007A75F5" w:rsidRPr="009724EE" w:rsidRDefault="007A75F5" w:rsidP="007A75F5">
      <w:pPr>
        <w:rPr>
          <w:rFonts w:ascii="Arial" w:hAnsi="Arial" w:cs="Arial"/>
          <w:b/>
          <w:bCs/>
        </w:rPr>
      </w:pPr>
      <w:proofErr w:type="gramStart"/>
      <w:r w:rsidRPr="00F357CE">
        <w:rPr>
          <w:rFonts w:asciiTheme="majorBidi" w:hAnsiTheme="majorBidi" w:cstheme="majorBidi"/>
          <w:b/>
          <w:bCs/>
        </w:rPr>
        <w:t>Supplementary Figure 2.</w:t>
      </w:r>
      <w:proofErr w:type="gramEnd"/>
      <w:r w:rsidRPr="00F357CE">
        <w:rPr>
          <w:rFonts w:asciiTheme="majorBidi" w:hAnsiTheme="majorBidi" w:cstheme="majorBidi"/>
          <w:b/>
          <w:bCs/>
        </w:rPr>
        <w:t xml:space="preserve">  Profile plots over time of PAD (</w:t>
      </w:r>
      <w:r w:rsidRPr="00F357CE">
        <w:rPr>
          <w:rFonts w:asciiTheme="majorBidi" w:hAnsiTheme="majorBidi" w:cstheme="majorBidi"/>
          <w:b/>
          <w:bCs/>
          <w:i/>
          <w:iCs/>
        </w:rPr>
        <w:t>A</w:t>
      </w:r>
      <w:r w:rsidRPr="00F357CE">
        <w:rPr>
          <w:rFonts w:asciiTheme="majorBidi" w:hAnsiTheme="majorBidi" w:cstheme="majorBidi"/>
          <w:b/>
          <w:bCs/>
        </w:rPr>
        <w:t xml:space="preserve">) </w:t>
      </w:r>
      <w:proofErr w:type="gramStart"/>
      <w:r w:rsidRPr="00F357CE">
        <w:rPr>
          <w:rFonts w:asciiTheme="majorBidi" w:hAnsiTheme="majorBidi" w:cstheme="majorBidi"/>
          <w:b/>
          <w:bCs/>
        </w:rPr>
        <w:t>without  and</w:t>
      </w:r>
      <w:proofErr w:type="gramEnd"/>
      <w:r w:rsidRPr="00F357CE">
        <w:rPr>
          <w:rFonts w:asciiTheme="majorBidi" w:hAnsiTheme="majorBidi" w:cstheme="majorBidi"/>
          <w:b/>
          <w:bCs/>
        </w:rPr>
        <w:t xml:space="preserve"> (</w:t>
      </w:r>
      <w:r w:rsidRPr="00F357CE">
        <w:rPr>
          <w:rFonts w:asciiTheme="majorBidi" w:hAnsiTheme="majorBidi" w:cstheme="majorBidi"/>
          <w:b/>
          <w:bCs/>
          <w:i/>
          <w:iCs/>
        </w:rPr>
        <w:t>B</w:t>
      </w:r>
      <w:r w:rsidRPr="00F357CE">
        <w:rPr>
          <w:rFonts w:asciiTheme="majorBidi" w:hAnsiTheme="majorBidi" w:cstheme="majorBidi"/>
          <w:b/>
          <w:bCs/>
        </w:rPr>
        <w:t xml:space="preserve">) with HFH after device placement and of </w:t>
      </w:r>
      <w:proofErr w:type="spellStart"/>
      <w:r w:rsidRPr="00F357CE">
        <w:rPr>
          <w:rFonts w:asciiTheme="majorBidi" w:hAnsiTheme="majorBidi" w:cstheme="majorBidi"/>
          <w:b/>
          <w:bCs/>
        </w:rPr>
        <w:t>mPAP</w:t>
      </w:r>
      <w:proofErr w:type="spellEnd"/>
      <w:r w:rsidRPr="00F357CE">
        <w:rPr>
          <w:rFonts w:asciiTheme="majorBidi" w:hAnsiTheme="majorBidi" w:cstheme="majorBidi"/>
          <w:b/>
          <w:bCs/>
        </w:rPr>
        <w:t xml:space="preserve"> (</w:t>
      </w:r>
      <w:r w:rsidRPr="00F357CE">
        <w:rPr>
          <w:rFonts w:asciiTheme="majorBidi" w:hAnsiTheme="majorBidi" w:cstheme="majorBidi"/>
          <w:b/>
          <w:bCs/>
          <w:i/>
          <w:iCs/>
        </w:rPr>
        <w:t>C</w:t>
      </w:r>
      <w:r w:rsidRPr="00F357CE">
        <w:rPr>
          <w:rFonts w:asciiTheme="majorBidi" w:hAnsiTheme="majorBidi" w:cstheme="majorBidi"/>
          <w:b/>
          <w:bCs/>
        </w:rPr>
        <w:t>) without and (</w:t>
      </w:r>
      <w:r w:rsidRPr="00F357CE">
        <w:rPr>
          <w:rFonts w:asciiTheme="majorBidi" w:hAnsiTheme="majorBidi" w:cstheme="majorBidi"/>
          <w:b/>
          <w:bCs/>
          <w:i/>
          <w:iCs/>
        </w:rPr>
        <w:t>D</w:t>
      </w:r>
      <w:r w:rsidRPr="00F357CE">
        <w:rPr>
          <w:rFonts w:asciiTheme="majorBidi" w:hAnsiTheme="majorBidi" w:cstheme="majorBidi"/>
          <w:b/>
          <w:bCs/>
        </w:rPr>
        <w:t>) with HFH after device placement</w:t>
      </w:r>
      <w:r w:rsidRPr="009724EE">
        <w:rPr>
          <w:rFonts w:ascii="Arial" w:hAnsi="Arial" w:cs="Arial"/>
          <w:b/>
          <w:bCs/>
        </w:rPr>
        <w:br/>
      </w:r>
      <w:r w:rsidRPr="009724EE">
        <w:rPr>
          <w:rFonts w:ascii="Arial" w:hAnsi="Arial" w:cs="Arial"/>
          <w:b/>
          <w:bCs/>
        </w:rPr>
        <w:br/>
      </w:r>
      <w:r w:rsidR="005B1DA0">
        <w:rPr>
          <w:rFonts w:ascii="Arial" w:hAnsi="Arial" w:cs="Arial"/>
          <w:b/>
          <w:bCs/>
          <w:noProof/>
          <w:lang w:val="en-US"/>
        </w:rPr>
        <w:drawing>
          <wp:inline distT="0" distB="0" distL="0" distR="0">
            <wp:extent cx="5943600" cy="3789254"/>
            <wp:effectExtent l="0" t="0" r="0" b="1905"/>
            <wp:docPr id="2" name="Picture 2" descr="C:\Users\e756641\AppData\Local\Temp\8\SALB40.tmp\S2_ES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756641\AppData\Local\Temp\8\SALB40.tmp\S2_ESM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5F5" w:rsidRPr="009724EE" w:rsidRDefault="007A75F5" w:rsidP="007A75F5">
      <w:pPr>
        <w:rPr>
          <w:rFonts w:ascii="Arial" w:hAnsi="Arial" w:cs="Arial"/>
          <w:b/>
          <w:bCs/>
        </w:rPr>
      </w:pPr>
      <w:r w:rsidRPr="009724EE">
        <w:rPr>
          <w:rFonts w:ascii="Arial" w:hAnsi="Arial" w:cs="Arial"/>
          <w:b/>
          <w:bCs/>
        </w:rPr>
        <w:br w:type="page"/>
      </w:r>
    </w:p>
    <w:p w:rsidR="007A75F5" w:rsidRPr="00F357CE" w:rsidRDefault="007A75F5" w:rsidP="007A75F5">
      <w:pPr>
        <w:rPr>
          <w:rFonts w:asciiTheme="majorBidi" w:hAnsiTheme="majorBidi" w:cstheme="majorBidi"/>
          <w:b/>
          <w:bCs/>
        </w:rPr>
      </w:pPr>
      <w:proofErr w:type="gramStart"/>
      <w:r w:rsidRPr="00F357CE">
        <w:rPr>
          <w:rFonts w:asciiTheme="majorBidi" w:hAnsiTheme="majorBidi" w:cstheme="majorBidi"/>
          <w:b/>
          <w:bCs/>
        </w:rPr>
        <w:lastRenderedPageBreak/>
        <w:t>Supplementary Figure 3.</w:t>
      </w:r>
      <w:proofErr w:type="gramEnd"/>
      <w:r w:rsidRPr="00F357CE">
        <w:rPr>
          <w:rFonts w:asciiTheme="majorBidi" w:hAnsiTheme="majorBidi" w:cstheme="majorBidi"/>
          <w:b/>
          <w:bCs/>
        </w:rPr>
        <w:t xml:space="preserve">  </w:t>
      </w:r>
      <w:proofErr w:type="gramStart"/>
      <w:r w:rsidRPr="00F357CE">
        <w:rPr>
          <w:rFonts w:asciiTheme="majorBidi" w:hAnsiTheme="majorBidi" w:cstheme="majorBidi"/>
          <w:b/>
          <w:bCs/>
        </w:rPr>
        <w:t>Spearman correlation between NT-</w:t>
      </w:r>
      <w:proofErr w:type="spellStart"/>
      <w:r w:rsidRPr="00F357CE">
        <w:rPr>
          <w:rFonts w:asciiTheme="majorBidi" w:hAnsiTheme="majorBidi" w:cstheme="majorBidi"/>
          <w:b/>
          <w:bCs/>
        </w:rPr>
        <w:t>ProBNP</w:t>
      </w:r>
      <w:proofErr w:type="spellEnd"/>
      <w:r w:rsidRPr="00F357CE">
        <w:rPr>
          <w:rFonts w:asciiTheme="majorBidi" w:hAnsiTheme="majorBidi" w:cstheme="majorBidi"/>
          <w:b/>
          <w:bCs/>
        </w:rPr>
        <w:t xml:space="preserve"> and </w:t>
      </w:r>
      <w:proofErr w:type="spellStart"/>
      <w:r w:rsidRPr="00F357CE">
        <w:rPr>
          <w:rFonts w:asciiTheme="majorBidi" w:hAnsiTheme="majorBidi" w:cstheme="majorBidi"/>
          <w:b/>
          <w:bCs/>
        </w:rPr>
        <w:t>mPAP</w:t>
      </w:r>
      <w:proofErr w:type="spellEnd"/>
      <w:r w:rsidRPr="00F357CE">
        <w:rPr>
          <w:rFonts w:asciiTheme="majorBidi" w:hAnsiTheme="majorBidi" w:cstheme="majorBidi"/>
          <w:b/>
          <w:bCs/>
        </w:rPr>
        <w:t>.</w:t>
      </w:r>
      <w:proofErr w:type="gramEnd"/>
      <w:r w:rsidRPr="00F357CE">
        <w:rPr>
          <w:rFonts w:asciiTheme="majorBidi" w:hAnsiTheme="majorBidi" w:cstheme="majorBidi"/>
          <w:b/>
          <w:bCs/>
        </w:rPr>
        <w:t xml:space="preserve"> (</w:t>
      </w:r>
      <w:r w:rsidRPr="00F357CE">
        <w:rPr>
          <w:rFonts w:asciiTheme="majorBidi" w:hAnsiTheme="majorBidi" w:cstheme="majorBidi"/>
          <w:b/>
          <w:bCs/>
          <w:i/>
          <w:iCs/>
        </w:rPr>
        <w:t>A</w:t>
      </w:r>
      <w:r w:rsidRPr="00F357CE">
        <w:rPr>
          <w:rFonts w:asciiTheme="majorBidi" w:hAnsiTheme="majorBidi" w:cstheme="majorBidi"/>
          <w:b/>
          <w:bCs/>
        </w:rPr>
        <w:t xml:space="preserve">) Scatter plot of mean </w:t>
      </w:r>
      <w:proofErr w:type="spellStart"/>
      <w:r w:rsidRPr="00F357CE">
        <w:rPr>
          <w:rFonts w:asciiTheme="majorBidi" w:hAnsiTheme="majorBidi" w:cstheme="majorBidi"/>
          <w:b/>
          <w:bCs/>
        </w:rPr>
        <w:t>mPAP</w:t>
      </w:r>
      <w:proofErr w:type="spellEnd"/>
      <w:r w:rsidRPr="00F357CE">
        <w:rPr>
          <w:rFonts w:asciiTheme="majorBidi" w:hAnsiTheme="majorBidi" w:cstheme="majorBidi"/>
          <w:b/>
          <w:bCs/>
        </w:rPr>
        <w:t xml:space="preserve"> and mean NT-</w:t>
      </w:r>
      <w:proofErr w:type="spellStart"/>
      <w:r w:rsidRPr="00F357CE">
        <w:rPr>
          <w:rFonts w:asciiTheme="majorBidi" w:hAnsiTheme="majorBidi" w:cstheme="majorBidi"/>
          <w:b/>
          <w:bCs/>
        </w:rPr>
        <w:t>ProBNP</w:t>
      </w:r>
      <w:proofErr w:type="spellEnd"/>
      <w:r w:rsidRPr="00F357CE">
        <w:rPr>
          <w:rFonts w:asciiTheme="majorBidi" w:hAnsiTheme="majorBidi" w:cstheme="majorBidi"/>
          <w:b/>
          <w:bCs/>
        </w:rPr>
        <w:t>. (</w:t>
      </w:r>
      <w:r w:rsidRPr="00F357CE">
        <w:rPr>
          <w:rFonts w:asciiTheme="majorBidi" w:hAnsiTheme="majorBidi" w:cstheme="majorBidi"/>
          <w:b/>
          <w:bCs/>
          <w:i/>
          <w:iCs/>
        </w:rPr>
        <w:t>B</w:t>
      </w:r>
      <w:r w:rsidRPr="00F357CE">
        <w:rPr>
          <w:rFonts w:asciiTheme="majorBidi" w:hAnsiTheme="majorBidi" w:cstheme="majorBidi"/>
          <w:b/>
          <w:bCs/>
        </w:rPr>
        <w:t xml:space="preserve">) Scatter plot of </w:t>
      </w:r>
      <w:proofErr w:type="spellStart"/>
      <w:r w:rsidRPr="00F357CE">
        <w:rPr>
          <w:rFonts w:asciiTheme="majorBidi" w:hAnsiTheme="majorBidi" w:cstheme="majorBidi"/>
          <w:b/>
          <w:bCs/>
        </w:rPr>
        <w:t>mPAP</w:t>
      </w:r>
      <w:proofErr w:type="spellEnd"/>
      <w:r w:rsidRPr="00F357CE">
        <w:rPr>
          <w:rFonts w:asciiTheme="majorBidi" w:hAnsiTheme="majorBidi" w:cstheme="majorBidi"/>
          <w:b/>
          <w:bCs/>
        </w:rPr>
        <w:t xml:space="preserve"> and NT-</w:t>
      </w:r>
      <w:proofErr w:type="spellStart"/>
      <w:r w:rsidRPr="00F357CE">
        <w:rPr>
          <w:rFonts w:asciiTheme="majorBidi" w:hAnsiTheme="majorBidi" w:cstheme="majorBidi"/>
          <w:b/>
          <w:bCs/>
        </w:rPr>
        <w:t>ProBNP</w:t>
      </w:r>
      <w:proofErr w:type="spellEnd"/>
      <w:r w:rsidRPr="00F357CE">
        <w:rPr>
          <w:rFonts w:asciiTheme="majorBidi" w:hAnsiTheme="majorBidi" w:cstheme="majorBidi"/>
          <w:b/>
          <w:bCs/>
        </w:rPr>
        <w:t>.</w:t>
      </w:r>
    </w:p>
    <w:p w:rsidR="007A75F5" w:rsidRPr="009724EE" w:rsidRDefault="007A75F5" w:rsidP="007A75F5">
      <w:pPr>
        <w:rPr>
          <w:rFonts w:ascii="Arial" w:hAnsi="Arial" w:cs="Arial"/>
          <w:b/>
          <w:bCs/>
        </w:rPr>
      </w:pPr>
      <w:r w:rsidRPr="009724EE">
        <w:rPr>
          <w:rFonts w:ascii="Arial" w:hAnsi="Arial" w:cs="Arial"/>
          <w:b/>
          <w:bCs/>
        </w:rPr>
        <w:br/>
      </w:r>
      <w:r w:rsidR="005B1DA0">
        <w:rPr>
          <w:rFonts w:ascii="Arial" w:hAnsi="Arial" w:cs="Arial"/>
          <w:b/>
          <w:bCs/>
          <w:noProof/>
          <w:lang w:val="en-US"/>
        </w:rPr>
        <w:drawing>
          <wp:inline distT="0" distB="0" distL="0" distR="0">
            <wp:extent cx="5943600" cy="2173683"/>
            <wp:effectExtent l="0" t="0" r="0" b="0"/>
            <wp:docPr id="3" name="Picture 3" descr="C:\Users\e756641\AppData\Local\Temp\8\SALB40.tmp\S3_ES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756641\AppData\Local\Temp\8\SALB40.tmp\S3_ESM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75F5" w:rsidRPr="009724EE" w:rsidRDefault="007A75F5" w:rsidP="007A75F5">
      <w:pPr>
        <w:spacing w:line="480" w:lineRule="auto"/>
        <w:rPr>
          <w:rFonts w:ascii="Arial" w:hAnsi="Arial" w:cs="Arial"/>
          <w:b/>
          <w:bCs/>
        </w:rPr>
      </w:pPr>
      <w:r w:rsidRPr="009724EE">
        <w:rPr>
          <w:rFonts w:ascii="Arial" w:hAnsi="Arial" w:cs="Arial"/>
          <w:noProof/>
        </w:rPr>
        <w:t xml:space="preserve"> </w:t>
      </w:r>
    </w:p>
    <w:p w:rsidR="007A75F5" w:rsidRPr="006B0C6D" w:rsidRDefault="007A75F5" w:rsidP="007A75F5">
      <w:pPr>
        <w:pStyle w:val="EndNoteBibliography"/>
        <w:ind w:left="720" w:hanging="720"/>
      </w:pPr>
      <w:r w:rsidRPr="009724EE">
        <w:rPr>
          <w:rFonts w:ascii="Arial" w:hAnsi="Arial" w:cs="Arial"/>
        </w:rPr>
        <w:fldChar w:fldCharType="begin"/>
      </w:r>
      <w:r w:rsidRPr="009724EE">
        <w:rPr>
          <w:rFonts w:ascii="Arial" w:hAnsi="Arial" w:cs="Arial"/>
        </w:rPr>
        <w:instrText xml:space="preserve"> ADDIN EN.REFLIST </w:instrText>
      </w:r>
      <w:r w:rsidRPr="009724EE">
        <w:rPr>
          <w:rFonts w:ascii="Arial" w:hAnsi="Arial" w:cs="Arial"/>
        </w:rPr>
        <w:fldChar w:fldCharType="separate"/>
      </w:r>
      <w:r w:rsidRPr="006B0C6D">
        <w:t>1.Agarwal MA, Fonarow GC, Ziaeian B. National Trends in Heart Failure Hospitalizations and Readmissions From 2010 to 2017. JAMA Cardiol 2021;6:952-956.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2.Matetic A, Mohamed M, Miller RJH et al. Impact of cancer diagnosis on causes and outcomes of 5.9 million US patients with cardiovascular admissions. Int J Cardiol 2021;341:76-83.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3.Strongman H, Gadd S, Matthews A et al. Medium and long-term risks of specific cardiovascular diseases in survivors of 20 adult cancers: a population-based cohort study using multiple linked UK electronic health records databases. Lancet 2019;394:1041-1054.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4.The global burden of cancer attributable to risk factors, 2010-19: a systematic analysis for the Global Burden of Disease Study 2019. Lancet 2022;400:563-591.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5.Koene RJ, Prizment AE, Blaes A, Konety SH. Shared Risk Factors in Cardiovascular Disease and Cancer. Circulation 2016;133:1104-14.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6.de Wit S, Glen C, de Boer RA, Lang NN. Mechanisms shared between cancer, heart failure, and targeted anti-cancer therapies. Cardiovasc Res 2023;118:3451-3466.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7.Kobo O, Raisi-Estabragh Z, Gevaert S et al. Impact of cancer diagnosis on distribution and trends of cardiovascular hospitalizations in the USA between 2004 and 2017. Eur Heart J Qual Care Clin Outcomes 2022;8:787-797.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8.Lyon AR, López-Fernández T, Couch LS et al. 2022 ESC Guidelines on cardio-oncology developed in collaboration with the European Hematology Association (EHA), the European Society for Therapeutic Radiology and Oncology (ESTRO) and the International Cardio-Oncology Society (IC-OS). Eur Heart J 2022;43:4229-4361.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9.Hospital Readmissions Reduction Program (HRRP).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10.Abraham WT, Adamson PB, Bourge RC et al. Wireless pulmonary artery haemodynamic monitoring in chronic heart failure: a randomised controlled trial. Lancet 2011;377:658-66.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lastRenderedPageBreak/>
        <w:t>11.Lindenfeld J, Zile MR, Desai AS et al. Haemodynamic-guided management of heart failure (GUIDE-HF): a randomised controlled trial. Lancet 2021;398:991-1001.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12.Adamson PB, Abraham WT, Bourge RC et al. Wireless pulmonary artery pressure monitoring guides management to reduce decompensation in heart failure with preserved ejection fraction. Circ Heart Fail 2014;7:935-44.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13.Adamson PB, Abraham WT, Stevenson LW et al. Pulmonary Artery Pressure-Guided Heart Failure Management Reduces 30-Day Readmissions. Circ Heart Fail 2016;9.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14.Shavelle DM, Desai AS, Abraham WT et al. Lower Rates of Heart Failure and All-Cause Hospitalizations During Pulmonary Artery Pressure-Guided Therapy for Ambulatory Heart Failure: One-Year Outcomes From the CardioMEMS Post-Approval Study. Circ Heart Fail 2020;13:e006863.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15.Brugts JJ, Radhoe SP, Clephas PRD et al. Remote haemodynamic monitoring of pulmonary artery pressures in patients with chronic heart failure (MONITOR-HF): a randomised clinical trial. Lancet 2023;401:2113-2123.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16.Lindenfeld J, Costanzo MR, Zile MR et al. Implantable Hemodynamic Monitors Improve Survival in Patients With Heart Failure and Reduced Ejection Fraction. J Am Coll Cardiol 2024;83:682-694.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17.Mokri H, Clephas PRD, de Boer RA, van Baal P, Brugts JJ, Rutten-van Mölken M. Cost-effectiveness of remote haemodynamic monitoring by an implantable pulmonary artery pressure monitoring sensor (CardioMEMS-HF system) in chronic heart failure in the Netherlands. Eur J Heart Fail 2024.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18.Cowie MR, Thokala P, Ihara Z, Adamson PB, Angermann C. Real-time pulmonary artery pressure monitoring in heart failure patients: an updated cost-effectiveness analysis. ESC Heart Fail 2023;10:3046-3054.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19.Adamson PB, Abraham WT, Aaron M et al. CHAMPION trial rationale and design: the long-term safety and clinical efficacy of a wireless pulmonary artery pressure monitoring system. J Card Fail 2011;17:3-10.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20.Brugts JJ, Veenis JF, Radhoe SP et al. A randomised comparison of the effect of haemodynamic monitoring with CardioMEMS in addition to standard care on quality of life and hospitalisations in patients with chronic heart failure : Design and rationale of the MONITOR HF multicentre randomised clinical trial. Neth Heart J 2020;28:16-26.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21.Lindenfeld J, Abraham WT, Maisel A et al. Hemodynamic-GUIDEd management of Heart Failure (GUIDE-HF). Am Heart J 2019;214:18-27.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22.Kanelidis AJ, Raikhelkar J, Kim G et al. CardioMEMS-Guided CAR T Cell Therapy for Lymphoma in a Patient With Anthracycline-Induced Cardiomyopathy. JACC CardioOncol 2020;2:515-518.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23.Khan MS, Khouri MG, Gomez L, Fudim M. Pressures do not equal volumes: implications for heart failure management in patients with CardioMEMS. ESC Heart Fail 2023;10:716-720.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24.PRENTICE RL, WILLIAMS BJ, PETERSON AV. On the regression analysis of multivariate failure time data. Biometrika 1981;68:373-379.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25.Welsh P, Campbell RT, Mooney L et al. Reference Ranges for NT-proBNP (N-Terminal Pro-B-Type Natriuretic Peptide) and Risk Factors for Higher NT-proBNP Concentrations in a Large General Population Cohort. Circ Heart Fail 2022;15:e009427.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lastRenderedPageBreak/>
        <w:t>26.Coles B, Welch CA, Motiwale RS et al. Acute heart failure presentation, management, and outcomes in cancer patients: a national longitudinal study. Eur Heart J Acute Cardiovasc Care 2023;12:315-327.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27.Bharadwaj A, Potts J, Mohamed MO et al. Acute myocardial infarction treatments and outcomes in 6.5 million patients with a current or historical diagnosis of cancer in the USA. Eur Heart J 2020;41:2183-2193.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28.Tie H, Zhu J, Akin S et al. Characteristics and Outcome of Patients With a History of Cancer Undergoing Durable Left Ventricular Assist Device Implantation. Circ Heart Fail 2023;16:e009772.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29.Irizarry-Caro JA, Song J, Miller C et al. Evaluation of Midodrine Utilization in Patients with Cancer and Heart Failure. Cardiovasc Drugs Ther 2024.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30.Wechalekar AD, Fontana M, Quarta CC, Liedtke M. AL Amyloidosis for Cardiologists: Awareness, Diagnosis, and Future Prospects: JACC: CardioOncology State-of-the-Art Review. JACC CardioOncol 2022;4:427-441.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31.Thohan V, Abraham J, Burdorf A et al. Use of a Pulmonary Artery Pressure Sensor to Manage Patients With Left Ventricular Assist Devices. Circ Heart Fail 2023;16:e009960.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32.Frantz RP. Hemodynamic monitoring in pulmonary arterial hypertension. Expert Rev Respir Med 2011;5:173-8.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33.Frantz RP, Benza RL, Kjellström B et al. Continuous hemodynamic monitoring in patients with pulmonary arterial hypertension. J Heart Lung Transplant 2008;27:780-8.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34.Pudil R, Mueller C, Čelutkienė J et al. Role of serum biomarkers in cancer patients receiving cardiotoxic cancer therapies: a position statement from the Cardio-Oncology Study Group of the Heart Failure Association and the Cardio-Oncology Council of the European Society of Cardiology. Eur J Heart Fail 2020;22:1966-1983.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35.Kamai T, Tokura Y, Uematsu T et al. Elevated serum levels of cardiovascular biomarkers are associated with progression of renal cancer. Open Heart 2018;5:e000666.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36.Pavo N, Raderer M, Hülsmann M et al. Cardiovascular biomarkers in patients with cancer and their association with all-cause mortality. Heart 2015;101:1874-80.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37.Knebel F, Schimke I, Pliet K et al. NT-ProBNP in acute heart failure: correlation with invasively measured hemodynamic parameters during recompensation. J Card Fail 2005;11:S38-41.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38.Souza R, Jardim C, Julio Cesar Fernandes C, Silveira Lapa M, Rabelo R, Humbert M. NT-proBNP as a tool to stratify disease severity in pulmonary arterial hypertension. Respir Med 2007;101:69-75.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39.Ozkan B, Grams ME, Coresh J et al. Associations of N-terminal pro-B-type natriuretic peptide, estimated glomerular filtration rate, and mortality in US adults. Am Heart J 2023;264:49-58.</w:t>
      </w:r>
    </w:p>
    <w:p w:rsidR="007A75F5" w:rsidRPr="006B0C6D" w:rsidRDefault="007A75F5" w:rsidP="007A75F5">
      <w:pPr>
        <w:pStyle w:val="EndNoteBibliography"/>
        <w:ind w:left="720" w:hanging="720"/>
      </w:pPr>
      <w:r w:rsidRPr="006B0C6D">
        <w:t>40.Takase H, Dohi Y. Kidney function crucially affects B-type natriuretic peptide (BNP), N-terminal proBNP and their relationship. Eur J Clin Invest 2014;44:303-8.</w:t>
      </w:r>
    </w:p>
    <w:p w:rsidR="00917069" w:rsidRPr="007A75F5" w:rsidRDefault="007A75F5">
      <w:pPr>
        <w:rPr>
          <w:rFonts w:ascii="Arial" w:hAnsi="Arial" w:cs="Arial"/>
        </w:rPr>
      </w:pPr>
      <w:r w:rsidRPr="009724EE">
        <w:rPr>
          <w:rFonts w:ascii="Arial" w:hAnsi="Arial" w:cs="Arial"/>
        </w:rPr>
        <w:fldChar w:fldCharType="end"/>
      </w:r>
    </w:p>
    <w:sectPr w:rsidR="00917069" w:rsidRPr="007A75F5" w:rsidSect="001D5C1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F0B" w:rsidRDefault="00141F0B">
      <w:pPr>
        <w:spacing w:after="0" w:line="240" w:lineRule="auto"/>
      </w:pPr>
      <w:r>
        <w:separator/>
      </w:r>
    </w:p>
  </w:endnote>
  <w:endnote w:type="continuationSeparator" w:id="0">
    <w:p w:rsidR="00141F0B" w:rsidRDefault="00141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19349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3474" w:rsidRDefault="007A75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1DA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C3474" w:rsidRDefault="00141F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F0B" w:rsidRDefault="00141F0B">
      <w:pPr>
        <w:spacing w:after="0" w:line="240" w:lineRule="auto"/>
      </w:pPr>
      <w:r>
        <w:separator/>
      </w:r>
    </w:p>
  </w:footnote>
  <w:footnote w:type="continuationSeparator" w:id="0">
    <w:p w:rsidR="00141F0B" w:rsidRDefault="00141F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F5"/>
    <w:rsid w:val="00130971"/>
    <w:rsid w:val="00141F0B"/>
    <w:rsid w:val="001747B4"/>
    <w:rsid w:val="00266C50"/>
    <w:rsid w:val="00400D95"/>
    <w:rsid w:val="00555E2D"/>
    <w:rsid w:val="005B1DA0"/>
    <w:rsid w:val="006F4BBB"/>
    <w:rsid w:val="007A75F5"/>
    <w:rsid w:val="00865216"/>
    <w:rsid w:val="00917069"/>
    <w:rsid w:val="00C848F1"/>
    <w:rsid w:val="00E6333B"/>
    <w:rsid w:val="00EC6016"/>
    <w:rsid w:val="00F7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A75F5"/>
    <w:pPr>
      <w:spacing w:after="0" w:line="240" w:lineRule="auto"/>
    </w:pPr>
    <w:rPr>
      <w:rFonts w:ascii="Calibri" w:eastAsiaTheme="minorEastAsia" w:hAnsi="Calibri" w:cs="Calibri"/>
      <w:noProof/>
      <w:sz w:val="24"/>
      <w:szCs w:val="24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7A75F5"/>
    <w:rPr>
      <w:rFonts w:ascii="Calibri" w:eastAsiaTheme="minorEastAsia" w:hAnsi="Calibri" w:cs="Calibri"/>
      <w:noProof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7A75F5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A75F5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4"/>
      <w:szCs w:val="24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7A75F5"/>
    <w:rPr>
      <w:rFonts w:eastAsiaTheme="minorEastAsia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A75F5"/>
    <w:pPr>
      <w:spacing w:after="0" w:line="240" w:lineRule="auto"/>
    </w:pPr>
    <w:rPr>
      <w:rFonts w:ascii="Calibri" w:eastAsiaTheme="minorEastAsia" w:hAnsi="Calibri" w:cs="Calibri"/>
      <w:noProof/>
      <w:sz w:val="24"/>
      <w:szCs w:val="24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7A75F5"/>
    <w:rPr>
      <w:rFonts w:ascii="Calibri" w:eastAsiaTheme="minorEastAsia" w:hAnsi="Calibri" w:cs="Calibri"/>
      <w:noProof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7A75F5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A75F5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4"/>
      <w:szCs w:val="24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7A75F5"/>
    <w:rPr>
      <w:rFonts w:eastAsiaTheme="minorEastAsia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1717</Words>
  <Characters>9793</Characters>
  <Application>Microsoft Office Word</Application>
  <DocSecurity>0</DocSecurity>
  <Lines>81</Lines>
  <Paragraphs>22</Paragraphs>
  <ScaleCrop>false</ScaleCrop>
  <Company/>
  <LinksUpToDate>false</LinksUpToDate>
  <CharactersWithSpaces>11488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e758241</dc:creator>
  <cp:lastModifiedBy>Meriam Bacla-an</cp:lastModifiedBy>
  <cp:revision>3</cp:revision>
  <dcterms:created xsi:type="dcterms:W3CDTF">2025-06-09T01:28:00Z</dcterms:created>
  <dcterms:modified xsi:type="dcterms:W3CDTF">2025-06-21T21:44:00Z</dcterms:modified>
</cp:coreProperties>
</file>