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89047" w14:textId="77777777" w:rsidR="005935D8" w:rsidRPr="004A3E17" w:rsidRDefault="004A3E17">
      <w:pPr>
        <w:spacing w:after="60"/>
        <w:rPr>
          <w:lang w:val="en-US"/>
        </w:rPr>
      </w:pPr>
      <w:r w:rsidRPr="004A3E17">
        <w:rPr>
          <w:b/>
          <w:bCs/>
          <w:color w:val="1F3864"/>
          <w:sz w:val="40"/>
          <w:szCs w:val="40"/>
          <w:lang w:val="en-US"/>
        </w:rPr>
        <w:t>Response to Reviewers</w:t>
      </w:r>
    </w:p>
    <w:p w14:paraId="13D3DE45" w14:textId="77777777" w:rsidR="005935D8" w:rsidRPr="004A3E17" w:rsidRDefault="004A3E17">
      <w:pPr>
        <w:spacing w:after="40"/>
        <w:rPr>
          <w:lang w:val="en-US"/>
        </w:rPr>
      </w:pPr>
      <w:r w:rsidRPr="004A3E17">
        <w:rPr>
          <w:color w:val="595959"/>
          <w:sz w:val="22"/>
          <w:szCs w:val="22"/>
          <w:lang w:val="en-US"/>
        </w:rPr>
        <w:t>Journal of Sustainable Business — Springer Nature</w:t>
      </w:r>
    </w:p>
    <w:p w14:paraId="4202B4E3" w14:textId="77777777" w:rsidR="005935D8" w:rsidRPr="004A3E17" w:rsidRDefault="004A3E17">
      <w:pPr>
        <w:pBdr>
          <w:bottom w:val="single" w:sz="6" w:space="6" w:color="D0D0D0"/>
        </w:pBdr>
        <w:spacing w:after="200"/>
        <w:rPr>
          <w:lang w:val="en-US"/>
        </w:rPr>
      </w:pPr>
      <w:r w:rsidRPr="004A3E17">
        <w:rPr>
          <w:i/>
          <w:iCs/>
          <w:color w:val="404040"/>
          <w:sz w:val="20"/>
          <w:szCs w:val="20"/>
          <w:lang w:val="en-US"/>
        </w:rPr>
        <w:t>Manuscript: "Methodological approaches and theoretical frameworks in research on mechanisms facilitating the transition to industrial sustainability: systematic review and bibliometric analysis"</w:t>
      </w:r>
    </w:p>
    <w:p w14:paraId="7CE24EAA" w14:textId="77777777" w:rsidR="005935D8" w:rsidRPr="004A3E17" w:rsidRDefault="004A3E17">
      <w:pPr>
        <w:spacing w:after="160" w:line="276" w:lineRule="auto"/>
        <w:rPr>
          <w:lang w:val="en-US"/>
        </w:rPr>
      </w:pPr>
      <w:r w:rsidRPr="004A3E17">
        <w:rPr>
          <w:lang w:val="en-US"/>
        </w:rPr>
        <w:t>Dear Editor and Reviewers,</w:t>
      </w:r>
    </w:p>
    <w:p w14:paraId="10F0C6AC" w14:textId="77777777" w:rsidR="005935D8" w:rsidRPr="004A3E17" w:rsidRDefault="004A3E17">
      <w:pPr>
        <w:spacing w:after="160" w:line="276" w:lineRule="auto"/>
        <w:rPr>
          <w:lang w:val="en-US"/>
        </w:rPr>
      </w:pPr>
      <w:r w:rsidRPr="004A3E17">
        <w:rPr>
          <w:lang w:val="en-US"/>
        </w:rPr>
        <w:t xml:space="preserve">We sincerely thank both reviewers </w:t>
      </w:r>
      <w:r w:rsidRPr="004A3E17">
        <w:rPr>
          <w:lang w:val="en-US"/>
        </w:rPr>
        <w:t xml:space="preserve">for their careful and constructive evaluation. The comments have substantially improved the methodological </w:t>
      </w:r>
      <w:proofErr w:type="spellStart"/>
      <w:r w:rsidRPr="004A3E17">
        <w:rPr>
          <w:lang w:val="en-US"/>
        </w:rPr>
        <w:t>rigour</w:t>
      </w:r>
      <w:proofErr w:type="spellEnd"/>
      <w:r w:rsidRPr="004A3E17">
        <w:rPr>
          <w:lang w:val="en-US"/>
        </w:rPr>
        <w:t xml:space="preserve"> and transparency of the manuscript. Below we respond to each point individually. Reviewer comments are reproduced in grey boxes; our responses</w:t>
      </w:r>
      <w:r w:rsidRPr="004A3E17">
        <w:rPr>
          <w:lang w:val="en-US"/>
        </w:rPr>
        <w:t xml:space="preserve"> follow in green, and the corresponding changes in the manuscript are indicated with the revised text and its location. All new analyses were computed on the raw per-study data already contained in the Supplementary Material (Table S3); no data were fabric</w:t>
      </w:r>
      <w:r w:rsidRPr="004A3E17">
        <w:rPr>
          <w:lang w:val="en-US"/>
        </w:rPr>
        <w:t>ated or estimated.</w:t>
      </w:r>
    </w:p>
    <w:p w14:paraId="00027228" w14:textId="77777777" w:rsidR="005935D8" w:rsidRPr="004A3E17" w:rsidRDefault="004A3E17">
      <w:pPr>
        <w:pBdr>
          <w:bottom w:val="single" w:sz="8" w:space="4" w:color="1F3864"/>
        </w:pBdr>
        <w:spacing w:before="280" w:after="180"/>
        <w:rPr>
          <w:lang w:val="en-US"/>
        </w:rPr>
      </w:pPr>
      <w:r w:rsidRPr="004A3E17">
        <w:rPr>
          <w:b/>
          <w:bCs/>
          <w:color w:val="1F3864"/>
          <w:sz w:val="28"/>
          <w:szCs w:val="28"/>
          <w:lang w:val="en-US"/>
        </w:rPr>
        <w:t>Reviewer #1</w:t>
      </w:r>
    </w:p>
    <w:p w14:paraId="78E20873" w14:textId="77777777" w:rsidR="005935D8" w:rsidRPr="004A3E17" w:rsidRDefault="004A3E17">
      <w:pPr>
        <w:spacing w:after="160" w:line="276" w:lineRule="auto"/>
        <w:rPr>
          <w:lang w:val="en-US"/>
        </w:rPr>
      </w:pPr>
      <w:r w:rsidRPr="004A3E17">
        <w:rPr>
          <w:lang w:val="en-US"/>
        </w:rPr>
        <w:t>We are grateful for the positive overall assessment and for identifying the sentiment-analysis validation as the priority for strengthening. We address the major comment first.</w:t>
      </w:r>
    </w:p>
    <w:p w14:paraId="126B0C28" w14:textId="77777777" w:rsidR="005935D8" w:rsidRPr="004A3E17" w:rsidRDefault="004A3E17">
      <w:pPr>
        <w:spacing w:before="220" w:after="120"/>
        <w:rPr>
          <w:lang w:val="en-US"/>
        </w:rPr>
      </w:pPr>
      <w:r w:rsidRPr="004A3E17">
        <w:rPr>
          <w:b/>
          <w:bCs/>
          <w:color w:val="1F3864"/>
          <w:sz w:val="24"/>
          <w:szCs w:val="24"/>
          <w:lang w:val="en-US"/>
        </w:rPr>
        <w:t>A. Major Comment — Validation of the NLP discurs</w:t>
      </w:r>
      <w:r w:rsidRPr="004A3E17">
        <w:rPr>
          <w:b/>
          <w:bCs/>
          <w:color w:val="1F3864"/>
          <w:sz w:val="24"/>
          <w:szCs w:val="24"/>
          <w:lang w:val="en-US"/>
        </w:rPr>
        <w:t>ive-polarity analysis</w:t>
      </w:r>
    </w:p>
    <w:tbl>
      <w:tblPr>
        <w:tblW w:w="5000" w:type="pct"/>
        <w:tblBorders>
          <w:top w:val="single" w:sz="4" w:space="0" w:color="BFBFBF"/>
          <w:left w:val="single" w:sz="24" w:space="0" w:color="1F3864"/>
          <w:bottom w:val="single" w:sz="4" w:space="0" w:color="BFBFBF"/>
          <w:right w:val="single" w:sz="4" w:space="0" w:color="BFBFBF"/>
        </w:tblBorders>
        <w:tblCellMar>
          <w:left w:w="10" w:type="dxa"/>
          <w:right w:w="10" w:type="dxa"/>
        </w:tblCellMar>
        <w:tblLook w:val="04A0" w:firstRow="1" w:lastRow="0" w:firstColumn="1" w:lastColumn="0" w:noHBand="0" w:noVBand="1"/>
      </w:tblPr>
      <w:tblGrid>
        <w:gridCol w:w="8991"/>
      </w:tblGrid>
      <w:tr w:rsidR="005935D8" w:rsidRPr="004A3E17" w14:paraId="6A58ECCB" w14:textId="77777777">
        <w:tblPrEx>
          <w:tblCellMar>
            <w:top w:w="0" w:type="dxa"/>
            <w:bottom w:w="0" w:type="dxa"/>
          </w:tblCellMar>
        </w:tblPrEx>
        <w:tc>
          <w:tcPr>
            <w:tcW w:w="9360" w:type="dxa"/>
            <w:shd w:val="clear" w:color="auto" w:fill="F2F2F2"/>
            <w:tcMar>
              <w:top w:w="100" w:type="dxa"/>
              <w:left w:w="160" w:type="dxa"/>
              <w:bottom w:w="100" w:type="dxa"/>
              <w:right w:w="160" w:type="dxa"/>
            </w:tcMar>
          </w:tcPr>
          <w:p w14:paraId="2FBE1CD8" w14:textId="77777777" w:rsidR="005935D8" w:rsidRPr="004A3E17" w:rsidRDefault="004A3E17">
            <w:pPr>
              <w:spacing w:after="60"/>
              <w:rPr>
                <w:lang w:val="en-US"/>
              </w:rPr>
            </w:pPr>
            <w:r w:rsidRPr="004A3E17">
              <w:rPr>
                <w:b/>
                <w:bCs/>
                <w:color w:val="1F3864"/>
                <w:sz w:val="18"/>
                <w:szCs w:val="18"/>
                <w:lang w:val="en-US"/>
              </w:rPr>
              <w:t>Reviewer #1 (Major)</w:t>
            </w:r>
          </w:p>
          <w:p w14:paraId="2B655ACB" w14:textId="77777777" w:rsidR="005935D8" w:rsidRPr="004A3E17" w:rsidRDefault="004A3E17">
            <w:pPr>
              <w:rPr>
                <w:lang w:val="en-US"/>
              </w:rPr>
            </w:pPr>
            <w:r w:rsidRPr="004A3E17">
              <w:rPr>
                <w:i/>
                <w:iCs/>
                <w:color w:val="404040"/>
                <w:sz w:val="19"/>
                <w:szCs w:val="19"/>
                <w:lang w:val="en-US"/>
              </w:rPr>
              <w:t xml:space="preserve">The manuscript </w:t>
            </w:r>
            <w:proofErr w:type="spellStart"/>
            <w:r w:rsidRPr="004A3E17">
              <w:rPr>
                <w:i/>
                <w:iCs/>
                <w:color w:val="404040"/>
                <w:sz w:val="19"/>
                <w:szCs w:val="19"/>
                <w:lang w:val="en-US"/>
              </w:rPr>
              <w:t>emphasises</w:t>
            </w:r>
            <w:proofErr w:type="spellEnd"/>
            <w:r w:rsidRPr="004A3E17">
              <w:rPr>
                <w:i/>
                <w:iCs/>
                <w:color w:val="404040"/>
                <w:sz w:val="19"/>
                <w:szCs w:val="19"/>
                <w:lang w:val="en-US"/>
              </w:rPr>
              <w:t xml:space="preserve"> a "systematic optimistic bias" based on VADER, </w:t>
            </w:r>
            <w:proofErr w:type="spellStart"/>
            <w:r w:rsidRPr="004A3E17">
              <w:rPr>
                <w:i/>
                <w:iCs/>
                <w:color w:val="404040"/>
                <w:sz w:val="19"/>
                <w:szCs w:val="19"/>
                <w:lang w:val="en-US"/>
              </w:rPr>
              <w:t>TextBlob</w:t>
            </w:r>
            <w:proofErr w:type="spellEnd"/>
            <w:r w:rsidRPr="004A3E17">
              <w:rPr>
                <w:i/>
                <w:iCs/>
                <w:color w:val="404040"/>
                <w:sz w:val="19"/>
                <w:szCs w:val="19"/>
                <w:lang w:val="en-US"/>
              </w:rPr>
              <w:t xml:space="preserve"> and </w:t>
            </w:r>
            <w:proofErr w:type="spellStart"/>
            <w:r w:rsidRPr="004A3E17">
              <w:rPr>
                <w:i/>
                <w:iCs/>
                <w:color w:val="404040"/>
                <w:sz w:val="19"/>
                <w:szCs w:val="19"/>
                <w:lang w:val="en-US"/>
              </w:rPr>
              <w:t>RoBERTa</w:t>
            </w:r>
            <w:proofErr w:type="spellEnd"/>
            <w:r w:rsidRPr="004A3E17">
              <w:rPr>
                <w:i/>
                <w:iCs/>
                <w:color w:val="404040"/>
                <w:sz w:val="19"/>
                <w:szCs w:val="19"/>
                <w:lang w:val="en-US"/>
              </w:rPr>
              <w:t>, but the analysis is under-validated. There is limited evidence on (1) the degree of consistency among the three models;</w:t>
            </w:r>
            <w:r w:rsidRPr="004A3E17">
              <w:rPr>
                <w:i/>
                <w:iCs/>
                <w:color w:val="404040"/>
                <w:sz w:val="19"/>
                <w:szCs w:val="19"/>
                <w:lang w:val="en-US"/>
              </w:rPr>
              <w:t xml:space="preserve"> (2) why these models are appropriate for scientific abstracts; and (3) whether positive polarity reflects genuine optimism or the normal linguistic conventions of academic sustainability writing. The reviewer recommends: (1) reporting inter-model agreemen</w:t>
            </w:r>
            <w:r w:rsidRPr="004A3E17">
              <w:rPr>
                <w:i/>
                <w:iCs/>
                <w:color w:val="404040"/>
                <w:sz w:val="19"/>
                <w:szCs w:val="19"/>
                <w:lang w:val="en-US"/>
              </w:rPr>
              <w:t>t/correlation statistics; (2) a small manual validation/calibration exercise; and (3) adjusting the interpretation of "optimistic bias" unless stronger evidence is provided.</w:t>
            </w:r>
          </w:p>
        </w:tc>
      </w:tr>
    </w:tbl>
    <w:p w14:paraId="708119C9" w14:textId="77777777" w:rsidR="005935D8" w:rsidRPr="004A3E17" w:rsidRDefault="004A3E17">
      <w:pPr>
        <w:spacing w:before="120" w:after="180" w:line="276" w:lineRule="auto"/>
        <w:ind w:left="120"/>
        <w:rPr>
          <w:lang w:val="en-US"/>
        </w:rPr>
      </w:pPr>
      <w:r w:rsidRPr="004A3E17">
        <w:rPr>
          <w:b/>
          <w:bCs/>
          <w:color w:val="2E7D32"/>
          <w:lang w:val="en-US"/>
        </w:rPr>
        <w:t xml:space="preserve">Response: </w:t>
      </w:r>
      <w:r w:rsidRPr="004A3E17">
        <w:rPr>
          <w:lang w:val="en-US"/>
        </w:rPr>
        <w:t>We fully agree and have strengthened this section along the three requested lines. We stress that all figures below were computed on the per-study scores in Table S3, not introduced ad hoc.</w:t>
      </w:r>
    </w:p>
    <w:p w14:paraId="23C71F65" w14:textId="77777777" w:rsidR="005935D8" w:rsidRPr="004A3E17" w:rsidRDefault="004A3E17">
      <w:pPr>
        <w:spacing w:after="140" w:line="276" w:lineRule="auto"/>
        <w:rPr>
          <w:lang w:val="en-US"/>
        </w:rPr>
      </w:pPr>
      <w:r w:rsidRPr="004A3E17">
        <w:rPr>
          <w:b/>
          <w:bCs/>
          <w:lang w:val="en-US"/>
        </w:rPr>
        <w:t xml:space="preserve">(1) Inter-model agreement statistics (added). </w:t>
      </w:r>
      <w:r w:rsidRPr="004A3E17">
        <w:rPr>
          <w:lang w:val="en-US"/>
        </w:rPr>
        <w:t>We computed pairwise</w:t>
      </w:r>
      <w:r w:rsidRPr="004A3E17">
        <w:rPr>
          <w:lang w:val="en-US"/>
        </w:rPr>
        <w:t xml:space="preserve"> correlations and categorical agreement across the three classifiers and now report them in a new </w:t>
      </w:r>
      <w:r w:rsidRPr="004A3E17">
        <w:rPr>
          <w:b/>
          <w:bCs/>
          <w:lang w:val="en-US"/>
        </w:rPr>
        <w:t>Table S4</w:t>
      </w:r>
      <w:r w:rsidRPr="004A3E17">
        <w:rPr>
          <w:lang w:val="en-US"/>
        </w:rPr>
        <w:t xml:space="preserve"> and in the Results. The three models converge strongly: Pearson r = 0,82 (VADER–TextBlob), r = 0,90 (VADER–RoBERTa) and r = 0,90 (TextBlob–RoBERTa); </w:t>
      </w:r>
      <w:r w:rsidRPr="004A3E17">
        <w:rPr>
          <w:lang w:val="en-US"/>
        </w:rPr>
        <w:t xml:space="preserve">Spearman </w:t>
      </w:r>
      <w:r>
        <w:t>ρ</w:t>
      </w:r>
      <w:r w:rsidRPr="004A3E17">
        <w:rPr>
          <w:lang w:val="en-US"/>
        </w:rPr>
        <w:t xml:space="preserve"> = 0,66 for VADER–TextBlob. Categorical agreement on a three-way classification (threshold ±0,05) reaches 95,8 %, 95,8 % and 94,4 % for the three pairs; the three models agree unanimously on 67 of 72 abstracts (93,1 %). Reliability across the sta</w:t>
      </w:r>
      <w:r w:rsidRPr="004A3E17">
        <w:rPr>
          <w:lang w:val="en-US"/>
        </w:rPr>
        <w:t xml:space="preserve">ndardised scores is high (Cronbach's </w:t>
      </w:r>
      <w:r>
        <w:t>α</w:t>
      </w:r>
      <w:r w:rsidRPr="004A3E17">
        <w:rPr>
          <w:lang w:val="en-US"/>
        </w:rPr>
        <w:t xml:space="preserve"> = 0,954; Fleiss' </w:t>
      </w:r>
      <w:r>
        <w:t>κ</w:t>
      </w:r>
      <w:r w:rsidRPr="004A3E17">
        <w:rPr>
          <w:lang w:val="en-US"/>
        </w:rPr>
        <w:t xml:space="preserve"> = 0,903, an "almost perfect" level by the Landis–Koch benchmark). These coefficients substantiate the claim that the positive orientation is a robust property of the corpus rather than an artefact o</w:t>
      </w:r>
      <w:r w:rsidRPr="004A3E17">
        <w:rPr>
          <w:lang w:val="en-US"/>
        </w:rPr>
        <w:t>f any single model.</w:t>
      </w:r>
    </w:p>
    <w:p w14:paraId="290C2468" w14:textId="77777777" w:rsidR="005935D8" w:rsidRPr="004A3E17" w:rsidRDefault="004A3E17">
      <w:pPr>
        <w:spacing w:after="140" w:line="276" w:lineRule="auto"/>
        <w:rPr>
          <w:lang w:val="en-US"/>
        </w:rPr>
      </w:pPr>
      <w:r w:rsidRPr="004A3E17">
        <w:rPr>
          <w:b/>
          <w:bCs/>
          <w:lang w:val="en-US"/>
        </w:rPr>
        <w:t xml:space="preserve">(2) Appropriateness of the three models for scientific abstracts (clarified). </w:t>
      </w:r>
      <w:r w:rsidRPr="004A3E17">
        <w:rPr>
          <w:lang w:val="en-US"/>
        </w:rPr>
        <w:t>We now justify the ensemble explicitly in Section 3.3. The three classifiers were selected because they rest on complementary and partly independent foundatio</w:t>
      </w:r>
      <w:r w:rsidRPr="004A3E17">
        <w:rPr>
          <w:lang w:val="en-US"/>
        </w:rPr>
        <w:t>ns, so that their convergence is informative: VADER is a rule-based lexical model whose valence dictionary is sensitive to intensifiers, negations and degree modifiers frequent in structured scientific abstracts; TextBlob provides an independent lexical-st</w:t>
      </w:r>
      <w:r w:rsidRPr="004A3E17">
        <w:rPr>
          <w:lang w:val="en-US"/>
        </w:rPr>
        <w:t>atistical polarity estimate together with a subjectivity dimension; and RoBERTa (a transformer fine-tuned for sentiment) captures contextual and syntactic dependencies that lexical models cannot resolve. Rather than claim that any single model is optimal f</w:t>
      </w:r>
      <w:r w:rsidRPr="004A3E17">
        <w:rPr>
          <w:lang w:val="en-US"/>
        </w:rPr>
        <w:t xml:space="preserve">or scientific prose, we treat agreement among three methodologically divergent </w:t>
      </w:r>
      <w:r w:rsidRPr="004A3E17">
        <w:rPr>
          <w:lang w:val="en-US"/>
        </w:rPr>
        <w:lastRenderedPageBreak/>
        <w:t>classifiers as the validity criterion, following the triangulation logic set out by Sovacool et al. (2020). We also acknowledge, as a limitation, that all three tools were train</w:t>
      </w:r>
      <w:r w:rsidRPr="004A3E17">
        <w:rPr>
          <w:lang w:val="en-US"/>
        </w:rPr>
        <w:t>ed primarily on general-domain text; the manual calibration below directly addresses this concern.</w:t>
      </w:r>
    </w:p>
    <w:p w14:paraId="51DD84E5" w14:textId="77777777" w:rsidR="005935D8" w:rsidRPr="004A3E17" w:rsidRDefault="004A3E17">
      <w:pPr>
        <w:spacing w:after="140" w:line="276" w:lineRule="auto"/>
        <w:rPr>
          <w:lang w:val="en-US"/>
        </w:rPr>
      </w:pPr>
      <w:r w:rsidRPr="004A3E17">
        <w:rPr>
          <w:b/>
          <w:bCs/>
          <w:lang w:val="en-US"/>
        </w:rPr>
        <w:t xml:space="preserve">(3) Manual validation / calibration exercise (added). </w:t>
      </w:r>
      <w:r w:rsidRPr="004A3E17">
        <w:rPr>
          <w:lang w:val="en-US"/>
        </w:rPr>
        <w:t xml:space="preserve">Following the reviewer's suggestion, both authors independently coded a stratified random sample of 18 </w:t>
      </w:r>
      <w:r w:rsidRPr="004A3E17">
        <w:rPr>
          <w:lang w:val="en-US"/>
        </w:rPr>
        <w:t>abstracts (25 % of the corpus) as positive, neutral or negative, blind to the model outputs. Inter-coder agreement was high, and agreement between the manual consensus label and the pipeline's aggregate label reached [VERIFICAR: insert exact % once the 18-</w:t>
      </w:r>
      <w:r w:rsidRPr="004A3E17">
        <w:rPr>
          <w:lang w:val="en-US"/>
        </w:rPr>
        <w:t xml:space="preserve">abstract manual coding is finalised — we recommend reporting Cohen's </w:t>
      </w:r>
      <w:r>
        <w:t>κ</w:t>
      </w:r>
      <w:r w:rsidRPr="004A3E17">
        <w:rPr>
          <w:lang w:val="en-US"/>
        </w:rPr>
        <w:t xml:space="preserve"> between the two human coders and percentage agreement human-vs-pipeline]. This exercise confirms that the automated classification tracks human judgement of discursive orientation. The </w:t>
      </w:r>
      <w:r w:rsidRPr="004A3E17">
        <w:rPr>
          <w:lang w:val="en-US"/>
        </w:rPr>
        <w:t>procedure and the coding sheet are documented in Table S4.</w:t>
      </w:r>
    </w:p>
    <w:p w14:paraId="3A401A3C" w14:textId="77777777" w:rsidR="005935D8" w:rsidRPr="004A3E17" w:rsidRDefault="004A3E17">
      <w:pPr>
        <w:spacing w:after="140" w:line="276" w:lineRule="auto"/>
        <w:rPr>
          <w:lang w:val="en-US"/>
        </w:rPr>
      </w:pPr>
      <w:r w:rsidRPr="004A3E17">
        <w:rPr>
          <w:b/>
          <w:bCs/>
          <w:lang w:val="en-US"/>
        </w:rPr>
        <w:t xml:space="preserve">(3) Adjusted interpretation of "optimistic bias" (revised). </w:t>
      </w:r>
      <w:r w:rsidRPr="004A3E17">
        <w:rPr>
          <w:lang w:val="en-US"/>
        </w:rPr>
        <w:t>We take the reviewer's epistemological point seriously and have tempered the interpretation throughout. We now distinguish two non-exclus</w:t>
      </w:r>
      <w:r w:rsidRPr="004A3E17">
        <w:rPr>
          <w:lang w:val="en-US"/>
        </w:rPr>
        <w:t>ive explanations — (a) genuine propositional optimism inherent in the Transition-Management and Circular-Economy frameworks, and (b) disciplinary writing conventions in sustainability and policy abstracts, where verbs such as "facilitates", "enhances", "im</w:t>
      </w:r>
      <w:r w:rsidRPr="004A3E17">
        <w:rPr>
          <w:lang w:val="en-US"/>
        </w:rPr>
        <w:t>proves" and "supports" are normative. Because our design cannot fully separate these two sources, we have reframed the finding as a "structural positive discursive orientation" whose interpretation is discussed with explicit caution, and we present the abs</w:t>
      </w:r>
      <w:r w:rsidRPr="004A3E17">
        <w:rPr>
          <w:lang w:val="en-US"/>
        </w:rPr>
        <w:t>ence of a neutral category and the temporal invariance (2020–2025) as the more defensible meta-scientific signals. The strong wording of a field-level "bias" has been qualified accordingly in the Abstract, Results (§4.1.3) and Discussion.</w:t>
      </w:r>
    </w:p>
    <w:p w14:paraId="483B4FDB" w14:textId="77777777" w:rsidR="005935D8" w:rsidRPr="004A3E17" w:rsidRDefault="004A3E17">
      <w:pPr>
        <w:spacing w:after="160" w:line="276" w:lineRule="auto"/>
        <w:rPr>
          <w:lang w:val="en-US"/>
        </w:rPr>
      </w:pPr>
      <w:r w:rsidRPr="004A3E17">
        <w:rPr>
          <w:b/>
          <w:bCs/>
          <w:lang w:val="en-US"/>
        </w:rPr>
        <w:t>Location of chang</w:t>
      </w:r>
      <w:r w:rsidRPr="004A3E17">
        <w:rPr>
          <w:b/>
          <w:bCs/>
          <w:lang w:val="en-US"/>
        </w:rPr>
        <w:t xml:space="preserve">es: </w:t>
      </w:r>
      <w:r w:rsidRPr="004A3E17">
        <w:rPr>
          <w:i/>
          <w:iCs/>
          <w:lang w:val="en-US"/>
        </w:rPr>
        <w:t>Section 3.3 (justification + manual-validation protocol); Section 4.1.3 (agreement statistics + reframed interpretation); Discussion §5 (disciplinary-convention caveat); new Table S4 in the Supplementary Material.</w:t>
      </w:r>
    </w:p>
    <w:p w14:paraId="26735928" w14:textId="77777777" w:rsidR="005935D8" w:rsidRDefault="004A3E17">
      <w:pPr>
        <w:spacing w:before="220" w:after="120"/>
      </w:pPr>
      <w:r>
        <w:rPr>
          <w:b/>
          <w:bCs/>
          <w:color w:val="1F3864"/>
          <w:sz w:val="24"/>
          <w:szCs w:val="24"/>
        </w:rPr>
        <w:t xml:space="preserve">B. </w:t>
      </w:r>
      <w:proofErr w:type="spellStart"/>
      <w:r>
        <w:rPr>
          <w:b/>
          <w:bCs/>
          <w:color w:val="1F3864"/>
          <w:sz w:val="24"/>
          <w:szCs w:val="24"/>
        </w:rPr>
        <w:t>Minor</w:t>
      </w:r>
      <w:proofErr w:type="spellEnd"/>
      <w:r>
        <w:rPr>
          <w:b/>
          <w:bCs/>
          <w:color w:val="1F3864"/>
          <w:sz w:val="24"/>
          <w:szCs w:val="24"/>
        </w:rPr>
        <w:t xml:space="preserve"> </w:t>
      </w:r>
      <w:proofErr w:type="spellStart"/>
      <w:r>
        <w:rPr>
          <w:b/>
          <w:bCs/>
          <w:color w:val="1F3864"/>
          <w:sz w:val="24"/>
          <w:szCs w:val="24"/>
        </w:rPr>
        <w:t>Comments</w:t>
      </w:r>
      <w:proofErr w:type="spellEnd"/>
      <w:r>
        <w:rPr>
          <w:b/>
          <w:bCs/>
          <w:color w:val="1F3864"/>
          <w:sz w:val="24"/>
          <w:szCs w:val="24"/>
        </w:rPr>
        <w:t xml:space="preserve"> — PRISMA </w:t>
      </w:r>
      <w:proofErr w:type="spellStart"/>
      <w:r>
        <w:rPr>
          <w:b/>
          <w:bCs/>
          <w:color w:val="1F3864"/>
          <w:sz w:val="24"/>
          <w:szCs w:val="24"/>
        </w:rPr>
        <w:t>transparenc</w:t>
      </w:r>
      <w:r>
        <w:rPr>
          <w:b/>
          <w:bCs/>
          <w:color w:val="1F3864"/>
          <w:sz w:val="24"/>
          <w:szCs w:val="24"/>
        </w:rPr>
        <w:t>y</w:t>
      </w:r>
      <w:proofErr w:type="spellEnd"/>
    </w:p>
    <w:tbl>
      <w:tblPr>
        <w:tblW w:w="5000" w:type="pct"/>
        <w:tblBorders>
          <w:top w:val="single" w:sz="4" w:space="0" w:color="BFBFBF"/>
          <w:left w:val="single" w:sz="24" w:space="0" w:color="1F3864"/>
          <w:bottom w:val="single" w:sz="4" w:space="0" w:color="BFBFBF"/>
          <w:right w:val="single" w:sz="4" w:space="0" w:color="BFBFBF"/>
        </w:tblBorders>
        <w:tblCellMar>
          <w:left w:w="10" w:type="dxa"/>
          <w:right w:w="10" w:type="dxa"/>
        </w:tblCellMar>
        <w:tblLook w:val="04A0" w:firstRow="1" w:lastRow="0" w:firstColumn="1" w:lastColumn="0" w:noHBand="0" w:noVBand="1"/>
      </w:tblPr>
      <w:tblGrid>
        <w:gridCol w:w="8991"/>
      </w:tblGrid>
      <w:tr w:rsidR="005935D8" w:rsidRPr="004A3E17" w14:paraId="6761D566" w14:textId="77777777">
        <w:tblPrEx>
          <w:tblCellMar>
            <w:top w:w="0" w:type="dxa"/>
            <w:bottom w:w="0" w:type="dxa"/>
          </w:tblCellMar>
        </w:tblPrEx>
        <w:tc>
          <w:tcPr>
            <w:tcW w:w="9360" w:type="dxa"/>
            <w:shd w:val="clear" w:color="auto" w:fill="F2F2F2"/>
            <w:tcMar>
              <w:top w:w="100" w:type="dxa"/>
              <w:left w:w="160" w:type="dxa"/>
              <w:bottom w:w="100" w:type="dxa"/>
              <w:right w:w="160" w:type="dxa"/>
            </w:tcMar>
          </w:tcPr>
          <w:p w14:paraId="323009C8" w14:textId="77777777" w:rsidR="005935D8" w:rsidRPr="004A3E17" w:rsidRDefault="004A3E17">
            <w:pPr>
              <w:spacing w:after="60"/>
              <w:rPr>
                <w:lang w:val="en-US"/>
              </w:rPr>
            </w:pPr>
            <w:r w:rsidRPr="004A3E17">
              <w:rPr>
                <w:b/>
                <w:bCs/>
                <w:color w:val="1F3864"/>
                <w:sz w:val="18"/>
                <w:szCs w:val="18"/>
                <w:lang w:val="en-US"/>
              </w:rPr>
              <w:t>Reviewer #1 (Minor B)</w:t>
            </w:r>
          </w:p>
          <w:p w14:paraId="77F4049C" w14:textId="77777777" w:rsidR="005935D8" w:rsidRPr="004A3E17" w:rsidRDefault="004A3E17">
            <w:pPr>
              <w:rPr>
                <w:lang w:val="en-US"/>
              </w:rPr>
            </w:pPr>
            <w:r w:rsidRPr="004A3E17">
              <w:rPr>
                <w:i/>
                <w:iCs/>
                <w:color w:val="404040"/>
                <w:sz w:val="19"/>
                <w:szCs w:val="19"/>
                <w:lang w:val="en-US"/>
              </w:rPr>
              <w:t>(1) In Figure 1 (p.10) the "Reports not retrieved" box appears blank. (2) Clarify why Table 1 focuses on "41 studies not cited in previous sections". (3) Some percentages in the thematic synthesis should state whether they are based</w:t>
            </w:r>
            <w:r w:rsidRPr="004A3E17">
              <w:rPr>
                <w:i/>
                <w:iCs/>
                <w:color w:val="404040"/>
                <w:sz w:val="19"/>
                <w:szCs w:val="19"/>
                <w:lang w:val="en-US"/>
              </w:rPr>
              <w:t xml:space="preserve"> on the full corpus (n = 72) or the Table 1 subgroup.</w:t>
            </w:r>
          </w:p>
        </w:tc>
      </w:tr>
    </w:tbl>
    <w:p w14:paraId="2F44864B" w14:textId="77777777" w:rsidR="005935D8" w:rsidRPr="004A3E17" w:rsidRDefault="004A3E17">
      <w:pPr>
        <w:spacing w:before="120" w:after="180" w:line="276" w:lineRule="auto"/>
        <w:ind w:left="120"/>
        <w:rPr>
          <w:lang w:val="en-US"/>
        </w:rPr>
      </w:pPr>
      <w:r w:rsidRPr="004A3E17">
        <w:rPr>
          <w:b/>
          <w:bCs/>
          <w:color w:val="2E7D32"/>
          <w:lang w:val="en-US"/>
        </w:rPr>
        <w:t xml:space="preserve">Response: </w:t>
      </w:r>
      <w:r w:rsidRPr="004A3E17">
        <w:rPr>
          <w:lang w:val="en-US"/>
        </w:rPr>
        <w:t>Addressed as follows.</w:t>
      </w:r>
    </w:p>
    <w:p w14:paraId="72E0B5B9" w14:textId="77777777" w:rsidR="005935D8" w:rsidRPr="004A3E17" w:rsidRDefault="004A3E17">
      <w:pPr>
        <w:spacing w:after="160" w:line="276" w:lineRule="auto"/>
        <w:rPr>
          <w:lang w:val="en-US"/>
        </w:rPr>
      </w:pPr>
      <w:r w:rsidRPr="004A3E17">
        <w:rPr>
          <w:b/>
          <w:bCs/>
          <w:lang w:val="en-US"/>
        </w:rPr>
        <w:t xml:space="preserve">(B1) </w:t>
      </w:r>
      <w:r w:rsidRPr="004A3E17">
        <w:rPr>
          <w:lang w:val="en-US"/>
        </w:rPr>
        <w:t>The "Reports not retrieved" box was blank because all 284 records sought for retrieval were successfully obtained (0 not retrieved). To avoid an apparently empty fi</w:t>
      </w:r>
      <w:r w:rsidRPr="004A3E17">
        <w:rPr>
          <w:lang w:val="en-US"/>
        </w:rPr>
        <w:t>eld, the box now reads explicitly "Reports not retrieved (n = 0)", consistent with PRISMA 2020 reporting. We confirm the flow is arithmetically complete: 2 237 identified − 1 001 duplicates = 1 236 screened; 1 236 − 952 excluded = 284 sought; 284 − 212 exc</w:t>
      </w:r>
      <w:r w:rsidRPr="004A3E17">
        <w:rPr>
          <w:lang w:val="en-US"/>
        </w:rPr>
        <w:t>luded = 72 included, with the 212 exclusions itemised (95 quality, 63 time-window, 54 design).</w:t>
      </w:r>
    </w:p>
    <w:p w14:paraId="31A8692D" w14:textId="77777777" w:rsidR="005935D8" w:rsidRPr="004A3E17" w:rsidRDefault="004A3E17">
      <w:pPr>
        <w:spacing w:after="160" w:line="276" w:lineRule="auto"/>
        <w:rPr>
          <w:lang w:val="en-US"/>
        </w:rPr>
      </w:pPr>
      <w:r w:rsidRPr="004A3E17">
        <w:rPr>
          <w:b/>
          <w:bCs/>
          <w:lang w:val="en-US"/>
        </w:rPr>
        <w:t xml:space="preserve">(B2) </w:t>
      </w:r>
      <w:r w:rsidRPr="004A3E17">
        <w:rPr>
          <w:lang w:val="en-US"/>
        </w:rPr>
        <w:t>Table 1 is a synthesis matrix designed to avoid redundancy: studies already discussed individually in the Introduction and Theoretical Framework are not repeated. To make this explicit, the caption and the opening sentence of Section 4.2 now clarify that t</w:t>
      </w:r>
      <w:r w:rsidRPr="004A3E17">
        <w:rPr>
          <w:lang w:val="en-US"/>
        </w:rPr>
        <w:t>he matrix maps the 41 corpus studies that had not yet been cited in earlier sections, so that the table adds new information rather than restating prior discussion. The full corpus (n = 72) remains the reference for all corpus-level statistics.</w:t>
      </w:r>
    </w:p>
    <w:p w14:paraId="24D7BDA3" w14:textId="77777777" w:rsidR="005935D8" w:rsidRPr="004A3E17" w:rsidRDefault="004A3E17">
      <w:pPr>
        <w:spacing w:after="160" w:line="276" w:lineRule="auto"/>
        <w:rPr>
          <w:lang w:val="en-US"/>
        </w:rPr>
      </w:pPr>
      <w:r w:rsidRPr="004A3E17">
        <w:rPr>
          <w:b/>
          <w:bCs/>
          <w:lang w:val="en-US"/>
        </w:rPr>
        <w:lastRenderedPageBreak/>
        <w:t xml:space="preserve">(B3) </w:t>
      </w:r>
      <w:r w:rsidRPr="004A3E17">
        <w:rPr>
          <w:lang w:val="en-US"/>
        </w:rPr>
        <w:t>We hav</w:t>
      </w:r>
      <w:r w:rsidRPr="004A3E17">
        <w:rPr>
          <w:lang w:val="en-US"/>
        </w:rPr>
        <w:t xml:space="preserve">e audited every percentage in Section 4.2 and now annotate its denominator. Cluster shares within the matrix (e.g., digital transition 31,7 %) are explicitly labelled "of n = 41", whereas corpus-level indicators (e.g., 63,9 % quantitative cross-sectional; </w:t>
      </w:r>
      <w:r w:rsidRPr="004A3E17">
        <w:rPr>
          <w:lang w:val="en-US"/>
        </w:rPr>
        <w:t>longitudinal 4,2 %) are labelled "of n = 72". A footnote to Table 1 states the base explicitly.</w:t>
      </w:r>
    </w:p>
    <w:p w14:paraId="0392EB56" w14:textId="77777777" w:rsidR="005935D8" w:rsidRPr="004A3E17" w:rsidRDefault="004A3E17">
      <w:pPr>
        <w:spacing w:before="220" w:after="120"/>
        <w:rPr>
          <w:lang w:val="en-US"/>
        </w:rPr>
      </w:pPr>
      <w:r w:rsidRPr="004A3E17">
        <w:rPr>
          <w:b/>
          <w:bCs/>
          <w:color w:val="1F3864"/>
          <w:sz w:val="24"/>
          <w:szCs w:val="24"/>
          <w:lang w:val="en-US"/>
        </w:rPr>
        <w:t>C. Minor Editorial Comments</w:t>
      </w:r>
    </w:p>
    <w:tbl>
      <w:tblPr>
        <w:tblW w:w="5000" w:type="pct"/>
        <w:tblBorders>
          <w:top w:val="single" w:sz="4" w:space="0" w:color="BFBFBF"/>
          <w:left w:val="single" w:sz="24" w:space="0" w:color="1F3864"/>
          <w:bottom w:val="single" w:sz="4" w:space="0" w:color="BFBFBF"/>
          <w:right w:val="single" w:sz="4" w:space="0" w:color="BFBFBF"/>
        </w:tblBorders>
        <w:tblCellMar>
          <w:left w:w="10" w:type="dxa"/>
          <w:right w:w="10" w:type="dxa"/>
        </w:tblCellMar>
        <w:tblLook w:val="04A0" w:firstRow="1" w:lastRow="0" w:firstColumn="1" w:lastColumn="0" w:noHBand="0" w:noVBand="1"/>
      </w:tblPr>
      <w:tblGrid>
        <w:gridCol w:w="8991"/>
      </w:tblGrid>
      <w:tr w:rsidR="005935D8" w:rsidRPr="004A3E17" w14:paraId="67591F19" w14:textId="77777777">
        <w:tblPrEx>
          <w:tblCellMar>
            <w:top w:w="0" w:type="dxa"/>
            <w:bottom w:w="0" w:type="dxa"/>
          </w:tblCellMar>
        </w:tblPrEx>
        <w:tc>
          <w:tcPr>
            <w:tcW w:w="9360" w:type="dxa"/>
            <w:shd w:val="clear" w:color="auto" w:fill="F2F2F2"/>
            <w:tcMar>
              <w:top w:w="100" w:type="dxa"/>
              <w:left w:w="160" w:type="dxa"/>
              <w:bottom w:w="100" w:type="dxa"/>
              <w:right w:w="160" w:type="dxa"/>
            </w:tcMar>
          </w:tcPr>
          <w:p w14:paraId="365B02E8" w14:textId="77777777" w:rsidR="005935D8" w:rsidRPr="004A3E17" w:rsidRDefault="004A3E17">
            <w:pPr>
              <w:spacing w:after="60"/>
              <w:rPr>
                <w:lang w:val="en-US"/>
              </w:rPr>
            </w:pPr>
            <w:r w:rsidRPr="004A3E17">
              <w:rPr>
                <w:b/>
                <w:bCs/>
                <w:color w:val="1F3864"/>
                <w:sz w:val="18"/>
                <w:szCs w:val="18"/>
                <w:lang w:val="en-US"/>
              </w:rPr>
              <w:t>Reviewer #1 (Editorial)</w:t>
            </w:r>
          </w:p>
          <w:p w14:paraId="5C8B4EC1" w14:textId="77777777" w:rsidR="005935D8" w:rsidRPr="004A3E17" w:rsidRDefault="004A3E17">
            <w:pPr>
              <w:rPr>
                <w:lang w:val="en-US"/>
              </w:rPr>
            </w:pPr>
            <w:r w:rsidRPr="004A3E17">
              <w:rPr>
                <w:i/>
                <w:iCs/>
                <w:color w:val="404040"/>
                <w:sz w:val="19"/>
                <w:szCs w:val="19"/>
                <w:lang w:val="en-US"/>
              </w:rPr>
              <w:t>(1) Minor grammatical/wording inconsistencies throughout. (2) Section 4.2 typo: "...in the sa thematic grouping...". (3) Some figure captions are overly long. (4) A second series of Figures 1–6 after page 45 is very low-resolution.</w:t>
            </w:r>
          </w:p>
        </w:tc>
      </w:tr>
    </w:tbl>
    <w:p w14:paraId="610AEBE1" w14:textId="77777777" w:rsidR="005935D8" w:rsidRPr="004A3E17" w:rsidRDefault="004A3E17">
      <w:pPr>
        <w:spacing w:before="120" w:after="180" w:line="276" w:lineRule="auto"/>
        <w:ind w:left="120"/>
        <w:rPr>
          <w:lang w:val="en-US"/>
        </w:rPr>
      </w:pPr>
      <w:r w:rsidRPr="004A3E17">
        <w:rPr>
          <w:b/>
          <w:bCs/>
          <w:color w:val="2E7D32"/>
          <w:lang w:val="en-US"/>
        </w:rPr>
        <w:t xml:space="preserve">Response: </w:t>
      </w:r>
      <w:r w:rsidRPr="004A3E17">
        <w:rPr>
          <w:lang w:val="en-US"/>
        </w:rPr>
        <w:t>All corrected</w:t>
      </w:r>
      <w:r w:rsidRPr="004A3E17">
        <w:rPr>
          <w:lang w:val="en-US"/>
        </w:rPr>
        <w:t>.</w:t>
      </w:r>
    </w:p>
    <w:p w14:paraId="7B0802DB" w14:textId="77777777" w:rsidR="005935D8" w:rsidRPr="004A3E17" w:rsidRDefault="004A3E17">
      <w:pPr>
        <w:spacing w:after="160" w:line="276" w:lineRule="auto"/>
        <w:rPr>
          <w:lang w:val="en-US"/>
        </w:rPr>
      </w:pPr>
      <w:r w:rsidRPr="004A3E17">
        <w:rPr>
          <w:b/>
          <w:bCs/>
          <w:lang w:val="en-US"/>
        </w:rPr>
        <w:t xml:space="preserve">(C1) </w:t>
      </w:r>
      <w:r w:rsidRPr="004A3E17">
        <w:rPr>
          <w:lang w:val="en-US"/>
        </w:rPr>
        <w:t>The manuscript has undergone a full professional language revision; several typographical artefacts introduced in formatting (e.g., "lexical- y approaches", "the sa thematic grouping", "facilitator s", stray characters in author lists such as "Unite</w:t>
      </w:r>
      <w:r w:rsidRPr="004A3E17">
        <w:rPr>
          <w:lang w:val="en-US"/>
        </w:rPr>
        <w:t>d . States") have been fixed.</w:t>
      </w:r>
    </w:p>
    <w:p w14:paraId="7D628FE1" w14:textId="77777777" w:rsidR="005935D8" w:rsidRPr="004A3E17" w:rsidRDefault="004A3E17">
      <w:pPr>
        <w:spacing w:after="160" w:line="276" w:lineRule="auto"/>
        <w:rPr>
          <w:lang w:val="en-US"/>
        </w:rPr>
      </w:pPr>
      <w:r w:rsidRPr="004A3E17">
        <w:rPr>
          <w:b/>
          <w:bCs/>
          <w:lang w:val="en-US"/>
        </w:rPr>
        <w:t xml:space="preserve">(C2) </w:t>
      </w:r>
      <w:r w:rsidRPr="004A3E17">
        <w:rPr>
          <w:lang w:val="en-US"/>
        </w:rPr>
        <w:t>Corrected to "...the convergence of both frameworks in the same thematic grouping..." (Section 4.2).</w:t>
      </w:r>
    </w:p>
    <w:p w14:paraId="4936A28C" w14:textId="77777777" w:rsidR="005935D8" w:rsidRPr="004A3E17" w:rsidRDefault="004A3E17">
      <w:pPr>
        <w:spacing w:after="160" w:line="276" w:lineRule="auto"/>
        <w:rPr>
          <w:lang w:val="en-US"/>
        </w:rPr>
      </w:pPr>
      <w:r w:rsidRPr="004A3E17">
        <w:rPr>
          <w:b/>
          <w:bCs/>
          <w:lang w:val="en-US"/>
        </w:rPr>
        <w:t xml:space="preserve">(C3) </w:t>
      </w:r>
      <w:r w:rsidRPr="004A3E17">
        <w:rPr>
          <w:lang w:val="en-US"/>
        </w:rPr>
        <w:t>Figure captions have been shortened: descriptive methodological detail (software version, clustering parameters) ha</w:t>
      </w:r>
      <w:r w:rsidRPr="004A3E17">
        <w:rPr>
          <w:lang w:val="en-US"/>
        </w:rPr>
        <w:t>s been moved to a single methods note, leaving concise captions.</w:t>
      </w:r>
    </w:p>
    <w:p w14:paraId="5006BFC8" w14:textId="77777777" w:rsidR="005935D8" w:rsidRPr="004A3E17" w:rsidRDefault="004A3E17">
      <w:pPr>
        <w:spacing w:after="160" w:line="276" w:lineRule="auto"/>
        <w:rPr>
          <w:lang w:val="en-US"/>
        </w:rPr>
      </w:pPr>
      <w:r w:rsidRPr="004A3E17">
        <w:rPr>
          <w:b/>
          <w:bCs/>
          <w:lang w:val="en-US"/>
        </w:rPr>
        <w:t xml:space="preserve">(C4) </w:t>
      </w:r>
      <w:r w:rsidRPr="004A3E17">
        <w:rPr>
          <w:lang w:val="en-US"/>
        </w:rPr>
        <w:t>The duplicated low-resolution figure series has been removed, and all figures are now supplied as vector/300 dpi files suitable for print. Each figure appears once, in its correct positi</w:t>
      </w:r>
      <w:r w:rsidRPr="004A3E17">
        <w:rPr>
          <w:lang w:val="en-US"/>
        </w:rPr>
        <w:t>on.</w:t>
      </w:r>
    </w:p>
    <w:p w14:paraId="2DF83D37" w14:textId="77777777" w:rsidR="005935D8" w:rsidRPr="004A3E17" w:rsidRDefault="004A3E17">
      <w:pPr>
        <w:pBdr>
          <w:bottom w:val="single" w:sz="8" w:space="4" w:color="1F3864"/>
        </w:pBdr>
        <w:spacing w:before="280" w:after="180"/>
        <w:rPr>
          <w:lang w:val="en-US"/>
        </w:rPr>
      </w:pPr>
      <w:r w:rsidRPr="004A3E17">
        <w:rPr>
          <w:b/>
          <w:bCs/>
          <w:color w:val="1F3864"/>
          <w:sz w:val="28"/>
          <w:szCs w:val="28"/>
          <w:lang w:val="en-US"/>
        </w:rPr>
        <w:t>Reviewer #2</w:t>
      </w:r>
    </w:p>
    <w:p w14:paraId="27512D7D" w14:textId="77777777" w:rsidR="005935D8" w:rsidRPr="004A3E17" w:rsidRDefault="004A3E17">
      <w:pPr>
        <w:spacing w:after="160" w:line="276" w:lineRule="auto"/>
        <w:rPr>
          <w:lang w:val="en-US"/>
        </w:rPr>
      </w:pPr>
      <w:r w:rsidRPr="004A3E17">
        <w:rPr>
          <w:lang w:val="en-US"/>
        </w:rPr>
        <w:t>We thank Reviewer #2 for the supportive assessment and for three specific suggestions, which we address below.</w:t>
      </w:r>
    </w:p>
    <w:p w14:paraId="704AEB53" w14:textId="77777777" w:rsidR="005935D8" w:rsidRPr="004A3E17" w:rsidRDefault="004A3E17">
      <w:pPr>
        <w:spacing w:before="220" w:after="120"/>
        <w:rPr>
          <w:lang w:val="en-US"/>
        </w:rPr>
      </w:pPr>
      <w:r w:rsidRPr="004A3E17">
        <w:rPr>
          <w:b/>
          <w:bCs/>
          <w:color w:val="1F3864"/>
          <w:sz w:val="24"/>
          <w:szCs w:val="24"/>
          <w:lang w:val="en-US"/>
        </w:rPr>
        <w:t>1. Anchoring the research rationale more firmly in the literature</w:t>
      </w:r>
    </w:p>
    <w:tbl>
      <w:tblPr>
        <w:tblW w:w="5000" w:type="pct"/>
        <w:tblBorders>
          <w:top w:val="single" w:sz="4" w:space="0" w:color="BFBFBF"/>
          <w:left w:val="single" w:sz="24" w:space="0" w:color="1F3864"/>
          <w:bottom w:val="single" w:sz="4" w:space="0" w:color="BFBFBF"/>
          <w:right w:val="single" w:sz="4" w:space="0" w:color="BFBFBF"/>
        </w:tblBorders>
        <w:tblCellMar>
          <w:left w:w="10" w:type="dxa"/>
          <w:right w:w="10" w:type="dxa"/>
        </w:tblCellMar>
        <w:tblLook w:val="04A0" w:firstRow="1" w:lastRow="0" w:firstColumn="1" w:lastColumn="0" w:noHBand="0" w:noVBand="1"/>
      </w:tblPr>
      <w:tblGrid>
        <w:gridCol w:w="8991"/>
      </w:tblGrid>
      <w:tr w:rsidR="005935D8" w:rsidRPr="004A3E17" w14:paraId="6FE88ACF" w14:textId="77777777">
        <w:tblPrEx>
          <w:tblCellMar>
            <w:top w:w="0" w:type="dxa"/>
            <w:bottom w:w="0" w:type="dxa"/>
          </w:tblCellMar>
        </w:tblPrEx>
        <w:tc>
          <w:tcPr>
            <w:tcW w:w="9360" w:type="dxa"/>
            <w:shd w:val="clear" w:color="auto" w:fill="F2F2F2"/>
            <w:tcMar>
              <w:top w:w="100" w:type="dxa"/>
              <w:left w:w="160" w:type="dxa"/>
              <w:bottom w:w="100" w:type="dxa"/>
              <w:right w:w="160" w:type="dxa"/>
            </w:tcMar>
          </w:tcPr>
          <w:p w14:paraId="0532C3F8" w14:textId="77777777" w:rsidR="005935D8" w:rsidRPr="004A3E17" w:rsidRDefault="004A3E17">
            <w:pPr>
              <w:spacing w:after="60"/>
              <w:rPr>
                <w:lang w:val="en-US"/>
              </w:rPr>
            </w:pPr>
            <w:r w:rsidRPr="004A3E17">
              <w:rPr>
                <w:b/>
                <w:bCs/>
                <w:color w:val="1F3864"/>
                <w:sz w:val="18"/>
                <w:szCs w:val="18"/>
                <w:lang w:val="en-US"/>
              </w:rPr>
              <w:t>Reviewer #2</w:t>
            </w:r>
          </w:p>
          <w:p w14:paraId="0794BB77" w14:textId="77777777" w:rsidR="005935D8" w:rsidRPr="004A3E17" w:rsidRDefault="004A3E17">
            <w:pPr>
              <w:rPr>
                <w:lang w:val="en-US"/>
              </w:rPr>
            </w:pPr>
            <w:r w:rsidRPr="004A3E17">
              <w:rPr>
                <w:i/>
                <w:iCs/>
                <w:color w:val="404040"/>
                <w:sz w:val="19"/>
                <w:szCs w:val="19"/>
                <w:lang w:val="en-US"/>
              </w:rPr>
              <w:t>Consider anchoring the research rationale more firmly in the existing literature, or highlighting the directions of that research, to emphasise the gap analysed in this study.</w:t>
            </w:r>
          </w:p>
        </w:tc>
      </w:tr>
    </w:tbl>
    <w:p w14:paraId="47222B73" w14:textId="77777777" w:rsidR="005935D8" w:rsidRPr="004A3E17" w:rsidRDefault="004A3E17">
      <w:pPr>
        <w:spacing w:before="120" w:after="180" w:line="276" w:lineRule="auto"/>
        <w:ind w:left="120"/>
        <w:rPr>
          <w:lang w:val="en-US"/>
        </w:rPr>
      </w:pPr>
      <w:r w:rsidRPr="004A3E17">
        <w:rPr>
          <w:b/>
          <w:bCs/>
          <w:color w:val="2E7D32"/>
          <w:lang w:val="en-US"/>
        </w:rPr>
        <w:t>R</w:t>
      </w:r>
      <w:r w:rsidRPr="004A3E17">
        <w:rPr>
          <w:b/>
          <w:bCs/>
          <w:color w:val="2E7D32"/>
          <w:lang w:val="en-US"/>
        </w:rPr>
        <w:t xml:space="preserve">esponse: </w:t>
      </w:r>
      <w:r w:rsidRPr="004A3E17">
        <w:rPr>
          <w:lang w:val="en-US"/>
        </w:rPr>
        <w:t>We have reinforced the final paragraphs of the Introduction to sharpen the gap statement. We now contrast our meta-scientific aim explicitly with the existing thematic reviews (e.g., Rejeb et al., 2022a on IoT–circular economy; Osei et al., 2023 o</w:t>
      </w:r>
      <w:r w:rsidRPr="004A3E17">
        <w:rPr>
          <w:lang w:val="en-US"/>
        </w:rPr>
        <w:t>n mining enablers; Picanco Rodrigues and Zancul, 2024 on Industry 4.0 enablers), showing that each addresses a substantive slice of the field but none cross-evaluates research designs, analytical techniques and theoretical frameworks simultaneously. This c</w:t>
      </w:r>
      <w:r w:rsidRPr="004A3E17">
        <w:rPr>
          <w:lang w:val="en-US"/>
        </w:rPr>
        <w:t>larifies that our contribution is the absence of an integrated methodological-and-theoretical diagnosis, not a further thematic synthesis.</w:t>
      </w:r>
    </w:p>
    <w:p w14:paraId="04E9A52F" w14:textId="77777777" w:rsidR="005935D8" w:rsidRPr="004A3E17" w:rsidRDefault="004A3E17">
      <w:pPr>
        <w:spacing w:before="220" w:after="120"/>
        <w:rPr>
          <w:lang w:val="en-US"/>
        </w:rPr>
      </w:pPr>
      <w:r w:rsidRPr="004A3E17">
        <w:rPr>
          <w:b/>
          <w:bCs/>
          <w:color w:val="1F3864"/>
          <w:sz w:val="24"/>
          <w:szCs w:val="24"/>
          <w:lang w:val="en-US"/>
        </w:rPr>
        <w:t>2. Section 2.1 too concise; argument sequence across 2.2–2.3</w:t>
      </w:r>
    </w:p>
    <w:tbl>
      <w:tblPr>
        <w:tblW w:w="5000" w:type="pct"/>
        <w:tblBorders>
          <w:top w:val="single" w:sz="4" w:space="0" w:color="BFBFBF"/>
          <w:left w:val="single" w:sz="24" w:space="0" w:color="1F3864"/>
          <w:bottom w:val="single" w:sz="4" w:space="0" w:color="BFBFBF"/>
          <w:right w:val="single" w:sz="4" w:space="0" w:color="BFBFBF"/>
        </w:tblBorders>
        <w:tblCellMar>
          <w:left w:w="10" w:type="dxa"/>
          <w:right w:w="10" w:type="dxa"/>
        </w:tblCellMar>
        <w:tblLook w:val="04A0" w:firstRow="1" w:lastRow="0" w:firstColumn="1" w:lastColumn="0" w:noHBand="0" w:noVBand="1"/>
      </w:tblPr>
      <w:tblGrid>
        <w:gridCol w:w="8991"/>
      </w:tblGrid>
      <w:tr w:rsidR="005935D8" w:rsidRPr="004A3E17" w14:paraId="22AAA8EB" w14:textId="77777777">
        <w:tblPrEx>
          <w:tblCellMar>
            <w:top w:w="0" w:type="dxa"/>
            <w:bottom w:w="0" w:type="dxa"/>
          </w:tblCellMar>
        </w:tblPrEx>
        <w:tc>
          <w:tcPr>
            <w:tcW w:w="9360" w:type="dxa"/>
            <w:shd w:val="clear" w:color="auto" w:fill="F2F2F2"/>
            <w:tcMar>
              <w:top w:w="100" w:type="dxa"/>
              <w:left w:w="160" w:type="dxa"/>
              <w:bottom w:w="100" w:type="dxa"/>
              <w:right w:w="160" w:type="dxa"/>
            </w:tcMar>
          </w:tcPr>
          <w:p w14:paraId="1272BDB7" w14:textId="77777777" w:rsidR="005935D8" w:rsidRPr="004A3E17" w:rsidRDefault="004A3E17">
            <w:pPr>
              <w:spacing w:after="60"/>
              <w:rPr>
                <w:lang w:val="en-US"/>
              </w:rPr>
            </w:pPr>
            <w:r w:rsidRPr="004A3E17">
              <w:rPr>
                <w:b/>
                <w:bCs/>
                <w:color w:val="1F3864"/>
                <w:sz w:val="18"/>
                <w:szCs w:val="18"/>
                <w:lang w:val="en-US"/>
              </w:rPr>
              <w:t>Reviewer #2</w:t>
            </w:r>
          </w:p>
          <w:p w14:paraId="56E4CD73" w14:textId="77777777" w:rsidR="005935D8" w:rsidRPr="004A3E17" w:rsidRDefault="004A3E17">
            <w:pPr>
              <w:rPr>
                <w:lang w:val="en-US"/>
              </w:rPr>
            </w:pPr>
            <w:r w:rsidRPr="004A3E17">
              <w:rPr>
                <w:i/>
                <w:iCs/>
                <w:color w:val="404040"/>
                <w:sz w:val="19"/>
                <w:szCs w:val="19"/>
                <w:lang w:val="en-US"/>
              </w:rPr>
              <w:t>The section "Transitions toward industrial s</w:t>
            </w:r>
            <w:r w:rsidRPr="004A3E17">
              <w:rPr>
                <w:i/>
                <w:iCs/>
                <w:color w:val="404040"/>
                <w:sz w:val="19"/>
                <w:szCs w:val="19"/>
                <w:lang w:val="en-US"/>
              </w:rPr>
              <w:t xml:space="preserve">ustainability from the perspective of socio-technical systems" is important but rather concise; some key issues should be discussed in greater detail. There is also a slight lack of a clear illustration of the sequence of arguments between Section 2.2 and </w:t>
            </w:r>
            <w:r w:rsidRPr="004A3E17">
              <w:rPr>
                <w:i/>
                <w:iCs/>
                <w:color w:val="404040"/>
                <w:sz w:val="19"/>
                <w:szCs w:val="19"/>
                <w:lang w:val="en-US"/>
              </w:rPr>
              <w:t>Sections 2.3 onward.</w:t>
            </w:r>
          </w:p>
        </w:tc>
      </w:tr>
    </w:tbl>
    <w:p w14:paraId="081F07AE" w14:textId="77777777" w:rsidR="005935D8" w:rsidRPr="004A3E17" w:rsidRDefault="004A3E17">
      <w:pPr>
        <w:spacing w:before="120" w:after="180" w:line="276" w:lineRule="auto"/>
        <w:ind w:left="120"/>
        <w:rPr>
          <w:lang w:val="en-US"/>
        </w:rPr>
      </w:pPr>
      <w:r w:rsidRPr="004A3E17">
        <w:rPr>
          <w:b/>
          <w:bCs/>
          <w:color w:val="2E7D32"/>
          <w:lang w:val="en-US"/>
        </w:rPr>
        <w:lastRenderedPageBreak/>
        <w:t xml:space="preserve">Response: </w:t>
      </w:r>
      <w:r w:rsidRPr="004A3E17">
        <w:rPr>
          <w:lang w:val="en-US"/>
        </w:rPr>
        <w:t>We have expanded Section 2.1 to develop the socio-technical framing in greater depth, adding a fuller treatment of the Multi-Level Perspective (niche–regime–landscape dynamics), Transition Management and Technological Innova</w:t>
      </w:r>
      <w:r w:rsidRPr="004A3E17">
        <w:rPr>
          <w:lang w:val="en-US"/>
        </w:rPr>
        <w:t>tion Systems, and how they relate to one another. To make the argumentative thread explicit, we added a short linking passage at the end of each subsection that signals the progression: from the theoretical framing (2.1) to the conceptualisation of facilit</w:t>
      </w:r>
      <w:r w:rsidRPr="004A3E17">
        <w:rPr>
          <w:lang w:val="en-US"/>
        </w:rPr>
        <w:t>ating mechanisms (2.2), to the methodological approaches used to study them (2.3), to the accumulation/hegemony problem (2.4) and reproducibility (2.5). This makes the logical sequence from theory to method to meta-scientific critique easier to follow.</w:t>
      </w:r>
    </w:p>
    <w:p w14:paraId="29765C8E" w14:textId="77777777" w:rsidR="005935D8" w:rsidRPr="004A3E17" w:rsidRDefault="004A3E17">
      <w:pPr>
        <w:spacing w:before="220" w:after="120"/>
        <w:rPr>
          <w:lang w:val="en-US"/>
        </w:rPr>
      </w:pPr>
      <w:r w:rsidRPr="004A3E17">
        <w:rPr>
          <w:b/>
          <w:bCs/>
          <w:color w:val="1F3864"/>
          <w:sz w:val="24"/>
          <w:szCs w:val="24"/>
          <w:lang w:val="en-US"/>
        </w:rPr>
        <w:t xml:space="preserve">3. </w:t>
      </w:r>
      <w:r w:rsidRPr="004A3E17">
        <w:rPr>
          <w:b/>
          <w:bCs/>
          <w:color w:val="1F3864"/>
          <w:sz w:val="24"/>
          <w:szCs w:val="24"/>
          <w:lang w:val="en-US"/>
        </w:rPr>
        <w:t>Verify that all in-text citations appear in the reference list</w:t>
      </w:r>
    </w:p>
    <w:tbl>
      <w:tblPr>
        <w:tblW w:w="5000" w:type="pct"/>
        <w:tblBorders>
          <w:top w:val="single" w:sz="4" w:space="0" w:color="BFBFBF"/>
          <w:left w:val="single" w:sz="24" w:space="0" w:color="1F3864"/>
          <w:bottom w:val="single" w:sz="4" w:space="0" w:color="BFBFBF"/>
          <w:right w:val="single" w:sz="4" w:space="0" w:color="BFBFBF"/>
        </w:tblBorders>
        <w:tblCellMar>
          <w:left w:w="10" w:type="dxa"/>
          <w:right w:w="10" w:type="dxa"/>
        </w:tblCellMar>
        <w:tblLook w:val="04A0" w:firstRow="1" w:lastRow="0" w:firstColumn="1" w:lastColumn="0" w:noHBand="0" w:noVBand="1"/>
      </w:tblPr>
      <w:tblGrid>
        <w:gridCol w:w="8991"/>
      </w:tblGrid>
      <w:tr w:rsidR="005935D8" w:rsidRPr="004A3E17" w14:paraId="0797C171" w14:textId="77777777">
        <w:tblPrEx>
          <w:tblCellMar>
            <w:top w:w="0" w:type="dxa"/>
            <w:bottom w:w="0" w:type="dxa"/>
          </w:tblCellMar>
        </w:tblPrEx>
        <w:tc>
          <w:tcPr>
            <w:tcW w:w="9360" w:type="dxa"/>
            <w:shd w:val="clear" w:color="auto" w:fill="F2F2F2"/>
            <w:tcMar>
              <w:top w:w="100" w:type="dxa"/>
              <w:left w:w="160" w:type="dxa"/>
              <w:bottom w:w="100" w:type="dxa"/>
              <w:right w:w="160" w:type="dxa"/>
            </w:tcMar>
          </w:tcPr>
          <w:p w14:paraId="3CC96BDC" w14:textId="77777777" w:rsidR="005935D8" w:rsidRPr="004A3E17" w:rsidRDefault="004A3E17">
            <w:pPr>
              <w:spacing w:after="60"/>
              <w:rPr>
                <w:lang w:val="en-US"/>
              </w:rPr>
            </w:pPr>
            <w:r w:rsidRPr="004A3E17">
              <w:rPr>
                <w:b/>
                <w:bCs/>
                <w:color w:val="1F3864"/>
                <w:sz w:val="18"/>
                <w:szCs w:val="18"/>
                <w:lang w:val="en-US"/>
              </w:rPr>
              <w:t>Reviewer #2</w:t>
            </w:r>
          </w:p>
          <w:p w14:paraId="163B9A36" w14:textId="77777777" w:rsidR="005935D8" w:rsidRPr="004A3E17" w:rsidRDefault="004A3E17">
            <w:pPr>
              <w:rPr>
                <w:lang w:val="en-US"/>
              </w:rPr>
            </w:pPr>
            <w:r w:rsidRPr="004A3E17">
              <w:rPr>
                <w:i/>
                <w:iCs/>
                <w:color w:val="404040"/>
                <w:sz w:val="19"/>
                <w:szCs w:val="19"/>
                <w:lang w:val="en-US"/>
              </w:rPr>
              <w:t>Please check that all sources cited in the text are included in the reference list.</w:t>
            </w:r>
          </w:p>
        </w:tc>
      </w:tr>
    </w:tbl>
    <w:p w14:paraId="63E4CBE3" w14:textId="77777777" w:rsidR="005935D8" w:rsidRPr="004A3E17" w:rsidRDefault="004A3E17">
      <w:pPr>
        <w:spacing w:before="120" w:after="180" w:line="276" w:lineRule="auto"/>
        <w:ind w:left="120"/>
        <w:rPr>
          <w:lang w:val="en-US"/>
        </w:rPr>
      </w:pPr>
      <w:r w:rsidRPr="004A3E17">
        <w:rPr>
          <w:b/>
          <w:bCs/>
          <w:color w:val="2E7D32"/>
          <w:lang w:val="en-US"/>
        </w:rPr>
        <w:t xml:space="preserve">Response: </w:t>
      </w:r>
      <w:r w:rsidRPr="004A3E17">
        <w:rPr>
          <w:lang w:val="en-US"/>
        </w:rPr>
        <w:t>We performed a complete citation–reference cross-check and corrected the following genuine discrepancies:</w:t>
      </w:r>
    </w:p>
    <w:p w14:paraId="5B6EBA60" w14:textId="77777777" w:rsidR="005935D8" w:rsidRPr="004A3E17" w:rsidRDefault="004A3E17">
      <w:pPr>
        <w:spacing w:after="80"/>
        <w:ind w:left="200"/>
        <w:rPr>
          <w:lang w:val="en-US"/>
        </w:rPr>
      </w:pPr>
      <w:r w:rsidRPr="004A3E17">
        <w:rPr>
          <w:lang w:val="en-US"/>
        </w:rPr>
        <w:t xml:space="preserve">• </w:t>
      </w:r>
      <w:r w:rsidRPr="004A3E17">
        <w:rPr>
          <w:b/>
          <w:bCs/>
          <w:lang w:val="en-US"/>
        </w:rPr>
        <w:t>Szász et al.</w:t>
      </w:r>
      <w:r w:rsidRPr="004A3E17">
        <w:rPr>
          <w:lang w:val="en-US"/>
        </w:rPr>
        <w:t xml:space="preserve"> — cited in Table 1 as "2025"; the reference list entry is 2021. Corrected the in-text year to </w:t>
      </w:r>
      <w:r w:rsidRPr="004A3E17">
        <w:rPr>
          <w:b/>
          <w:bCs/>
          <w:lang w:val="en-US"/>
        </w:rPr>
        <w:t>2021</w:t>
      </w:r>
      <w:r w:rsidRPr="004A3E17">
        <w:rPr>
          <w:lang w:val="en-US"/>
        </w:rPr>
        <w:t xml:space="preserve"> to match the reference.</w:t>
      </w:r>
    </w:p>
    <w:p w14:paraId="41F0D8D4" w14:textId="77777777" w:rsidR="005935D8" w:rsidRPr="004A3E17" w:rsidRDefault="004A3E17">
      <w:pPr>
        <w:spacing w:after="80"/>
        <w:ind w:left="200"/>
        <w:rPr>
          <w:lang w:val="en-US"/>
        </w:rPr>
      </w:pPr>
      <w:r w:rsidRPr="004A3E17">
        <w:rPr>
          <w:lang w:val="en-US"/>
        </w:rPr>
        <w:t xml:space="preserve">• </w:t>
      </w:r>
      <w:r w:rsidRPr="004A3E17">
        <w:rPr>
          <w:b/>
          <w:bCs/>
          <w:lang w:val="en-US"/>
        </w:rPr>
        <w:t xml:space="preserve">Wright et </w:t>
      </w:r>
      <w:r w:rsidRPr="004A3E17">
        <w:rPr>
          <w:b/>
          <w:bCs/>
          <w:lang w:val="en-US"/>
        </w:rPr>
        <w:t>al.</w:t>
      </w:r>
      <w:r w:rsidRPr="004A3E17">
        <w:rPr>
          <w:lang w:val="en-US"/>
        </w:rPr>
        <w:t xml:space="preserve"> — cited in the Discussion once as "2025"; the reference and other in-text mentions are 2024. Standardised to </w:t>
      </w:r>
      <w:r w:rsidRPr="004A3E17">
        <w:rPr>
          <w:b/>
          <w:bCs/>
          <w:lang w:val="en-US"/>
        </w:rPr>
        <w:t>2024</w:t>
      </w:r>
      <w:r w:rsidRPr="004A3E17">
        <w:rPr>
          <w:lang w:val="en-US"/>
        </w:rPr>
        <w:t>.</w:t>
      </w:r>
    </w:p>
    <w:p w14:paraId="4FBB22B1" w14:textId="77777777" w:rsidR="005935D8" w:rsidRPr="004A3E17" w:rsidRDefault="004A3E17">
      <w:pPr>
        <w:spacing w:after="80"/>
        <w:ind w:left="200"/>
        <w:rPr>
          <w:lang w:val="en-US"/>
        </w:rPr>
      </w:pPr>
      <w:r w:rsidRPr="004A3E17">
        <w:rPr>
          <w:lang w:val="en-US"/>
        </w:rPr>
        <w:t xml:space="preserve">• </w:t>
      </w:r>
      <w:r w:rsidRPr="004A3E17">
        <w:rPr>
          <w:b/>
          <w:bCs/>
          <w:lang w:val="en-US"/>
        </w:rPr>
        <w:t>Rejeb et al. 2022a/2022b</w:t>
      </w:r>
      <w:r w:rsidRPr="004A3E17">
        <w:rPr>
          <w:lang w:val="en-US"/>
        </w:rPr>
        <w:t xml:space="preserve"> — verified that both suffixed entries in the reference list are cited in the text; suffixes reconciled.</w:t>
      </w:r>
    </w:p>
    <w:p w14:paraId="592ECCCC" w14:textId="77777777" w:rsidR="005935D8" w:rsidRPr="004A3E17" w:rsidRDefault="004A3E17">
      <w:pPr>
        <w:spacing w:after="160"/>
        <w:ind w:left="200"/>
        <w:rPr>
          <w:lang w:val="en-US"/>
        </w:rPr>
      </w:pPr>
      <w:r w:rsidRPr="004A3E17">
        <w:rPr>
          <w:lang w:val="en-US"/>
        </w:rPr>
        <w:t xml:space="preserve">• Two </w:t>
      </w:r>
      <w:r w:rsidRPr="004A3E17">
        <w:rPr>
          <w:lang w:val="en-US"/>
        </w:rPr>
        <w:t xml:space="preserve">reference-list entries were </w:t>
      </w:r>
      <w:r w:rsidRPr="004A3E17">
        <w:rPr>
          <w:b/>
          <w:bCs/>
          <w:lang w:val="en-US"/>
        </w:rPr>
        <w:t>not cited</w:t>
      </w:r>
      <w:r w:rsidRPr="004A3E17">
        <w:rPr>
          <w:lang w:val="en-US"/>
        </w:rPr>
        <w:t xml:space="preserve"> anywhere in the body — Amegboleza and Ülkü (2025) and Joshipura et al. (2025). These have been integrated as supporting citations in the Introduction/Discussion where relevant; if the editor prefers, they can instead b</w:t>
      </w:r>
      <w:r w:rsidRPr="004A3E17">
        <w:rPr>
          <w:lang w:val="en-US"/>
        </w:rPr>
        <w:t>e removed from the list.</w:t>
      </w:r>
    </w:p>
    <w:p w14:paraId="7373888C" w14:textId="77777777" w:rsidR="005935D8" w:rsidRPr="004A3E17" w:rsidRDefault="004A3E17">
      <w:pPr>
        <w:spacing w:after="160" w:line="276" w:lineRule="auto"/>
        <w:rPr>
          <w:lang w:val="en-US"/>
        </w:rPr>
      </w:pPr>
      <w:r w:rsidRPr="004A3E17">
        <w:rPr>
          <w:lang w:val="en-US"/>
        </w:rPr>
        <w:t>After these corrections, every in-text citation has a corresponding reference and every reference is cited at least once.</w:t>
      </w:r>
    </w:p>
    <w:p w14:paraId="324A45EA" w14:textId="77777777" w:rsidR="005935D8" w:rsidRPr="004A3E17" w:rsidRDefault="004A3E17">
      <w:pPr>
        <w:spacing w:before="220" w:after="120"/>
        <w:rPr>
          <w:lang w:val="en-US"/>
        </w:rPr>
      </w:pPr>
      <w:r w:rsidRPr="004A3E17">
        <w:rPr>
          <w:b/>
          <w:bCs/>
          <w:color w:val="1F3864"/>
          <w:sz w:val="24"/>
          <w:szCs w:val="24"/>
          <w:lang w:val="en-US"/>
        </w:rPr>
        <w:t>Favourable comments</w:t>
      </w:r>
    </w:p>
    <w:p w14:paraId="666900F1" w14:textId="77777777" w:rsidR="005935D8" w:rsidRPr="004A3E17" w:rsidRDefault="004A3E17">
      <w:pPr>
        <w:spacing w:before="120" w:after="180" w:line="276" w:lineRule="auto"/>
        <w:ind w:left="120"/>
        <w:rPr>
          <w:lang w:val="en-US"/>
        </w:rPr>
      </w:pPr>
      <w:r w:rsidRPr="004A3E17">
        <w:rPr>
          <w:b/>
          <w:bCs/>
          <w:color w:val="2E7D32"/>
          <w:lang w:val="en-US"/>
        </w:rPr>
        <w:t xml:space="preserve">Response: </w:t>
      </w:r>
      <w:r w:rsidRPr="004A3E17">
        <w:rPr>
          <w:lang w:val="en-US"/>
        </w:rPr>
        <w:t>We are grateful for the reviewer's positive assessment of the methodology, the Table 2 comparison, and the discussion, recommendations and limitations. No changes were required for these points.</w:t>
      </w:r>
    </w:p>
    <w:p w14:paraId="6555FCB5" w14:textId="77777777" w:rsidR="005935D8" w:rsidRPr="004A3E17" w:rsidRDefault="004A3E17">
      <w:pPr>
        <w:pBdr>
          <w:bottom w:val="single" w:sz="8" w:space="4" w:color="1F3864"/>
        </w:pBdr>
        <w:spacing w:before="280" w:after="180"/>
        <w:rPr>
          <w:lang w:val="en-US"/>
        </w:rPr>
      </w:pPr>
      <w:r w:rsidRPr="004A3E17">
        <w:rPr>
          <w:b/>
          <w:bCs/>
          <w:color w:val="1F3864"/>
          <w:sz w:val="28"/>
          <w:szCs w:val="28"/>
          <w:lang w:val="en-US"/>
        </w:rPr>
        <w:t>Summary of principal changes</w:t>
      </w:r>
    </w:p>
    <w:p w14:paraId="2ECC9FD2" w14:textId="77777777" w:rsidR="005935D8" w:rsidRPr="004A3E17" w:rsidRDefault="004A3E17">
      <w:pPr>
        <w:spacing w:after="80"/>
        <w:rPr>
          <w:lang w:val="en-US"/>
        </w:rPr>
      </w:pPr>
      <w:r w:rsidRPr="004A3E17">
        <w:rPr>
          <w:lang w:val="en-US"/>
        </w:rPr>
        <w:t xml:space="preserve">1. New </w:t>
      </w:r>
      <w:r w:rsidRPr="004A3E17">
        <w:rPr>
          <w:b/>
          <w:bCs/>
          <w:lang w:val="en-US"/>
        </w:rPr>
        <w:t>Table S4</w:t>
      </w:r>
      <w:r w:rsidRPr="004A3E17">
        <w:rPr>
          <w:lang w:val="en-US"/>
        </w:rPr>
        <w:t xml:space="preserve"> reporting inter-model correlations, categorical agreement, Fleiss' </w:t>
      </w:r>
      <w:r>
        <w:t>κ</w:t>
      </w:r>
      <w:r w:rsidRPr="004A3E17">
        <w:rPr>
          <w:lang w:val="en-US"/>
        </w:rPr>
        <w:t xml:space="preserve"> and Cronbach's </w:t>
      </w:r>
      <w:r>
        <w:t>α</w:t>
      </w:r>
      <w:r w:rsidRPr="004A3E17">
        <w:rPr>
          <w:lang w:val="en-US"/>
        </w:rPr>
        <w:t>; auditable per-study label columns added to Table S3.</w:t>
      </w:r>
    </w:p>
    <w:p w14:paraId="7B1BFCA0" w14:textId="77777777" w:rsidR="005935D8" w:rsidRPr="004A3E17" w:rsidRDefault="004A3E17">
      <w:pPr>
        <w:spacing w:after="80"/>
        <w:rPr>
          <w:lang w:val="en-US"/>
        </w:rPr>
      </w:pPr>
      <w:r w:rsidRPr="004A3E17">
        <w:rPr>
          <w:lang w:val="en-US"/>
        </w:rPr>
        <w:t xml:space="preserve">2. Section 3.3 expanded with the rationale for the three-classifier ensemble and a </w:t>
      </w:r>
      <w:r w:rsidRPr="004A3E17">
        <w:rPr>
          <w:b/>
          <w:bCs/>
          <w:lang w:val="en-US"/>
        </w:rPr>
        <w:t>manual-validation protocol</w:t>
      </w:r>
      <w:r w:rsidRPr="004A3E17">
        <w:rPr>
          <w:lang w:val="en-US"/>
        </w:rPr>
        <w:t xml:space="preserve"> (25 %</w:t>
      </w:r>
      <w:r w:rsidRPr="004A3E17">
        <w:rPr>
          <w:lang w:val="en-US"/>
        </w:rPr>
        <w:t xml:space="preserve"> stratified sample).</w:t>
      </w:r>
    </w:p>
    <w:p w14:paraId="7BB76EF2" w14:textId="77777777" w:rsidR="005935D8" w:rsidRPr="004A3E17" w:rsidRDefault="004A3E17">
      <w:pPr>
        <w:spacing w:after="80"/>
        <w:rPr>
          <w:lang w:val="en-US"/>
        </w:rPr>
      </w:pPr>
      <w:r w:rsidRPr="004A3E17">
        <w:rPr>
          <w:lang w:val="en-US"/>
        </w:rPr>
        <w:t xml:space="preserve">3. Section 4.1.3, Abstract and Discussion </w:t>
      </w:r>
      <w:r w:rsidRPr="004A3E17">
        <w:rPr>
          <w:b/>
          <w:bCs/>
          <w:lang w:val="en-US"/>
        </w:rPr>
        <w:t>reframed</w:t>
      </w:r>
      <w:r w:rsidRPr="004A3E17">
        <w:rPr>
          <w:lang w:val="en-US"/>
        </w:rPr>
        <w:t xml:space="preserve"> from "optimistic bias" to a cautiously interpreted "structural positive discursive orientation", explicitly weighing disciplinary writing conventions.</w:t>
      </w:r>
    </w:p>
    <w:p w14:paraId="47283E9D" w14:textId="77777777" w:rsidR="005935D8" w:rsidRPr="004A3E17" w:rsidRDefault="004A3E17">
      <w:pPr>
        <w:spacing w:after="80"/>
        <w:rPr>
          <w:lang w:val="en-US"/>
        </w:rPr>
      </w:pPr>
      <w:r w:rsidRPr="004A3E17">
        <w:rPr>
          <w:lang w:val="en-US"/>
        </w:rPr>
        <w:t>4. PRISMA Figure 1 "Reports not r</w:t>
      </w:r>
      <w:r w:rsidRPr="004A3E17">
        <w:rPr>
          <w:lang w:val="en-US"/>
        </w:rPr>
        <w:t>etrieved (n = 0)" corrected; Table 1 denominators (n = 41 vs n = 72) clarified throughout Section 4.2.</w:t>
      </w:r>
    </w:p>
    <w:p w14:paraId="6DF6DAE2" w14:textId="77777777" w:rsidR="005935D8" w:rsidRPr="004A3E17" w:rsidRDefault="004A3E17">
      <w:pPr>
        <w:spacing w:after="80"/>
        <w:rPr>
          <w:lang w:val="en-US"/>
        </w:rPr>
      </w:pPr>
      <w:r w:rsidRPr="004A3E17">
        <w:rPr>
          <w:lang w:val="en-US"/>
        </w:rPr>
        <w:t>5. Full language edit; Section 2.1 expanded; inter-section argument links added; low-resolution duplicate figures removed and replaced with print-quality</w:t>
      </w:r>
      <w:r w:rsidRPr="004A3E17">
        <w:rPr>
          <w:lang w:val="en-US"/>
        </w:rPr>
        <w:t xml:space="preserve"> versions.</w:t>
      </w:r>
    </w:p>
    <w:p w14:paraId="323805BD" w14:textId="77777777" w:rsidR="005935D8" w:rsidRPr="004A3E17" w:rsidRDefault="004A3E17">
      <w:pPr>
        <w:spacing w:after="200"/>
        <w:rPr>
          <w:lang w:val="en-US"/>
        </w:rPr>
      </w:pPr>
      <w:r w:rsidRPr="004A3E17">
        <w:rPr>
          <w:lang w:val="en-US"/>
        </w:rPr>
        <w:t>6. Citation–reference list reconciled (Szász, Wright, Rejeb; Amegboleza and Ülkü, Joshipura).</w:t>
      </w:r>
    </w:p>
    <w:p w14:paraId="2A410465" w14:textId="77777777" w:rsidR="005935D8" w:rsidRPr="004A3E17" w:rsidRDefault="004A3E17">
      <w:pPr>
        <w:spacing w:after="160" w:line="276" w:lineRule="auto"/>
        <w:rPr>
          <w:lang w:val="en-US"/>
        </w:rPr>
      </w:pPr>
      <w:r w:rsidRPr="004A3E17">
        <w:rPr>
          <w:lang w:val="en-US"/>
        </w:rPr>
        <w:lastRenderedPageBreak/>
        <w:t>We believe these revisions address all reviewer concerns and have materially strengthened the manuscript. We thank the editor and reviewers again for t</w:t>
      </w:r>
      <w:r w:rsidRPr="004A3E17">
        <w:rPr>
          <w:lang w:val="en-US"/>
        </w:rPr>
        <w:t>heir time and expertise.</w:t>
      </w:r>
    </w:p>
    <w:p w14:paraId="1B525D47" w14:textId="77777777" w:rsidR="005935D8" w:rsidRPr="004A3E17" w:rsidRDefault="004A3E17">
      <w:pPr>
        <w:spacing w:before="160" w:after="40"/>
        <w:rPr>
          <w:lang w:val="en-US"/>
        </w:rPr>
      </w:pPr>
      <w:r w:rsidRPr="004A3E17">
        <w:rPr>
          <w:lang w:val="en-US"/>
        </w:rPr>
        <w:t>Sincerely,</w:t>
      </w:r>
    </w:p>
    <w:p w14:paraId="0F6B01C2" w14:textId="39B0C753" w:rsidR="005935D8" w:rsidRDefault="005935D8"/>
    <w:sectPr w:rsidR="005935D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5A2DAB"/>
    <w:multiLevelType w:val="hybridMultilevel"/>
    <w:tmpl w:val="69E4E920"/>
    <w:lvl w:ilvl="0" w:tplc="2F541580">
      <w:start w:val="1"/>
      <w:numFmt w:val="bullet"/>
      <w:lvlText w:val="●"/>
      <w:lvlJc w:val="left"/>
      <w:pPr>
        <w:ind w:left="720" w:hanging="360"/>
      </w:pPr>
    </w:lvl>
    <w:lvl w:ilvl="1" w:tplc="35627AF4">
      <w:start w:val="1"/>
      <w:numFmt w:val="bullet"/>
      <w:lvlText w:val="○"/>
      <w:lvlJc w:val="left"/>
      <w:pPr>
        <w:ind w:left="1440" w:hanging="360"/>
      </w:pPr>
    </w:lvl>
    <w:lvl w:ilvl="2" w:tplc="5E30AD88">
      <w:start w:val="1"/>
      <w:numFmt w:val="bullet"/>
      <w:lvlText w:val="■"/>
      <w:lvlJc w:val="left"/>
      <w:pPr>
        <w:ind w:left="2160" w:hanging="360"/>
      </w:pPr>
    </w:lvl>
    <w:lvl w:ilvl="3" w:tplc="EEC210D0">
      <w:start w:val="1"/>
      <w:numFmt w:val="bullet"/>
      <w:lvlText w:val="●"/>
      <w:lvlJc w:val="left"/>
      <w:pPr>
        <w:ind w:left="2880" w:hanging="360"/>
      </w:pPr>
    </w:lvl>
    <w:lvl w:ilvl="4" w:tplc="5C22FA34">
      <w:start w:val="1"/>
      <w:numFmt w:val="bullet"/>
      <w:lvlText w:val="○"/>
      <w:lvlJc w:val="left"/>
      <w:pPr>
        <w:ind w:left="3600" w:hanging="360"/>
      </w:pPr>
    </w:lvl>
    <w:lvl w:ilvl="5" w:tplc="2C9CC0CE">
      <w:start w:val="1"/>
      <w:numFmt w:val="bullet"/>
      <w:lvlText w:val="■"/>
      <w:lvlJc w:val="left"/>
      <w:pPr>
        <w:ind w:left="4320" w:hanging="360"/>
      </w:pPr>
    </w:lvl>
    <w:lvl w:ilvl="6" w:tplc="1CB21CE6">
      <w:start w:val="1"/>
      <w:numFmt w:val="bullet"/>
      <w:lvlText w:val="●"/>
      <w:lvlJc w:val="left"/>
      <w:pPr>
        <w:ind w:left="5040" w:hanging="360"/>
      </w:pPr>
    </w:lvl>
    <w:lvl w:ilvl="7" w:tplc="F8903630">
      <w:start w:val="1"/>
      <w:numFmt w:val="bullet"/>
      <w:lvlText w:val="●"/>
      <w:lvlJc w:val="left"/>
      <w:pPr>
        <w:ind w:left="5760" w:hanging="360"/>
      </w:pPr>
    </w:lvl>
    <w:lvl w:ilvl="8" w:tplc="4420E45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5D8"/>
    <w:rsid w:val="004A3E17"/>
    <w:rsid w:val="005935D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0AFE7"/>
  <w15:docId w15:val="{5E6F3B41-8C8B-440E-A594-00C34A2C7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262626"/>
        <w:sz w:val="21"/>
        <w:szCs w:val="21"/>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2044</Words>
  <Characters>11243</Characters>
  <Application>Microsoft Office Word</Application>
  <DocSecurity>0</DocSecurity>
  <Lines>93</Lines>
  <Paragraphs>26</Paragraphs>
  <ScaleCrop>false</ScaleCrop>
  <Company/>
  <LinksUpToDate>false</LinksUpToDate>
  <CharactersWithSpaces>13261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LIZETH</cp:lastModifiedBy>
  <cp:revision>2</cp:revision>
  <dcterms:created xsi:type="dcterms:W3CDTF">2026-07-08T20:18:00Z</dcterms:created>
  <dcterms:modified xsi:type="dcterms:W3CDTF">2026-07-14T02:32:00Z</dcterms:modified>
</cp:coreProperties>
</file>