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7EA79" w14:textId="10C7F3B8" w:rsidR="00D2451F" w:rsidRPr="00E31DF6" w:rsidRDefault="00D2451F" w:rsidP="00D2451F">
      <w:pPr>
        <w:pStyle w:val="Caption"/>
        <w:keepNext/>
        <w:rPr>
          <w:rFonts w:ascii="Arial" w:hAnsi="Arial" w:cs="Arial"/>
          <w:b/>
          <w:bCs/>
          <w:color w:val="000000" w:themeColor="text1"/>
          <w:sz w:val="20"/>
          <w:szCs w:val="20"/>
        </w:rPr>
      </w:pPr>
      <w:r w:rsidRPr="00E31DF6">
        <w:rPr>
          <w:rFonts w:ascii="Arial" w:hAnsi="Arial" w:cs="Arial"/>
          <w:b/>
          <w:bCs/>
          <w:color w:val="000000" w:themeColor="text1"/>
          <w:sz w:val="20"/>
          <w:szCs w:val="20"/>
        </w:rPr>
        <w:t xml:space="preserve">Table </w:t>
      </w:r>
      <w:r w:rsidRPr="00E31DF6">
        <w:rPr>
          <w:rFonts w:ascii="Arial" w:hAnsi="Arial" w:cs="Arial"/>
          <w:b/>
          <w:bCs/>
          <w:color w:val="000000" w:themeColor="text1"/>
          <w:sz w:val="20"/>
          <w:szCs w:val="20"/>
        </w:rPr>
        <w:fldChar w:fldCharType="begin"/>
      </w:r>
      <w:r w:rsidRPr="00E31DF6">
        <w:rPr>
          <w:rFonts w:ascii="Arial" w:hAnsi="Arial" w:cs="Arial"/>
          <w:b/>
          <w:bCs/>
          <w:color w:val="000000" w:themeColor="text1"/>
          <w:sz w:val="20"/>
          <w:szCs w:val="20"/>
        </w:rPr>
        <w:instrText xml:space="preserve"> SEQ Table \* ARABIC </w:instrText>
      </w:r>
      <w:r w:rsidRPr="00E31DF6">
        <w:rPr>
          <w:rFonts w:ascii="Arial" w:hAnsi="Arial" w:cs="Arial"/>
          <w:b/>
          <w:bCs/>
          <w:color w:val="000000" w:themeColor="text1"/>
          <w:sz w:val="20"/>
          <w:szCs w:val="20"/>
        </w:rPr>
        <w:fldChar w:fldCharType="separate"/>
      </w:r>
      <w:r w:rsidRPr="00E31DF6">
        <w:rPr>
          <w:rFonts w:ascii="Arial" w:hAnsi="Arial" w:cs="Arial"/>
          <w:b/>
          <w:bCs/>
          <w:noProof/>
          <w:color w:val="000000" w:themeColor="text1"/>
          <w:sz w:val="20"/>
          <w:szCs w:val="20"/>
        </w:rPr>
        <w:t>1</w:t>
      </w:r>
      <w:r w:rsidRPr="00E31DF6">
        <w:rPr>
          <w:rFonts w:ascii="Arial" w:hAnsi="Arial" w:cs="Arial"/>
          <w:b/>
          <w:bCs/>
          <w:color w:val="000000" w:themeColor="text1"/>
          <w:sz w:val="20"/>
          <w:szCs w:val="20"/>
        </w:rPr>
        <w:fldChar w:fldCharType="end"/>
      </w:r>
      <w:r w:rsidRPr="00E31DF6">
        <w:rPr>
          <w:rFonts w:ascii="Arial" w:hAnsi="Arial" w:cs="Arial"/>
          <w:b/>
          <w:bCs/>
          <w:color w:val="000000" w:themeColor="text1"/>
          <w:sz w:val="20"/>
          <w:szCs w:val="20"/>
        </w:rPr>
        <w:t xml:space="preserve"> Classification of publications as meeting Criterion </w:t>
      </w:r>
      <w:r w:rsidR="00117836">
        <w:rPr>
          <w:rFonts w:ascii="Arial" w:hAnsi="Arial" w:cs="Arial"/>
          <w:b/>
          <w:bCs/>
          <w:color w:val="000000" w:themeColor="text1"/>
          <w:sz w:val="20"/>
          <w:szCs w:val="20"/>
        </w:rPr>
        <w:t>2</w:t>
      </w:r>
      <w:r w:rsidRPr="00E31DF6">
        <w:rPr>
          <w:rFonts w:ascii="Arial" w:hAnsi="Arial" w:cs="Arial"/>
          <w:b/>
          <w:bCs/>
          <w:color w:val="000000" w:themeColor="text1"/>
          <w:sz w:val="20"/>
          <w:szCs w:val="20"/>
        </w:rPr>
        <w:t xml:space="preserve">a and/or Criterion </w:t>
      </w:r>
      <w:r w:rsidR="00117836">
        <w:rPr>
          <w:rFonts w:ascii="Arial" w:hAnsi="Arial" w:cs="Arial"/>
          <w:b/>
          <w:bCs/>
          <w:color w:val="000000" w:themeColor="text1"/>
          <w:sz w:val="20"/>
          <w:szCs w:val="20"/>
        </w:rPr>
        <w:t>2b</w:t>
      </w:r>
    </w:p>
    <w:tbl>
      <w:tblPr>
        <w:tblStyle w:val="TableGrid"/>
        <w:tblW w:w="14170" w:type="dxa"/>
        <w:tblLayout w:type="fixed"/>
        <w:tblLook w:val="04A0" w:firstRow="1" w:lastRow="0" w:firstColumn="1" w:lastColumn="0" w:noHBand="0" w:noVBand="1"/>
      </w:tblPr>
      <w:tblGrid>
        <w:gridCol w:w="8075"/>
        <w:gridCol w:w="1134"/>
        <w:gridCol w:w="1134"/>
        <w:gridCol w:w="1276"/>
        <w:gridCol w:w="2551"/>
      </w:tblGrid>
      <w:tr w:rsidR="00DF23DA" w:rsidRPr="00DF23DA" w14:paraId="18EAB44D" w14:textId="77777777" w:rsidTr="00616BB3">
        <w:tc>
          <w:tcPr>
            <w:tcW w:w="8075" w:type="dxa"/>
          </w:tcPr>
          <w:p w14:paraId="05A39CB2" w14:textId="2EB39BC3" w:rsidR="003A0DB6" w:rsidRPr="00DF23DA" w:rsidRDefault="003A0DB6" w:rsidP="00DF23DA">
            <w:pPr>
              <w:spacing w:line="480" w:lineRule="auto"/>
              <w:ind w:firstLine="27"/>
              <w:rPr>
                <w:rFonts w:ascii="Arial" w:hAnsi="Arial" w:cs="Arial"/>
                <w:b/>
                <w:bCs/>
                <w:color w:val="000000" w:themeColor="text1"/>
                <w:sz w:val="20"/>
                <w:szCs w:val="20"/>
              </w:rPr>
            </w:pPr>
            <w:r w:rsidRPr="00DF23DA">
              <w:rPr>
                <w:rFonts w:ascii="Arial" w:hAnsi="Arial" w:cs="Arial"/>
                <w:b/>
                <w:bCs/>
                <w:color w:val="000000" w:themeColor="text1"/>
                <w:sz w:val="20"/>
                <w:szCs w:val="20"/>
              </w:rPr>
              <w:t>Publication</w:t>
            </w:r>
          </w:p>
        </w:tc>
        <w:tc>
          <w:tcPr>
            <w:tcW w:w="1134" w:type="dxa"/>
          </w:tcPr>
          <w:p w14:paraId="1536A31C" w14:textId="77777777" w:rsidR="003A0DB6" w:rsidRPr="00DF23DA" w:rsidRDefault="003A0DB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Guidance</w:t>
            </w:r>
          </w:p>
          <w:p w14:paraId="4BE0FF93" w14:textId="471EE0B9" w:rsidR="003A0DB6" w:rsidRPr="00DF23DA" w:rsidRDefault="003A0DB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 xml:space="preserve">(Criterion </w:t>
            </w:r>
            <w:r w:rsidR="00117836">
              <w:rPr>
                <w:rFonts w:ascii="Arial" w:hAnsi="Arial" w:cs="Arial"/>
                <w:b/>
                <w:bCs/>
                <w:color w:val="000000" w:themeColor="text1"/>
                <w:sz w:val="20"/>
                <w:szCs w:val="20"/>
              </w:rPr>
              <w:t>2</w:t>
            </w:r>
            <w:r w:rsidRPr="00DF23DA">
              <w:rPr>
                <w:rFonts w:ascii="Arial" w:hAnsi="Arial" w:cs="Arial"/>
                <w:b/>
                <w:bCs/>
                <w:color w:val="000000" w:themeColor="text1"/>
                <w:sz w:val="20"/>
                <w:szCs w:val="20"/>
              </w:rPr>
              <w:t>a)</w:t>
            </w:r>
          </w:p>
        </w:tc>
        <w:tc>
          <w:tcPr>
            <w:tcW w:w="1134" w:type="dxa"/>
          </w:tcPr>
          <w:p w14:paraId="07369EA1" w14:textId="77777777" w:rsidR="003A0DB6" w:rsidRPr="00DF23DA" w:rsidRDefault="003A0DB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Reported</w:t>
            </w:r>
          </w:p>
          <w:p w14:paraId="11B9958E" w14:textId="404D4FC4" w:rsidR="003A0DB6" w:rsidRPr="00DF23DA" w:rsidRDefault="003A0DB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 xml:space="preserve">(Criterion </w:t>
            </w:r>
            <w:r w:rsidR="00117836">
              <w:rPr>
                <w:rFonts w:ascii="Arial" w:hAnsi="Arial" w:cs="Arial"/>
                <w:b/>
                <w:bCs/>
                <w:color w:val="000000" w:themeColor="text1"/>
                <w:sz w:val="20"/>
                <w:szCs w:val="20"/>
              </w:rPr>
              <w:t>2</w:t>
            </w:r>
            <w:r w:rsidRPr="00DF23DA">
              <w:rPr>
                <w:rFonts w:ascii="Arial" w:hAnsi="Arial" w:cs="Arial"/>
                <w:b/>
                <w:bCs/>
                <w:color w:val="000000" w:themeColor="text1"/>
                <w:sz w:val="20"/>
                <w:szCs w:val="20"/>
              </w:rPr>
              <w:t>b)</w:t>
            </w:r>
          </w:p>
        </w:tc>
        <w:tc>
          <w:tcPr>
            <w:tcW w:w="1276" w:type="dxa"/>
          </w:tcPr>
          <w:p w14:paraId="59B94472" w14:textId="09838E2B" w:rsidR="003A0DB6" w:rsidRPr="00DF23DA" w:rsidRDefault="004A173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Location of reported example</w:t>
            </w:r>
          </w:p>
        </w:tc>
        <w:tc>
          <w:tcPr>
            <w:tcW w:w="2551" w:type="dxa"/>
          </w:tcPr>
          <w:p w14:paraId="17AB1253" w14:textId="1B2CCB9B" w:rsidR="003A0DB6" w:rsidRPr="00DF23DA" w:rsidRDefault="003A0DB6" w:rsidP="00DF23DA">
            <w:pPr>
              <w:spacing w:line="480" w:lineRule="auto"/>
              <w:rPr>
                <w:rFonts w:ascii="Arial" w:hAnsi="Arial" w:cs="Arial"/>
                <w:b/>
                <w:bCs/>
                <w:color w:val="000000" w:themeColor="text1"/>
                <w:sz w:val="20"/>
                <w:szCs w:val="20"/>
              </w:rPr>
            </w:pPr>
            <w:r w:rsidRPr="00DF23DA">
              <w:rPr>
                <w:rFonts w:ascii="Arial" w:hAnsi="Arial" w:cs="Arial"/>
                <w:b/>
                <w:bCs/>
                <w:color w:val="000000" w:themeColor="text1"/>
                <w:sz w:val="20"/>
                <w:szCs w:val="20"/>
              </w:rPr>
              <w:t>Citation</w:t>
            </w:r>
          </w:p>
        </w:tc>
      </w:tr>
      <w:tr w:rsidR="00DF23DA" w:rsidRPr="00DF23DA" w14:paraId="294B9FC3" w14:textId="77777777" w:rsidTr="00616BB3">
        <w:tc>
          <w:tcPr>
            <w:tcW w:w="8075" w:type="dxa"/>
          </w:tcPr>
          <w:p w14:paraId="7F139FA6" w14:textId="5889244F" w:rsidR="003A0DB6" w:rsidRPr="00DF23DA" w:rsidRDefault="00432843"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Action Against Hunger International (2017) WASH’ Nutrition: A practical guidebook on increasing nutritional impact through integration of WASH and nutrition programmes</w:t>
            </w:r>
            <w:r w:rsidR="005E2D6D">
              <w:rPr>
                <w:rFonts w:ascii="Arial" w:hAnsi="Arial" w:cs="Arial"/>
                <w:noProof/>
                <w:color w:val="000000" w:themeColor="text1"/>
                <w:sz w:val="20"/>
                <w:szCs w:val="20"/>
              </w:rPr>
              <w:t>.</w:t>
            </w:r>
            <w:r w:rsidR="00452969" w:rsidRPr="00DF23DA">
              <w:rPr>
                <w:rFonts w:ascii="Arial" w:hAnsi="Arial" w:cs="Arial"/>
                <w:noProof/>
                <w:color w:val="000000" w:themeColor="text1"/>
                <w:sz w:val="20"/>
                <w:szCs w:val="20"/>
              </w:rPr>
              <w:t xml:space="preserve"> </w:t>
            </w:r>
          </w:p>
        </w:tc>
        <w:tc>
          <w:tcPr>
            <w:tcW w:w="1134" w:type="dxa"/>
          </w:tcPr>
          <w:p w14:paraId="07CBD8E8" w14:textId="55CA6EE7"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24CF9A6"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51B64417"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4E122614" w14:textId="1876AE03"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{"citationItems":[{"id":"ITEM-1","itemData":{"author":[{"dropping-particle":"","family":"Action Against Hunger International","given":"","non-dropping-particle":"","parse-names":false,"suffix":""}],"id":"ITEM-1","issued":{"date-parts":[["2017"]]},"title":"68. WASH' Nutrition: A practical guidebook on increasing nutritional impact through integration of WASH and nutrition programmes","type":"report"},"uris":["http://www.mendeley.com/documents/?uuid=eeae3f61-988e-36a6-8e7d-77d253202b1b"]}],"mendeley":{"formattedCitation":"(Action Against Hunger International 2017)","plainTextFormattedCitation":"(Action Against Hunger International 2017)","previouslyFormattedCitation":"(Action Against Hunger International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(Action Against Hunger International 2017)</w:t>
            </w:r>
            <w:r w:rsidRPr="00DF23DA">
              <w:rPr>
                <w:rFonts w:ascii="Arial" w:hAnsi="Arial" w:cs="Arial"/>
                <w:color w:val="000000" w:themeColor="text1"/>
                <w:sz w:val="20"/>
                <w:szCs w:val="20"/>
              </w:rPr>
              <w:fldChar w:fldCharType="end"/>
            </w:r>
          </w:p>
        </w:tc>
      </w:tr>
      <w:tr w:rsidR="00DF23DA" w:rsidRPr="00DF23DA" w14:paraId="3B686A51" w14:textId="77777777" w:rsidTr="00616BB3">
        <w:tc>
          <w:tcPr>
            <w:tcW w:w="8075" w:type="dxa"/>
          </w:tcPr>
          <w:p w14:paraId="553CD527" w14:textId="2042E150" w:rsidR="003A0DB6" w:rsidRPr="00DF23DA" w:rsidRDefault="00452969" w:rsidP="00DF23DA">
            <w:pPr>
              <w:spacing w:line="480" w:lineRule="auto"/>
              <w:ind w:firstLine="27"/>
              <w:rPr>
                <w:rFonts w:ascii="Arial" w:hAnsi="Arial" w:cs="Arial"/>
                <w:color w:val="000000" w:themeColor="text1"/>
                <w:sz w:val="20"/>
                <w:szCs w:val="20"/>
              </w:rPr>
            </w:pPr>
            <w:r w:rsidRPr="00DF23DA">
              <w:rPr>
                <w:rFonts w:ascii="Arial" w:hAnsi="Arial" w:cs="Arial"/>
                <w:noProof/>
                <w:color w:val="000000" w:themeColor="text1"/>
                <w:sz w:val="20"/>
                <w:szCs w:val="20"/>
              </w:rPr>
              <w:t xml:space="preserve">Action contra la Faim (2005) Water, sanitation and hygiene for populations at risk.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48BCFC6C" w14:textId="520D84FC"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152C85A4"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66531597"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680FA637" w14:textId="76AC99A1"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{"citationItems":[{"id":"ITEM-1","itemData":{"ISBN":"2705664998","abstract":"Access to water and sanitation is one of the major challenges for the 21 st century. According to WHO (2004), 1.1 billion people do not have access to safe water and 2.4 billion people do not have access to basic sanitation facilities. As a consequence around 4 million people, the majority of who are children, die every year from water and sanitation related diseases. Water is not only an important factor of public health, but also of general livelihoods and development: crop production, livestock production, industry, commerce and daily life depend on access to water. Water-supply and sanitation conditions therefore directly affect health and food security and are key components in the fight against Hunger and Malnutrition. For 25 years, in line with its vocation of fighting Hunger, the Action contre la Faim international network has been implementing field programmes aimed at supporting populations in humanitarian situations, along with research and technical development in order to optimise its interventions. This book is the result of this experience and presents methods and techniques of intervention, not only to provide and ensure access to water-groundwater prospecting, drilling, well digging, constructing spring catchments and gravity supply systems, treatment and distribution of surface water and collection of rainwater-but also sanitary measures, hygiene promotion, capacity building of communities and local partners, and much more. This manual is the second edition of Alimentation en eau des populations menacées, by Éric Drouart and Jean-Michel Vouillamoz, published in 1999; it has been deeply reviewed, revised, updated and extended, under the coordination of Hubert Sémiond and Francesco González, with more than 60% of new information. It focuses on efficient and concrete action, as well as on context and needs analysis. It is intended for those concerned by programmes involving water supply, sanitation, hygiene promotion and local capacity building. ISBN 2 7056 6499 8 50 ACTION CONTRE LA FAIM Water, sanitation and hygiene for populations at risk ACTION CONTRE LA FAIM Water, sanitation and hygiene HERMANN HERMANN","author":[{"dropping-particle":"","family":"Action contra la Faim","given":"","non-dropping-particle":"","parse-names":false,"suffix":""}],"id":"ITEM-1","issued":{"date-parts":[["2005"]]},"publisher":"Hermann","publisher-place":"Paris, France","title":"191. Water, sanitation and hygiene for populations at risk","type":"book"},"uris":["http://www.mendeley.com/documents/?uuid=555d2add-6bd7-3398-82d7-37eb243be687"]}],"mendeley":{"formattedCitation":"(Action contra la Faim 2005)","plainTextFormattedCitation":"(Action contra la Faim 2005)","previouslyFormattedCitation":"(Action contra la Faim 2005)"},"properties":{"noteIndex":0},"schema":"https://github.com/citation-style-language/schema/raw/master/csl-citation.json"}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(Action contra la Faim 2005)</w:t>
            </w:r>
            <w:r w:rsidRPr="00DF23DA">
              <w:rPr>
                <w:rFonts w:ascii="Arial" w:hAnsi="Arial" w:cs="Arial"/>
                <w:color w:val="000000" w:themeColor="text1"/>
                <w:sz w:val="20"/>
                <w:szCs w:val="20"/>
              </w:rPr>
              <w:fldChar w:fldCharType="end"/>
            </w:r>
          </w:p>
        </w:tc>
      </w:tr>
      <w:tr w:rsidR="00DF23DA" w:rsidRPr="00DF23DA" w14:paraId="29DF155E" w14:textId="77777777" w:rsidTr="00616BB3">
        <w:tc>
          <w:tcPr>
            <w:tcW w:w="8075" w:type="dxa"/>
          </w:tcPr>
          <w:p w14:paraId="78D7600F" w14:textId="40CA8225" w:rsidR="000A22B8"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Age and Disability Consortium (2018) Humanitarian inclusion standards for older people and people with disabilities. </w:t>
            </w:r>
            <w:r w:rsidRPr="00DF23DA">
              <w:rPr>
                <w:rFonts w:ascii="Calibri" w:hAnsi="Calibri" w:cs="Calibri"/>
                <w:noProof/>
                <w:color w:val="000000" w:themeColor="text1"/>
                <w:sz w:val="20"/>
                <w:szCs w:val="20"/>
              </w:rPr>
              <w:t>﻿</w:t>
            </w:r>
          </w:p>
        </w:tc>
        <w:tc>
          <w:tcPr>
            <w:tcW w:w="1134" w:type="dxa"/>
          </w:tcPr>
          <w:p w14:paraId="798D22F2" w14:textId="73967DAB" w:rsidR="000A22B8" w:rsidRPr="00DF23DA" w:rsidRDefault="000A22B8"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68295BA" w14:textId="77777777" w:rsidR="000A22B8" w:rsidRPr="00DF23DA" w:rsidRDefault="000A22B8" w:rsidP="00DF23DA">
            <w:pPr>
              <w:spacing w:line="480" w:lineRule="auto"/>
              <w:jc w:val="center"/>
              <w:rPr>
                <w:rFonts w:ascii="Arial" w:hAnsi="Arial" w:cs="Arial"/>
                <w:color w:val="000000" w:themeColor="text1"/>
                <w:sz w:val="20"/>
                <w:szCs w:val="20"/>
              </w:rPr>
            </w:pPr>
          </w:p>
        </w:tc>
        <w:tc>
          <w:tcPr>
            <w:tcW w:w="1276" w:type="dxa"/>
          </w:tcPr>
          <w:p w14:paraId="4AB6C521" w14:textId="77777777" w:rsidR="000A22B8" w:rsidRPr="00DF23DA" w:rsidRDefault="000A22B8" w:rsidP="00DF23DA">
            <w:pPr>
              <w:spacing w:line="480" w:lineRule="auto"/>
              <w:rPr>
                <w:rFonts w:ascii="Arial" w:hAnsi="Arial" w:cs="Arial"/>
                <w:color w:val="000000" w:themeColor="text1"/>
                <w:sz w:val="20"/>
                <w:szCs w:val="20"/>
              </w:rPr>
            </w:pPr>
          </w:p>
        </w:tc>
        <w:tc>
          <w:tcPr>
            <w:tcW w:w="2551" w:type="dxa"/>
          </w:tcPr>
          <w:p w14:paraId="60B5648B" w14:textId="06D6B6CF" w:rsidR="000A22B8" w:rsidRPr="00DF23DA" w:rsidRDefault="000A22B8"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{"citationItems":[{"id":"ITEM-1","itemData":{"ISBN":"978-1-910743-29-4","author":[{"dropping-particle":"","family":"Age and Disability Consortium","given":"","non-dropping-particle":"","parse-names":false,"suffix":""}],"id":"ITEM-1","issued":{"date-parts":[["2018"]]},"title":"236. Humanitarian inclusion standards for older people and people with disabilities","type":"report"},"uris":["http://www.mendeley.com/documents/?uuid=6ce489a0-9c0a-3e58-8a2a-705d6749d413"]}],"mendeley":{"formattedCitation":"(Age and Disability Consortium 2018)","plainTextFormattedCitation":"(Age and Disability Consortium 2018)","previouslyFormattedCitation":"(Age and Disability Consortium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(Age and Disability Consortium 2018)</w:t>
            </w:r>
            <w:r w:rsidRPr="00DF23DA">
              <w:rPr>
                <w:rFonts w:ascii="Arial" w:hAnsi="Arial" w:cs="Arial"/>
                <w:color w:val="000000" w:themeColor="text1"/>
                <w:sz w:val="20"/>
                <w:szCs w:val="20"/>
              </w:rPr>
              <w:fldChar w:fldCharType="end"/>
            </w:r>
          </w:p>
        </w:tc>
      </w:tr>
      <w:tr w:rsidR="00DF23DA" w:rsidRPr="00DF23DA" w14:paraId="2B897CE5" w14:textId="77777777" w:rsidTr="00616BB3">
        <w:tc>
          <w:tcPr>
            <w:tcW w:w="8075" w:type="dxa"/>
          </w:tcPr>
          <w:p w14:paraId="2FC37334" w14:textId="33EF953E" w:rsidR="003A0DB6" w:rsidRPr="00DF23DA" w:rsidRDefault="0045296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Baghri S, Wilson T (2004) Plan’s approach to water and environmental sanitation. </w:t>
            </w:r>
          </w:p>
        </w:tc>
        <w:tc>
          <w:tcPr>
            <w:tcW w:w="1134" w:type="dxa"/>
          </w:tcPr>
          <w:p w14:paraId="6DD5F5A6" w14:textId="63490429"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43DC3FC"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3A6AB5C8"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10947CEE" w14:textId="5438E947"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ISBN":"1483756505","author":[{"dropping-particle":"","family":"Baghri","given":"Sohrab","non-dropping-particle":"","parse-names":false,"suffix":""},{"dropping-particle":"","family":"Wilson","given":"Tim","non-dropping-particle":"","parse-names":false,"suffix":""}],"id":"ITEM-1","issued":{"date-parts":[["2004"]]},"title":"194. Plan's approach to water and environmental sanitation","type":"report"},"uris":["http://www.mendeley.com/documents/?uuid=b2fc0784-29a7-37fd-82e4-bd1b98cda11a"]}],"mendeley":{"formattedCitation":"(Baghri and Wilson 2004)","plainTextFormattedCitation":"(Baghri and Wilson 2004)","previouslyFormattedCitation":"(Baghri and Wilson 2004)"},"properties":{"noteIndex":0},"schema":"https://github.com/citation-style-language/schema/raw/master/csl-citation.json"}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(Baghri and Wilson 2004)</w:t>
            </w:r>
            <w:r w:rsidRPr="00DF23DA">
              <w:rPr>
                <w:rFonts w:ascii="Arial" w:hAnsi="Arial" w:cs="Arial"/>
                <w:color w:val="000000" w:themeColor="text1"/>
                <w:sz w:val="20"/>
                <w:szCs w:val="20"/>
              </w:rPr>
              <w:fldChar w:fldCharType="end"/>
            </w:r>
          </w:p>
        </w:tc>
      </w:tr>
      <w:tr w:rsidR="00DF23DA" w:rsidRPr="00DF23DA" w14:paraId="79B9E082" w14:textId="77777777" w:rsidTr="00616BB3">
        <w:tc>
          <w:tcPr>
            <w:tcW w:w="8075" w:type="dxa"/>
          </w:tcPr>
          <w:p w14:paraId="54892D24" w14:textId="093D3029" w:rsidR="003A0DB6" w:rsidRPr="00DF23DA" w:rsidRDefault="0045296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Bangladesh Government (2017) Operational Guidelines for WASH in Emergencies – Bangladesh.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3917FF4A" w14:textId="16CC6333"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8A98303"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079534B7"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4A13EEB8" w14:textId="01A8AF04"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{"citationItems":[{"id":"ITEM-1","itemData":{"author":[{"dropping-particle":"","family":"Bangladesh Government","given":"","non-dropping-particle":"","parse-names":false,"suffix":""}],"id":"ITEM-1","issued":{"date-parts":[["2017"]]},"title":"76. Operational Guidelines for WASH in Emergencies - Bangladesh","type":"report"},"uris":["http://www.mendeley.com/documents/?uuid=9be36ac3-83b3-3a57-9d8c-a8041c546480"]}],"mendeley":{"formattedCitation":"(Bangladesh Government 2017)","plainTextFormattedCitation":"(Bangladesh Government 2017)","previouslyFormattedCitation":"(Bangladesh Government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(Bangladesh Government 2017)</w:t>
            </w:r>
            <w:r w:rsidRPr="00DF23DA">
              <w:rPr>
                <w:rFonts w:ascii="Arial" w:hAnsi="Arial" w:cs="Arial"/>
                <w:color w:val="000000" w:themeColor="text1"/>
                <w:sz w:val="20"/>
                <w:szCs w:val="20"/>
              </w:rPr>
              <w:fldChar w:fldCharType="end"/>
            </w:r>
          </w:p>
        </w:tc>
      </w:tr>
      <w:tr w:rsidR="00DF23DA" w:rsidRPr="00DF23DA" w14:paraId="53CDDFB7" w14:textId="77777777" w:rsidTr="00616BB3">
        <w:tc>
          <w:tcPr>
            <w:tcW w:w="8075" w:type="dxa"/>
          </w:tcPr>
          <w:p w14:paraId="6AE6C8FF" w14:textId="0B6D570F"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Banzet J (2003) Towards child-friendly latrines in Viet Nam. </w:t>
            </w:r>
          </w:p>
        </w:tc>
        <w:tc>
          <w:tcPr>
            <w:tcW w:w="1134" w:type="dxa"/>
          </w:tcPr>
          <w:p w14:paraId="5401F768" w14:textId="23D8E093"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A7D2F6A" w14:textId="081B2328"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5249EED5"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5F90DF28" w14:textId="57F605AC"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author":[{"dropping-particle":"","family":"Banzet","given":"Julie","non-dropping-particle":"","parse-names":false,"suffix":""}],"container-title":"Waterfront","id":"ITEM-1","issue":"16","issued":{"date-parts":[["2003"]]},"page":"18-19","title":"196. Towards child-friendly latrines in Viet Nam","type":"article-journal"},"uris":["http://www.mendeley.com/documents/?uuid=4c39b4da-c7b5-35cb-b0fc-ebdd5bf36e13"]}],"mendeley":{"formattedCitation":"(Banzet 2003)","plainTextFormattedCitation":"(Banzet 2003)","previouslyFormattedCitation":"(Banzet 2003)"},"properties":{"noteIndex":0},"schema":"https://github.com/citation-style-language/schema/raw/master/csl-citation.json"}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(Banzet 2003)</w:t>
            </w:r>
            <w:r w:rsidRPr="00DF23DA">
              <w:rPr>
                <w:rFonts w:ascii="Arial" w:hAnsi="Arial" w:cs="Arial"/>
                <w:color w:val="000000" w:themeColor="text1"/>
                <w:sz w:val="20"/>
                <w:szCs w:val="20"/>
              </w:rPr>
              <w:fldChar w:fldCharType="end"/>
            </w:r>
          </w:p>
        </w:tc>
      </w:tr>
      <w:tr w:rsidR="00DF23DA" w:rsidRPr="00DF23DA" w14:paraId="720E917B" w14:textId="77777777" w:rsidTr="00616BB3">
        <w:tc>
          <w:tcPr>
            <w:tcW w:w="8075" w:type="dxa"/>
          </w:tcPr>
          <w:p w14:paraId="1C0C55AF" w14:textId="7CB19CD5"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Bastable A, Lamb J (2012) Innovative designs and approaches in sanitation when responding to challenging and complex humanitarian contexts in urban areas. </w:t>
            </w:r>
          </w:p>
        </w:tc>
        <w:tc>
          <w:tcPr>
            <w:tcW w:w="1134" w:type="dxa"/>
          </w:tcPr>
          <w:p w14:paraId="1DACF372"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134" w:type="dxa"/>
          </w:tcPr>
          <w:p w14:paraId="0F042DA4" w14:textId="10BF8681"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46FE555A" w14:textId="2EB9268B"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Haiti</w:t>
            </w:r>
          </w:p>
        </w:tc>
        <w:tc>
          <w:tcPr>
            <w:tcW w:w="2551" w:type="dxa"/>
          </w:tcPr>
          <w:p w14:paraId="2E579C29" w14:textId="44CFC528"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{"citationItems":[{"id":"ITEM-1","itemData":{"DOI":"10.3362/1756-3488.2012.007","ISSN":"1756-3488","abstract":"As recent emergencies have shown, there are still significant challenges in the timely provision of safe sanitation in natural disasters or conflict situations. In urban emergencies or areas where it is impossible to dig simple pit latrines because of high water tables, hard rock, or lack of permission, it takes agencies considerable time to construct elevated latrines or alternative designs such as urine diversion toilets. This paper describes the challenges often faced in the rapid construction of latrines in emergencies and then looks at a number of case studies, from the Haiti earthquake and the 2010 floods in the Philippines, of how these obstacles were overcome. It also documents some of the recent innovations and improvements suppliers have made in increasing the scope of their emergency sanitation equipment. Over the last cOuple of years, there has been an array of natural disasters, which have led to massive levels of destruction, loss of life, and disorder. Humanitarian agencies are increasingly responding to more frequent disasters in urban areas, such as in Haiti, the Philippines, and Pakistan (although the latter less so for urban areas). The earthquake that struck Haiti had a devastating impact, leaving more than a million homeless, killing more than 220,000 people and injuring over 300,000 people. The death toll in Pakistan was lower: more than 1,750 people are thought to have died; however the number of people affected by the flood was huge, in the region of 21 million people. On the first day of the response, a humanitarian worker will review their contingency stocks, open their logistics equipment catalogue and order a cargo plane jam-packed full of water and sanitation materials. When you make your shopping list of equipment for water supply, there is an array of materials to chose from, whereas for sanitation there will simply be the squatting latrine slab, plastic sheeting, and hygiene promotion materials and equipment. Fewtrell et al. (2005) provide informative conclusions on which WASH intervention significantly reduces diarrhoea morbidity. In Humanitarian agencies are increasingly responding to more disasters in urban areas","author":[{"dropping-particle":"","family":"Bastable","given":"Andy","non-dropping-particle":"","parse-names":false,"suffix":""},{"dropping-particle":"","family":"Lamb","given":"Jenny","non-dropping-particle":"","parse-names":false,"suffix":""}],"container-title":"Waterlines","id":"ITEM-1","issue":"1&amp;2","issued":{"date-parts":[["2012"]]},"title":"186. Innovative designs and approaches in sanitation when responding to challenging and complex humanitarian contexts in urban areas","type":"article-journal","volume":"31"},"uris":["http://www.mendeley.com/documents/?uuid=f6079449-4cbe-354c-b130-b6d067024f6d"]}],"mendeley":{"formattedCitation":"(Bastable and Lamb 2012)","plainTextFormattedCitation":"(Bastable and Lamb 2012)","previouslyFormattedCitation":"(Bastable and Lamb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(Bastable and Lamb 2012)</w:t>
            </w:r>
            <w:r w:rsidRPr="00DF23DA">
              <w:rPr>
                <w:rFonts w:ascii="Arial" w:hAnsi="Arial" w:cs="Arial"/>
                <w:color w:val="000000" w:themeColor="text1"/>
                <w:sz w:val="20"/>
                <w:szCs w:val="20"/>
              </w:rPr>
              <w:fldChar w:fldCharType="end"/>
            </w:r>
          </w:p>
        </w:tc>
      </w:tr>
      <w:tr w:rsidR="00DF23DA" w:rsidRPr="00DF23DA" w14:paraId="20E1941A" w14:textId="77777777" w:rsidTr="00616BB3">
        <w:tc>
          <w:tcPr>
            <w:tcW w:w="8075" w:type="dxa"/>
          </w:tcPr>
          <w:p w14:paraId="1717CAFB" w14:textId="44DA9509" w:rsidR="003A0DB6" w:rsidRPr="00DF23DA" w:rsidRDefault="0045296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Bastable A, Russell L, Gb O (2013) Gap Analysis in Emergency Water, Sanitation and Hygiene Promotion.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5E58D554" w14:textId="7EAF2B04"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10FCE8CF"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710DEE5C"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517C1940" w14:textId="003DAE9F"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author":[{"dropping-particle":"","family":"Bastable","given":"Andy","non-dropping-particle":"","parse-names":false,"suffix":""},{"dropping-particle":"","family":"Russell","given":"Lucy","non-dropping-particle":"","parse-names":false,"suffix":""},{"dropping-particle":"","family":"Gb","given":"Oxfam","non-dropping-particle":"","parse-names":false,"suffix":""}],"id":"ITEM-1","issued":{"date-parts":[["2013"]]},"title":"Not used_Gap Analysis in Emergency Water, Sanitation and Hygiene Promotion","type":"report"},"uris":["http://www.mendeley.com/documents/?uuid=bb54d5b6-3e0e-3cf4-96c9-5dccaa75ae5f"]}],"mendeley":{"formattedCitation":"(Bastable et al. 2013)","plainTextFormattedCitation":"(Bastable et al. 2013)","previouslyFormattedCitation":"(Bastable et al. 2013)"},"properties":{"noteIndex":0},"schema":"https://github.com/citation-style-language/schema/raw/master/csl-citation.json"}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(Bastable et al. 2013)</w:t>
            </w:r>
            <w:r w:rsidRPr="00DF23DA">
              <w:rPr>
                <w:rFonts w:ascii="Arial" w:hAnsi="Arial" w:cs="Arial"/>
                <w:color w:val="000000" w:themeColor="text1"/>
                <w:sz w:val="20"/>
                <w:szCs w:val="20"/>
              </w:rPr>
              <w:fldChar w:fldCharType="end"/>
            </w:r>
          </w:p>
        </w:tc>
      </w:tr>
      <w:tr w:rsidR="00DF23DA" w:rsidRPr="00DF23DA" w14:paraId="2A813515" w14:textId="77777777" w:rsidTr="00616BB3">
        <w:tc>
          <w:tcPr>
            <w:tcW w:w="8075" w:type="dxa"/>
          </w:tcPr>
          <w:p w14:paraId="33F00B8D" w14:textId="10944547"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Behnke N, Cronk R, Snel M, et al (2018) Improving environmental conditions for </w:t>
            </w:r>
            <w:r w:rsidRPr="00DF23DA">
              <w:rPr>
                <w:rFonts w:ascii="Arial" w:hAnsi="Arial" w:cs="Arial"/>
                <w:noProof/>
                <w:color w:val="000000" w:themeColor="text1"/>
                <w:sz w:val="20"/>
                <w:szCs w:val="20"/>
              </w:rPr>
              <w:lastRenderedPageBreak/>
              <w:t xml:space="preserve">involuntarily displaced populations: water, sanitation, and hygiene in orphanages, prisons, and refugee and IDP settlements. </w:t>
            </w:r>
          </w:p>
        </w:tc>
        <w:tc>
          <w:tcPr>
            <w:tcW w:w="1134" w:type="dxa"/>
          </w:tcPr>
          <w:p w14:paraId="117902F3" w14:textId="3A793D10"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lastRenderedPageBreak/>
              <w:t>X</w:t>
            </w:r>
          </w:p>
        </w:tc>
        <w:tc>
          <w:tcPr>
            <w:tcW w:w="1134" w:type="dxa"/>
          </w:tcPr>
          <w:p w14:paraId="6A72D32E"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209DAC8A"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521C80AC" w14:textId="1A51D928"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DOI":"10.2166/washdev.2018.019","ISBN":"0780312635","ISSN":"2043-9083","author":[{"dropping-particle":"","family":"Behnke","given":"Nikki","non-dropping-particle":"","parse-names":false,"suffix":""},{"dropping-particle":"","family":"Cronk","given":"Ryan","non-dropping-particle":"","parse-names":false,"suffix":""},{"dropping-particle":"","family":"Snel","given":"Marielle","non-dropping-particle":"","parse-names":false,"suffix":""},{"dropping-particle":"","family":"Moffa","given":"Michelle","non-dropping-particle":"","parse-names":false,"suffix":""},{"dropping-particle":"","family":"Tu","given":"Raymond","non-dropping-particle":"","parse-names":false,"suffix":""},{"dropping-particle":"","family":"Banner","given":"Brandie","non-dropping-particle":"","parse-names":false,"suffix":""},{"dropping-particle":"","family":"Folz","given":"Caroline","non-dropping-particle":"","parse-names":false,"suffix":""},{"dropping-particle":"","family":"Anderson","given":"Darcy","non-dropping-particle":"","parse-names":false,"suffix":""},{"dropping-particle":"","family":"Macintyre","given":"Alison","non-dropping-particle":"","parse-names":false,"suffix":""},{"dropping-particle":"","family":"Stowe","given":"Eric","non-dropping-particle":"","parse-names":false,"suffix":""},{"dropping-particle":"","family":"Bartram","given":"Jamie","non-dropping-particle":"","parse-names":false,"suffix":""}],"container-title":"Journal of Water Sanitation and Hygiene for Development","id":"ITEM-1","issue":"October","issued":{"date-parts":[["2018"]]},"page":"1-7","title":"125. Improving environmental conditions for involuntarily displaced populations: water, sanitation, and hygiene in orphanages, prisons, and refugee and IDP settlements","type":"article-journal"},"uris":["http://www.mendeley.com/documents/?uuid=edda50fa-0481-4455-993a-b5dd537a3c81"]}],"mendeley":{"formattedCitation":"(Behnke et al. 2018)","plainTextFormattedCitation":"(Behnke et al. 2018)","previouslyFormattedCitation":"(Behnke et al.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(Behnke et al. 2018)</w:t>
            </w:r>
            <w:r w:rsidRPr="00DF23DA">
              <w:rPr>
                <w:rFonts w:ascii="Arial" w:hAnsi="Arial" w:cs="Arial"/>
                <w:color w:val="000000" w:themeColor="text1"/>
                <w:sz w:val="20"/>
                <w:szCs w:val="20"/>
              </w:rPr>
              <w:fldChar w:fldCharType="end"/>
            </w:r>
          </w:p>
        </w:tc>
      </w:tr>
      <w:tr w:rsidR="00DF23DA" w:rsidRPr="00DF23DA" w14:paraId="12FF5E09" w14:textId="77777777" w:rsidTr="00616BB3">
        <w:tc>
          <w:tcPr>
            <w:tcW w:w="8075" w:type="dxa"/>
          </w:tcPr>
          <w:p w14:paraId="4E659F4B" w14:textId="23326174" w:rsidR="003A0DB6" w:rsidRPr="00DF23DA" w:rsidRDefault="0045296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Brown J, Cavill S, Cumming O, Jeandron A (2012) Water, sanitation, and hygiene in emergencies: Summary review and recommendations for further research.</w:t>
            </w:r>
          </w:p>
        </w:tc>
        <w:tc>
          <w:tcPr>
            <w:tcW w:w="1134" w:type="dxa"/>
          </w:tcPr>
          <w:p w14:paraId="3D83B75A" w14:textId="10C01D9E"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11DC999"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41B43E4D"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6ECB9426" w14:textId="6EA9A69A"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{"citationItems":[{"id":"ITEM-1","itemData":{"DOI":"10.3362/1756-3488.2012.004","ISBN":"0262-8104","ISSN":"02628104","PMID":"20123122652","abstract":"Water, sanitation, and hygiene interventions can interrupt diarrhoeal disease transmission and reduce the burden of morbidity and mortality associated with faecal-oral infections. We know that rapid response of effective WASH infrastructure and services can prevent or lessen the impact of diarrhoeal outbreaks that can exacerbate the human suffering accompanying humanitarian crises. In this review summary, we present an overview of current knowledge about what works to prevent disease in emergency WASH response. We know that providing safe water, safe excreta disposal, and basic hygiene measures such as hand washing with soap are effective interventions both within emergency settings as well as in longer-term development, but innovation and further research are needed to make WASH response more effective. We propose key areas for critical research to support the evidence base for WASH interventions in emergencies and promote innovation. © Practical Action Publishing, 2012.","author":[{"dropping-particle":"","family":"Brown","given":"Joe","non-dropping-particle":"","parse-names":false,"suffix":""},{"dropping-particle":"","family":"Cavill","given":"Sue","non-dropping-particle":"","parse-names":false,"suffix":""},{"dropping-particle":"","family":"Cumming","given":"Oliver","non-dropping-particle":"","parse-names":false,"suffix":""},{"dropping-particle":"","family":"Jeandron","given":"Aurelie","non-dropping-particle":"","parse-names":false,"suffix":""}],"container-title":"Waterlines","id":"ITEM-1","issue":"1-2","issued":{"date-parts":[["2012"]]},"page":"11-29","title":"81. Water, sanitation, and hygiene in emergencies: Summary review and recommendations for further research","type":"article-journal","volume":"31"},"uris":["http://www.mendeley.com/documents/?uuid=8919ba2d-fdba-4026-8009-718737849f8e"]}],"mendeley":{"formattedCitation":"(Brown et al. 2012)","plainTextFormattedCitation":"(Brown et al. 2012)","previouslyFormattedCitation":"(Brown et al.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(Brown et al. 2012)</w:t>
            </w:r>
            <w:r w:rsidRPr="00DF23DA">
              <w:rPr>
                <w:rFonts w:ascii="Arial" w:hAnsi="Arial" w:cs="Arial"/>
                <w:color w:val="000000" w:themeColor="text1"/>
                <w:sz w:val="20"/>
                <w:szCs w:val="20"/>
              </w:rPr>
              <w:fldChar w:fldCharType="end"/>
            </w:r>
          </w:p>
        </w:tc>
      </w:tr>
      <w:tr w:rsidR="00DF23DA" w:rsidRPr="00DF23DA" w14:paraId="409A7645" w14:textId="77777777" w:rsidTr="00616BB3">
        <w:tc>
          <w:tcPr>
            <w:tcW w:w="8075" w:type="dxa"/>
          </w:tcPr>
          <w:p w14:paraId="08236EA0" w14:textId="77777777" w:rsidR="00CC6981" w:rsidRDefault="006C7499" w:rsidP="00A249E1">
            <w:pPr>
              <w:widowControl w:val="0"/>
              <w:autoSpaceDE w:val="0"/>
              <w:autoSpaceDN w:val="0"/>
              <w:adjustRightInd w:val="0"/>
              <w:spacing w:line="480" w:lineRule="auto"/>
              <w:ind w:firstLine="27"/>
              <w:rPr>
                <w:rFonts w:ascii="Arial" w:hAnsi="Arial" w:cs="Arial"/>
                <w:noProof/>
                <w:color w:val="FF0000"/>
                <w:sz w:val="20"/>
                <w:szCs w:val="20"/>
              </w:rPr>
            </w:pPr>
            <w:r w:rsidRPr="00DF23DA">
              <w:rPr>
                <w:rFonts w:ascii="Arial" w:hAnsi="Arial" w:cs="Arial"/>
                <w:noProof/>
                <w:color w:val="000000" w:themeColor="text1"/>
                <w:sz w:val="20"/>
                <w:szCs w:val="20"/>
              </w:rPr>
              <w:t>Child Protection Working Group (2012) Minimum standards for child protection in humanitarian action</w:t>
            </w:r>
            <w:r w:rsidR="00A249E1">
              <w:rPr>
                <w:rFonts w:ascii="Arial" w:hAnsi="Arial" w:cs="Arial"/>
                <w:noProof/>
                <w:color w:val="000000" w:themeColor="text1"/>
                <w:sz w:val="20"/>
                <w:szCs w:val="20"/>
              </w:rPr>
              <w:t xml:space="preserve"> </w:t>
            </w:r>
          </w:p>
          <w:p w14:paraId="73C26A3B" w14:textId="3210B219" w:rsidR="00121C38" w:rsidRDefault="006234E3" w:rsidP="00A249E1">
            <w:pPr>
              <w:widowControl w:val="0"/>
              <w:autoSpaceDE w:val="0"/>
              <w:autoSpaceDN w:val="0"/>
              <w:adjustRightInd w:val="0"/>
              <w:spacing w:line="480" w:lineRule="auto"/>
              <w:ind w:firstLine="27"/>
              <w:rPr>
                <w:rFonts w:ascii="Arial" w:hAnsi="Arial" w:cs="Arial"/>
                <w:noProof/>
                <w:color w:val="FF0000"/>
                <w:sz w:val="20"/>
                <w:szCs w:val="20"/>
              </w:rPr>
            </w:pPr>
            <w:r>
              <w:rPr>
                <w:rFonts w:ascii="Arial" w:hAnsi="Arial" w:cs="Arial"/>
                <w:noProof/>
                <w:color w:val="FF0000"/>
                <w:sz w:val="20"/>
                <w:szCs w:val="20"/>
              </w:rPr>
              <w:t>U</w:t>
            </w:r>
            <w:r w:rsidR="00121C38" w:rsidRPr="00A249E1">
              <w:rPr>
                <w:rFonts w:ascii="Arial" w:hAnsi="Arial" w:cs="Arial"/>
                <w:noProof/>
                <w:color w:val="FF0000"/>
                <w:sz w:val="20"/>
                <w:szCs w:val="20"/>
              </w:rPr>
              <w:t>pdated to</w:t>
            </w:r>
            <w:r w:rsidR="00CC6981">
              <w:rPr>
                <w:rFonts w:ascii="Arial" w:hAnsi="Arial" w:cs="Arial"/>
                <w:noProof/>
                <w:color w:val="FF0000"/>
                <w:sz w:val="20"/>
                <w:szCs w:val="20"/>
              </w:rPr>
              <w:t xml:space="preserve">: </w:t>
            </w:r>
            <w:r w:rsidRPr="006234E3">
              <w:rPr>
                <w:rFonts w:ascii="Arial" w:hAnsi="Arial" w:cs="Arial"/>
                <w:noProof/>
                <w:color w:val="FF0000"/>
                <w:sz w:val="20"/>
                <w:szCs w:val="20"/>
              </w:rPr>
              <w:t>The Alliance for Child Protection in Humanitarian Action (2019) Minimum Standards for Child Protection in Humanitarian Action, 2019 Edition.</w:t>
            </w:r>
          </w:p>
          <w:p w14:paraId="79AB7F82" w14:textId="14EEA6BC" w:rsidR="00616BB3" w:rsidRPr="00616BB3" w:rsidRDefault="00616BB3" w:rsidP="00616BB3">
            <w:pPr>
              <w:widowControl w:val="0"/>
              <w:autoSpaceDE w:val="0"/>
              <w:autoSpaceDN w:val="0"/>
              <w:adjustRightInd w:val="0"/>
              <w:spacing w:line="480" w:lineRule="auto"/>
              <w:ind w:firstLine="27"/>
              <w:rPr>
                <w:rFonts w:ascii="Arial" w:hAnsi="Arial" w:cs="Arial"/>
                <w:noProof/>
                <w:color w:val="FF0000"/>
                <w:sz w:val="20"/>
                <w:szCs w:val="20"/>
              </w:rPr>
            </w:pPr>
            <w:r w:rsidRPr="006234E3">
              <w:rPr>
                <w:rFonts w:ascii="Arial" w:hAnsi="Arial" w:cs="Arial"/>
                <w:noProof/>
                <w:color w:val="FF0000"/>
                <w:sz w:val="20"/>
                <w:szCs w:val="20"/>
              </w:rPr>
              <w:t xml:space="preserve">The Alliance for Child Protection in Humanitarian Action (2019) </w:t>
            </w:r>
            <w:r>
              <w:rPr>
                <w:rFonts w:ascii="Arial" w:hAnsi="Arial" w:cs="Arial"/>
                <w:noProof/>
                <w:color w:val="FF0000"/>
                <w:sz w:val="20"/>
                <w:szCs w:val="20"/>
              </w:rPr>
              <w:t xml:space="preserve">Table of Indicators: </w:t>
            </w:r>
            <w:r w:rsidRPr="006234E3">
              <w:rPr>
                <w:rFonts w:ascii="Arial" w:hAnsi="Arial" w:cs="Arial"/>
                <w:noProof/>
                <w:color w:val="FF0000"/>
                <w:sz w:val="20"/>
                <w:szCs w:val="20"/>
              </w:rPr>
              <w:t>Minimum Standards for Child Protection in Humanitarian Action, 2019 Edition.</w:t>
            </w:r>
          </w:p>
        </w:tc>
        <w:tc>
          <w:tcPr>
            <w:tcW w:w="1134" w:type="dxa"/>
          </w:tcPr>
          <w:p w14:paraId="2F561F89" w14:textId="529D0355"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16048E0F"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1D013898"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18AF23EB" w14:textId="77777777" w:rsidR="00B557A1" w:rsidRDefault="00B557A1" w:rsidP="00DF23DA">
            <w:pPr>
              <w:spacing w:line="480" w:lineRule="auto"/>
              <w:rPr>
                <w:rFonts w:ascii="Arial" w:hAnsi="Arial" w:cs="Arial"/>
                <w:color w:val="FF0000"/>
                <w:sz w:val="20"/>
                <w:szCs w:val="20"/>
              </w:rPr>
            </w:pPr>
            <w:r w:rsidRPr="00B557A1">
              <w:rPr>
                <w:rFonts w:ascii="Arial" w:hAnsi="Arial" w:cs="Arial"/>
                <w:color w:val="FF0000"/>
                <w:sz w:val="20"/>
                <w:szCs w:val="20"/>
              </w:rPr>
              <w:t>(The Alliance for Child Protection in Humanitarian Action 2019</w:t>
            </w:r>
            <w:r w:rsidR="00616BB3">
              <w:rPr>
                <w:rFonts w:ascii="Arial" w:hAnsi="Arial" w:cs="Arial"/>
                <w:color w:val="FF0000"/>
                <w:sz w:val="20"/>
                <w:szCs w:val="20"/>
              </w:rPr>
              <w:t>a</w:t>
            </w:r>
            <w:r w:rsidRPr="00B557A1">
              <w:rPr>
                <w:rFonts w:ascii="Arial" w:hAnsi="Arial" w:cs="Arial"/>
                <w:color w:val="FF0000"/>
                <w:sz w:val="20"/>
                <w:szCs w:val="20"/>
              </w:rPr>
              <w:t>)</w:t>
            </w:r>
          </w:p>
          <w:p w14:paraId="47CA8D45" w14:textId="70A6E082" w:rsidR="00616BB3" w:rsidRPr="00B557A1" w:rsidRDefault="00616BB3" w:rsidP="00DF23DA">
            <w:pPr>
              <w:spacing w:line="480" w:lineRule="auto"/>
              <w:rPr>
                <w:rFonts w:ascii="Arial" w:hAnsi="Arial" w:cs="Arial"/>
                <w:color w:val="000000" w:themeColor="text1"/>
                <w:sz w:val="20"/>
                <w:szCs w:val="20"/>
              </w:rPr>
            </w:pPr>
            <w:r w:rsidRPr="00B557A1">
              <w:rPr>
                <w:rFonts w:ascii="Arial" w:hAnsi="Arial" w:cs="Arial"/>
                <w:color w:val="FF0000"/>
                <w:sz w:val="20"/>
                <w:szCs w:val="20"/>
              </w:rPr>
              <w:t>(The Alliance for Child Protection in Humanitarian Action 2019</w:t>
            </w:r>
            <w:r>
              <w:rPr>
                <w:rFonts w:ascii="Arial" w:hAnsi="Arial" w:cs="Arial"/>
                <w:color w:val="FF0000"/>
                <w:sz w:val="20"/>
                <w:szCs w:val="20"/>
              </w:rPr>
              <w:t>b)</w:t>
            </w:r>
          </w:p>
        </w:tc>
      </w:tr>
      <w:tr w:rsidR="00DF23DA" w:rsidRPr="00DF23DA" w14:paraId="7941D461" w14:textId="77777777" w:rsidTr="00616BB3">
        <w:tc>
          <w:tcPr>
            <w:tcW w:w="8075" w:type="dxa"/>
          </w:tcPr>
          <w:p w14:paraId="4A1437A4" w14:textId="20D6B800"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Deniel K (2006) Children’s sanitation in emergencies. </w:t>
            </w:r>
          </w:p>
        </w:tc>
        <w:tc>
          <w:tcPr>
            <w:tcW w:w="1134" w:type="dxa"/>
          </w:tcPr>
          <w:p w14:paraId="269F940F" w14:textId="2B2B3CF3"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2FFDBA4"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276" w:type="dxa"/>
          </w:tcPr>
          <w:p w14:paraId="7F0DC4AB" w14:textId="77777777" w:rsidR="003A0DB6" w:rsidRPr="00DF23DA" w:rsidRDefault="003A0DB6" w:rsidP="00DF23DA">
            <w:pPr>
              <w:spacing w:line="480" w:lineRule="auto"/>
              <w:rPr>
                <w:rFonts w:ascii="Arial" w:hAnsi="Arial" w:cs="Arial"/>
                <w:color w:val="000000" w:themeColor="text1"/>
                <w:sz w:val="20"/>
                <w:szCs w:val="20"/>
              </w:rPr>
            </w:pPr>
          </w:p>
        </w:tc>
        <w:tc>
          <w:tcPr>
            <w:tcW w:w="2551" w:type="dxa"/>
          </w:tcPr>
          <w:p w14:paraId="3C99F466" w14:textId="7B354174"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DOI":"10.3362/0262-8104.2006.012","author":[{"dropping-particle":"","family":"Deniel","given":"Karine","non-dropping-particle":"","parse-names":false,"suffix":""}],"container-title":"Waterlines","id":"ITEM-1","issue":"3","issued":{"date-parts":[["2006"]]},"page":"28","title":"182. Children's sanitation in emergencies","type":"article-journal","volume":"24"},"uris":["http://www.mendeley.com/documents/?uuid=9b3d7333-ae23-34ad-a914-91ebdfb21513"]}],"mendeley":{"formattedCitation":"(Deniel 2006)","plainTextFormattedCitation":"(Deniel 2006)","previouslyFormattedCitation":"(Deniel 2006)"},"properties":{"noteIndex":0},"schema":"https://github.com/citation-style-language/schema/raw/master/csl-citation.json"}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(Deniel 2006)</w:t>
            </w:r>
            <w:r w:rsidRPr="00DF23DA">
              <w:rPr>
                <w:rFonts w:ascii="Arial" w:hAnsi="Arial" w:cs="Arial"/>
                <w:color w:val="000000" w:themeColor="text1"/>
                <w:sz w:val="20"/>
                <w:szCs w:val="20"/>
              </w:rPr>
              <w:fldChar w:fldCharType="end"/>
            </w:r>
          </w:p>
        </w:tc>
      </w:tr>
      <w:tr w:rsidR="00DF23DA" w:rsidRPr="00DF23DA" w14:paraId="1A4C5CBA" w14:textId="77777777" w:rsidTr="00616BB3">
        <w:tc>
          <w:tcPr>
            <w:tcW w:w="8075" w:type="dxa"/>
          </w:tcPr>
          <w:p w14:paraId="646A17A6" w14:textId="685DAA7E"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Denis J (2015) Sanitation practices for infants and children in emergencies. </w:t>
            </w:r>
          </w:p>
        </w:tc>
        <w:tc>
          <w:tcPr>
            <w:tcW w:w="1134" w:type="dxa"/>
          </w:tcPr>
          <w:p w14:paraId="653C9784"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134" w:type="dxa"/>
          </w:tcPr>
          <w:p w14:paraId="608D9059" w14:textId="48A3979F"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05717243" w14:textId="10086137"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Philippines</w:t>
            </w:r>
          </w:p>
        </w:tc>
        <w:tc>
          <w:tcPr>
            <w:tcW w:w="2551" w:type="dxa"/>
          </w:tcPr>
          <w:p w14:paraId="31E787AA" w14:textId="6F02E6CF"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{"citationItems":[{"id":"ITEM-1","itemData":{"author":[{"dropping-particle":"","family":"Denis","given":"Justine","non-dropping-particle":"","parse-names":false,"suffix":""}],"id":"ITEM-1","issued":{"date-parts":[["2015"]]},"publisher":"Cranfield University","title":"199. Sanitation practices for infants and children in emergencies","type":"thesis"},"uris":["http://www.mendeley.com/documents/?uuid=7c15c7a8-9033-4876-a15e-520a1b1f26cd"]}],"mendeley":{"formattedCitation":"(Denis 2015)","plainTextFormattedCitation":"(Denis 2015)","previouslyFormattedCitation":"(Denis 2015)"},"properties":{"noteIndex":0},"schema":"https://github.com/citation-style-language/schema/raw/master/csl-citation.json"}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(Denis 2015)</w:t>
            </w:r>
            <w:r w:rsidRPr="00DF23DA">
              <w:rPr>
                <w:rFonts w:ascii="Arial" w:hAnsi="Arial" w:cs="Arial"/>
                <w:color w:val="000000" w:themeColor="text1"/>
                <w:sz w:val="20"/>
                <w:szCs w:val="20"/>
              </w:rPr>
              <w:fldChar w:fldCharType="end"/>
            </w:r>
          </w:p>
        </w:tc>
      </w:tr>
      <w:tr w:rsidR="00DF23DA" w:rsidRPr="00DF23DA" w14:paraId="5C61F97A" w14:textId="77777777" w:rsidTr="00616BB3">
        <w:tc>
          <w:tcPr>
            <w:tcW w:w="8075" w:type="dxa"/>
          </w:tcPr>
          <w:p w14:paraId="569AD153" w14:textId="6C62A373" w:rsidR="003A0DB6" w:rsidRPr="00DF23DA" w:rsidRDefault="006C7499" w:rsidP="00DF23DA">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Eclipse Experience (2019) User-Centred Community Engagement. </w:t>
            </w:r>
          </w:p>
        </w:tc>
        <w:tc>
          <w:tcPr>
            <w:tcW w:w="1134" w:type="dxa"/>
          </w:tcPr>
          <w:p w14:paraId="7101E9B3" w14:textId="77777777" w:rsidR="003A0DB6" w:rsidRPr="00DF23DA" w:rsidRDefault="003A0DB6" w:rsidP="00DF23DA">
            <w:pPr>
              <w:spacing w:line="480" w:lineRule="auto"/>
              <w:jc w:val="center"/>
              <w:rPr>
                <w:rFonts w:ascii="Arial" w:hAnsi="Arial" w:cs="Arial"/>
                <w:color w:val="000000" w:themeColor="text1"/>
                <w:sz w:val="20"/>
                <w:szCs w:val="20"/>
              </w:rPr>
            </w:pPr>
          </w:p>
        </w:tc>
        <w:tc>
          <w:tcPr>
            <w:tcW w:w="1134" w:type="dxa"/>
          </w:tcPr>
          <w:p w14:paraId="716F657F" w14:textId="6447D163" w:rsidR="003A0DB6" w:rsidRPr="00DF23DA" w:rsidRDefault="003A0DB6" w:rsidP="00DF23DA">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090AC879" w14:textId="2056041B" w:rsidR="003A0DB6" w:rsidRPr="00DF23DA" w:rsidRDefault="00616BB3"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r>
              <w:rPr>
                <w:rFonts w:ascii="Arial" w:hAnsi="Arial" w:cs="Arial"/>
                <w:color w:val="000000" w:themeColor="text1"/>
                <w:sz w:val="20"/>
                <w:szCs w:val="20"/>
              </w:rPr>
              <w:t xml:space="preserve"> </w:t>
            </w:r>
            <w:r w:rsidRPr="00DF23DA">
              <w:rPr>
                <w:rFonts w:ascii="Arial" w:hAnsi="Arial" w:cs="Arial"/>
                <w:color w:val="000000" w:themeColor="text1"/>
                <w:sz w:val="20"/>
                <w:szCs w:val="20"/>
              </w:rPr>
              <w:t>Iraq</w:t>
            </w:r>
          </w:p>
        </w:tc>
        <w:tc>
          <w:tcPr>
            <w:tcW w:w="2551" w:type="dxa"/>
          </w:tcPr>
          <w:p w14:paraId="5995A183" w14:textId="6F7CEDD3" w:rsidR="003A0DB6" w:rsidRPr="00DF23DA" w:rsidRDefault="003A0DB6" w:rsidP="00DF23DA">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00432843" w:rsidRPr="00DF23DA">
              <w:rPr>
                <w:rFonts w:ascii="Arial" w:hAnsi="Arial" w:cs="Arial"/>
                <w:color w:val="000000" w:themeColor="text1"/>
                <w:sz w:val="20"/>
                <w:szCs w:val="20"/>
              </w:rPr>
              <w:instrText>ADDIN CSL_CITATION {"citationItems":[{"id":"ITEM-1","itemData":{"URL":"http://www.eclipse-experience.com/user-centred-community-engagement/pilot-methodology","author":[{"dropping-particle":"","family":"Eclipse Experience","given":"","non-dropping-particle":"","parse-names":false,"suffix":""}],"id":"ITEM-1","issued":{"date-parts":[["2019"]]},"title":"User-Centred Community Engagement","type":"webpage"},"uris":["http://www.mendeley.com/documents/?uuid=b8fed7dc-d231-421f-b093-18afe8e08729"]}],"mendeley":{"formattedCitation":"(Eclipse Experience 2019)","plainTextFormattedCitation":"(Eclipse Experience 2019)","previouslyFormattedCitation":"(Eclipse Experience 2019)"},"properties":{"noteIndex":0},"schema":"https://github.com/citation-style-language/schema/raw/master/csl-citation.json"}</w:instrText>
            </w:r>
            <w:r w:rsidRPr="00DF23DA">
              <w:rPr>
                <w:rFonts w:ascii="Arial" w:hAnsi="Arial" w:cs="Arial"/>
                <w:color w:val="000000" w:themeColor="text1"/>
                <w:sz w:val="20"/>
                <w:szCs w:val="20"/>
              </w:rPr>
              <w:fldChar w:fldCharType="separate"/>
            </w:r>
            <w:r w:rsidR="006C7499" w:rsidRPr="00DF23DA">
              <w:rPr>
                <w:rFonts w:ascii="Arial" w:hAnsi="Arial" w:cs="Arial"/>
                <w:noProof/>
                <w:color w:val="000000" w:themeColor="text1"/>
                <w:sz w:val="20"/>
                <w:szCs w:val="20"/>
              </w:rPr>
              <w:t>(Eclipse Experience 2019)</w:t>
            </w:r>
            <w:r w:rsidRPr="00DF23DA">
              <w:rPr>
                <w:rFonts w:ascii="Arial" w:hAnsi="Arial" w:cs="Arial"/>
                <w:color w:val="000000" w:themeColor="text1"/>
                <w:sz w:val="20"/>
                <w:szCs w:val="20"/>
              </w:rPr>
              <w:fldChar w:fldCharType="end"/>
            </w:r>
          </w:p>
        </w:tc>
      </w:tr>
      <w:tr w:rsidR="00157B96" w:rsidRPr="00DF23DA" w14:paraId="6444D6B8" w14:textId="77777777" w:rsidTr="00616BB3">
        <w:tc>
          <w:tcPr>
            <w:tcW w:w="8075" w:type="dxa"/>
          </w:tcPr>
          <w:p w14:paraId="4BAC0261" w14:textId="59FE379D"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Pr>
                <w:rFonts w:ascii="Arial" w:hAnsi="Arial" w:cs="Arial"/>
                <w:noProof/>
                <w:color w:val="000000" w:themeColor="text1"/>
                <w:sz w:val="20"/>
                <w:szCs w:val="20"/>
              </w:rPr>
              <w:t>Farrington, M</w:t>
            </w:r>
            <w:r w:rsidRPr="00DF23DA">
              <w:rPr>
                <w:rFonts w:ascii="Arial" w:hAnsi="Arial" w:cs="Arial"/>
                <w:noProof/>
                <w:color w:val="000000" w:themeColor="text1"/>
                <w:sz w:val="20"/>
                <w:szCs w:val="20"/>
              </w:rPr>
              <w:t xml:space="preserve"> (2018) Women’s Social Architecture Project: Phase 1 Final Report. Cox’s Bazaar, Bangladesh.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20E41789"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6967A381" w14:textId="08A86984"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47F889AB" w14:textId="3FE49A83"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p>
        </w:tc>
        <w:tc>
          <w:tcPr>
            <w:tcW w:w="2551" w:type="dxa"/>
          </w:tcPr>
          <w:p w14:paraId="24C63DFD" w14:textId="57DF7107" w:rsidR="00157B96" w:rsidRPr="00DF23DA" w:rsidRDefault="00157B96" w:rsidP="00157B96">
            <w:pPr>
              <w:spacing w:line="480" w:lineRule="auto"/>
              <w:rPr>
                <w:rFonts w:ascii="Arial" w:hAnsi="Arial" w:cs="Arial"/>
                <w:color w:val="000000" w:themeColor="text1"/>
                <w:sz w:val="20"/>
                <w:szCs w:val="20"/>
              </w:rPr>
            </w:pPr>
            <w:r>
              <w:rPr>
                <w:rFonts w:ascii="Arial" w:hAnsi="Arial" w:cs="Arial"/>
                <w:color w:val="000000" w:themeColor="text1"/>
                <w:sz w:val="20"/>
                <w:szCs w:val="20"/>
              </w:rPr>
              <w:t>(Farrington 2018)</w:t>
            </w:r>
          </w:p>
        </w:tc>
      </w:tr>
      <w:tr w:rsidR="00157B96" w:rsidRPr="00DF23DA" w14:paraId="087C2A2D" w14:textId="77777777" w:rsidTr="00616BB3">
        <w:tc>
          <w:tcPr>
            <w:tcW w:w="8075" w:type="dxa"/>
          </w:tcPr>
          <w:p w14:paraId="76AA3B58" w14:textId="1F256066"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lastRenderedPageBreak/>
              <w:t xml:space="preserve">Ferron S, Lloyd A (2014) Emergency WASH for children. </w:t>
            </w:r>
          </w:p>
        </w:tc>
        <w:tc>
          <w:tcPr>
            <w:tcW w:w="1134" w:type="dxa"/>
          </w:tcPr>
          <w:p w14:paraId="33759D99" w14:textId="5A7DBD04"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22BD2D2" w14:textId="4638B16C"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1BB05B74" w14:textId="2BF47A81"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r>
              <w:rPr>
                <w:rFonts w:ascii="Arial" w:hAnsi="Arial" w:cs="Arial"/>
                <w:color w:val="000000" w:themeColor="text1"/>
                <w:sz w:val="20"/>
                <w:szCs w:val="20"/>
              </w:rPr>
              <w:t xml:space="preserve"> </w:t>
            </w:r>
            <w:r w:rsidRPr="00DF23DA">
              <w:rPr>
                <w:rFonts w:ascii="Arial" w:hAnsi="Arial" w:cs="Arial"/>
                <w:color w:val="000000" w:themeColor="text1"/>
                <w:sz w:val="20"/>
                <w:szCs w:val="20"/>
              </w:rPr>
              <w:t>Ethiopia</w:t>
            </w:r>
          </w:p>
        </w:tc>
        <w:tc>
          <w:tcPr>
            <w:tcW w:w="2551" w:type="dxa"/>
          </w:tcPr>
          <w:p w14:paraId="26438CC5" w14:textId="7AC6C98D"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Ferron","given":"Suzanne","non-dropping-particle":"","parse-names":false,"suffix":""},{"dropping-particle":"","family":"Lloyd","given":"Anne","non-dropping-particle":"","parse-names":false,"suffix":""}],"id":"ITEM-1","issued":{"date-parts":[["2014"]]},"title":"23. Emergency WASH for children","type":"report"},"uris":["http://www.mendeley.com/documents/?uuid=c9545ad4-f154-4f48-bb1e-8204b8707847"]}],"mendeley":{"formattedCitation":"(Ferron and Lloyd 2014)","plainTextFormattedCitation":"(Ferron and Lloyd 2014)","previouslyFormattedCitation":"(Ferron and Lloyd 2014)"},"properties":{"noteIndex":0},"schema":"https://github.com/citation-style-language/schema/raw/master/csl-citation.json"}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(Ferron and Lloyd 2014)</w:t>
            </w:r>
            <w:r w:rsidRPr="00DF23DA">
              <w:rPr>
                <w:rFonts w:ascii="Arial" w:hAnsi="Arial" w:cs="Arial"/>
                <w:color w:val="000000" w:themeColor="text1"/>
                <w:sz w:val="20"/>
                <w:szCs w:val="20"/>
              </w:rPr>
              <w:fldChar w:fldCharType="end"/>
            </w:r>
          </w:p>
        </w:tc>
      </w:tr>
      <w:tr w:rsidR="00157B96" w:rsidRPr="00DF23DA" w14:paraId="5D99CF76" w14:textId="77777777" w:rsidTr="00616BB3">
        <w:tc>
          <w:tcPr>
            <w:tcW w:w="8075" w:type="dxa"/>
          </w:tcPr>
          <w:p w14:paraId="752C659A" w14:textId="77EFF90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Gensch R, Jennings A, Renggli S, Reymond P (2018) Compendium of Sanitation Technologies in Emergencies. </w:t>
            </w:r>
            <w:r w:rsidRPr="00DF23DA">
              <w:rPr>
                <w:rFonts w:ascii="Calibri" w:hAnsi="Calibri" w:cs="Calibri"/>
                <w:noProof/>
                <w:color w:val="000000" w:themeColor="text1"/>
                <w:sz w:val="20"/>
                <w:szCs w:val="20"/>
              </w:rPr>
              <w:t>﻿</w:t>
            </w:r>
          </w:p>
        </w:tc>
        <w:tc>
          <w:tcPr>
            <w:tcW w:w="1134" w:type="dxa"/>
          </w:tcPr>
          <w:p w14:paraId="70D1D44F" w14:textId="542D9DE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CCACE3D"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4E9B9EAB"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B56D798" w14:textId="5A0582B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{"citationItems":[{"id":"ITEM-1","itemData":{"abstract":"We would like to thank the following individuals and their organisations/institutions for their invaluable contributions to this publication: Our special thanks for hosting the online platform of the compendium go to: The Global WASH Cluster The Sustainable Sanitation Alliance and its Secretariat hosted by GIZ We would like to acknowledge support from: The German Federal Foreign Office The Swiss Agency for Development and Cooperation (SDC)","author":[{"dropping-particle":"","family":"Gensch","given":"Robert","non-dropping-particle":"","parse-names":false,"suffix":""},{"dropping-particle":"","family":"Jennings","given":"Amy","non-dropping-particle":"","parse-names":false,"suffix":""},{"dropping-particle":"","family":"Renggli","given":"Samuel","non-dropping-particle":"","parse-names":false,"suffix":""},{"dropping-particle":"","family":"Reymond","given":"Philippe","non-dropping-particle":"","parse-names":false,"suffix":""}],"id":"ITEM-1","issued":{"date-parts":[["2018"]]},"publisher-place":"Berlin, Germany","title":"156. Compendium of Sanitation Technologies in Emergencies","type":"report"},"uris":["http://www.mendeley.com/documents/?uuid=a9b5412e-6261-362c-bb43-0f4ba6e43821"]}],"mendeley":{"formattedCitation":"(Gensch et al. 2018)","plainTextFormattedCitation":"(Gensch et al. 2018)","previouslyFormattedCitation":"(Gensch et al.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(Gensch et al. 2018)</w:t>
            </w:r>
            <w:r w:rsidRPr="00DF23DA">
              <w:rPr>
                <w:rFonts w:ascii="Arial" w:hAnsi="Arial" w:cs="Arial"/>
                <w:color w:val="000000" w:themeColor="text1"/>
                <w:sz w:val="20"/>
                <w:szCs w:val="20"/>
              </w:rPr>
              <w:fldChar w:fldCharType="end"/>
            </w:r>
          </w:p>
        </w:tc>
      </w:tr>
      <w:tr w:rsidR="00157B96" w:rsidRPr="00DF23DA" w14:paraId="4F8EE09D" w14:textId="77777777" w:rsidTr="00616BB3">
        <w:tc>
          <w:tcPr>
            <w:tcW w:w="8075" w:type="dxa"/>
          </w:tcPr>
          <w:p w14:paraId="54B2679B" w14:textId="78F64A4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Gustave YG (2011) Sanitation solutions for a refugee camp: Field trial of sanitation for the vulnerable</w:t>
            </w:r>
            <w:r>
              <w:rPr>
                <w:rFonts w:ascii="Arial" w:hAnsi="Arial" w:cs="Arial"/>
                <w:noProof/>
                <w:color w:val="000000" w:themeColor="text1"/>
                <w:sz w:val="20"/>
                <w:szCs w:val="20"/>
              </w:rPr>
              <w:t>.</w:t>
            </w:r>
          </w:p>
        </w:tc>
        <w:tc>
          <w:tcPr>
            <w:tcW w:w="1134" w:type="dxa"/>
          </w:tcPr>
          <w:p w14:paraId="613B06DD"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3083320A" w14:textId="56F74832"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493827C1" w14:textId="20736FE1"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Liberia</w:t>
            </w:r>
          </w:p>
        </w:tc>
        <w:tc>
          <w:tcPr>
            <w:tcW w:w="2551" w:type="dxa"/>
          </w:tcPr>
          <w:p w14:paraId="342376BC" w14:textId="2945690D"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{"citationItems":[{"id":"ITEM-1","itemData":{"abstract":"Sanitation solutions for a refugee camp: Field trial of sanitation for the vulnerable DISSERTATION STUDY MASTER IN HUMANITARIAN WASH","author":[{"dropping-particle":"","family":"Gustave","given":"Yamossou Gnagny","non-dropping-particle":"","parse-names":false,"suffix":""}],"id":"ITEM-1","issued":{"date-parts":[["2011"]]},"publisher":"2IE Foundation (International Institute for Water and Environmental Engineering)","title":"193. Sanitation solutions for a refugee camp: Field trial of sanitation for the vulnerable","type":"thesis"},"uris":["http://www.mendeley.com/documents/?uuid=3a9c41ce-ee2b-3a32-9120-cc5ec67b9c94"]}],"mendeley":{"formattedCitation":"(Gustave 2011)","plainTextFormattedCitation":"(Gustave 2011)","previouslyFormattedCitation":"(Gustave 2011)"},"properties":{"noteIndex":0},"schema":"https://github.com/citation-style-language/schema/raw/master/csl-citation.json"}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(Gustave 2011)</w:t>
            </w:r>
            <w:r w:rsidRPr="00DF23DA">
              <w:rPr>
                <w:rFonts w:ascii="Arial" w:hAnsi="Arial" w:cs="Arial"/>
                <w:color w:val="000000" w:themeColor="text1"/>
                <w:sz w:val="20"/>
                <w:szCs w:val="20"/>
              </w:rPr>
              <w:fldChar w:fldCharType="end"/>
            </w:r>
          </w:p>
        </w:tc>
      </w:tr>
      <w:tr w:rsidR="00157B96" w:rsidRPr="00DF23DA" w14:paraId="7C86346B" w14:textId="77777777" w:rsidTr="00616BB3">
        <w:tc>
          <w:tcPr>
            <w:tcW w:w="8075" w:type="dxa"/>
          </w:tcPr>
          <w:p w14:paraId="49C9E24B" w14:textId="1B8B970D"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Harvey P (2007) Excreta Disposal in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22236D4F" w14:textId="42BDB6D1"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4253A54" w14:textId="69F3389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3F67EE6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33B7F0E" w14:textId="57CB1215"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ISBN":"9781843801139","author":[{"dropping-particle":"","family":"Harvey","given":"Peter","non-dropping-particle":"","parse-names":false,"suffix":""}],"id":"ITEM-1","issued":{"date-parts":[["2007"]]},"publisher":"WEDC","publisher-place":"Loughborough, United Kingdom","title":"190. Excreta Disposal in Emergencies. A Field Manual","type":"book"},"uris":["http://www.mendeley.com/documents/?uuid=545265f9-85f4-3666-845e-5fbc485459b7"]}],"mendeley":{"formattedCitation":"(Harvey 2007)","plainTextFormattedCitation":"(Harvey 2007)","previouslyFormattedCitation":"(Harvey 2007)"},"properties":{"noteIndex":0},"schema":"https://github.com/citation-style-language/schema/raw/master/csl-citation.json"}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(Harvey 2007)</w:t>
            </w:r>
            <w:r w:rsidRPr="00DF23DA">
              <w:rPr>
                <w:rFonts w:ascii="Arial" w:hAnsi="Arial" w:cs="Arial"/>
                <w:color w:val="000000" w:themeColor="text1"/>
                <w:sz w:val="20"/>
                <w:szCs w:val="20"/>
              </w:rPr>
              <w:fldChar w:fldCharType="end"/>
            </w:r>
          </w:p>
        </w:tc>
      </w:tr>
      <w:tr w:rsidR="00157B96" w:rsidRPr="00DF23DA" w14:paraId="38CBA2A1" w14:textId="77777777" w:rsidTr="00616BB3">
        <w:tc>
          <w:tcPr>
            <w:tcW w:w="8075" w:type="dxa"/>
          </w:tcPr>
          <w:p w14:paraId="0D7C6ABE" w14:textId="695B657E"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House S (2019) Strengthening the humanity in humanitarian action in the work of the WASH sector in the Rohingya response</w:t>
            </w:r>
          </w:p>
        </w:tc>
        <w:tc>
          <w:tcPr>
            <w:tcW w:w="1134" w:type="dxa"/>
          </w:tcPr>
          <w:p w14:paraId="7917A953"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1BC7DF19" w14:textId="0B2558B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5DC684FE" w14:textId="56222442"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p>
        </w:tc>
        <w:tc>
          <w:tcPr>
            <w:tcW w:w="2551" w:type="dxa"/>
          </w:tcPr>
          <w:p w14:paraId="23E8E5FB" w14:textId="44223321"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House","given":"Sarah","non-dropping-particle":"","parse-names":false,"suffix":""}],"id":"ITEM-1","issued":{"date-parts":[["2019"]]},"title":"DELETE","type":"report"},"uris":["http://www.mendeley.com/documents/?uuid=04d3e475-0054-41e1-b5d0-bc11883f137e"]}],"mendeley":{"formattedCitation":"(House 2019)","plainTextFormattedCitation":"(House 2019)","previouslyFormattedCitation":"(House 2019)"},"properties":{"noteIndex":0},"schema":"https://github.com/citation-style-language/schema/raw/master/csl-citation.json"}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(House 2019)</w:t>
            </w:r>
            <w:r w:rsidRPr="00DF23DA">
              <w:rPr>
                <w:rFonts w:ascii="Arial" w:hAnsi="Arial" w:cs="Arial"/>
                <w:color w:val="000000" w:themeColor="text1"/>
                <w:sz w:val="20"/>
                <w:szCs w:val="20"/>
              </w:rPr>
              <w:fldChar w:fldCharType="end"/>
            </w:r>
          </w:p>
        </w:tc>
      </w:tr>
      <w:tr w:rsidR="00157B96" w:rsidRPr="00DF23DA" w14:paraId="011D3A3D" w14:textId="77777777" w:rsidTr="00616BB3">
        <w:tc>
          <w:tcPr>
            <w:tcW w:w="8075" w:type="dxa"/>
          </w:tcPr>
          <w:p w14:paraId="3B7DF27F" w14:textId="7738AF8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IASC (2006) Women, girls, boys and men: different needs - equal opportunities. Gender handbook for humanitarian action. </w:t>
            </w:r>
          </w:p>
        </w:tc>
        <w:tc>
          <w:tcPr>
            <w:tcW w:w="1134" w:type="dxa"/>
          </w:tcPr>
          <w:p w14:paraId="6D55EE8C" w14:textId="665CF119"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14AD5B30"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67BC360A"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98FEA52" w14:textId="27CEB49E"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{"citationItems":[{"id":"ITEM-1","itemData":{"author":[{"dropping-particle":"","family":"IASC","given":"","non-dropping-particle":"","parse-names":false,"suffix":""}],"id":"ITEM-1","issued":{"date-parts":[["2006"]]},"title":"187. Women, girls, boys and men: different needs - equal opportunities. Gender handbook for humanitarian action.","type":"report"},"uris":["http://www.mendeley.com/documents/?uuid=8086525b-3626-3f87-9efd-2229217627b7"]}],"mendeley":{"formattedCitation":"(IASC 2006)","plainTextFormattedCitation":"(IASC 2006)","previouslyFormattedCitation":"(IASC 2006)"},"properties":{"noteIndex":0},"schema":"https://github.com/citation-style-language/schema/raw/master/csl-citation.json"}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(IASC 2006)</w:t>
            </w:r>
            <w:r w:rsidRPr="00DF23DA">
              <w:rPr>
                <w:rFonts w:ascii="Arial" w:hAnsi="Arial" w:cs="Arial"/>
                <w:color w:val="000000" w:themeColor="text1"/>
                <w:sz w:val="20"/>
                <w:szCs w:val="20"/>
              </w:rPr>
              <w:fldChar w:fldCharType="end"/>
            </w:r>
          </w:p>
        </w:tc>
      </w:tr>
      <w:tr w:rsidR="00157B96" w:rsidRPr="00DF23DA" w14:paraId="242B466F" w14:textId="77777777" w:rsidTr="00616BB3">
        <w:tc>
          <w:tcPr>
            <w:tcW w:w="8075" w:type="dxa"/>
          </w:tcPr>
          <w:p w14:paraId="7EC9DE77" w14:textId="54B1CEBD"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Jabbar GA (2018) Gender-based violence in relation to water, sanitation and hygiene in the informal tented settlements of the Bekaa Valley, Lebanon. </w:t>
            </w:r>
          </w:p>
        </w:tc>
        <w:tc>
          <w:tcPr>
            <w:tcW w:w="1134" w:type="dxa"/>
          </w:tcPr>
          <w:p w14:paraId="402BE4E2"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6EF87F6D" w14:textId="1B8B6B61"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7E0D8592" w14:textId="0797DF56"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Lebanon</w:t>
            </w:r>
          </w:p>
        </w:tc>
        <w:tc>
          <w:tcPr>
            <w:tcW w:w="2551" w:type="dxa"/>
          </w:tcPr>
          <w:p w14:paraId="4E3D63D2" w14:textId="3259B0EA"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{"citationItems":[{"id":"ITEM-1","itemData":{"author":[{"dropping-particle":"","family":"Jabbar","given":"Gheed Abdul","non-dropping-particle":"","parse-names":false,"suffix":""}],"id":"ITEM-1","issued":{"date-parts":[["2018"]]},"publisher":"University of Leeds","title":"195. Gender-based violence in relation to water, sanitation and hygiene in the informal tented settlements of the Bekaa Valley, Lebanon","type":"thesis"},"uris":["http://www.mendeley.com/documents/?uuid=957a7a08-08a9-40cf-8f47-b806dcb8d2ac"]}],"mendeley":{"formattedCitation":"(Jabbar 2018)","plainTextFormattedCitation":"(Jabbar 2018)","previouslyFormattedCitation":"(Jabbar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(Jabbar 2018)</w:t>
            </w:r>
            <w:r w:rsidRPr="00DF23DA">
              <w:rPr>
                <w:rFonts w:ascii="Arial" w:hAnsi="Arial" w:cs="Arial"/>
                <w:color w:val="000000" w:themeColor="text1"/>
                <w:sz w:val="20"/>
                <w:szCs w:val="20"/>
              </w:rPr>
              <w:fldChar w:fldCharType="end"/>
            </w:r>
          </w:p>
        </w:tc>
      </w:tr>
      <w:tr w:rsidR="00157B96" w:rsidRPr="00DF23DA" w14:paraId="2A744867" w14:textId="77777777" w:rsidTr="00616BB3">
        <w:tc>
          <w:tcPr>
            <w:tcW w:w="8075" w:type="dxa"/>
          </w:tcPr>
          <w:p w14:paraId="5AB1F70E" w14:textId="72517C6B"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Johannessen A (2011) Identifying gaps in emergency sanitation</w:t>
            </w:r>
            <w:r>
              <w:rPr>
                <w:rFonts w:ascii="Arial" w:hAnsi="Arial" w:cs="Arial"/>
                <w:noProof/>
                <w:color w:val="000000" w:themeColor="text1"/>
                <w:sz w:val="20"/>
                <w:szCs w:val="20"/>
              </w:rPr>
              <w:t>.</w:t>
            </w:r>
            <w:r w:rsidRPr="00DF23DA">
              <w:rPr>
                <w:rFonts w:ascii="Arial" w:hAnsi="Arial" w:cs="Arial"/>
                <w:noProof/>
                <w:color w:val="000000" w:themeColor="text1"/>
                <w:sz w:val="20"/>
                <w:szCs w:val="20"/>
              </w:rPr>
              <w:t xml:space="preserve"> Design of new kits to increase effectiveness in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0DED1D3E" w14:textId="410B653C"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C878127"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DE6D64E"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572A6C2" w14:textId="0D6F2D56"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{"citationItems":[{"id":"ITEM-1","itemData":{"abstract":"The Development process (Source: Aldus) Workshop report by Åse Johannessen 2 Summary The sanitation solutions deployed in the emergency response are not sufficient or adequate to meet challenges of floods and high water table, unstable soils, urban and crowded areas. The more tailored sanitation solutions which are required are not developed to be available for immediate dispatch in the first phase of the emergency. As a response to this gap in available technologies, emergency and sanitation practitioners from different key organizations come together in Stoutenburg, The Netherlands 22-23 Feb 2011 to discuss how to improve gaps in technologies for the immediate phase, understand more about product design process and organize the way forward. First, the latest experiences from the field were shared as well as tool development for decision support. Then, three key technologies to fill critical gaps in the immediate phase were identified: 1) raised latrines (when digging down is not an option), 2) improved desludging options, and 3) a sludge disposal and treatment kit. For each of these, specific product requirements for a designer brief were discussed. Members of a core group were identified to steer the way forward, with the help of an advisory group, which members were also identified. The organizers (Oxfam GB and WASTE) were responsible to send invitations to these functions after the workshop and call for a next meeting. This report is available online together with all presentations and video interviews made during the workshop: http://www.susana.org/lang-en/working-groups/wg08/workshop 3","author":[{"dropping-particle":"","family":"Johannessen","given":"A","non-dropping-particle":"","parse-names":false,"suffix":""}],"id":"ITEM-1","issued":{"date-parts":[["2011"]]},"title":"189. Identifying gaps in emergency sanitation Design of new kits to increase effectiveness in emergencies","type":"report"},"uris":["http://www.mendeley.com/documents/?uuid=4efc4421-cbe4-379e-b9bc-09706c24cf99"]}],"mendeley":{"formattedCitation":"(Johannessen 2011)","plainTextFormattedCitation":"(Johannessen 2011)","previouslyFormattedCitation":"(Johannessen 2011)"},"properties":{"noteIndex":0},"schema":"https://github.com/citation-style-language/schema/raw/master/csl-citation.json"}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(Johannessen 2011)</w:t>
            </w:r>
            <w:r w:rsidRPr="00DF23DA">
              <w:rPr>
                <w:rFonts w:ascii="Arial" w:hAnsi="Arial" w:cs="Arial"/>
                <w:color w:val="000000" w:themeColor="text1"/>
                <w:sz w:val="20"/>
                <w:szCs w:val="20"/>
              </w:rPr>
              <w:fldChar w:fldCharType="end"/>
            </w:r>
          </w:p>
        </w:tc>
      </w:tr>
      <w:tr w:rsidR="00157B96" w:rsidRPr="00DF23DA" w14:paraId="09AA7BD1" w14:textId="77777777" w:rsidTr="00616BB3">
        <w:tc>
          <w:tcPr>
            <w:tcW w:w="8075" w:type="dxa"/>
          </w:tcPr>
          <w:p w14:paraId="47F3B4B6" w14:textId="7F650C93"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Johns Hopkins Bloomberg School of Public Health, International Federation of Red Cross and Red Crescent Societies (2008) The John Hopkins and Red Cross Red Crescent Public health guide in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p w14:paraId="7BE0A757" w14:textId="77777777" w:rsidR="00157B96" w:rsidRPr="00DF23DA" w:rsidRDefault="00157B96" w:rsidP="00157B96">
            <w:pPr>
              <w:spacing w:line="480" w:lineRule="auto"/>
              <w:ind w:firstLine="27"/>
              <w:rPr>
                <w:rFonts w:ascii="Arial" w:hAnsi="Arial" w:cs="Arial"/>
                <w:color w:val="000000" w:themeColor="text1"/>
                <w:sz w:val="20"/>
                <w:szCs w:val="20"/>
              </w:rPr>
            </w:pPr>
          </w:p>
        </w:tc>
        <w:tc>
          <w:tcPr>
            <w:tcW w:w="1134" w:type="dxa"/>
          </w:tcPr>
          <w:p w14:paraId="08465F4B" w14:textId="70DAA202"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EC26FD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97C84A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448D89A" w14:textId="6140A5EC"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{"citationItems":[{"id":"ITEM-1","itemData":{"author":[{"dropping-particle":"","family":"Johns Hopkins Bloomberg School of Public Health","given":"","non-dropping-particle":"","parse-names":false,"suffix":""},{"dropping-particle":"","family":"International Federation of Red Cross and Red Crescent Societies","given":"","non-dropping-particle":"","parse-names":false,"suffix":""}],"edition":"2nd ed.","id":"ITEM-1","issued":{"date-parts":[["2008"]]},"publisher":"IFRC","publisher-place":"Geneva, Switzerland","title":"80. The John Hopkins and Red Cross Red Crescent Public health guide in emergencies","type":"book"},"uris":["http://www.mendeley.com/documents/?uuid=016010b5-2c40-3095-9b6e-7383ee296b85"]}],"mendeley":{"formattedCitation":"(Johns Hopkins Bloomberg School of Public Health and International Federation of Red Cross and Red Crescent Societies 2008)","plainTextFormattedCitation":"(Johns Hopkins Bloomberg School of Public Health and International Federation of Red Cross and Red Crescent Societies 2008)","previouslyFormattedCitation":"(Johns Hopkins Bloomberg School of Public Health and International Federation of Red Cross and Red Crescent Societies 2008)"},"properties":{"noteIndex":0},"schema":"https://github.com/citation-style-language/schema/raw/master/csl-citation.json"}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 xml:space="preserve">(Johns Hopkins Bloomberg School of Public Health and International Federation of </w:t>
            </w:r>
            <w:r w:rsidRPr="00DF23DA">
              <w:rPr>
                <w:rFonts w:ascii="Arial" w:hAnsi="Arial" w:cs="Arial"/>
                <w:noProof/>
                <w:color w:val="000000" w:themeColor="text1"/>
                <w:sz w:val="20"/>
                <w:szCs w:val="20"/>
              </w:rPr>
              <w:lastRenderedPageBreak/>
              <w:t>Red Cross and Red Crescent Societies 2008)</w:t>
            </w:r>
            <w:r w:rsidRPr="00DF23DA">
              <w:rPr>
                <w:rFonts w:ascii="Arial" w:hAnsi="Arial" w:cs="Arial"/>
                <w:color w:val="000000" w:themeColor="text1"/>
                <w:sz w:val="20"/>
                <w:szCs w:val="20"/>
              </w:rPr>
              <w:fldChar w:fldCharType="end"/>
            </w:r>
          </w:p>
        </w:tc>
      </w:tr>
      <w:tr w:rsidR="00157B96" w:rsidRPr="00DF23DA" w14:paraId="30163482" w14:textId="77777777" w:rsidTr="00616BB3">
        <w:tc>
          <w:tcPr>
            <w:tcW w:w="8075" w:type="dxa"/>
          </w:tcPr>
          <w:p w14:paraId="42E8628D" w14:textId="62A059F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lastRenderedPageBreak/>
              <w:t xml:space="preserve">Jones H, Wilbur J (2014) Compendium of accessible WASH technologies. </w:t>
            </w:r>
          </w:p>
        </w:tc>
        <w:tc>
          <w:tcPr>
            <w:tcW w:w="1134" w:type="dxa"/>
          </w:tcPr>
          <w:p w14:paraId="6819A0F9" w14:textId="7D849468"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A4163E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9A32B0C"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03B77528" w14:textId="1BBC7C45"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Jones","given":"Hazel","non-dropping-particle":"","parse-names":false,"suffix":""},{"dropping-particle":"","family":"Wilbur","given":"Jane","non-dropping-particle":"","parse-names":false,"suffix":""}],"id":"ITEM-1","issued":{"date-parts":[["2014"]]},"title":"237. Compendium of accessible WASH technologies","type":"article-journal"},"uris":["http://www.mendeley.com/documents/?uuid=f2b6539c-73c2-47a9-a1f0-51dedd6beeea"]}],"mendeley":{"formattedCitation":"(Jones and Wilbur 2014)","plainTextFormattedCitation":"(Jones and Wilbur 2014)","previouslyFormattedCitation":"(Jones and Wilbur 2014)"},"properties":{"noteIndex":0},"schema":"https://github.com/citation-style-language/schema/raw/master/csl-citation.json"}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(Jones and Wilbur 2014)</w:t>
            </w:r>
            <w:r w:rsidRPr="00DF23DA">
              <w:rPr>
                <w:rFonts w:ascii="Arial" w:hAnsi="Arial" w:cs="Arial"/>
                <w:color w:val="000000" w:themeColor="text1"/>
                <w:sz w:val="20"/>
                <w:szCs w:val="20"/>
              </w:rPr>
              <w:fldChar w:fldCharType="end"/>
            </w:r>
          </w:p>
        </w:tc>
      </w:tr>
      <w:tr w:rsidR="00157B96" w:rsidRPr="00DF23DA" w14:paraId="022CFDAF" w14:textId="77777777" w:rsidTr="00616BB3">
        <w:tc>
          <w:tcPr>
            <w:tcW w:w="8075" w:type="dxa"/>
          </w:tcPr>
          <w:p w14:paraId="7AB8467C" w14:textId="3C4596F2"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Langford M, Bartram J, Roaf V (2017) The Human Right to Sanitation</w:t>
            </w:r>
            <w:r>
              <w:rPr>
                <w:rFonts w:ascii="Arial" w:hAnsi="Arial" w:cs="Arial"/>
                <w:noProof/>
                <w:color w:val="000000" w:themeColor="text1"/>
                <w:sz w:val="20"/>
                <w:szCs w:val="20"/>
              </w:rPr>
              <w:t>.</w:t>
            </w:r>
          </w:p>
        </w:tc>
        <w:tc>
          <w:tcPr>
            <w:tcW w:w="1134" w:type="dxa"/>
          </w:tcPr>
          <w:p w14:paraId="450D8B61" w14:textId="2638675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3A8D39E"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7BCF0D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ECB23E5" w14:textId="03FAA5BF"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Langford","given":"Malcolm","non-dropping-particle":"","parse-names":false,"suffix":""},{"dropping-particle":"","family":"Bartram","given":"Jamie","non-dropping-particle":"","parse-names":false,"suffix":""},{"dropping-particle":"","family":"Roaf","given":"Virginia","non-dropping-particle":"","parse-names":false,"suffix":""}],"container-title":"The Human Right to Water: Theory, Practice and Prospects","editor":[{"dropping-particle":"","family":"Langford","given":"Malcolm","non-dropping-particle":"","parse-names":false,"suffix":""},{"dropping-particle":"","family":"Russell","given":"Anna F S","non-dropping-particle":"","parse-names":false,"suffix":""}],"id":"ITEM-1","issued":{"date-parts":[["2017"]]},"page":"345-395","publisher":"Cambridge University Press","publisher-place":"Cambridge, United Kingdom","title":"184. The Human Right to Sanitation","type":"chapter"},"uris":["http://www.mendeley.com/documents/?uuid=2883321c-b305-441b-845f-6e0ba7a5cd4f"]}],"mendeley":{"formattedCitation":"(Langford et al. 2017)","plainTextFormattedCitation":"(Langford et al. 2017)","previouslyFormattedCitation":"(Langford et al.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(Langford et al. 2017)</w:t>
            </w:r>
            <w:r w:rsidRPr="00DF23DA">
              <w:rPr>
                <w:rFonts w:ascii="Arial" w:hAnsi="Arial" w:cs="Arial"/>
                <w:color w:val="000000" w:themeColor="text1"/>
                <w:sz w:val="20"/>
                <w:szCs w:val="20"/>
              </w:rPr>
              <w:fldChar w:fldCharType="end"/>
            </w:r>
          </w:p>
        </w:tc>
      </w:tr>
      <w:tr w:rsidR="00157B96" w:rsidRPr="00DF23DA" w14:paraId="60DD58CA" w14:textId="77777777" w:rsidTr="00616BB3">
        <w:tc>
          <w:tcPr>
            <w:tcW w:w="8075" w:type="dxa"/>
          </w:tcPr>
          <w:p w14:paraId="6502CD93" w14:textId="757B946A" w:rsidR="00157B96" w:rsidRPr="00DF23DA" w:rsidRDefault="00157B96" w:rsidP="00157B96">
            <w:pPr>
              <w:spacing w:line="480" w:lineRule="auto"/>
              <w:ind w:firstLine="27"/>
              <w:rPr>
                <w:rFonts w:ascii="Arial" w:hAnsi="Arial" w:cs="Arial"/>
                <w:color w:val="000000" w:themeColor="text1"/>
                <w:sz w:val="20"/>
                <w:szCs w:val="20"/>
              </w:rPr>
            </w:pPr>
            <w:r w:rsidRPr="00DF23DA">
              <w:rPr>
                <w:rFonts w:ascii="Arial" w:hAnsi="Arial" w:cs="Arial"/>
                <w:noProof/>
                <w:color w:val="000000" w:themeColor="text1"/>
                <w:sz w:val="20"/>
                <w:szCs w:val="20"/>
              </w:rPr>
              <w:t>Mazurana D, Benelli P, Gupta H, Walker P (2011) Sex and Age Matter: Improving Humanitarian Response in Emergencies.</w:t>
            </w:r>
          </w:p>
        </w:tc>
        <w:tc>
          <w:tcPr>
            <w:tcW w:w="1134" w:type="dxa"/>
          </w:tcPr>
          <w:p w14:paraId="7AC48AE3" w14:textId="0A5D73E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11119B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18DE453B"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813F650" w14:textId="387D94F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Mazurana","given":"Dyan","non-dropping-particle":"","parse-names":false,"suffix":""},{"dropping-particle":"","family":"Benelli","given":"Prisca","non-dropping-particle":"","parse-names":false,"suffix":""},{"dropping-particle":"","family":"Gupta","given":"Huma","non-dropping-particle":"","parse-names":false,"suffix":""},{"dropping-particle":"","family":"Walker","given":"Peter","non-dropping-particle":"","parse-names":false,"suffix":""}],"container-title":"Feinstein International Center, Tufts University","id":"ITEM-1","issued":{"date-parts":[["2011"]]},"title":"188. Sex and Age Matter: Improving Humanitarian Response in Emergencies","type":"report"},"uris":["http://www.mendeley.com/documents/?uuid=c9e4fda5-98f9-309e-b7a1-a2272d91d83c"]}],"mendeley":{"formattedCitation":"(Mazurana et al. 2011)","plainTextFormattedCitation":"(Mazurana et al. 2011)","previouslyFormattedCitation":"(Mazurana et al. 2011)"},"properties":{"noteIndex":0},"schema":"https://github.com/citation-style-language/schema/raw/master/csl-citation.json"}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(Mazurana et al. 2011)</w:t>
            </w:r>
            <w:r w:rsidRPr="00DF23DA">
              <w:rPr>
                <w:rFonts w:ascii="Arial" w:hAnsi="Arial" w:cs="Arial"/>
                <w:color w:val="000000" w:themeColor="text1"/>
                <w:sz w:val="20"/>
                <w:szCs w:val="20"/>
              </w:rPr>
              <w:fldChar w:fldCharType="end"/>
            </w:r>
          </w:p>
        </w:tc>
      </w:tr>
      <w:tr w:rsidR="00157B96" w:rsidRPr="00DF23DA" w14:paraId="08D2C85D" w14:textId="77777777" w:rsidTr="00616BB3">
        <w:tc>
          <w:tcPr>
            <w:tcW w:w="8075" w:type="dxa"/>
          </w:tcPr>
          <w:p w14:paraId="383F6CCA" w14:textId="20F9AF4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Mazurana D, Benelli P, Walker P (2013) How sex-and age-disaggregated data and gender and generational analyses can improve humanitarian response. </w:t>
            </w:r>
          </w:p>
        </w:tc>
        <w:tc>
          <w:tcPr>
            <w:tcW w:w="1134" w:type="dxa"/>
          </w:tcPr>
          <w:p w14:paraId="70ECEADC" w14:textId="3E342B6D"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BFAE957"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05A9C71E"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3D68C57" w14:textId="6A96C7A0"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{"citationItems":[{"id":"ITEM-1","itemData":{"DOI":"10.1111/disa.12013","abstract":"Humanitarian aid remains largely driven by anecdote rather than by evidence. The contemporary humanitarian system has significant weaknesses with regard to data collection, analysis, and action at all stages of response to crises involving armed conflict or natural disaster. This paper argues that humanitarian actors can best determine and respond to vulnerabilities and needs if they use sex-and age-disaggregated data (SADD) and gender and generational analyses to help shape their assessments of crises-affected populations. Through case studies, the paper shows how gaps in information on sex and age limit the effectiveness of humanitarian response in all phases of a crisis. The case studies serve to show how proper collection, use, and analysis of SADD enable op erational agencies to deliver assistance more effectively and efficiently. The evidence suggests that the employment of SADD and gender and generational analyses assists in saving lives and livelihoods in a cri sis.","author":[{"dropping-particle":"","family":"Mazurana","given":"Dyan","non-dropping-particle":"","parse-names":false,"suffix":""},{"dropping-particle":"","family":"Benelli","given":"Prisca","non-dropping-particle":"","parse-names":false,"suffix":""},{"dropping-particle":"","family":"Walker","given":"Peter","non-dropping-particle":"","parse-names":false,"suffix":""}],"container-title":"Disasters","id":"ITEM-1","issue":"S1","issued":{"date-parts":[["2013"]]},"page":"S68-S82","title":"179. How sex-and age-disaggregated data and gender and generational analyses can improve humanitarian response","type":"article-journal","volume":"37"},"uris":["http://www.mendeley.com/documents/?uuid=61d28ee3-1d04-3988-a80b-8c3f0042daf6"]}],"mendeley":{"formattedCitation":"(Mazurana et al. 2013)","plainTextFormattedCitation":"(Mazurana et al. 2013)","previouslyFormattedCitation":"(Mazurana et al. 2013)"},"properties":{"noteIndex":0},"schema":"https://github.com/citation-style-language/schema/raw/master/csl-citation.json"}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(Mazurana et al. 2013)</w:t>
            </w:r>
            <w:r w:rsidRPr="00DF23DA">
              <w:rPr>
                <w:rFonts w:ascii="Arial" w:hAnsi="Arial" w:cs="Arial"/>
                <w:color w:val="000000" w:themeColor="text1"/>
                <w:sz w:val="20"/>
                <w:szCs w:val="20"/>
              </w:rPr>
              <w:fldChar w:fldCharType="end"/>
            </w:r>
          </w:p>
        </w:tc>
      </w:tr>
      <w:tr w:rsidR="00157B96" w:rsidRPr="00DF23DA" w14:paraId="40D81398" w14:textId="77777777" w:rsidTr="00616BB3">
        <w:tc>
          <w:tcPr>
            <w:tcW w:w="8075" w:type="dxa"/>
          </w:tcPr>
          <w:p w14:paraId="59A03292" w14:textId="7498E2AF"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Pr>
                <w:rFonts w:ascii="Arial" w:hAnsi="Arial" w:cs="Arial"/>
                <w:color w:val="000000" w:themeColor="text1"/>
                <w:sz w:val="20"/>
                <w:szCs w:val="20"/>
              </w:rPr>
              <w:t xml:space="preserve">Noortgate J V D, Maes P </w:t>
            </w:r>
            <w:r w:rsidRPr="00DF23DA">
              <w:rPr>
                <w:rFonts w:ascii="Arial" w:hAnsi="Arial" w:cs="Arial"/>
                <w:noProof/>
                <w:color w:val="000000" w:themeColor="text1"/>
                <w:sz w:val="20"/>
                <w:szCs w:val="20"/>
              </w:rPr>
              <w:t>(2010) Public Health Engineering in Precarious Situations.</w:t>
            </w:r>
          </w:p>
        </w:tc>
        <w:tc>
          <w:tcPr>
            <w:tcW w:w="1134" w:type="dxa"/>
          </w:tcPr>
          <w:p w14:paraId="120D86E9" w14:textId="17519E5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BFD5783"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15FA4D4C"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112FF47" w14:textId="36510A25" w:rsidR="00157B96" w:rsidRPr="00DF23DA" w:rsidRDefault="00157B96" w:rsidP="00157B96">
            <w:pPr>
              <w:spacing w:line="480" w:lineRule="auto"/>
              <w:rPr>
                <w:rFonts w:ascii="Arial" w:hAnsi="Arial" w:cs="Arial"/>
                <w:color w:val="000000" w:themeColor="text1"/>
                <w:sz w:val="20"/>
                <w:szCs w:val="20"/>
              </w:rPr>
            </w:pPr>
            <w:r>
              <w:rPr>
                <w:rFonts w:ascii="Arial" w:hAnsi="Arial" w:cs="Arial"/>
                <w:color w:val="000000" w:themeColor="text1"/>
                <w:sz w:val="20"/>
                <w:szCs w:val="20"/>
              </w:rPr>
              <w:t>(Noor</w:t>
            </w:r>
            <w:r w:rsidR="00D37524">
              <w:rPr>
                <w:rFonts w:ascii="Arial" w:hAnsi="Arial" w:cs="Arial"/>
                <w:color w:val="000000" w:themeColor="text1"/>
                <w:sz w:val="20"/>
                <w:szCs w:val="20"/>
              </w:rPr>
              <w:t>t</w:t>
            </w:r>
            <w:r>
              <w:rPr>
                <w:rFonts w:ascii="Arial" w:hAnsi="Arial" w:cs="Arial"/>
                <w:color w:val="000000" w:themeColor="text1"/>
                <w:sz w:val="20"/>
                <w:szCs w:val="20"/>
              </w:rPr>
              <w:t>gate and Maes 2010)</w:t>
            </w:r>
          </w:p>
        </w:tc>
      </w:tr>
      <w:tr w:rsidR="00157B96" w:rsidRPr="00DF23DA" w14:paraId="79EFA35B" w14:textId="77777777" w:rsidTr="00616BB3">
        <w:tc>
          <w:tcPr>
            <w:tcW w:w="8075" w:type="dxa"/>
          </w:tcPr>
          <w:p w14:paraId="7E647946" w14:textId="5B8FCE29"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O’Kane C (2013a) Guidelines for Children’s Participation in humanitarian programming. </w:t>
            </w:r>
            <w:r w:rsidRPr="00DF23DA">
              <w:rPr>
                <w:rFonts w:ascii="Calibri" w:hAnsi="Calibri" w:cs="Calibri"/>
                <w:noProof/>
                <w:color w:val="000000" w:themeColor="text1"/>
                <w:sz w:val="20"/>
                <w:szCs w:val="20"/>
              </w:rPr>
              <w:t>﻿</w:t>
            </w:r>
          </w:p>
        </w:tc>
        <w:tc>
          <w:tcPr>
            <w:tcW w:w="1134" w:type="dxa"/>
          </w:tcPr>
          <w:p w14:paraId="6F8D72DB" w14:textId="58D24ADC"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07C224A"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53C258E"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F79AD05" w14:textId="557B869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{"citationItems":[{"id":"ITEM-1","itemData":{"author":[{"dropping-particle":"","family":"O'Kane","given":"Claire","non-dropping-particle":"","parse-names":false,"suffix":""}],"id":"ITEM-1","issued":{"date-parts":[["2013"]]},"title":"209_Guidelines for Children's Participation in humanitarian programming","type":"report"},"uris":["http://www.mendeley.com/documents/?uuid=cd49bceb-6fec-3af8-b0c3-fbed9a8cf831"]}],"mendeley":{"formattedCitation":"(O’Kane 2013a)","plainTextFormattedCitation":"(O’Kane 2013a)","previouslyFormattedCitation":"(O’Kane 2013a)"},"properties":{"noteIndex":0},"schema":"https://github.com/citation-style-language/schema/raw/master/csl-citation.json"}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(O’Kane 2013a)</w:t>
            </w:r>
            <w:r w:rsidRPr="00DF23DA">
              <w:rPr>
                <w:rFonts w:ascii="Arial" w:hAnsi="Arial" w:cs="Arial"/>
                <w:color w:val="000000" w:themeColor="text1"/>
                <w:sz w:val="20"/>
                <w:szCs w:val="20"/>
              </w:rPr>
              <w:fldChar w:fldCharType="end"/>
            </w:r>
          </w:p>
        </w:tc>
      </w:tr>
      <w:tr w:rsidR="00157B96" w:rsidRPr="00DF23DA" w14:paraId="0BC30BB6" w14:textId="77777777" w:rsidTr="00616BB3">
        <w:tc>
          <w:tcPr>
            <w:tcW w:w="8075" w:type="dxa"/>
          </w:tcPr>
          <w:p w14:paraId="7F813D30" w14:textId="36E4DB8E"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O’Kane C (2013b) Review of children’s participation in humanitarian programming.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78ADC9A2" w14:textId="3E0BB1E3"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E1D38CC" w14:textId="61B43112"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00E1C29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0218C826" w14:textId="78F472D6"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{"citationItems":[{"id":"ITEM-1","itemData":{"author":[{"dropping-particle":"","family":"O'Kane","given":"Claire","non-dropping-particle":"","parse-names":false,"suffix":""}],"id":"ITEM-1","issued":{"date-parts":[["2013"]]},"publisher-place":"London, United Kingdom","title":"207. Review of children's participation in humanitarian programming","type":"report"},"uris":["http://www.mendeley.com/documents/?uuid=26826b81-b324-35d2-a4dd-ee92f82ea7b2"]}],"mendeley":{"formattedCitation":"(O’Kane 2013b)","plainTextFormattedCitation":"(O’Kane 2013b)","previouslyFormattedCitation":"(O’Kane 2013b)"},"properties":{"noteIndex":0},"schema":"https://github.com/citation-style-language/schema/raw/master/csl-citation.json"}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(O’Kane 2013b)</w:t>
            </w:r>
            <w:r w:rsidRPr="00DF23DA">
              <w:rPr>
                <w:rFonts w:ascii="Arial" w:hAnsi="Arial" w:cs="Arial"/>
                <w:color w:val="000000" w:themeColor="text1"/>
                <w:sz w:val="20"/>
                <w:szCs w:val="20"/>
              </w:rPr>
              <w:fldChar w:fldCharType="end"/>
            </w:r>
          </w:p>
        </w:tc>
      </w:tr>
      <w:tr w:rsidR="00157B96" w:rsidRPr="00DF23DA" w14:paraId="1F956C45" w14:textId="77777777" w:rsidTr="00616BB3">
        <w:tc>
          <w:tcPr>
            <w:tcW w:w="8075" w:type="dxa"/>
          </w:tcPr>
          <w:p w14:paraId="21290BE0" w14:textId="04C79634"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Obani P (2017) 183. Inclusiveness in humanitarian action — access to water, sanitation &amp; hygiene in focus. </w:t>
            </w:r>
          </w:p>
          <w:p w14:paraId="01A58C8E" w14:textId="77777777" w:rsidR="00157B96" w:rsidRPr="00DF23DA" w:rsidRDefault="00157B96" w:rsidP="00157B96">
            <w:pPr>
              <w:spacing w:line="480" w:lineRule="auto"/>
              <w:ind w:firstLine="27"/>
              <w:rPr>
                <w:rFonts w:ascii="Arial" w:hAnsi="Arial" w:cs="Arial"/>
                <w:color w:val="000000" w:themeColor="text1"/>
                <w:sz w:val="20"/>
                <w:szCs w:val="20"/>
              </w:rPr>
            </w:pPr>
          </w:p>
        </w:tc>
        <w:tc>
          <w:tcPr>
            <w:tcW w:w="1134" w:type="dxa"/>
          </w:tcPr>
          <w:p w14:paraId="7A8FE082" w14:textId="17AECF30"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7CA4C2B3"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073329C"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7CE4762" w14:textId="56796211"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{"citationItems":[{"id":"ITEM-1","itemData":{"author":[{"dropping-particle":"","family":"Obani","given":"Pedi","non-dropping-particle":"","parse-names":false,"suffix":""}],"container-title":"Current Opinion in Environmental Sustainability","id":"ITEM-1","issued":{"date-parts":[["2017"]]},"page":"24-29","title":"183. Inclusiveness in humanitarian action — access to water , sanitation &amp; hygiene in focus","type":"article-journal","volume":"24"},"uris":["http://www.mendeley.com/documents/?uuid=5c11b61b-4134-4033-9fa5-4744d0de680f"]}],"mendeley":{"formattedCitation":"(Obani 2017)","plainTextFormattedCitation":"(Obani 2017)","previouslyFormattedCitation":"(Obani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(Obani 2017)</w:t>
            </w:r>
            <w:r w:rsidRPr="00DF23DA">
              <w:rPr>
                <w:rFonts w:ascii="Arial" w:hAnsi="Arial" w:cs="Arial"/>
                <w:color w:val="000000" w:themeColor="text1"/>
                <w:sz w:val="20"/>
                <w:szCs w:val="20"/>
              </w:rPr>
              <w:fldChar w:fldCharType="end"/>
            </w:r>
          </w:p>
        </w:tc>
      </w:tr>
      <w:tr w:rsidR="00157B96" w:rsidRPr="00DF23DA" w14:paraId="67D9DDA6" w14:textId="77777777" w:rsidTr="00616BB3">
        <w:tc>
          <w:tcPr>
            <w:tcW w:w="8075" w:type="dxa"/>
          </w:tcPr>
          <w:p w14:paraId="5843CEF8" w14:textId="77777777" w:rsidR="00157B96"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OCHA (2018) Global Humanitarian Overview 2019.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p w14:paraId="647FC865" w14:textId="3F6A51EB"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04FA2">
              <w:rPr>
                <w:rFonts w:ascii="Arial" w:hAnsi="Arial" w:cs="Arial"/>
                <w:noProof/>
                <w:color w:val="FF0000"/>
                <w:sz w:val="20"/>
                <w:szCs w:val="20"/>
              </w:rPr>
              <w:t xml:space="preserve">Updated to: OCHA (2018) Global Humanitarian Overview 2021. </w:t>
            </w:r>
            <w:r w:rsidRPr="00D04FA2">
              <w:rPr>
                <w:rFonts w:ascii="Calibri" w:hAnsi="Calibri" w:cs="Calibri"/>
                <w:noProof/>
                <w:color w:val="FF0000"/>
                <w:sz w:val="20"/>
                <w:szCs w:val="20"/>
              </w:rPr>
              <w:t>﻿</w:t>
            </w:r>
            <w:r w:rsidRPr="00D04FA2">
              <w:rPr>
                <w:rFonts w:ascii="Arial" w:hAnsi="Arial" w:cs="Arial"/>
                <w:noProof/>
                <w:color w:val="FF0000"/>
                <w:sz w:val="20"/>
                <w:szCs w:val="20"/>
              </w:rPr>
              <w:t xml:space="preserve"> </w:t>
            </w:r>
          </w:p>
        </w:tc>
        <w:tc>
          <w:tcPr>
            <w:tcW w:w="1134" w:type="dxa"/>
          </w:tcPr>
          <w:p w14:paraId="17E2AB34" w14:textId="644A5D46"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DCEA708"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FBECF35"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8F598C8" w14:textId="21B11161" w:rsidR="00157B96" w:rsidRPr="00D04FA2" w:rsidRDefault="00157B96" w:rsidP="00157B96">
            <w:pPr>
              <w:spacing w:line="480" w:lineRule="auto"/>
              <w:rPr>
                <w:rFonts w:ascii="Arial" w:hAnsi="Arial" w:cs="Arial"/>
                <w:color w:val="000000" w:themeColor="text1"/>
                <w:sz w:val="20"/>
                <w:szCs w:val="20"/>
              </w:rPr>
            </w:pPr>
            <w:r w:rsidRPr="00D04FA2">
              <w:rPr>
                <w:rFonts w:ascii="Arial" w:hAnsi="Arial" w:cs="Arial"/>
                <w:color w:val="000000" w:themeColor="text1"/>
                <w:sz w:val="20"/>
                <w:szCs w:val="20"/>
              </w:rPr>
              <w:t>(OCHA 2019)</w:t>
            </w:r>
          </w:p>
          <w:p w14:paraId="2BEAC024" w14:textId="388A9EA9" w:rsidR="00157B96" w:rsidRPr="00DF23DA" w:rsidRDefault="00157B96" w:rsidP="00157B96">
            <w:pPr>
              <w:spacing w:line="480" w:lineRule="auto"/>
              <w:rPr>
                <w:rFonts w:ascii="Arial" w:hAnsi="Arial" w:cs="Arial"/>
                <w:color w:val="000000" w:themeColor="text1"/>
                <w:sz w:val="20"/>
                <w:szCs w:val="20"/>
              </w:rPr>
            </w:pPr>
            <w:r w:rsidRPr="00D04FA2">
              <w:rPr>
                <w:rFonts w:ascii="Arial" w:hAnsi="Arial" w:cs="Arial"/>
                <w:color w:val="FF0000"/>
                <w:sz w:val="20"/>
                <w:szCs w:val="20"/>
              </w:rPr>
              <w:fldChar w:fldCharType="begin" w:fldLock="1"/>
            </w:r>
            <w:r w:rsidRPr="00D04FA2">
              <w:rPr>
                <w:rFonts w:ascii="Arial" w:hAnsi="Arial" w:cs="Arial"/>
                <w:color w:val="FF0000"/>
                <w:sz w:val="20"/>
                <w:szCs w:val="20"/>
              </w:rPr>
              <w:instrText>ADDIN CSL_CITATION {"citationItems":[{"id":"ITEM-1","itemData":{"author":[{"dropping-particle":"","family":"OCHA","given":"","non-dropping-particle":"","parse-names":false,"suffix":""}],"id":"ITEM-1","issued":{"date-parts":[["2018"]]},"publisher-place":"New York, United States; Geneva, Switzerland","title":"128. Global Humanitarian Overview 2019","type":"report"},"uris":["http://www.mendeley.com/documents/?uuid=d134c64c-8589-4660-a255-d52ec8f7a80c"]}],"mendeley":{"formattedCitation":"(OCHA 2018)","manualFormatting":"(OCHA 2020)","plainTextFormattedCitation":"(OCHA 2018)","previouslyFormattedCitation":"(OCHA 2018)"},"properties":{"noteIndex":0},"schema":"https://github.com/citation-style-language/schema/raw/master/csl-citation.json"}</w:instrText>
            </w:r>
            <w:r w:rsidRPr="00D04FA2">
              <w:rPr>
                <w:rFonts w:ascii="Arial" w:hAnsi="Arial" w:cs="Arial"/>
                <w:color w:val="FF0000"/>
                <w:sz w:val="20"/>
                <w:szCs w:val="20"/>
              </w:rPr>
              <w:fldChar w:fldCharType="separate"/>
            </w:r>
            <w:r w:rsidRPr="00D04FA2">
              <w:rPr>
                <w:rFonts w:ascii="Arial" w:hAnsi="Arial" w:cs="Arial"/>
                <w:noProof/>
                <w:color w:val="FF0000"/>
                <w:sz w:val="20"/>
                <w:szCs w:val="20"/>
              </w:rPr>
              <w:t>(OCHA 2020)</w:t>
            </w:r>
            <w:r w:rsidRPr="00D04FA2">
              <w:rPr>
                <w:rFonts w:ascii="Arial" w:hAnsi="Arial" w:cs="Arial"/>
                <w:color w:val="FF0000"/>
                <w:sz w:val="20"/>
                <w:szCs w:val="20"/>
              </w:rPr>
              <w:fldChar w:fldCharType="end"/>
            </w:r>
          </w:p>
        </w:tc>
      </w:tr>
      <w:tr w:rsidR="00157B96" w:rsidRPr="00DF23DA" w14:paraId="7072AAF7" w14:textId="77777777" w:rsidTr="00616BB3">
        <w:tc>
          <w:tcPr>
            <w:tcW w:w="8075" w:type="dxa"/>
          </w:tcPr>
          <w:p w14:paraId="54EE1CEE" w14:textId="01ECC5BA"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Oxfam (2012) Working with Children in Humanitarian WASH Programmes. </w:t>
            </w:r>
          </w:p>
        </w:tc>
        <w:tc>
          <w:tcPr>
            <w:tcW w:w="1134" w:type="dxa"/>
          </w:tcPr>
          <w:p w14:paraId="0EBF16D4" w14:textId="69C2EC0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3DB6ABA"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11E7DB7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239A45C0" w14:textId="3DE7A619"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{"citationItems":[{"id":"ITEM-1","itemData":{"author":[{"dropping-particle":"","family":"Oxfam","given":"","non-dropping-particle":"","parse-names":false,"suffix":""}],"id":"ITEM-1","issued":{"date-parts":[["2012"]]},"publisher-place":"Oxford, United Kingdom","title":"67. Working with Children in Humanitarian WASH Programmes","type":"report"},"uris":["http://www.mendeley.com/documents/?uuid=c817670c-bab6-3075-ab40-850164de72ff"]}],"mendeley":{"formattedCitation":"(Oxfam 2012)","plainTextFormattedCitation":"(Oxfam 2012)","previouslyFormattedCitation":"(Oxfam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(Oxfam 2012)</w:t>
            </w:r>
            <w:r w:rsidRPr="00DF23DA">
              <w:rPr>
                <w:rFonts w:ascii="Arial" w:hAnsi="Arial" w:cs="Arial"/>
                <w:color w:val="000000" w:themeColor="text1"/>
                <w:sz w:val="20"/>
                <w:szCs w:val="20"/>
              </w:rPr>
              <w:fldChar w:fldCharType="end"/>
            </w:r>
          </w:p>
        </w:tc>
      </w:tr>
      <w:tr w:rsidR="00157B96" w:rsidRPr="00DF23DA" w14:paraId="7884C0A1" w14:textId="77777777" w:rsidTr="00616BB3">
        <w:tc>
          <w:tcPr>
            <w:tcW w:w="8075" w:type="dxa"/>
          </w:tcPr>
          <w:p w14:paraId="2B5598C4" w14:textId="736A2ED5"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Oxfam (2013) Oxfam Minimum Requirements for WASH Programmes (MR-WASH).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5D5E83A2" w14:textId="13E935D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DECBCA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E7739C3"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E0D8A70" w14:textId="7637B788"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{"citationItems":[{"id":"ITEM-1","itemData":{"author":[{"dropping-particle":"","family":"Oxfam","given":"","non-dropping-particle":"","parse-names":false,"suffix":""}],"id":"ITEM-1","issued":{"date-parts":[["2013"]]},"publisher-place":"Oxfam, United Kingdom","title":"66. Oxfam Minimum Requirements for WASH Programmes (MR-WASH)","type":"report"},"uris":["http://www.mendeley.com/documents/?uuid=75082ee3-bb75-32d1-b359-e5e0dbcfdccf"]}],"mendeley":{"formattedCitation":"(Oxfam 2013)","plainTextFormattedCitation":"(Oxfam 2013)","previouslyFormattedCitation":"(Oxfam 2013)"},"properties":{"noteIndex":0},"schema":"https://github.com/citation-style-language/schema/raw/master/csl-citation.json"}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(Oxfam 2013)</w:t>
            </w:r>
            <w:r w:rsidRPr="00DF23DA">
              <w:rPr>
                <w:rFonts w:ascii="Arial" w:hAnsi="Arial" w:cs="Arial"/>
                <w:color w:val="000000" w:themeColor="text1"/>
                <w:sz w:val="20"/>
                <w:szCs w:val="20"/>
              </w:rPr>
              <w:fldChar w:fldCharType="end"/>
            </w:r>
          </w:p>
        </w:tc>
      </w:tr>
      <w:tr w:rsidR="00157B96" w:rsidRPr="00DF23DA" w14:paraId="538CE450" w14:textId="77777777" w:rsidTr="00616BB3">
        <w:tc>
          <w:tcPr>
            <w:tcW w:w="8075" w:type="dxa"/>
          </w:tcPr>
          <w:p w14:paraId="0BA59024" w14:textId="4B939F69"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lastRenderedPageBreak/>
              <w:t xml:space="preserve">Oxfam (2018) Sani Tweaks. Best practices in sanitation. </w:t>
            </w:r>
          </w:p>
        </w:tc>
        <w:tc>
          <w:tcPr>
            <w:tcW w:w="1134" w:type="dxa"/>
          </w:tcPr>
          <w:p w14:paraId="6E961825" w14:textId="1C05A9BC"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F2943B9"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5F5790F"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D17C27C" w14:textId="6370EB3F"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DOI":"10.21201/2018.3811","ISBN":"9781787483811","author":[{"dropping-particle":"","family":"Oxfam","given":"","non-dropping-particle":"","parse-names":false,"suffix":""}],"id":"ITEM-1","issued":{"date-parts":[["2018"]]},"publisher-place":"Oxford","title":"206. Sani Tweaks. Best practices in sanitation","type":"report"},"uris":["http://www.mendeley.com/documents/?uuid=e3ba5b19-a949-3c95-a58b-8d442d8881b7"]}],"mendeley":{"formattedCitation":"(Oxfam 2018)","plainTextFormattedCitation":"(Oxfam 2018)","previouslyFormattedCitation":"(Oxfam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(Oxfam 2018)</w:t>
            </w:r>
            <w:r w:rsidRPr="00DF23DA">
              <w:rPr>
                <w:rFonts w:ascii="Arial" w:hAnsi="Arial" w:cs="Arial"/>
                <w:color w:val="000000" w:themeColor="text1"/>
                <w:sz w:val="20"/>
                <w:szCs w:val="20"/>
              </w:rPr>
              <w:fldChar w:fldCharType="end"/>
            </w:r>
          </w:p>
        </w:tc>
      </w:tr>
      <w:tr w:rsidR="00157B96" w:rsidRPr="00DF23DA" w14:paraId="789D84CE" w14:textId="77777777" w:rsidTr="00616BB3">
        <w:tc>
          <w:tcPr>
            <w:tcW w:w="8075" w:type="dxa"/>
          </w:tcPr>
          <w:p w14:paraId="5FCB6CFD" w14:textId="79575DA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Oxfam International, WEDC (2018) Shining a Light: How lighting in or around sanitation facilities affects the risk of gender-based violence in camps.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03F10186" w14:textId="204D47B2"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FD41A8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2F41783"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70A1392" w14:textId="4877C2D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{"citationItems":[{"id":"ITEM-1","itemData":{"author":[{"dropping-particle":"","family":"Oxfam International","given":"","non-dropping-particle":"","parse-names":false,"suffix":""},{"dropping-particle":"","family":"WEDC","given":"","non-dropping-particle":"","parse-names":false,"suffix":""}],"id":"ITEM-1","issued":{"date-parts":[["2018"]]},"title":"142. Shining a Light: How lighting in or around sanitation facilities affects the risk of gender-based violence in camps","type":"report"},"uris":["http://www.mendeley.com/documents/?uuid=2133179d-cd8c-34e9-8a95-52ecee7fc2d4"]}],"mendeley":{"formattedCitation":"(Oxfam International and WEDC 2018)","plainTextFormattedCitation":"(Oxfam International and WEDC 2018)","previouslyFormattedCitation":"(Oxfam International and WEDC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(Oxfam International and WEDC 2018)</w:t>
            </w:r>
            <w:r w:rsidRPr="00DF23DA">
              <w:rPr>
                <w:rFonts w:ascii="Arial" w:hAnsi="Arial" w:cs="Arial"/>
                <w:color w:val="000000" w:themeColor="text1"/>
                <w:sz w:val="20"/>
                <w:szCs w:val="20"/>
              </w:rPr>
              <w:fldChar w:fldCharType="end"/>
            </w:r>
          </w:p>
        </w:tc>
      </w:tr>
      <w:tr w:rsidR="00157B96" w:rsidRPr="00DF23DA" w14:paraId="05F0D24C" w14:textId="77777777" w:rsidTr="00616BB3">
        <w:tc>
          <w:tcPr>
            <w:tcW w:w="8075" w:type="dxa"/>
          </w:tcPr>
          <w:p w14:paraId="7A40528A" w14:textId="1D2D1BF5"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Pink R (2012) Child rights, right to water and sanitation, and human security. </w:t>
            </w:r>
          </w:p>
        </w:tc>
        <w:tc>
          <w:tcPr>
            <w:tcW w:w="1134" w:type="dxa"/>
          </w:tcPr>
          <w:p w14:paraId="19BC1507" w14:textId="512FC848"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F7F75E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7D4886B"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7DBCA68" w14:textId="312FC5F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{"citationItems":[{"id":"ITEM-1","itemData":{"author":[{"dropping-particle":"","family":"Pink","given":"Ross","non-dropping-particle":"","parse-names":false,"suffix":""}],"container-title":"Health and Human Rights","id":"ITEM-1","issue":"1","issued":{"date-parts":[["2012"]]},"title":"153. Child rights, right to water and sanitation, and human security","type":"article-journal","volume":"14"},"uris":["http://www.mendeley.com/documents/?uuid=4867d3a5-841e-48aa-8a8a-f5fd67b790f8"]}],"mendeley":{"formattedCitation":"(Pink 2012)","plainTextFormattedCitation":"(Pink 2012)","previouslyFormattedCitation":"(Pink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(Pink 2012)</w:t>
            </w:r>
            <w:r w:rsidRPr="00DF23DA">
              <w:rPr>
                <w:rFonts w:ascii="Arial" w:hAnsi="Arial" w:cs="Arial"/>
                <w:color w:val="000000" w:themeColor="text1"/>
                <w:sz w:val="20"/>
                <w:szCs w:val="20"/>
              </w:rPr>
              <w:fldChar w:fldCharType="end"/>
            </w:r>
          </w:p>
        </w:tc>
      </w:tr>
      <w:tr w:rsidR="00157B96" w:rsidRPr="00DF23DA" w14:paraId="0AF737BD" w14:textId="77777777" w:rsidTr="00616BB3">
        <w:tc>
          <w:tcPr>
            <w:tcW w:w="8075" w:type="dxa"/>
          </w:tcPr>
          <w:p w14:paraId="18724E78" w14:textId="66964517"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REACH Initiative (2015) Comprehensive Child Focused Assessment. Azraq Refugee Camp. </w:t>
            </w:r>
          </w:p>
        </w:tc>
        <w:tc>
          <w:tcPr>
            <w:tcW w:w="1134" w:type="dxa"/>
          </w:tcPr>
          <w:p w14:paraId="4E166C16"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4D3D5B3D" w14:textId="6BED234F"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471A7082" w14:textId="370354B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Jordan</w:t>
            </w:r>
          </w:p>
        </w:tc>
        <w:tc>
          <w:tcPr>
            <w:tcW w:w="2551" w:type="dxa"/>
          </w:tcPr>
          <w:p w14:paraId="45E2056E" w14:textId="20C4D26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{"citationItems":[{"id":"ITEM-1","itemData":{"author":[{"dropping-particle":"","family":"REACH Initiative","given":"","non-dropping-particle":"","parse-names":false,"suffix":""}],"id":"ITEM-1","issued":{"date-parts":[["2015"]]},"title":"154. Comprehensive Child Focused Assessment. Azraq Refugee Camp","type":"report"},"uris":["http://www.mendeley.com/documents/?uuid=46d4ef30-0cf1-38cf-91ba-4bbc91fc995a"]}],"mendeley":{"formattedCitation":"(REACH Initiative 2015)","plainTextFormattedCitation":"(REACH Initiative 2015)","previouslyFormattedCitation":"(REACH Initiative 2015)"},"properties":{"noteIndex":0},"schema":"https://github.com/citation-style-language/schema/raw/master/csl-citation.json"}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(REACH Initiative 2015)</w:t>
            </w:r>
            <w:r w:rsidRPr="00DF23DA">
              <w:rPr>
                <w:rFonts w:ascii="Arial" w:hAnsi="Arial" w:cs="Arial"/>
                <w:color w:val="000000" w:themeColor="text1"/>
                <w:sz w:val="20"/>
                <w:szCs w:val="20"/>
              </w:rPr>
              <w:fldChar w:fldCharType="end"/>
            </w:r>
          </w:p>
        </w:tc>
      </w:tr>
      <w:tr w:rsidR="00157B96" w:rsidRPr="00DF23DA" w14:paraId="1ECC1FAF" w14:textId="77777777" w:rsidTr="00616BB3">
        <w:tc>
          <w:tcPr>
            <w:tcW w:w="8075" w:type="dxa"/>
          </w:tcPr>
          <w:p w14:paraId="3A4F052C" w14:textId="2DE58150" w:rsidR="00157B96" w:rsidRPr="00DF23DA" w:rsidRDefault="00157B96" w:rsidP="00157B96">
            <w:pPr>
              <w:widowControl w:val="0"/>
              <w:autoSpaceDE w:val="0"/>
              <w:autoSpaceDN w:val="0"/>
              <w:adjustRightInd w:val="0"/>
              <w:spacing w:line="480" w:lineRule="auto"/>
              <w:ind w:firstLine="27"/>
              <w:rPr>
                <w:rFonts w:ascii="Arial" w:hAnsi="Arial" w:cs="Arial"/>
                <w:color w:val="000000" w:themeColor="text1"/>
                <w:sz w:val="20"/>
                <w:szCs w:val="20"/>
              </w:rPr>
            </w:pPr>
            <w:r w:rsidRPr="00DF23DA">
              <w:rPr>
                <w:rFonts w:ascii="Arial" w:hAnsi="Arial" w:cs="Arial"/>
                <w:noProof/>
                <w:color w:val="000000" w:themeColor="text1"/>
                <w:sz w:val="20"/>
                <w:szCs w:val="20"/>
              </w:rPr>
              <w:t xml:space="preserve">REACH Initiative (2018) Water, Sanitation and Hygiene Follow-up Assessment Monsoon Season (August-October 2018).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2E7F01A9"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596F8237" w14:textId="2C9C77FE"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70D2B7B7" w14:textId="15D6644D"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p>
        </w:tc>
        <w:tc>
          <w:tcPr>
            <w:tcW w:w="2551" w:type="dxa"/>
          </w:tcPr>
          <w:p w14:paraId="25E35F4F" w14:textId="3DDF9C4C"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 xml:space="preserve">ADDIN CSL_CITATION {"citationItems":[{"id":"ITEM-1","itemData":{"abstract":"Water access % of households reporting primary water sources for drinking water 4 Primary drinking water sources ü Improved water sources 99% Tubewells/boreholes/handpump 73% Tapstand 20% Protected dugwell 1% Protected spring 0% Cart with small tank/drum 0% Tanker truck 0% Water tank 5% Rainwater collection 0% Bottled water 0% x Unimproved water sources 1% Unprotected dugwell 1% Unprotected spring 0% Surface water 0% % of households reporting household members that normally collect water ^ Female I Male \\ 48 48% Adult 7% 7 11 11% Children 3% 3 20+ 80 + A 20% of households reported total water collection time (combined travel and waiting) as more than 30 minutes 4,5 38+ 62 + A 38% of households reported problems with accessing water % of households reporting different problems with accessing water 7 </w:instrText>
            </w:r>
            <w:r w:rsidRPr="00DF23DA">
              <w:rPr>
                <w:rFonts w:ascii="Arial" w:hAnsi="Arial" w:cs="Arial"/>
                <w:color w:val="000000" w:themeColor="text1"/>
                <w:sz w:val="20"/>
                <w:szCs w:val="20"/>
              </w:rPr>
              <w:instrText xml:space="preserve"> Source is too far away 23% </w:instrText>
            </w:r>
            <w:r w:rsidRPr="00DF23DA">
              <w:rPr>
                <w:rFonts w:ascii="Arial" w:hAnsi="Arial" w:cs="Arial"/>
                <w:color w:val="000000" w:themeColor="text1"/>
                <w:sz w:val="20"/>
                <w:szCs w:val="20"/>
              </w:rPr>
              <w:instrText xml:space="preserve"> Long wait time 21% </w:instrText>
            </w:r>
            <w:r w:rsidRPr="00DF23DA">
              <w:rPr>
                <w:rFonts w:ascii="Arial" w:hAnsi="Arial" w:cs="Arial"/>
                <w:color w:val="000000" w:themeColor="text1"/>
                <w:sz w:val="20"/>
                <w:szCs w:val="20"/>
              </w:rPr>
              <w:instrText> Path to water source is too steep 20% % of households reporting changes in access to water compared to before the monsoon season Much better 2% 2 Better 41% 41 No change 52% 52 Worse 5% 5 Much worse 0% 0 Water collection and storage Average amount of water collected by households 8 Drinking water Non-drinking water All domestic water Average litres collected per person, per day for each household 4L 4L 8L 56+ 44 + A 56% of households reported collecting at least 15 litres of water for all domestic uses per person, per day 9 91+ 9 + A 91% of households reported collecting at least 3 litres of drinking water per person, per day 10 % of containers within households that were: Covered: 96% Clean: 95% Covered AND clean: 93% 4 Cox's Bazar WASH Sector considers 'improved' water sources as listed 5 There were no significant differences in responses from females and males 6 SDG JMP standard for combined travel time to/waiting time at water source: 30 minutes or less: See: https://bit.ly/2zj9nS 7 Respondents could select multiple options 8 Respondents were asked to present all water containers used to collect water the day prior to the survey, then identified which containers are used for drinking water, non-drinking water, or both. All containers were measured with tape measures to determine approximate volume. 9 SPHERE minimum standard for all domestic water: 15 litres/person/day See: https://bit.ly/UKcX1Z 10 SPHERE minimum standard for drinking water: 2.5-3 litres/person/day: See: https://bit.ly/UKcX1Z","author":[{"dropping-particle":"","family":"REACH Initiative","given":"","non-dropping-particle":"","parse-names":false,"suffix":""}],"id":"ITEM-1","issued":{"date-parts":[["2018"]]},"title":"124. Water, Sanitation and Hygiene Follow-up Assessment Monsoon Season (August-October 2018)","type":"report"},"uris":["http://www.mendeley.com/documents/?uuid=0e8f7222-09f8-33b7-9f87-9c9e073aca92"]}],"mendeley":{"formattedCitation":"(REACH Initiative 2018)","plainTextFormattedCitation":"(REACH Initiative 2018)","previouslyFormattedCitation":"(REACH Initiative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(REACH Initiative 2018)</w:t>
            </w:r>
            <w:r w:rsidRPr="00DF23DA">
              <w:rPr>
                <w:rFonts w:ascii="Arial" w:hAnsi="Arial" w:cs="Arial"/>
                <w:color w:val="000000" w:themeColor="text1"/>
                <w:sz w:val="20"/>
                <w:szCs w:val="20"/>
              </w:rPr>
              <w:fldChar w:fldCharType="end"/>
            </w:r>
          </w:p>
        </w:tc>
      </w:tr>
      <w:tr w:rsidR="00157B96" w:rsidRPr="00DF23DA" w14:paraId="5ECEE6E9" w14:textId="77777777" w:rsidTr="00616BB3">
        <w:tc>
          <w:tcPr>
            <w:tcW w:w="8075" w:type="dxa"/>
          </w:tcPr>
          <w:p w14:paraId="47C0BDCA" w14:textId="77B79F9A"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Pr>
                <w:rFonts w:ascii="Arial" w:hAnsi="Arial" w:cs="Arial"/>
                <w:color w:val="000000" w:themeColor="text1"/>
                <w:sz w:val="20"/>
                <w:szCs w:val="20"/>
              </w:rPr>
              <w:t>Rouse R, Reed R</w:t>
            </w:r>
            <w:r w:rsidRPr="0012699A">
              <w:rPr>
                <w:rFonts w:ascii="Arial" w:hAnsi="Arial" w:cs="Arial"/>
                <w:color w:val="000000" w:themeColor="text1"/>
                <w:sz w:val="20"/>
                <w:szCs w:val="20"/>
              </w:rPr>
              <w:t xml:space="preserve"> </w:t>
            </w:r>
            <w:r w:rsidRPr="00DF23DA">
              <w:rPr>
                <w:rFonts w:ascii="Arial" w:hAnsi="Arial" w:cs="Arial"/>
                <w:noProof/>
                <w:color w:val="000000" w:themeColor="text1"/>
                <w:sz w:val="20"/>
                <w:szCs w:val="20"/>
              </w:rPr>
              <w:t xml:space="preserve">(2013) Solid waste management in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483DB989" w14:textId="5A72CF6E"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3039DBB"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3CC6C40F"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05C44FA" w14:textId="018C8BCD"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{"citationItems":[{"id":"ITEM-1","itemData":{"abstract":"The safe disposal of solid waste is critical for public health, and is especially true during an emergency. Not only will existing collection and disposal systems be disrupted, but there will be extra waste caused by the emergency itself. Initially, for camps of displaced people or refugees and similar new sites, there will be no arrangements in place at all. If solid waste is not dealt with quickly, serious health risks will develop which will further demoralize the community already traumatized by the emergency. This technical note highlights the key issues to consider in managing solid waste during and shortly after a disaster.","author":[{"dropping-particle":"","family":"WHO","given":"","non-dropping-particle":"","parse-names":false,"suffix":""},{"dropping-particle":"","family":"WEDC","given":"","non-dropping-particle":"","parse-names":false,"suffix":""}],"id":"ITEM-1","issued":{"date-parts":[["2013"]]},"publisher-place":"Loughborough, United Kingdom","title":"Not used_Solid waste management in emergencies","type":"report"},"uris":["http://www.mendeley.com/documents/?uuid=1ff3cefb-352f-37de-97a8-61f81833d55d"]}],"mendeley":{"formattedCitation":"(WHO and WEDC 2013)","plainTextFormattedCitation":"(WHO and WEDC 2013)","previouslyFormattedCitation":"(WHO and WEDC 2013)"},"properties":{"noteIndex":0},"schema":"https://github.com/citation-style-language/schema/raw/master/csl-citation.json"}</w:instrText>
            </w:r>
            <w:r w:rsidRPr="00DF23DA">
              <w:rPr>
                <w:rFonts w:ascii="Arial" w:hAnsi="Arial" w:cs="Arial"/>
                <w:color w:val="000000" w:themeColor="text1"/>
                <w:sz w:val="20"/>
                <w:szCs w:val="20"/>
              </w:rPr>
              <w:fldChar w:fldCharType="separate"/>
            </w:r>
            <w:r>
              <w:rPr>
                <w:rFonts w:ascii="Arial" w:hAnsi="Arial" w:cs="Arial"/>
                <w:noProof/>
                <w:color w:val="000000" w:themeColor="text1"/>
                <w:sz w:val="20"/>
                <w:szCs w:val="20"/>
              </w:rPr>
              <w:t>(Rouse and Reed 2013)</w:t>
            </w:r>
            <w:r w:rsidRPr="00DF23DA">
              <w:rPr>
                <w:rFonts w:ascii="Arial" w:hAnsi="Arial" w:cs="Arial"/>
                <w:color w:val="000000" w:themeColor="text1"/>
                <w:sz w:val="20"/>
                <w:szCs w:val="20"/>
              </w:rPr>
              <w:fldChar w:fldCharType="end"/>
            </w:r>
            <w:r w:rsidRPr="00DF23DA">
              <w:rPr>
                <w:rFonts w:ascii="Arial" w:hAnsi="Arial" w:cs="Arial"/>
                <w:color w:val="000000" w:themeColor="text1"/>
                <w:sz w:val="20"/>
                <w:szCs w:val="20"/>
              </w:rPr>
              <w:t xml:space="preserve"> </w:t>
            </w:r>
          </w:p>
        </w:tc>
      </w:tr>
      <w:tr w:rsidR="00157B96" w:rsidRPr="00DF23DA" w14:paraId="3E45C235" w14:textId="77777777" w:rsidTr="00616BB3">
        <w:tc>
          <w:tcPr>
            <w:tcW w:w="8075" w:type="dxa"/>
          </w:tcPr>
          <w:p w14:paraId="2FD45FD8" w14:textId="589E9A8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Sandison P (2017) We’re Listening: An evaluation of user-centred community engagement in emergency sanitation.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6D1F8B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2040391D" w14:textId="740991D1"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7FF0315A" w14:textId="31EC69CA"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Bangladesh</w:t>
            </w:r>
            <w:r>
              <w:rPr>
                <w:rFonts w:ascii="Arial" w:hAnsi="Arial" w:cs="Arial"/>
                <w:color w:val="000000" w:themeColor="text1"/>
                <w:sz w:val="20"/>
                <w:szCs w:val="20"/>
              </w:rPr>
              <w:t xml:space="preserve"> </w:t>
            </w:r>
            <w:r w:rsidRPr="00DF23DA">
              <w:rPr>
                <w:rFonts w:ascii="Arial" w:hAnsi="Arial" w:cs="Arial"/>
                <w:color w:val="000000" w:themeColor="text1"/>
                <w:sz w:val="20"/>
                <w:szCs w:val="20"/>
              </w:rPr>
              <w:t>Iraq</w:t>
            </w:r>
          </w:p>
        </w:tc>
        <w:tc>
          <w:tcPr>
            <w:tcW w:w="2551" w:type="dxa"/>
          </w:tcPr>
          <w:p w14:paraId="5ADBD34B" w14:textId="1C92F720"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{"citationItems":[{"id":"ITEM-1","itemData":{"author":[{"dropping-particle":"","family":"Sandison","given":"Peta","non-dropping-particle":"","parse-names":false,"suffix":""}],"id":"ITEM-1","issued":{"date-parts":[["2017"]]},"title":"205. We’re Listening: An evaluation of user-centred community engagement in emergency sanitation","type":"report"},"uris":["http://www.mendeley.com/documents/?uuid=c38bb8a4-b3f8-36c6-bd50-4cf9cbb2ce01"]}],"mendeley":{"formattedCitation":"(Sandison 2017)","plainTextFormattedCitation":"(Sandison 2017)","previouslyFormattedCitation":"(Sandison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(Sandison 2017)</w:t>
            </w:r>
            <w:r w:rsidRPr="00DF23DA">
              <w:rPr>
                <w:rFonts w:ascii="Arial" w:hAnsi="Arial" w:cs="Arial"/>
                <w:color w:val="000000" w:themeColor="text1"/>
                <w:sz w:val="20"/>
                <w:szCs w:val="20"/>
              </w:rPr>
              <w:fldChar w:fldCharType="end"/>
            </w:r>
          </w:p>
        </w:tc>
      </w:tr>
      <w:tr w:rsidR="00157B96" w:rsidRPr="00DF23DA" w14:paraId="573C9B7A" w14:textId="77777777" w:rsidTr="00616BB3">
        <w:tc>
          <w:tcPr>
            <w:tcW w:w="8075" w:type="dxa"/>
          </w:tcPr>
          <w:p w14:paraId="6DDB5341" w14:textId="579A026E"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Save the Children (2013) WASH for Children in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8DBE701" w14:textId="0AEE270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739FDD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364C081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6CCBB5C" w14:textId="55C45D26"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{"citationItems":[{"id":"ITEM-1","itemData":{"author":[{"dropping-particle":"","family":"Save the Children","given":"","non-dropping-particle":"","parse-names":false,"suffix":""}],"id":"ITEM-1","issue":"4","issued":{"date-parts":[["2013"]]},"page":"1-6","title":"137. WASH for Children in Emergencies","type":"article"},"uris":["http://www.mendeley.com/documents/?uuid=5cc686c5-d33c-4c0e-87f4-620dc4ca3718"]}],"mendeley":{"formattedCitation":"(Save the Children 2013)","plainTextFormattedCitation":"(Save the Children 2013)","previouslyFormattedCitation":"(Save the Children 2013)"},"properties":{"noteIndex":0},"schema":"https://github.com/citation-style-language/schema/raw/master/csl-citation.json"}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(Save the Children 2013)</w:t>
            </w:r>
            <w:r w:rsidRPr="00DF23DA">
              <w:rPr>
                <w:rFonts w:ascii="Arial" w:hAnsi="Arial" w:cs="Arial"/>
                <w:color w:val="000000" w:themeColor="text1"/>
                <w:sz w:val="20"/>
                <w:szCs w:val="20"/>
              </w:rPr>
              <w:fldChar w:fldCharType="end"/>
            </w:r>
          </w:p>
        </w:tc>
      </w:tr>
      <w:tr w:rsidR="00157B96" w:rsidRPr="00DF23DA" w14:paraId="1F0D3EFC" w14:textId="77777777" w:rsidTr="00616BB3">
        <w:tc>
          <w:tcPr>
            <w:tcW w:w="8075" w:type="dxa"/>
          </w:tcPr>
          <w:p w14:paraId="59A17DAD" w14:textId="4A5C1F4F"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Sphere Association (2018) The Sphere Handbook: Humanitarian Charter and </w:t>
            </w:r>
            <w:r w:rsidRPr="00616BB3">
              <w:rPr>
                <w:rFonts w:ascii="Arial" w:hAnsi="Arial" w:cs="Arial"/>
                <w:noProof/>
                <w:color w:val="000000" w:themeColor="text1"/>
                <w:sz w:val="20"/>
                <w:szCs w:val="20"/>
              </w:rPr>
              <w:t>Minimum</w:t>
            </w:r>
            <w:r w:rsidRPr="00DF23DA">
              <w:rPr>
                <w:rFonts w:ascii="Arial" w:hAnsi="Arial" w:cs="Arial"/>
                <w:noProof/>
                <w:color w:val="000000" w:themeColor="text1"/>
                <w:sz w:val="20"/>
                <w:szCs w:val="20"/>
              </w:rPr>
              <w:t xml:space="preserve"> Standards.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18198911" w14:textId="6529996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6AC08C6"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30330E32"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30D9653A" w14:textId="3CAC71A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{"citationItems":[{"id":"ITEM-1","itemData":{"ISBN":"9781908176400","abstract":"What is sphere? the humanitarian Charter proteCtion prinCiples Core humanitarian standard Water supplY, sanitation and hYgiene promotion Food seCuritY and nutrition shelter and settlement health","author":[{"dropping-particle":"","family":"Sphere Association","given":"","non-dropping-particle":"","parse-names":false,"suffix":""}],"edition":"4th ed.","id":"ITEM-1","issued":{"date-parts":[["2018"]]},"publisher":"Sphere Association","publisher-place":"Geneva, Switzerland","title":"45. The Sphere Handbook: Humanitarian Charter and Minimum Standards in Humanitarian Response","type":"book"},"uris":["http://www.mendeley.com/documents/?uuid=5bd70c09-6c19-31e2-9a82-70c983cb83eb"]}],"mendeley":{"formattedCitation":"(Sphere Association 2018)","plainTextFormattedCitation":"(Sphere Association 2018)","previouslyFormattedCitation":"(Sphere Association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(Sphere Association 2018)</w:t>
            </w:r>
            <w:r w:rsidRPr="00DF23DA">
              <w:rPr>
                <w:rFonts w:ascii="Arial" w:hAnsi="Arial" w:cs="Arial"/>
                <w:color w:val="000000" w:themeColor="text1"/>
                <w:sz w:val="20"/>
                <w:szCs w:val="20"/>
              </w:rPr>
              <w:fldChar w:fldCharType="end"/>
            </w:r>
          </w:p>
        </w:tc>
      </w:tr>
      <w:tr w:rsidR="00157B96" w:rsidRPr="00DF23DA" w14:paraId="04E2CD3E" w14:textId="77777777" w:rsidTr="00616BB3">
        <w:tc>
          <w:tcPr>
            <w:tcW w:w="8075" w:type="dxa"/>
          </w:tcPr>
          <w:p w14:paraId="772AF854" w14:textId="4B2A026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SuSanA (2012) Sustainable sanitation for emergencies and reconstruction situations.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11CBD7C0" w14:textId="29A9B5B9"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54208CCF"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C176186"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FC6B38B" w14:textId="4949346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{"citationItems":[{"id":"ITEM-1","itemData":{"abstract":"This factsheet addresses current developments, challenges, gaps and solutions in the planning and implementation of sustainable sanitation for emergencies and reconstruction situations focusing on low and middle income countries. It is mainly intended for students, researchers, policy makers and practitioners. Shortcomings of current approaches for emergency prevention and relief include: Insufficient resources invested in sanitation, lack of prioritisation of sustainable solutions, inadequate human resource capacity for urban sanitation in humanitarian agencies and lack of good governance for reducing disaster risks. The last issue particularly impacts the risk reduction potential of countries. To reduce the risk and potential effects of disasters, sanitation solutions need to be robust to buffer against certain challenging environments. In emergency situations, groups with specific needs need to be considered (i.e. children, women, elderly, injured and people with disabilities) and appropriate emergency relief measures for each stage of an emergency situation need to be selected. We recommend the following to the actors in the emergency and reconstruction sectors: • Increase funding for sanitation in emergency and reconstruction situations with regards to software as well as hardware components. • When implementing immediate sanitation solutions, apply those which can be adapted in later phases to become more permanent and sustainable. • Use adequate sanitation options which are robust and can cope with challenging environments. • Build capacity in local entrepreneurship for long-term self-help in the reconstruction phase. • In between emergencies incorporate risk reducing measures in local and urban planning which will prevent and reduce the need for response efforts. • Engage in learning activities and experiment together with other professionals to increase innovation of options. The United Nation's International Year of Sanitation 2008 highlighted the need for improved access to sanitation systems in general. In addition, many disaster situations demonstrate the need to address sustainable sanitation solutions in particular. Sustainable sanitation systems take into consideration aspects of health, environmental resources, economic viability and socio-cultural acceptance as well as technical and institutional appropriateness (SuSanA, 2008). Sustainable sanitation systems in emergencies also require examining the resilience and robustness of existin…","author":[{"dropping-particle":"","family":"SuSanA","given":"","non-dropping-particle":"","parse-names":false,"suffix":""}],"id":"ITEM-1","issued":{"date-parts":[["2012"]]},"title":"185. Sustainable sanitation for emergencies and reconstruction situations","type":"report"},"uris":["http://www.mendeley.com/documents/?uuid=4f8a9a1f-2b5a-3e70-855d-2eb10face862"]}],"mendeley":{"formattedCitation":"(SuSanA 2012)","plainTextFormattedCitation":"(SuSanA 2012)","previouslyFormattedCitation":"(SuSanA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(SuSanA 2012)</w:t>
            </w:r>
            <w:r w:rsidRPr="00DF23DA">
              <w:rPr>
                <w:rFonts w:ascii="Arial" w:hAnsi="Arial" w:cs="Arial"/>
                <w:color w:val="000000" w:themeColor="text1"/>
                <w:sz w:val="20"/>
                <w:szCs w:val="20"/>
              </w:rPr>
              <w:fldChar w:fldCharType="end"/>
            </w:r>
          </w:p>
        </w:tc>
      </w:tr>
      <w:tr w:rsidR="00157B96" w:rsidRPr="00DF23DA" w14:paraId="77E93D94" w14:textId="77777777" w:rsidTr="00616BB3">
        <w:tc>
          <w:tcPr>
            <w:tcW w:w="8075" w:type="dxa"/>
          </w:tcPr>
          <w:p w14:paraId="74E9159D" w14:textId="25A9ED33"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Tanner S, O’Connor M (2017) A safe place to shine. Creating opportunities and raising voices of adolescent girls in humanitarian settings.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E93F625" w14:textId="0B4B431D"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D56DF1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62594BC"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8B8E2FF" w14:textId="0CB8696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Tanner","given":"Sophie","non-dropping-particle":"","parse-names":false,"suffix":""},{"dropping-particle":"","family":"O'Connor","given":"Meghan","non-dropping-particle":"","parse-names":false,"suffix":""}],"id":"ITEM-1","issued":{"date-parts":[["2017"]]},"publisher-place":"The Hague, The Netherlands","title":"202. A safe place to shine. Creating opportunities and raising voices of adolescent girls in humanitarian settings","type":"report"},"uris":["http://www.mendeley.com/documents/?uuid=904c78c4-0eb1-3444-a210-ba4eadef43ce"]}],"mendeley":{"formattedCitation":"(Tanner and O’Connor 2017)","plainTextFormattedCitation":"(Tanner and O’Connor 2017)","previouslyFormattedCitation":"(Tanner and O’Connor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(Tanner and O’Connor 2017)</w:t>
            </w:r>
            <w:r w:rsidRPr="00DF23DA">
              <w:rPr>
                <w:rFonts w:ascii="Arial" w:hAnsi="Arial" w:cs="Arial"/>
                <w:color w:val="000000" w:themeColor="text1"/>
                <w:sz w:val="20"/>
                <w:szCs w:val="20"/>
              </w:rPr>
              <w:fldChar w:fldCharType="end"/>
            </w:r>
          </w:p>
        </w:tc>
      </w:tr>
      <w:tr w:rsidR="00157B96" w:rsidRPr="00DF23DA" w14:paraId="47575B41" w14:textId="77777777" w:rsidTr="00616BB3">
        <w:tc>
          <w:tcPr>
            <w:tcW w:w="8075" w:type="dxa"/>
          </w:tcPr>
          <w:p w14:paraId="3DC98CEA" w14:textId="02FD8C95"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Toms C, Macleod H (2006) World Vision International Children in Emergencies Manual.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5D8D11C0" w14:textId="7C2E0316"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7EEDC7A"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7B1FBB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18CF31C" w14:textId="3510D03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Toms","given":"Carol","non-dropping-particle":"","parse-names":false,"suffix":""},{"dropping-particle":"","family":"Macleod","given":"Heather","non-dropping-particle":"","parse-names":false,"suffix":""}],"id":"ITEM-1","issued":{"date-parts":[["2006"]]},"title":"69. World Vision International Children in Emergencies Manual","type":"report"},"uris":["http://www.mendeley.com/documents/?uuid=984b6b0f-79a0-3524-9a51-5919a9c53b59"]}],"mendeley":{"formattedCitation":"(Toms and Macleod 2006)","plainTextFormattedCitation":"(Toms and Macleod 2006)","previouslyFormattedCitation":"(Toms and Macleod 2006)"},"properties":{"noteIndex":0},"schema":"https://github.com/citation-style-language/schema/raw/master/csl-citation.json"}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(Toms and Macleod 2006)</w:t>
            </w:r>
            <w:r w:rsidRPr="00DF23DA">
              <w:rPr>
                <w:rFonts w:ascii="Arial" w:hAnsi="Arial" w:cs="Arial"/>
                <w:color w:val="000000" w:themeColor="text1"/>
                <w:sz w:val="20"/>
                <w:szCs w:val="20"/>
              </w:rPr>
              <w:fldChar w:fldCharType="end"/>
            </w:r>
          </w:p>
        </w:tc>
      </w:tr>
      <w:tr w:rsidR="00157B96" w:rsidRPr="00DF23DA" w14:paraId="1A10231C" w14:textId="77777777" w:rsidTr="00616BB3">
        <w:tc>
          <w:tcPr>
            <w:tcW w:w="8075" w:type="dxa"/>
          </w:tcPr>
          <w:p w14:paraId="7EAD9D5E" w14:textId="5406D57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UNHCR (2015) Design Guidelines for Emergency Toilets in Refugee Settings.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57B09C5" w14:textId="4E8AF2C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C32B6B0"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00975BE7"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9AD57DA" w14:textId="0A79254E"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{"citationItems":[{"id":"ITEM-1","itemData":{"author":[{"dropping-particle":"","family":"UNHCR","given":"","non-dropping-particle":"","parse-names":false,"suffix":""}],"id":"ITEM-1","issued":{"date-parts":[["2015"]]},"page":"1-10","title":"234. Design Guidelines for Emergency Toilets in Refugee Settings","type":"article-journal"},"uris":["http://www.mendeley.com/documents/?uuid=fc6f823b-08a2-453c-8b92-7d5f4eeaf9c8"]}],"mendeley":{"formattedCitation":"(UNHCR 2015)","plainTextFormattedCitation":"(UNHCR 2015)","previouslyFormattedCitation":"(UNHCR 2015)"},"properties":{"noteIndex":0},"schema":"https://github.com/citation-style-language/schema/raw/master/csl-citation.json"}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(UNHCR 2015)</w:t>
            </w:r>
            <w:r w:rsidRPr="00DF23DA">
              <w:rPr>
                <w:rFonts w:ascii="Arial" w:hAnsi="Arial" w:cs="Arial"/>
                <w:color w:val="000000" w:themeColor="text1"/>
                <w:sz w:val="20"/>
                <w:szCs w:val="20"/>
              </w:rPr>
              <w:fldChar w:fldCharType="end"/>
            </w:r>
          </w:p>
        </w:tc>
      </w:tr>
      <w:tr w:rsidR="00157B96" w:rsidRPr="00DF23DA" w14:paraId="4D3D2DD6" w14:textId="77777777" w:rsidTr="00616BB3">
        <w:tc>
          <w:tcPr>
            <w:tcW w:w="8075" w:type="dxa"/>
          </w:tcPr>
          <w:p w14:paraId="43BBEC42" w14:textId="25373B6D"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lastRenderedPageBreak/>
              <w:t xml:space="preserve">UNHCR (2018a) Global Trends. Forced Displacement in 2017.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4FE973C1" w14:textId="6A14B872"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A0AA1EF"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385385F"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4F31A1B" w14:textId="7B36CDC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{"citationItems":[{"id":"ITEM-1","itemData":{"author":[{"dropping-particle":"","family":"UNHCR","given":"","non-dropping-particle":"","parse-names":false,"suffix":""}],"id":"ITEM-1","issued":{"date-parts":[["2018"]]},"publisher-place":"Geneva, Switzerland","title":"129. Global Trends. Forced Displacement in 2017","type":"report"},"uris":["http://www.mendeley.com/documents/?uuid=d831ddd5-6f5d-35ec-9a38-5f1ec0d233f8"]}],"mendeley":{"formattedCitation":"(UNHCR 2018a)","plainTextFormattedCitation":"(UNHCR 2018a)","previouslyFormattedCitation":"(UNHCR 2018a)"},"properties":{"noteIndex":0},"schema":"https://github.com/citation-style-language/schema/raw/master/csl-citation.json"}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(UNHCR 2018a)</w:t>
            </w:r>
            <w:r w:rsidRPr="00DF23DA">
              <w:rPr>
                <w:rFonts w:ascii="Arial" w:hAnsi="Arial" w:cs="Arial"/>
                <w:color w:val="000000" w:themeColor="text1"/>
                <w:sz w:val="20"/>
                <w:szCs w:val="20"/>
              </w:rPr>
              <w:fldChar w:fldCharType="end"/>
            </w:r>
          </w:p>
        </w:tc>
      </w:tr>
      <w:tr w:rsidR="00157B96" w:rsidRPr="00DF23DA" w14:paraId="1FA09D2B" w14:textId="77777777" w:rsidTr="00616BB3">
        <w:tc>
          <w:tcPr>
            <w:tcW w:w="8075" w:type="dxa"/>
          </w:tcPr>
          <w:p w14:paraId="3004A4FC" w14:textId="52EF9A3D"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UNHCR (2018b) UNHCR Core WASH Indicators. </w:t>
            </w:r>
          </w:p>
        </w:tc>
        <w:tc>
          <w:tcPr>
            <w:tcW w:w="1134" w:type="dxa"/>
          </w:tcPr>
          <w:p w14:paraId="79AE355A" w14:textId="2C895430"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B41C445"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14C5A61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513473D" w14:textId="0A78E61E"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URL":"http://wash.unhcr.org/unhcr-wash-standards-and-indicators-for-refugee-settings/","accessed":{"date-parts":[["2019","1","25"]]},"author":[{"dropping-particle":"","family":"UNHCR","given":"","non-dropping-particle":"","parse-names":false,"suffix":""}],"id":"ITEM-1","issued":{"date-parts":[["2018"]]},"title":"198. UNHCR Core WASH Indicators","type":"webpage"},"uris":["http://www.mendeley.com/documents/?uuid=a1dc3b87-771a-40dc-9841-3c8a136d756e"]}],"mendeley":{"formattedCitation":"(UNHCR 2018b)","plainTextFormattedCitation":"(UNHCR 2018b)","previouslyFormattedCitation":"(UNHCR 2018b)"},"properties":{"noteIndex":0},"schema":"https://github.com/citation-style-language/schema/raw/master/csl-citation.json"}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(UNHCR 2018b)</w:t>
            </w:r>
            <w:r w:rsidRPr="00DF23DA">
              <w:rPr>
                <w:rFonts w:ascii="Arial" w:hAnsi="Arial" w:cs="Arial"/>
                <w:color w:val="000000" w:themeColor="text1"/>
                <w:sz w:val="20"/>
                <w:szCs w:val="20"/>
              </w:rPr>
              <w:fldChar w:fldCharType="end"/>
            </w:r>
          </w:p>
        </w:tc>
      </w:tr>
      <w:tr w:rsidR="00157B96" w:rsidRPr="00DF23DA" w14:paraId="7FC1CDBF" w14:textId="77777777" w:rsidTr="00616BB3">
        <w:tc>
          <w:tcPr>
            <w:tcW w:w="8075" w:type="dxa"/>
          </w:tcPr>
          <w:p w14:paraId="60CAFB70" w14:textId="77777777" w:rsidR="00157B96"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UNHCR (2018c) UNHCR Population Statistics. </w:t>
            </w:r>
          </w:p>
          <w:p w14:paraId="106B8EE4" w14:textId="7127B83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Pr>
                <w:rFonts w:ascii="Arial" w:hAnsi="Arial" w:cs="Arial"/>
                <w:noProof/>
                <w:color w:val="FF0000"/>
                <w:sz w:val="20"/>
                <w:szCs w:val="20"/>
              </w:rPr>
              <w:t>U</w:t>
            </w:r>
            <w:r w:rsidRPr="00D04FA2">
              <w:rPr>
                <w:rFonts w:ascii="Arial" w:hAnsi="Arial" w:cs="Arial"/>
                <w:noProof/>
                <w:color w:val="FF0000"/>
                <w:sz w:val="20"/>
                <w:szCs w:val="20"/>
              </w:rPr>
              <w:t xml:space="preserve">pdated to: UNHCR (2020) UNHCR Population Statistics. </w:t>
            </w:r>
          </w:p>
        </w:tc>
        <w:tc>
          <w:tcPr>
            <w:tcW w:w="1134" w:type="dxa"/>
          </w:tcPr>
          <w:p w14:paraId="30780DB2" w14:textId="2B6F90A0"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8B23790"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30BE3C4"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9653200" w14:textId="77777777" w:rsidR="00157B96"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URL":"http://popstats.unhcr.org/en/demographics","accessed":{"date-parts":[["2018","11","28"]]},"author":[{"dropping-particle":"","family":"UNHCR","given":"","non-dropping-particle":"","parse-names":false,"suffix":""}],"id":"ITEM-1","issued":{"date-parts":[["2018"]]},"title":"204. UNHCR Population Statistics","type":"webpage"},"uris":["http://www.mendeley.com/documents/?uuid=dea7cc13-9a47-4d4c-b760-840228beef8b"]}],"mendeley":{"formattedCitation":"(UNHCR 2018c)","plainTextFormattedCitation":"(UNHCR 2018c)","previouslyFormattedCitation":"(UNHCR 2018c)"},"properties":{"noteIndex":0},"schema":"https://github.com/citation-style-language/schema/raw/master/csl-citation.json"}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(UNHCR 2018c)</w:t>
            </w:r>
            <w:r w:rsidRPr="00DF23DA">
              <w:rPr>
                <w:rFonts w:ascii="Arial" w:hAnsi="Arial" w:cs="Arial"/>
                <w:color w:val="000000" w:themeColor="text1"/>
                <w:sz w:val="20"/>
                <w:szCs w:val="20"/>
              </w:rPr>
              <w:fldChar w:fldCharType="end"/>
            </w:r>
          </w:p>
          <w:p w14:paraId="380A573F" w14:textId="10D81977" w:rsidR="00157B96" w:rsidRPr="00DF23DA" w:rsidRDefault="00157B96" w:rsidP="00157B96">
            <w:pPr>
              <w:spacing w:line="480" w:lineRule="auto"/>
              <w:rPr>
                <w:rFonts w:ascii="Arial" w:hAnsi="Arial" w:cs="Arial"/>
                <w:color w:val="000000" w:themeColor="text1"/>
                <w:sz w:val="20"/>
                <w:szCs w:val="20"/>
              </w:rPr>
            </w:pPr>
            <w:r w:rsidRPr="00D04FA2">
              <w:rPr>
                <w:rFonts w:ascii="Arial" w:hAnsi="Arial" w:cs="Arial"/>
                <w:color w:val="FF0000"/>
                <w:sz w:val="20"/>
                <w:szCs w:val="20"/>
              </w:rPr>
              <w:t>(UNHCR 2020)</w:t>
            </w:r>
          </w:p>
        </w:tc>
      </w:tr>
      <w:tr w:rsidR="00157B96" w:rsidRPr="00DF23DA" w14:paraId="630859DF" w14:textId="77777777" w:rsidTr="00616BB3">
        <w:tc>
          <w:tcPr>
            <w:tcW w:w="8075" w:type="dxa"/>
          </w:tcPr>
          <w:p w14:paraId="51E9E880" w14:textId="221978F0"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UNHCR (2018d) UNHCR WASH Manual. Practical Guidance for Refugee Settings. </w:t>
            </w:r>
          </w:p>
        </w:tc>
        <w:tc>
          <w:tcPr>
            <w:tcW w:w="1134" w:type="dxa"/>
          </w:tcPr>
          <w:p w14:paraId="53C9FE03" w14:textId="720C2622"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722A1EB"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0D2EFED1"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6AA6C44" w14:textId="1E8092D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{"citationItems":[{"id":"ITEM-1","itemData":{"author":[{"dropping-particle":"","family":"UNHCR","given":"","non-dropping-particle":"","parse-names":false,"suffix":""}],"id":"ITEM-1","issued":{"date-parts":[["2018"]]},"publisher-place":"Geneva, Switzerland","title":"77. UNHCR WASH Manual. Practical Guidance for Refugee Settings","type":"report"},"uris":["http://www.mendeley.com/documents/?uuid=b2db3dee-dcd8-4414-9ef0-15fc06872206"]}],"mendeley":{"formattedCitation":"(UNHCR 2018d)","plainTextFormattedCitation":"(UNHCR 2018d)","previouslyFormattedCitation":"(UNHCR 2018d)"},"properties":{"noteIndex":0},"schema":"https://github.com/citation-style-language/schema/raw/master/csl-citation.json"}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(UNHCR 2018d)</w:t>
            </w:r>
            <w:r w:rsidRPr="00DF23DA">
              <w:rPr>
                <w:rFonts w:ascii="Arial" w:hAnsi="Arial" w:cs="Arial"/>
                <w:color w:val="000000" w:themeColor="text1"/>
                <w:sz w:val="20"/>
                <w:szCs w:val="20"/>
              </w:rPr>
              <w:fldChar w:fldCharType="end"/>
            </w:r>
          </w:p>
        </w:tc>
      </w:tr>
      <w:tr w:rsidR="00157B96" w:rsidRPr="00DF23DA" w14:paraId="5FD3D057" w14:textId="77777777" w:rsidTr="00616BB3">
        <w:tc>
          <w:tcPr>
            <w:tcW w:w="8075" w:type="dxa"/>
          </w:tcPr>
          <w:p w14:paraId="5B470D62" w14:textId="4641486F"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UNICEF (2005) Emergency Field Handbook. A guide for UNICEF staff.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051D2A1" w14:textId="39A884AE"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E0A5EB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515F4B3"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2EDFEEAB" w14:textId="42EE78DF"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{"citationItems":[{"id":"ITEM-1","itemData":{"author":[{"dropping-particle":"","family":"UNICEF","given":"","non-dropping-particle":"","parse-names":false,"suffix":""}],"id":"ITEM-1","issued":{"date-parts":[["2005"]]},"title":"195. Emergency Field Handbook. A guide for UNICEF staff","type":"report"},"uris":["http://www.mendeley.com/documents/?uuid=40c198bd-2727-3108-81df-ddd9d5f014fd"]}],"mendeley":{"formattedCitation":"(UNICEF 2005)","plainTextFormattedCitation":"(UNICEF 2005)","previouslyFormattedCitation":"(UNICEF 2005)"},"properties":{"noteIndex":0},"schema":"https://github.com/citation-style-language/schema/raw/master/csl-citation.json"}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2005)</w:t>
            </w:r>
            <w:r w:rsidRPr="00DF23DA">
              <w:rPr>
                <w:rFonts w:ascii="Arial" w:hAnsi="Arial" w:cs="Arial"/>
                <w:color w:val="000000" w:themeColor="text1"/>
                <w:sz w:val="20"/>
                <w:szCs w:val="20"/>
              </w:rPr>
              <w:fldChar w:fldCharType="end"/>
            </w:r>
          </w:p>
        </w:tc>
      </w:tr>
      <w:tr w:rsidR="00157B96" w:rsidRPr="00DF23DA" w14:paraId="235BAF64" w14:textId="77777777" w:rsidTr="00616BB3">
        <w:tc>
          <w:tcPr>
            <w:tcW w:w="8075" w:type="dxa"/>
          </w:tcPr>
          <w:p w14:paraId="09169617" w14:textId="51849B79"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UNICEF (2010) Core Commitments for Children in Humanitarian Action. </w:t>
            </w:r>
          </w:p>
        </w:tc>
        <w:tc>
          <w:tcPr>
            <w:tcW w:w="1134" w:type="dxa"/>
          </w:tcPr>
          <w:p w14:paraId="12324F53" w14:textId="56D5BDC8"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F19E910"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C31CDDB"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00ED059" w14:textId="530F7782"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ISBN":"9789280645125","author":[{"dropping-particle":"","family":"UNICEF","given":"","non-dropping-particle":"","parse-names":false,"suffix":""}],"id":"ITEM-1","issued":{"date-parts":[["2010"]]},"publisher":"UNICEF","publisher-place":"New York, United States","title":"72. Core Commitments for Children in Humanitarian Action","type":"book"},"uris":["http://www.mendeley.com/documents/?uuid=facb6ee4-b799-3f57-bbeb-ebae27e1c556"]}],"mendeley":{"formattedCitation":"(UNICEF 2010)","plainTextFormattedCitation":"(UNICEF 2010)","previouslyFormattedCitation":"(UNICEF 2010)"},"properties":{"noteIndex":0},"schema":"https://github.com/citation-style-language/schema/raw/master/csl-citation.json"}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2010)</w:t>
            </w:r>
            <w:r w:rsidRPr="00DF23DA">
              <w:rPr>
                <w:rFonts w:ascii="Arial" w:hAnsi="Arial" w:cs="Arial"/>
                <w:color w:val="000000" w:themeColor="text1"/>
                <w:sz w:val="20"/>
                <w:szCs w:val="20"/>
              </w:rPr>
              <w:fldChar w:fldCharType="end"/>
            </w:r>
          </w:p>
        </w:tc>
      </w:tr>
      <w:tr w:rsidR="00157B96" w:rsidRPr="00DF23DA" w14:paraId="056B528F" w14:textId="77777777" w:rsidTr="00616BB3">
        <w:tc>
          <w:tcPr>
            <w:tcW w:w="8075" w:type="dxa"/>
          </w:tcPr>
          <w:p w14:paraId="04D574CC" w14:textId="674D3FEE"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UNICEF (2017a) UNICEF Target Product Profile: Accessible Latrine Slab for Emergencies.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55ED9ECC" w14:textId="69E8FD96"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17F1EE20" w14:textId="630538D3"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613ECADD" w14:textId="1578F693"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Angola</w:t>
            </w:r>
          </w:p>
        </w:tc>
        <w:tc>
          <w:tcPr>
            <w:tcW w:w="2551" w:type="dxa"/>
          </w:tcPr>
          <w:p w14:paraId="3748F853" w14:textId="1F29463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{"citationItems":[{"id":"ITEM-1","itemData":{"author":[{"dropping-particle":"","family":"UNICEF","given":"","non-dropping-particle":"","parse-names":false,"suffix":""}],"id":"ITEM-1","issued":{"date-parts":[["2017"]]},"title":"147. UNICEF Target Product Profile: Accessible Latrine Slab for Emergencies Problem Statement/Need for the Product","type":"report"},"uris":["http://www.mendeley.com/documents/?uuid=6727ef31-a150-3634-9da3-561acf10f525"]}],"mendeley":{"formattedCitation":"(UNICEF 2017a)","plainTextFormattedCitation":"(UNICEF 2017a)","previouslyFormattedCitation":"(UNICEF 2017a)"},"properties":{"noteIndex":0},"schema":"https://github.com/citation-style-language/schema/raw/master/csl-citation.json"}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2017a)</w:t>
            </w:r>
            <w:r w:rsidRPr="00DF23DA">
              <w:rPr>
                <w:rFonts w:ascii="Arial" w:hAnsi="Arial" w:cs="Arial"/>
                <w:color w:val="000000" w:themeColor="text1"/>
                <w:sz w:val="20"/>
                <w:szCs w:val="20"/>
              </w:rPr>
              <w:fldChar w:fldCharType="end"/>
            </w:r>
          </w:p>
        </w:tc>
      </w:tr>
      <w:tr w:rsidR="00157B96" w:rsidRPr="00DF23DA" w14:paraId="2BF478FA" w14:textId="77777777" w:rsidTr="00616BB3">
        <w:tc>
          <w:tcPr>
            <w:tcW w:w="8075" w:type="dxa"/>
          </w:tcPr>
          <w:p w14:paraId="33C007D9" w14:textId="4AA0F6CE" w:rsidR="00157B96" w:rsidRPr="00DF23DA" w:rsidRDefault="00157B96" w:rsidP="00157B96">
            <w:pPr>
              <w:spacing w:line="480" w:lineRule="auto"/>
              <w:ind w:firstLine="27"/>
              <w:rPr>
                <w:rFonts w:ascii="Arial" w:hAnsi="Arial" w:cs="Arial"/>
                <w:color w:val="000000" w:themeColor="text1"/>
                <w:sz w:val="20"/>
                <w:szCs w:val="20"/>
              </w:rPr>
            </w:pPr>
            <w:r w:rsidRPr="00DF23DA">
              <w:rPr>
                <w:rFonts w:ascii="Arial" w:hAnsi="Arial" w:cs="Arial"/>
                <w:noProof/>
                <w:color w:val="000000" w:themeColor="text1"/>
                <w:sz w:val="20"/>
                <w:szCs w:val="20"/>
              </w:rPr>
              <w:t xml:space="preserve">UNICEF (2017b) Accessible latrine slab for emergencies: Q&amp;As.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56CB3A0D" w14:textId="2A554FE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D7EEE4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4A2B9F76"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988B0D4" w14:textId="5E39BA8A"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{"citationItems":[{"id":"ITEM-1","itemData":{"abstract":"Introduction: Current sanitation products (including latrine slabs and superstructures) used in emergencies do not include components for enabling access by elderly or persons living with disabilities (including children). UNICEF is seeking solutions to improve access to latrines in emergency contexts. This is an innovation project as from our desk reviews we have not found a product on the market that can full fil our need for an add-on solution to our current squatting plate to assist people with disabilities. Hence we are requesting suppliers to come forward with their proposal as per the RFP and TPP information. Status: The TPP has been updated (V.2.2) and an RFP to solicit prototypes for field trials was issued 4 th April 2017. Responses are requested by Monday 3 rd July 2017 at 23:59 hrs (Copenhagen time). UNICEF will be field trialing designs in 2017. Q&amp;As To ensure transparency, all answers and clarifications received to the TPP and RFP will be published in the table below. Suppliers are therefore encouraged to visit this document on a regular basis to view answers and clarifications which may be relevant to them. 1. Is it correct that you require a pit latrine rather than sitting position and that sustainability is not a mandatory criteria? We are not limiting on the solution (whether it is sitting, assisted squat, or handrails) but we would like to clarify that we are looking for additions to our current slab/squat plate, which is a product that is placed over a dug pit. We will be looking at durability. 2. Would you be able to provide more specification on the products, like detail drawing / picture of the product &amp; sample? We are looking out for new products that might not even be in the market place yet and hence we are not able to provide further specifications (drawing/picture) for the proposed solution. Our current LTA holders are KK Nag and Monarflex. For dimensional information see images below. Please note that this tender is not an Invitation to Bid (ITB) with clear specifications, but rather a Request for Proposals (RFP), where we are asking suppliers/partners to come up with different proposals based on the TPP and Evaluation criteria. 3. In diagram 1 of the TPP (Annex 1), it shows a wheel chair being positioned alongside the toilet seat. The dimensions of the toilet room appear to be approximately 2.2 m x 1.7 m. But the dimensions of the squatting plate are only 1.2 m x 0.8 m. Are you therefore expecting a toilet superstructure to…","author":[{"dropping-particle":"","family":"UNICEF","given":"","non-dropping-particle":"","parse-names":false,"suffix":""}],"id":"ITEM-1","issued":{"date-parts":[["2017"]]},"title":"147b. Accessible latrine slab for emergencies: Q&amp;As","type":"report"},"uris":["http://www.mendeley.com/documents/?uuid=7fc4ae62-6494-3714-98af-b37842da4e19"]}],"mendeley":{"formattedCitation":"(UNICEF 2017b)","plainTextFormattedCitation":"(UNICEF 2017b)","previouslyFormattedCitation":"(UNICEF 2017b)"},"properties":{"noteIndex":0},"schema":"https://github.com/citation-style-language/schema/raw/master/csl-citation.json"}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2017b)</w:t>
            </w:r>
            <w:r w:rsidRPr="00DF23DA">
              <w:rPr>
                <w:rFonts w:ascii="Arial" w:hAnsi="Arial" w:cs="Arial"/>
                <w:color w:val="000000" w:themeColor="text1"/>
                <w:sz w:val="20"/>
                <w:szCs w:val="20"/>
              </w:rPr>
              <w:fldChar w:fldCharType="end"/>
            </w:r>
          </w:p>
        </w:tc>
      </w:tr>
      <w:tr w:rsidR="00157B96" w:rsidRPr="00DF23DA" w14:paraId="37F69B7A" w14:textId="77777777" w:rsidTr="00616BB3">
        <w:tc>
          <w:tcPr>
            <w:tcW w:w="8075" w:type="dxa"/>
          </w:tcPr>
          <w:p w14:paraId="7379670B" w14:textId="1509A430" w:rsidR="00157B96" w:rsidRPr="00DF23DA" w:rsidRDefault="00157B96" w:rsidP="00157B96">
            <w:pPr>
              <w:spacing w:line="480" w:lineRule="auto"/>
              <w:rPr>
                <w:rFonts w:ascii="Arial" w:hAnsi="Arial" w:cs="Arial"/>
                <w:color w:val="000000" w:themeColor="text1"/>
                <w:sz w:val="20"/>
                <w:szCs w:val="20"/>
              </w:rPr>
            </w:pPr>
            <w:r>
              <w:rPr>
                <w:rFonts w:ascii="Arial" w:hAnsi="Arial" w:cs="Arial"/>
                <w:noProof/>
                <w:color w:val="000000" w:themeColor="text1"/>
                <w:sz w:val="20"/>
                <w:szCs w:val="20"/>
              </w:rPr>
              <w:t>U</w:t>
            </w:r>
            <w:r w:rsidRPr="00DF23DA">
              <w:rPr>
                <w:rFonts w:ascii="Arial" w:hAnsi="Arial" w:cs="Arial"/>
                <w:noProof/>
                <w:color w:val="000000" w:themeColor="text1"/>
                <w:sz w:val="20"/>
                <w:szCs w:val="20"/>
              </w:rPr>
              <w:t xml:space="preserve">NICEF (2017c) Guidance: Including children with disabilities in humanitarian action – WASH. </w:t>
            </w:r>
            <w:r w:rsidRPr="00DF23DA">
              <w:rPr>
                <w:rFonts w:ascii="Calibri" w:hAnsi="Calibri" w:cs="Calibri"/>
                <w:noProof/>
                <w:color w:val="000000" w:themeColor="text1"/>
                <w:sz w:val="20"/>
                <w:szCs w:val="20"/>
              </w:rPr>
              <w:t>﻿</w:t>
            </w:r>
          </w:p>
        </w:tc>
        <w:tc>
          <w:tcPr>
            <w:tcW w:w="1134" w:type="dxa"/>
          </w:tcPr>
          <w:p w14:paraId="1373025E" w14:textId="2DBA19BD"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E2E7CE2"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1879AE70"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0F25CB58" w14:textId="2F48DCF8"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{"citationItems":[{"id":"ITEM-1","itemData":{"author":[{"dropping-particle":"","family":"UNICEF","given":"","non-dropping-particle":"","parse-names":false,"suffix":""}],"id":"ITEM-1","issued":{"date-parts":[["2017"]]},"publisher-place":"New York, United States","title":"239. Guidance: Including children with disabilities in humanitarian action – WASH","type":"report"},"uris":["http://www.mendeley.com/documents/?uuid=ad5235d4-82b7-3f33-80e9-bef614d719fb"]}],"mendeley":{"formattedCitation":"(UNICEF 2017c)","plainTextFormattedCitation":"(UNICEF 2017c)","previouslyFormattedCitation":"(UNICEF 2017c)"},"properties":{"noteIndex":0},"schema":"https://github.com/citation-style-language/schema/raw/master/csl-citation.json"}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2017c)</w:t>
            </w:r>
            <w:r w:rsidRPr="00DF23DA">
              <w:rPr>
                <w:rFonts w:ascii="Arial" w:hAnsi="Arial" w:cs="Arial"/>
                <w:color w:val="000000" w:themeColor="text1"/>
                <w:sz w:val="20"/>
                <w:szCs w:val="20"/>
              </w:rPr>
              <w:fldChar w:fldCharType="end"/>
            </w:r>
          </w:p>
        </w:tc>
      </w:tr>
      <w:tr w:rsidR="00157B96" w:rsidRPr="00DF23DA" w14:paraId="0C21AF91" w14:textId="77777777" w:rsidTr="00616BB3">
        <w:tc>
          <w:tcPr>
            <w:tcW w:w="8075" w:type="dxa"/>
          </w:tcPr>
          <w:p w14:paraId="02E2CA09" w14:textId="2DEC76BE" w:rsidR="00157B96" w:rsidRPr="00DF23DA" w:rsidRDefault="00157B96" w:rsidP="00157B96">
            <w:pPr>
              <w:widowControl w:val="0"/>
              <w:autoSpaceDE w:val="0"/>
              <w:autoSpaceDN w:val="0"/>
              <w:adjustRightInd w:val="0"/>
              <w:spacing w:line="480" w:lineRule="auto"/>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UNICEF (2018) Humanitarian Action for Children 2018.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6FC83557" w14:textId="25E7977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EB345DC"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40B52CB3"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E8C017B" w14:textId="44A82423"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{"citationItems":[{"id":"ITEM-1","itemData":{"author":[{"dropping-particle":"","family":"UNICEF","given":"","non-dropping-particle":"","parse-names":false,"suffix":""}],"id":"ITEM-1","issued":{"date-parts":[["2018"]]},"title":"203. Humanitarian Action for Children 2018","type":"report"},"uris":["http://www.mendeley.com/documents/?uuid=cf25f5bb-1966-33de-a13d-c95d79debdd0"]}],"mendeley":{"formattedCitation":"(UNICEF 2018)","plainTextFormattedCitation":"(UNICEF 2018)","previouslyFormattedCitation":"(UNICEF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(UNICEF 2018)</w:t>
            </w:r>
            <w:r w:rsidRPr="00DF23DA">
              <w:rPr>
                <w:rFonts w:ascii="Arial" w:hAnsi="Arial" w:cs="Arial"/>
                <w:color w:val="000000" w:themeColor="text1"/>
                <w:sz w:val="20"/>
                <w:szCs w:val="20"/>
              </w:rPr>
              <w:fldChar w:fldCharType="end"/>
            </w:r>
          </w:p>
        </w:tc>
      </w:tr>
      <w:tr w:rsidR="00157B96" w:rsidRPr="00DF23DA" w14:paraId="63A1BB3C" w14:textId="77777777" w:rsidTr="00616BB3">
        <w:tc>
          <w:tcPr>
            <w:tcW w:w="8075" w:type="dxa"/>
          </w:tcPr>
          <w:p w14:paraId="2D79E9F0" w14:textId="63941E6E"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(1990) The United Nations Convention on the Rights of the Child. </w:t>
            </w:r>
          </w:p>
        </w:tc>
        <w:tc>
          <w:tcPr>
            <w:tcW w:w="1134" w:type="dxa"/>
          </w:tcPr>
          <w:p w14:paraId="4422E388" w14:textId="6112E89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97FA49D"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A743254"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00DAC41A" w14:textId="60D08A8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{"citationItems":[{"id":"ITEM-1","itemData":{"author":[{"dropping-particle":"","family":"United Nations","given":"","non-dropping-particle":"","parse-names":false,"suffix":""}],"id":"ITEM-1","issued":{"date-parts":[["1990"]]},"publisher-place":"New York, United States","title":"R10. The United Nations Convention on the Rights of the Child","type":"report"},"uris":["http://www.mendeley.com/documents/?uuid=5426a27d-d6f8-3045-bccf-681e978074a3"]}],"mendeley":{"formattedCitation":"(United Nations 1990)","plainTextFormattedCitation":"(United Nations 1990)","previouslyFormattedCitation":"(United Nations 1990)"},"properties":{"noteIndex":0},"schema":"https://github.com/citation-style-language/schema/raw/master/csl-citation.json"}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1990)</w:t>
            </w:r>
            <w:r w:rsidRPr="00DF23DA">
              <w:rPr>
                <w:rFonts w:ascii="Arial" w:hAnsi="Arial" w:cs="Arial"/>
                <w:color w:val="000000" w:themeColor="text1"/>
                <w:sz w:val="20"/>
                <w:szCs w:val="20"/>
              </w:rPr>
              <w:fldChar w:fldCharType="end"/>
            </w:r>
          </w:p>
        </w:tc>
      </w:tr>
      <w:tr w:rsidR="00157B96" w:rsidRPr="00DF23DA" w14:paraId="32C647B0" w14:textId="77777777" w:rsidTr="00616BB3">
        <w:tc>
          <w:tcPr>
            <w:tcW w:w="8075" w:type="dxa"/>
          </w:tcPr>
          <w:p w14:paraId="4E55EEAC" w14:textId="44603FC5"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(2010a) UNGA Resolution 64/292. The human right to water and sanitation. </w:t>
            </w:r>
          </w:p>
        </w:tc>
        <w:tc>
          <w:tcPr>
            <w:tcW w:w="1134" w:type="dxa"/>
          </w:tcPr>
          <w:p w14:paraId="3A70A468" w14:textId="2D724B3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0E600BDE"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2BE9C9AF"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5B3EE36" w14:textId="0159100F"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{"citationItems":[{"id":"ITEM-1","itemData":{"author":[{"dropping-particle":"","family":"United Nations","given":"","non-dropping-particle":"","parse-names":false,"suffix":""}],"id":"ITEM-1","issued":{"date-parts":[["2010"]]},"title":"Ref_UNGA Resolution 64/292. The human right to water and sanitation","type":"article"},"uris":["http://www.mendeley.com/documents/?uuid=532e6b95-7fa4-479f-9447-27f6c15db9eb"]}],"mendeley":{"formattedCitation":"(United Nations 2010)","manualFormatting":"(United Nations 2010a)","plainTextFormattedCitation":"(United Nations 2010)","previouslyFormattedCitation":"(United Nations 2010)"},"properties":{"noteIndex":0},"schema":"https://github.com/citation-style-language/schema/raw/master/csl-citation.json"}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2010a)</w:t>
            </w:r>
            <w:r w:rsidRPr="00DF23DA">
              <w:rPr>
                <w:rFonts w:ascii="Arial" w:hAnsi="Arial" w:cs="Arial"/>
                <w:color w:val="000000" w:themeColor="text1"/>
                <w:sz w:val="20"/>
                <w:szCs w:val="20"/>
              </w:rPr>
              <w:fldChar w:fldCharType="end"/>
            </w:r>
          </w:p>
        </w:tc>
      </w:tr>
      <w:tr w:rsidR="00157B96" w:rsidRPr="00DF23DA" w14:paraId="6524482E" w14:textId="77777777" w:rsidTr="00616BB3">
        <w:tc>
          <w:tcPr>
            <w:tcW w:w="8075" w:type="dxa"/>
          </w:tcPr>
          <w:p w14:paraId="667530E0" w14:textId="3B7B524A"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(2010b) HRC Res 15/9. Human rights and access to safe drinking water and sanitation. </w:t>
            </w:r>
          </w:p>
        </w:tc>
        <w:tc>
          <w:tcPr>
            <w:tcW w:w="1134" w:type="dxa"/>
          </w:tcPr>
          <w:p w14:paraId="38E0F00B" w14:textId="22B5EED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2865BAB4"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61B843A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508940A" w14:textId="7466ACD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{"citationItems":[{"id":"ITEM-1","itemData":{"author":[{"dropping-particle":"","family":"United Nations","given":"","non-dropping-particle":"","parse-names":false,"suffix":""}],"id":"ITEM-1","issued":{"date-parts":[["2010"]]},"title":"Ref_UNGA Resolution 64/292. The human right to water and sanitation","type":"article"},"uris":["http://www.mendeley.com/documents/?uuid=532e6b95-7fa4-479f-9447-27f6c15db9eb"]}],"mendeley":{"formattedCitation":"(United Nations 2010)","manualFormatting":"(United Nations 2010b)","plainTextFormattedCitation":"(United Nations 2010)","previouslyFormattedCitation":"(United Nations 2010)"},"properties":{"noteIndex":0},"schema":"https://github.com/citation-style-language/schema/raw/master/csl-citation.json"}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2010b)</w:t>
            </w:r>
            <w:r w:rsidRPr="00DF23DA">
              <w:rPr>
                <w:rFonts w:ascii="Arial" w:hAnsi="Arial" w:cs="Arial"/>
                <w:color w:val="000000" w:themeColor="text1"/>
                <w:sz w:val="20"/>
                <w:szCs w:val="20"/>
              </w:rPr>
              <w:fldChar w:fldCharType="end"/>
            </w:r>
          </w:p>
        </w:tc>
      </w:tr>
      <w:tr w:rsidR="00157B96" w:rsidRPr="00DF23DA" w14:paraId="19FECCF5" w14:textId="77777777" w:rsidTr="00616BB3">
        <w:tc>
          <w:tcPr>
            <w:tcW w:w="8075" w:type="dxa"/>
          </w:tcPr>
          <w:p w14:paraId="7D6BB9AE" w14:textId="0510C60A"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(2015) UNGA Resolution 70/169. The human rights to safe drinking </w:t>
            </w:r>
            <w:r w:rsidRPr="00DF23DA">
              <w:rPr>
                <w:rFonts w:ascii="Arial" w:hAnsi="Arial" w:cs="Arial"/>
                <w:noProof/>
                <w:color w:val="000000" w:themeColor="text1"/>
                <w:sz w:val="20"/>
                <w:szCs w:val="20"/>
              </w:rPr>
              <w:lastRenderedPageBreak/>
              <w:t xml:space="preserve">water and sanitation. </w:t>
            </w:r>
          </w:p>
        </w:tc>
        <w:tc>
          <w:tcPr>
            <w:tcW w:w="1134" w:type="dxa"/>
          </w:tcPr>
          <w:p w14:paraId="49D763E2" w14:textId="14BC4CB5"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lastRenderedPageBreak/>
              <w:t>X</w:t>
            </w:r>
          </w:p>
        </w:tc>
        <w:tc>
          <w:tcPr>
            <w:tcW w:w="1134" w:type="dxa"/>
          </w:tcPr>
          <w:p w14:paraId="671FADAA"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D7BCDB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4556476C" w14:textId="72E1A627"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{"citationItems":[{"id":"ITEM-1","itemData":{"author":[{"dropping-particle":"","family":"United Nations","given":"","non-dropping-particle":"","parse-names":false,"suffix":""}],"id":"ITEM-1","issued":{"date-parts":[["2015"]]},"title":"Ref_UNGA Resolution 70/169. The human rights to safe drinking water and sanitation","type":"article"},"uris":["http://www.mendeley.com/documents/?uuid=7d904a0e-f727-422e-b8fc-4af52895b964"]}],"mendeley":{"formattedCitation":"(United Nations 2015)","plainTextFormattedCitation":"(United Nations 2015)","previouslyFormattedCitation":"(United Nations 2015)"},"properties":{"noteIndex":0},"schema":"https://github.com/citation-style-language/schema/raw/master/csl-citation.json"}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2015)</w:t>
            </w:r>
            <w:r w:rsidRPr="00DF23DA">
              <w:rPr>
                <w:rFonts w:ascii="Arial" w:hAnsi="Arial" w:cs="Arial"/>
                <w:color w:val="000000" w:themeColor="text1"/>
                <w:sz w:val="20"/>
                <w:szCs w:val="20"/>
              </w:rPr>
              <w:fldChar w:fldCharType="end"/>
            </w:r>
          </w:p>
        </w:tc>
      </w:tr>
      <w:tr w:rsidR="00157B96" w:rsidRPr="00DF23DA" w14:paraId="4EC8C5F5" w14:textId="77777777" w:rsidTr="00616BB3">
        <w:tc>
          <w:tcPr>
            <w:tcW w:w="8075" w:type="dxa"/>
          </w:tcPr>
          <w:p w14:paraId="6730DF6D" w14:textId="6F8A2959"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(2016) Sustainable Development Goal 6. </w:t>
            </w:r>
          </w:p>
        </w:tc>
        <w:tc>
          <w:tcPr>
            <w:tcW w:w="1134" w:type="dxa"/>
          </w:tcPr>
          <w:p w14:paraId="475FE594" w14:textId="16D7796C"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44F748CA"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4FB4B21F"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5DB0480B" w14:textId="0F654F9C"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{"citationItems":[{"id":"ITEM-1","itemData":{"URL":"https://sustainabledevelopment.un.org/sdg6","accessed":{"date-parts":[["2018","11","15"]]},"author":[{"dropping-particle":"","family":"United Nations","given":"","non-dropping-particle":"","parse-names":false,"suffix":""}],"id":"ITEM-1","issued":{"date-parts":[["2016"]]},"title":"Ref_Sustainable Development Goal 6","type":"webpage"},"uris":["http://www.mendeley.com/documents/?uuid=07d4b7fa-e092-4ff3-8432-d2b3967470ba"]}],"mendeley":{"formattedCitation":"(United Nations 2016)","plainTextFormattedCitation":"(United Nations 2016)","previouslyFormattedCitation":"(United Nations 2016)"},"properties":{"noteIndex":0},"schema":"https://github.com/citation-style-language/schema/raw/master/csl-citation.json"}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2016)</w:t>
            </w:r>
            <w:r w:rsidRPr="00DF23DA">
              <w:rPr>
                <w:rFonts w:ascii="Arial" w:hAnsi="Arial" w:cs="Arial"/>
                <w:color w:val="000000" w:themeColor="text1"/>
                <w:sz w:val="20"/>
                <w:szCs w:val="20"/>
              </w:rPr>
              <w:fldChar w:fldCharType="end"/>
            </w:r>
          </w:p>
        </w:tc>
      </w:tr>
      <w:tr w:rsidR="00157B96" w:rsidRPr="00DF23DA" w14:paraId="077F1CF9" w14:textId="77777777" w:rsidTr="00616BB3">
        <w:tc>
          <w:tcPr>
            <w:tcW w:w="8075" w:type="dxa"/>
          </w:tcPr>
          <w:p w14:paraId="544516B3" w14:textId="2261329F"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United Nations Committee on the Rights of the Child (2009) General Comment on A12 Right to Be Heard. </w:t>
            </w:r>
            <w:r w:rsidRPr="00DF23DA">
              <w:rPr>
                <w:rFonts w:ascii="Calibri" w:hAnsi="Calibri" w:cs="Calibri"/>
                <w:noProof/>
                <w:color w:val="000000" w:themeColor="text1"/>
                <w:sz w:val="20"/>
                <w:szCs w:val="20"/>
              </w:rPr>
              <w:t>﻿</w:t>
            </w:r>
          </w:p>
        </w:tc>
        <w:tc>
          <w:tcPr>
            <w:tcW w:w="1134" w:type="dxa"/>
          </w:tcPr>
          <w:p w14:paraId="73A700C8" w14:textId="002DE597"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8D5E347"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74580813"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707D06E9" w14:textId="27E11B85"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{"citationItems":[{"id":"ITEM-1","itemData":{"author":[{"dropping-particle":"","family":"United Nations Committee on the Rights of the Child","given":"","non-dropping-particle":"","parse-names":false,"suffix":""}],"id":"ITEM-1","issued":{"date-parts":[["2009"]]},"title":"209. General Comment on A12 Right to Be Heard","type":"article"},"uris":["http://www.mendeley.com/documents/?uuid=4870053c-b71e-4971-be17-0a007aa8deb1"]}],"mendeley":{"formattedCitation":"(United Nations Committee on the Rights of the Child 2009)","plainTextFormattedCitation":"(United Nations Committee on the Rights of the Child 2009)","previouslyFormattedCitation":"(United Nations Committee on the Rights of the Child 2009)"},"properties":{"noteIndex":0},"schema":"https://github.com/citation-style-language/schema/raw/master/csl-citation.json"}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(United Nations Committee on the Rights of the Child 2009)</w:t>
            </w:r>
            <w:r w:rsidRPr="00DF23DA">
              <w:rPr>
                <w:rFonts w:ascii="Arial" w:hAnsi="Arial" w:cs="Arial"/>
                <w:color w:val="000000" w:themeColor="text1"/>
                <w:sz w:val="20"/>
                <w:szCs w:val="20"/>
              </w:rPr>
              <w:fldChar w:fldCharType="end"/>
            </w:r>
          </w:p>
        </w:tc>
      </w:tr>
      <w:tr w:rsidR="00157B96" w:rsidRPr="00DF23DA" w14:paraId="3DBE4680" w14:textId="77777777" w:rsidTr="00616BB3">
        <w:tc>
          <w:tcPr>
            <w:tcW w:w="8075" w:type="dxa"/>
          </w:tcPr>
          <w:p w14:paraId="026B93C0" w14:textId="05DFB7D6"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Visser M (2012) External Evaluation WaSH Provision in Bahn Refugee Camp in Nimba, Liberia. </w:t>
            </w:r>
            <w:r w:rsidRPr="00DF23DA">
              <w:rPr>
                <w:rFonts w:ascii="Calibri" w:hAnsi="Calibri" w:cs="Calibri"/>
                <w:noProof/>
                <w:color w:val="000000" w:themeColor="text1"/>
                <w:sz w:val="20"/>
                <w:szCs w:val="20"/>
              </w:rPr>
              <w:t>﻿</w:t>
            </w:r>
            <w:r w:rsidRPr="00DF23DA">
              <w:rPr>
                <w:rFonts w:ascii="Arial" w:hAnsi="Arial" w:cs="Arial"/>
                <w:noProof/>
                <w:color w:val="000000" w:themeColor="text1"/>
                <w:sz w:val="20"/>
                <w:szCs w:val="20"/>
              </w:rPr>
              <w:t xml:space="preserve"> </w:t>
            </w:r>
          </w:p>
        </w:tc>
        <w:tc>
          <w:tcPr>
            <w:tcW w:w="1134" w:type="dxa"/>
          </w:tcPr>
          <w:p w14:paraId="1E7635A1"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37F41F74" w14:textId="1FB9BA7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10E8A165" w14:textId="5C980FE3"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Liberia</w:t>
            </w:r>
          </w:p>
        </w:tc>
        <w:tc>
          <w:tcPr>
            <w:tcW w:w="2551" w:type="dxa"/>
          </w:tcPr>
          <w:p w14:paraId="2B67874C" w14:textId="636018FB"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{"citationItems":[{"id":"ITEM-1","itemData":{"author":[{"dropping-particle":"","family":"Visser","given":"Marco","non-dropping-particle":"","parse-names":false,"suffix":""}],"id":"ITEM-1","issued":{"date-parts":[["2012"]]},"title":"192. External Evaluation WaSH Provision in Bahn Refugee Camp in Nimba, Liberia","type":"report"},"uris":["http://www.mendeley.com/documents/?uuid=32d5db70-668a-3cdd-900a-20a4ecd1fa15"]}],"mendeley":{"formattedCitation":"(Visser 2012)","plainTextFormattedCitation":"(Visser 2012)","previouslyFormattedCitation":"(Visser 2012)"},"properties":{"noteIndex":0},"schema":"https://github.com/citation-style-language/schema/raw/master/csl-citation.json"}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(Visser 2012)</w:t>
            </w:r>
            <w:r w:rsidRPr="00DF23DA">
              <w:rPr>
                <w:rFonts w:ascii="Arial" w:hAnsi="Arial" w:cs="Arial"/>
                <w:color w:val="000000" w:themeColor="text1"/>
                <w:sz w:val="20"/>
                <w:szCs w:val="20"/>
              </w:rPr>
              <w:fldChar w:fldCharType="end"/>
            </w:r>
          </w:p>
        </w:tc>
      </w:tr>
      <w:tr w:rsidR="00157B96" w:rsidRPr="00DF23DA" w14:paraId="12077225" w14:textId="77777777" w:rsidTr="00616BB3">
        <w:tc>
          <w:tcPr>
            <w:tcW w:w="8075" w:type="dxa"/>
          </w:tcPr>
          <w:p w14:paraId="3BC69F37" w14:textId="729C3773"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WHO (2008) Managing WHO Humanitarian Response in the Field. </w:t>
            </w:r>
            <w:r w:rsidRPr="00DF23DA">
              <w:rPr>
                <w:rFonts w:ascii="Calibri" w:hAnsi="Calibri" w:cs="Calibri"/>
                <w:noProof/>
                <w:color w:val="000000" w:themeColor="text1"/>
                <w:sz w:val="20"/>
                <w:szCs w:val="20"/>
              </w:rPr>
              <w:t>﻿</w:t>
            </w:r>
          </w:p>
        </w:tc>
        <w:tc>
          <w:tcPr>
            <w:tcW w:w="1134" w:type="dxa"/>
          </w:tcPr>
          <w:p w14:paraId="46957BF6" w14:textId="2EB59591"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FC165C1"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4F690548"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96991B3" w14:textId="620A83A8"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{"citationItems":[{"id":"ITEM-1","itemData":{"author":[{"dropping-particle":"","family":"WHO","given":"","non-dropping-particle":"","parse-names":false,"suffix":""}],"id":"ITEM-1","issued":{"date-parts":[["2008"]]},"publisher-place":"Geneva, Switzerland","title":"44. Managing WHO Humanitarian Response in the Field","type":"report"},"uris":["http://www.mendeley.com/documents/?uuid=8396ee87-423f-3427-b0ce-e7994f5e83ae"]}],"mendeley":{"formattedCitation":"(WHO 2008)","plainTextFormattedCitation":"(WHO 2008)","previouslyFormattedCitation":"(WHO 2008)"},"properties":{"noteIndex":0},"schema":"https://github.com/citation-style-language/schema/raw/master/csl-citation.json"}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(WHO 2008)</w:t>
            </w:r>
            <w:r w:rsidRPr="00DF23DA">
              <w:rPr>
                <w:rFonts w:ascii="Arial" w:hAnsi="Arial" w:cs="Arial"/>
                <w:color w:val="000000" w:themeColor="text1"/>
                <w:sz w:val="20"/>
                <w:szCs w:val="20"/>
              </w:rPr>
              <w:fldChar w:fldCharType="end"/>
            </w:r>
          </w:p>
        </w:tc>
      </w:tr>
      <w:tr w:rsidR="00157B96" w:rsidRPr="00DF23DA" w14:paraId="2966150D" w14:textId="77777777" w:rsidTr="00616BB3">
        <w:tc>
          <w:tcPr>
            <w:tcW w:w="8075" w:type="dxa"/>
          </w:tcPr>
          <w:p w14:paraId="462860F8" w14:textId="6E082525"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WHO (2018) Health topics: Sanitation. </w:t>
            </w:r>
          </w:p>
        </w:tc>
        <w:tc>
          <w:tcPr>
            <w:tcW w:w="1134" w:type="dxa"/>
          </w:tcPr>
          <w:p w14:paraId="6E3E6F89" w14:textId="07379633"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6C49D01B"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5358B62A"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66C18707" w14:textId="69FF3182"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URL":"https://www.who.int/topics/sanitation/en/%0A","author":[{"dropping-particle":"","family":"WHO","given":"","non-dropping-particle":"","parse-names":false,"suffix":""}],"id":"ITEM-1","issued":{"date-parts":[["2018"]]},"title":"205. Health topics: Sanitation","type":"webpage"},"uris":["http://www.mendeley.com/documents/?uuid=e2d634ac-94aa-4407-a275-fb0b849c7392"]}],"mendeley":{"formattedCitation":"(WHO 2018)","plainTextFormattedCitation":"(WHO 2018)","previouslyFormattedCitation":"(WHO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(WHO 2018)</w:t>
            </w:r>
            <w:r w:rsidRPr="00DF23DA">
              <w:rPr>
                <w:rFonts w:ascii="Arial" w:hAnsi="Arial" w:cs="Arial"/>
                <w:color w:val="000000" w:themeColor="text1"/>
                <w:sz w:val="20"/>
                <w:szCs w:val="20"/>
              </w:rPr>
              <w:fldChar w:fldCharType="end"/>
            </w:r>
          </w:p>
        </w:tc>
      </w:tr>
      <w:tr w:rsidR="00157B96" w:rsidRPr="00DF23DA" w14:paraId="44CCD185" w14:textId="77777777" w:rsidTr="00616BB3">
        <w:tc>
          <w:tcPr>
            <w:tcW w:w="8075" w:type="dxa"/>
          </w:tcPr>
          <w:p w14:paraId="5833FED6" w14:textId="31B074EB"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Yates T, Allen Vujcic J, Leandre Joseph M, et al (2018) Efficacy and effectiveness of water, sanitation, and hygiene interventions in emergencies in low-and middle-income countries: a systematic review. </w:t>
            </w:r>
          </w:p>
        </w:tc>
        <w:tc>
          <w:tcPr>
            <w:tcW w:w="1134" w:type="dxa"/>
          </w:tcPr>
          <w:p w14:paraId="4D275659" w14:textId="127288FB"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79287BCE" w14:textId="3E064AD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43D3D9BF" w14:textId="21EB89DE"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India</w:t>
            </w:r>
          </w:p>
          <w:p w14:paraId="6E6DFF62" w14:textId="6414E13D"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Liberia</w:t>
            </w:r>
          </w:p>
          <w:p w14:paraId="0477AF0E" w14:textId="33AC4248"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South Sudan</w:t>
            </w:r>
          </w:p>
        </w:tc>
        <w:tc>
          <w:tcPr>
            <w:tcW w:w="2551" w:type="dxa"/>
          </w:tcPr>
          <w:p w14:paraId="2122881F" w14:textId="083EDD1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{"citationItems":[{"id":"ITEM-1","itemData":{"DOI":"10.3362/1756-3488.17-00016","abstract":"There are increasing numbers of people affected by natural disasters, disease outbreaks, and conflict. Water, sanitation, and hygiene (WASH) interventions are used in nearly all emergency responses to help reduce disease risk. However, there is a lack of summarized evidence on the efficacy and effectiveness of these interventions. We conducted a systematic review of the published and grey literature on the efficacy and effectiveness of short-term WASH interventions in emergency response in low-and middle-income countries, including: developing theory of change models; setting inclusion criteria; conducting the search; selecting evaluations for inclusion; assessing the quality of the evidence; and analysing the included evaluations. Overall, 15,026 documents were identified and 106 studies describing 114 evaluations met inclusion criteria. Interventions from 39 countries were included. Most included evaluations (77 per cent) had high risk of bias and half were from grey literature (50 per cent). For the majority of interventions, we found that WASH interventions consistently reduced both the risk of disease and transmission in emergency contexts; however, programme design and beneficiary preferences were important considerations to ensure WASH intervention efficacy and effectiveness. Critical programme design characteristics included simple interventions that were appropriately timed, community-driven, and had linkages between relief and development. Barriers and facilitators to WASH interventions in outbreak response were taste and smell of treated water, communication methods, inaccurate perception of efficacy, and trust/fear. Foundational research is needed on commonly implemented, under-researched interventions, as well as investigating the relative cost-effectiveness of emergency WASH interventions.","author":[{"dropping-particle":"","family":"Yates","given":"Travis","non-dropping-particle":"","parse-names":false,"suffix":""},{"dropping-particle":"","family":"Allen Vujcic","given":"Jelena","non-dropping-particle":"","parse-names":false,"suffix":""},{"dropping-particle":"","family":"Leandre Joseph","given":"Myriam","non-dropping-particle":"","parse-names":false,"suffix":""},{"dropping-particle":"","family":"Gallandat","given":"Karin","non-dropping-particle":"","parse-names":false,"suffix":""},{"dropping-particle":"","family":"Lantagne","given":"Daniele","non-dropping-particle":"","parse-names":false,"suffix":""}],"container-title":"Waterlines","id":"ITEM-1","issue":"1","issued":{"date-parts":[["2018"]]},"title":"123. Efficacy and effectiveness of water, sanitation, and hygiene interventions in emergencies in low-and middle-income countries: a systematic review","type":"article-journal","volume":"37"},"uris":["http://www.mendeley.com/documents/?uuid=3bf781b3-e962-3b42-8322-4f175ae24ba5"]}],"mendeley":{"formattedCitation":"(Yates et al. 2018)","plainTextFormattedCitation":"(Yates et al. 2018)","previouslyFormattedCitation":"(Yates et al. 2018)"},"properties":{"noteIndex":0},"schema":"https://github.com/citation-style-language/schema/raw/master/csl-citation.json"}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(Yates et al. 2018)</w:t>
            </w:r>
            <w:r w:rsidRPr="00DF23DA">
              <w:rPr>
                <w:rFonts w:ascii="Arial" w:hAnsi="Arial" w:cs="Arial"/>
                <w:color w:val="000000" w:themeColor="text1"/>
                <w:sz w:val="20"/>
                <w:szCs w:val="20"/>
              </w:rPr>
              <w:fldChar w:fldCharType="end"/>
            </w:r>
          </w:p>
        </w:tc>
      </w:tr>
      <w:tr w:rsidR="00157B96" w:rsidRPr="00DF23DA" w14:paraId="502F0CF6" w14:textId="77777777" w:rsidTr="00616BB3">
        <w:tc>
          <w:tcPr>
            <w:tcW w:w="8075" w:type="dxa"/>
          </w:tcPr>
          <w:p w14:paraId="4C8C0328" w14:textId="59822001"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Zakaria F, Muratbegovic A, Brdjanovic D, et al (2017) Evaluation of a smart toilet in an emergency camp. </w:t>
            </w:r>
          </w:p>
        </w:tc>
        <w:tc>
          <w:tcPr>
            <w:tcW w:w="1134" w:type="dxa"/>
          </w:tcPr>
          <w:p w14:paraId="7200A2FE"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134" w:type="dxa"/>
          </w:tcPr>
          <w:p w14:paraId="1D79D6FF" w14:textId="1BD27C4B"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276" w:type="dxa"/>
          </w:tcPr>
          <w:p w14:paraId="0774D227" w14:textId="177B8FA8"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t>Philippines</w:t>
            </w:r>
          </w:p>
        </w:tc>
        <w:tc>
          <w:tcPr>
            <w:tcW w:w="2551" w:type="dxa"/>
          </w:tcPr>
          <w:p w14:paraId="6639BDB1" w14:textId="4420FA72"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DOI":"10.1016/j.ijdrr.2017.11.015","ISSN":"22124209","author":[{"dropping-particle":"","family":"Zakaria","given":"Fiona","non-dropping-particle":"","parse-names":false,"suffix":""},{"dropping-particle":"","family":"Muratbegovic","given":"Ahmed","non-dropping-particle":"","parse-names":false,"suffix":""},{"dropping-particle":"","family":"Brdjanovic","given":"Damir","non-dropping-particle":"","parse-names":false,"suffix":""},{"dropping-particle":"","family":"Hooijmans","given":"Christine Maria","non-dropping-particle":"","parse-names":false,"suffix":""},{"dropping-particle":"","family":"Garcia","given":"Hector A.","non-dropping-particle":"","parse-names":false,"suffix":""},{"dropping-particle":"","family":"Ćurko","given":"Josip","non-dropping-particle":"","parse-names":false,"suffix":""}],"container-title":"International Journal of Disaster Risk Reduction","id":"ITEM-1","issue":"July","issued":{"date-parts":[["2017"]]},"page":"512-523","title":"178. Evaluation of a smart toilet in an emergency camp","type":"article-journal","volume":"27"},"uris":["http://www.mendeley.com/documents/?uuid=b8b16671-8746-40be-b4a2-b878de3465df"]}],"mendeley":{"formattedCitation":"(Zakaria et al. 2017)","plainTextFormattedCitation":"(Zakaria et al. 2017)","previouslyFormattedCitation":"(Zakaria et al. 2017)"},"properties":{"noteIndex":0},"schema":"https://github.com/citation-style-language/schema/raw/master/csl-citation.json"}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(Zakaria et al. 2017)</w:t>
            </w:r>
            <w:r w:rsidRPr="00DF23DA">
              <w:rPr>
                <w:rFonts w:ascii="Arial" w:hAnsi="Arial" w:cs="Arial"/>
                <w:color w:val="000000" w:themeColor="text1"/>
                <w:sz w:val="20"/>
                <w:szCs w:val="20"/>
              </w:rPr>
              <w:fldChar w:fldCharType="end"/>
            </w:r>
          </w:p>
        </w:tc>
      </w:tr>
      <w:tr w:rsidR="00157B96" w:rsidRPr="00DF23DA" w14:paraId="5A2D992A" w14:textId="77777777" w:rsidTr="00616BB3">
        <w:tc>
          <w:tcPr>
            <w:tcW w:w="8075" w:type="dxa"/>
          </w:tcPr>
          <w:p w14:paraId="58E8D379" w14:textId="7012AEE3" w:rsidR="00157B96" w:rsidRPr="00DF23DA" w:rsidRDefault="00157B96" w:rsidP="00157B96">
            <w:pPr>
              <w:widowControl w:val="0"/>
              <w:autoSpaceDE w:val="0"/>
              <w:autoSpaceDN w:val="0"/>
              <w:adjustRightInd w:val="0"/>
              <w:spacing w:line="480" w:lineRule="auto"/>
              <w:ind w:firstLine="27"/>
              <w:rPr>
                <w:rFonts w:ascii="Arial" w:hAnsi="Arial" w:cs="Arial"/>
                <w:noProof/>
                <w:color w:val="000000" w:themeColor="text1"/>
                <w:sz w:val="20"/>
                <w:szCs w:val="20"/>
              </w:rPr>
            </w:pPr>
            <w:r w:rsidRPr="00DF23DA">
              <w:rPr>
                <w:rFonts w:ascii="Arial" w:hAnsi="Arial" w:cs="Arial"/>
                <w:noProof/>
                <w:color w:val="000000" w:themeColor="text1"/>
                <w:sz w:val="20"/>
                <w:szCs w:val="20"/>
              </w:rPr>
              <w:t xml:space="preserve">Zomerplaag J, Moojiman A (2005) Child-Friendly Hygiene and Sanitation Facilities in Schools: Indispensable to effective hygiene education. </w:t>
            </w:r>
          </w:p>
        </w:tc>
        <w:tc>
          <w:tcPr>
            <w:tcW w:w="1134" w:type="dxa"/>
          </w:tcPr>
          <w:p w14:paraId="2EEFB606" w14:textId="1465AE0A" w:rsidR="00157B96" w:rsidRPr="00DF23DA" w:rsidRDefault="00157B96" w:rsidP="00157B96">
            <w:pPr>
              <w:spacing w:line="480" w:lineRule="auto"/>
              <w:jc w:val="center"/>
              <w:rPr>
                <w:rFonts w:ascii="Arial" w:hAnsi="Arial" w:cs="Arial"/>
                <w:color w:val="000000" w:themeColor="text1"/>
                <w:sz w:val="20"/>
                <w:szCs w:val="20"/>
              </w:rPr>
            </w:pPr>
            <w:r w:rsidRPr="00DF23DA">
              <w:rPr>
                <w:rFonts w:ascii="Arial" w:hAnsi="Arial" w:cs="Arial"/>
                <w:color w:val="000000" w:themeColor="text1"/>
                <w:sz w:val="20"/>
                <w:szCs w:val="20"/>
              </w:rPr>
              <w:t>X</w:t>
            </w:r>
          </w:p>
        </w:tc>
        <w:tc>
          <w:tcPr>
            <w:tcW w:w="1134" w:type="dxa"/>
          </w:tcPr>
          <w:p w14:paraId="3D26CCA3" w14:textId="77777777" w:rsidR="00157B96" w:rsidRPr="00DF23DA" w:rsidRDefault="00157B96" w:rsidP="00157B96">
            <w:pPr>
              <w:spacing w:line="480" w:lineRule="auto"/>
              <w:jc w:val="center"/>
              <w:rPr>
                <w:rFonts w:ascii="Arial" w:hAnsi="Arial" w:cs="Arial"/>
                <w:color w:val="000000" w:themeColor="text1"/>
                <w:sz w:val="20"/>
                <w:szCs w:val="20"/>
              </w:rPr>
            </w:pPr>
          </w:p>
        </w:tc>
        <w:tc>
          <w:tcPr>
            <w:tcW w:w="1276" w:type="dxa"/>
          </w:tcPr>
          <w:p w14:paraId="62ACDCE9" w14:textId="77777777" w:rsidR="00157B96" w:rsidRPr="00DF23DA" w:rsidRDefault="00157B96" w:rsidP="00157B96">
            <w:pPr>
              <w:spacing w:line="480" w:lineRule="auto"/>
              <w:rPr>
                <w:rFonts w:ascii="Arial" w:hAnsi="Arial" w:cs="Arial"/>
                <w:color w:val="000000" w:themeColor="text1"/>
                <w:sz w:val="20"/>
                <w:szCs w:val="20"/>
              </w:rPr>
            </w:pPr>
          </w:p>
        </w:tc>
        <w:tc>
          <w:tcPr>
            <w:tcW w:w="2551" w:type="dxa"/>
          </w:tcPr>
          <w:p w14:paraId="1485557F" w14:textId="71F87C64" w:rsidR="00157B96" w:rsidRPr="00DF23DA" w:rsidRDefault="00157B96" w:rsidP="00157B96">
            <w:pPr>
              <w:spacing w:line="480" w:lineRule="auto"/>
              <w:rPr>
                <w:rFonts w:ascii="Arial" w:hAnsi="Arial" w:cs="Arial"/>
                <w:color w:val="000000" w:themeColor="text1"/>
                <w:sz w:val="20"/>
                <w:szCs w:val="20"/>
              </w:rPr>
            </w:pPr>
            <w:r w:rsidRPr="00DF23DA">
              <w:rPr>
                <w:rFonts w:ascii="Arial" w:hAnsi="Arial" w:cs="Arial"/>
                <w:color w:val="000000" w:themeColor="text1"/>
                <w:sz w:val="20"/>
                <w:szCs w:val="20"/>
              </w:rPr>
              <w:fldChar w:fldCharType="begin" w:fldLock="1"/>
            </w:r>
            <w:r w:rsidRPr="00DF23DA">
              <w:rPr>
                <w:rFonts w:ascii="Arial" w:hAnsi="Arial" w:cs="Arial"/>
                <w:color w:val="000000" w:themeColor="text1"/>
                <w:sz w:val="20"/>
                <w:szCs w:val="20"/>
              </w:rPr>
              <w:instrText>ADDIN CSL_CITATION {"citationItems":[{"id":"ITEM-1","itemData":{"abstract":"This booklet takes a non-traditional look at school hygiene and sanitation facilities in preschool , primary and secondary schools. It aims to provide guidelines for the design of child-friendly facilities that are part of the learning environment, and that not only 'facilitate', but also enable, stimulate and promote appropriate hygiene practices. Unfortunately, schools with unpleasant facilities that consist of a smelly dark space with just a 'hole in the floor' and without any integrated facility for hand washing or a water point are often the reality. The result is that children feel uncomfortable and are scared to use facilities, leading to unsafe conditions and unhealthy practices. Therefore, these guidelines are also applicable in situations where existing school hygiene and sanitation facilities are being rehabilitated. The booklet describes in ten points those issues that are important when dealing with children, hygiene and sanitation in the school environment and provides practical, easily accessible guidance to policy makers, programme designers and implementers at field level. It covers all the stages of a design project, from needs assessment to operation and maintenance, because effective child-friendly hygiene and sanitation facilities cannot be realised merely by improving designs. It stresses the importance of active involvement of children, teachers, parents and the community during all of these stages so that they themselves will be able to find solutions for their own problems and needs.","author":[{"dropping-particle":"","family":"Zomerplaag","given":"Jaap","non-dropping-particle":"","parse-names":false,"suffix":""},{"dropping-particle":"","family":"Mooijman","given":"Annemarieke","non-dropping-particle":"","parse-names":false,"suffix":""}],"id":"ITEM-1","issued":{"date-parts":[["2005"]]},"publisher-place":"Delft, The Netherlands","title":"197. and 88 (deleted) Child-Friendly Hygiene and Sanitation Facilities in Schools: Indispensible to effective hygiene education","type":"report"},"uris":["http://www.mendeley.com/documents/?uuid=928e6402-6acf-3156-ad9b-39db21cd841c"]}],"mendeley":{"formattedCitation":"(Zomerplaag and Mooijman 2005)","plainTextFormattedCitation":"(Zomerplaag and Mooijman 2005)","previouslyFormattedCitation":"(Zomerplaag and Mooijman 2005)"},"properties":{"noteIndex":0},"schema":"https://github.com/citation-style-language/schema/raw/master/csl-citation.json"}</w:instrText>
            </w:r>
            <w:r w:rsidRPr="00DF23DA">
              <w:rPr>
                <w:rFonts w:ascii="Arial" w:hAnsi="Arial" w:cs="Arial"/>
                <w:color w:val="000000" w:themeColor="text1"/>
                <w:sz w:val="20"/>
                <w:szCs w:val="20"/>
              </w:rPr>
              <w:fldChar w:fldCharType="separate"/>
            </w:r>
            <w:r w:rsidRPr="00DF23DA">
              <w:rPr>
                <w:rFonts w:ascii="Arial" w:hAnsi="Arial" w:cs="Arial"/>
                <w:noProof/>
                <w:color w:val="000000" w:themeColor="text1"/>
                <w:sz w:val="20"/>
                <w:szCs w:val="20"/>
              </w:rPr>
              <w:t>(Zomerplaag and Mooijman 2005)</w:t>
            </w:r>
            <w:r w:rsidRPr="00DF23DA">
              <w:rPr>
                <w:rFonts w:ascii="Arial" w:hAnsi="Arial" w:cs="Arial"/>
                <w:color w:val="000000" w:themeColor="text1"/>
                <w:sz w:val="20"/>
                <w:szCs w:val="20"/>
              </w:rPr>
              <w:fldChar w:fldCharType="end"/>
            </w:r>
          </w:p>
        </w:tc>
      </w:tr>
    </w:tbl>
    <w:p w14:paraId="5A9D1CB9" w14:textId="77777777" w:rsidR="008863C5" w:rsidRDefault="008863C5" w:rsidP="00402712">
      <w:pPr>
        <w:rPr>
          <w:rFonts w:cs="Arial"/>
          <w:i/>
          <w:iCs/>
          <w:color w:val="000000" w:themeColor="text1"/>
          <w:sz w:val="18"/>
          <w:szCs w:val="18"/>
        </w:rPr>
      </w:pPr>
    </w:p>
    <w:p w14:paraId="6420FAEB" w14:textId="3AEFF5C0" w:rsidR="00402712" w:rsidRPr="00A450F9" w:rsidRDefault="00402712" w:rsidP="008863C5">
      <w:pPr>
        <w:spacing w:line="360" w:lineRule="auto"/>
        <w:rPr>
          <w:rFonts w:ascii="Arial" w:hAnsi="Arial" w:cs="Arial"/>
          <w:i/>
          <w:iCs/>
          <w:color w:val="000000" w:themeColor="text1"/>
          <w:sz w:val="20"/>
          <w:szCs w:val="20"/>
        </w:rPr>
      </w:pPr>
      <w:r w:rsidRPr="00A450F9">
        <w:rPr>
          <w:rFonts w:ascii="Arial" w:hAnsi="Arial" w:cs="Arial"/>
          <w:i/>
          <w:iCs/>
          <w:color w:val="000000" w:themeColor="text1"/>
          <w:sz w:val="20"/>
          <w:szCs w:val="20"/>
        </w:rPr>
        <w:t>The 6</w:t>
      </w:r>
      <w:r w:rsidR="00E31DF6" w:rsidRPr="00A450F9">
        <w:rPr>
          <w:rFonts w:ascii="Arial" w:hAnsi="Arial" w:cs="Arial"/>
          <w:i/>
          <w:iCs/>
          <w:color w:val="000000" w:themeColor="text1"/>
          <w:sz w:val="20"/>
          <w:szCs w:val="20"/>
        </w:rPr>
        <w:t>9</w:t>
      </w:r>
      <w:r w:rsidRPr="00A450F9">
        <w:rPr>
          <w:rFonts w:ascii="Arial" w:hAnsi="Arial" w:cs="Arial"/>
          <w:i/>
          <w:iCs/>
          <w:color w:val="000000" w:themeColor="text1"/>
          <w:sz w:val="20"/>
          <w:szCs w:val="20"/>
        </w:rPr>
        <w:t xml:space="preserve"> publications that met Criterion 2 were classified as either providing guidance on (Criterion </w:t>
      </w:r>
      <w:r w:rsidR="00117836" w:rsidRPr="00A450F9">
        <w:rPr>
          <w:rFonts w:ascii="Arial" w:hAnsi="Arial" w:cs="Arial"/>
          <w:i/>
          <w:iCs/>
          <w:color w:val="000000" w:themeColor="text1"/>
          <w:sz w:val="20"/>
          <w:szCs w:val="20"/>
        </w:rPr>
        <w:t>2</w:t>
      </w:r>
      <w:r w:rsidRPr="00A450F9">
        <w:rPr>
          <w:rFonts w:ascii="Arial" w:hAnsi="Arial" w:cs="Arial"/>
          <w:i/>
          <w:iCs/>
          <w:color w:val="000000" w:themeColor="text1"/>
          <w:sz w:val="20"/>
          <w:szCs w:val="20"/>
        </w:rPr>
        <w:t xml:space="preserve">a) or reporting on (Criterion </w:t>
      </w:r>
      <w:r w:rsidR="00117836" w:rsidRPr="00A450F9">
        <w:rPr>
          <w:rFonts w:ascii="Arial" w:hAnsi="Arial" w:cs="Arial"/>
          <w:i/>
          <w:iCs/>
          <w:color w:val="000000" w:themeColor="text1"/>
          <w:sz w:val="20"/>
          <w:szCs w:val="20"/>
        </w:rPr>
        <w:t>2</w:t>
      </w:r>
      <w:r w:rsidRPr="00A450F9">
        <w:rPr>
          <w:rFonts w:ascii="Arial" w:hAnsi="Arial" w:cs="Arial"/>
          <w:i/>
          <w:iCs/>
          <w:color w:val="000000" w:themeColor="text1"/>
          <w:sz w:val="20"/>
          <w:szCs w:val="20"/>
        </w:rPr>
        <w:t>b) the provision of emergency sanitation for children aged five to 11.</w:t>
      </w:r>
    </w:p>
    <w:p w14:paraId="6661684B" w14:textId="77777777" w:rsidR="004F7F20" w:rsidRDefault="004F7F20">
      <w:pPr>
        <w:rPr>
          <w:rFonts w:ascii="Arial" w:hAnsi="Arial" w:cs="Arial"/>
          <w:b/>
          <w:bCs/>
          <w:sz w:val="20"/>
          <w:szCs w:val="20"/>
        </w:rPr>
        <w:sectPr w:rsidR="004F7F20" w:rsidSect="00F1199C">
          <w:pgSz w:w="16840" w:h="11900" w:orient="landscape"/>
          <w:pgMar w:top="1440" w:right="1440" w:bottom="1440" w:left="1440" w:header="708" w:footer="708" w:gutter="0"/>
          <w:cols w:space="708"/>
          <w:docGrid w:linePitch="360"/>
        </w:sectPr>
      </w:pPr>
    </w:p>
    <w:p w14:paraId="681DE8F9" w14:textId="519BF060" w:rsidR="000548ED" w:rsidRPr="00DA5727" w:rsidRDefault="000548ED">
      <w:pPr>
        <w:rPr>
          <w:rFonts w:ascii="Arial" w:hAnsi="Arial" w:cs="Arial"/>
          <w:b/>
          <w:bCs/>
          <w:sz w:val="20"/>
          <w:szCs w:val="20"/>
        </w:rPr>
      </w:pPr>
      <w:r w:rsidRPr="00DA5727">
        <w:rPr>
          <w:rFonts w:ascii="Arial" w:hAnsi="Arial" w:cs="Arial"/>
          <w:b/>
          <w:bCs/>
          <w:sz w:val="20"/>
          <w:szCs w:val="20"/>
        </w:rPr>
        <w:lastRenderedPageBreak/>
        <w:t>References</w:t>
      </w:r>
    </w:p>
    <w:p w14:paraId="02AF956D" w14:textId="0FF1383E" w:rsidR="000548ED" w:rsidRDefault="000548ED"/>
    <w:p w14:paraId="5512DE14" w14:textId="77777777" w:rsidR="0036333C" w:rsidRPr="0012699A" w:rsidRDefault="000548ED" w:rsidP="0036333C">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Action Against Hunger International (2017) WASH’ Nutrition: A practical guidebook on increasing </w:t>
      </w:r>
    </w:p>
    <w:p w14:paraId="4ED51F82" w14:textId="24B1D3B0" w:rsidR="000548ED" w:rsidRPr="0012699A" w:rsidRDefault="000548ED" w:rsidP="0036333C">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nutritional impact through integration of WASH and nutrition programmes. https://www.actionagainsthunger.org.uk/sites/default/files/publications/action_against_hunger_wash_nutrition_guidebook.pdf. Accessed 30 Nov 2018. </w:t>
      </w:r>
    </w:p>
    <w:p w14:paraId="62EF98E1" w14:textId="11178DBC" w:rsidR="0036333C"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Action </w:t>
      </w:r>
      <w:r w:rsidR="00AE4288">
        <w:rPr>
          <w:rFonts w:ascii="Arial" w:hAnsi="Arial" w:cs="Arial"/>
          <w:color w:val="000000" w:themeColor="text1"/>
          <w:sz w:val="20"/>
          <w:szCs w:val="20"/>
        </w:rPr>
        <w:t>C</w:t>
      </w:r>
      <w:r w:rsidRPr="0012699A">
        <w:rPr>
          <w:rFonts w:ascii="Arial" w:hAnsi="Arial" w:cs="Arial"/>
          <w:color w:val="000000" w:themeColor="text1"/>
          <w:sz w:val="20"/>
          <w:szCs w:val="20"/>
        </w:rPr>
        <w:t>ontr</w:t>
      </w:r>
      <w:r w:rsidR="00AE4288">
        <w:rPr>
          <w:rFonts w:ascii="Arial" w:hAnsi="Arial" w:cs="Arial"/>
          <w:color w:val="000000" w:themeColor="text1"/>
          <w:sz w:val="20"/>
          <w:szCs w:val="20"/>
        </w:rPr>
        <w:t>e</w:t>
      </w:r>
      <w:r w:rsidRPr="0012699A">
        <w:rPr>
          <w:rFonts w:ascii="Arial" w:hAnsi="Arial" w:cs="Arial"/>
          <w:color w:val="000000" w:themeColor="text1"/>
          <w:sz w:val="20"/>
          <w:szCs w:val="20"/>
        </w:rPr>
        <w:t xml:space="preserve"> la Faim (2005) </w:t>
      </w:r>
      <w:r w:rsidRPr="0012699A">
        <w:rPr>
          <w:rFonts w:ascii="Arial" w:hAnsi="Arial" w:cs="Arial"/>
          <w:color w:val="000000" w:themeColor="text1"/>
          <w:sz w:val="20"/>
          <w:szCs w:val="20"/>
        </w:rPr>
        <w:t>Water, sanitation and hygiene for populations at risk.</w:t>
      </w:r>
      <w:r w:rsidR="0036333C" w:rsidRPr="0012699A">
        <w:rPr>
          <w:rFonts w:ascii="Arial" w:hAnsi="Arial" w:cs="Arial"/>
          <w:color w:val="000000" w:themeColor="text1"/>
          <w:sz w:val="20"/>
          <w:szCs w:val="20"/>
        </w:rPr>
        <w:t xml:space="preserve"> </w:t>
      </w:r>
    </w:p>
    <w:p w14:paraId="61268A80" w14:textId="65BEB554" w:rsidR="000548ED" w:rsidRPr="0012699A" w:rsidRDefault="00060A4D" w:rsidP="0036333C">
      <w:pPr>
        <w:spacing w:line="480" w:lineRule="auto"/>
        <w:ind w:firstLine="720"/>
        <w:rPr>
          <w:rFonts w:ascii="Arial" w:hAnsi="Arial" w:cs="Arial"/>
          <w:color w:val="000000" w:themeColor="text1"/>
          <w:sz w:val="20"/>
          <w:szCs w:val="20"/>
        </w:rPr>
      </w:pPr>
      <w:hyperlink r:id="rId5" w:history="1">
        <w:r w:rsidR="0036333C" w:rsidRPr="0012699A">
          <w:rPr>
            <w:rStyle w:val="Hyperlink"/>
            <w:rFonts w:ascii="Arial" w:hAnsi="Arial" w:cs="Arial"/>
            <w:color w:val="000000" w:themeColor="text1"/>
            <w:sz w:val="20"/>
            <w:szCs w:val="20"/>
            <w:u w:val="none"/>
          </w:rPr>
          <w:t>https://www.ircwash.org/sites/default/files/acfi-2005-water.pdf. Accessed 7</w:t>
        </w:r>
      </w:hyperlink>
      <w:r w:rsidR="000548ED" w:rsidRPr="0012699A">
        <w:rPr>
          <w:rFonts w:ascii="Arial" w:hAnsi="Arial" w:cs="Arial"/>
          <w:color w:val="000000" w:themeColor="text1"/>
          <w:sz w:val="20"/>
          <w:szCs w:val="20"/>
        </w:rPr>
        <w:t xml:space="preserve"> Mar 2019. </w:t>
      </w:r>
    </w:p>
    <w:p w14:paraId="3203F237" w14:textId="77777777" w:rsidR="00352BA2" w:rsidRPr="0012699A" w:rsidRDefault="00352BA2" w:rsidP="00352BA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Age and Disability Consortium (2018) Humanitarian inclusion standards for older people and people </w:t>
      </w:r>
    </w:p>
    <w:p w14:paraId="5C6FE8B8" w14:textId="77777777" w:rsidR="00352BA2" w:rsidRPr="0012699A" w:rsidRDefault="00352BA2" w:rsidP="00352BA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with disabilities. </w:t>
      </w:r>
      <w:hyperlink r:id="rId6" w:history="1">
        <w:r w:rsidRPr="0012699A">
          <w:rPr>
            <w:rStyle w:val="Hyperlink"/>
            <w:rFonts w:ascii="Arial" w:hAnsi="Arial" w:cs="Arial"/>
            <w:color w:val="000000" w:themeColor="text1"/>
            <w:sz w:val="20"/>
            <w:szCs w:val="20"/>
            <w:u w:val="none"/>
          </w:rPr>
          <w:t>https://reliefweb.int/report/world/humanitarian-inclusion-standards-older-people-and-people-disabilities</w:t>
        </w:r>
      </w:hyperlink>
      <w:r w:rsidRPr="0012699A">
        <w:rPr>
          <w:rFonts w:ascii="Arial" w:hAnsi="Arial" w:cs="Arial"/>
          <w:color w:val="000000" w:themeColor="text1"/>
          <w:sz w:val="20"/>
          <w:szCs w:val="20"/>
        </w:rPr>
        <w:t xml:space="preserve">. Accessed 14 Nov 2018. </w:t>
      </w:r>
    </w:p>
    <w:p w14:paraId="42A77362" w14:textId="2AE3F56B" w:rsidR="00352BA2"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Baghri S, Wilson T (2004) Plan’s approach to water and environmental sanitation. </w:t>
      </w:r>
      <w:hyperlink r:id="rId7" w:history="1">
        <w:r w:rsidR="00352BA2" w:rsidRPr="0012699A">
          <w:rPr>
            <w:rStyle w:val="Hyperlink"/>
            <w:rFonts w:ascii="Arial" w:hAnsi="Arial" w:cs="Arial"/>
            <w:color w:val="000000" w:themeColor="text1"/>
            <w:sz w:val="20"/>
            <w:szCs w:val="20"/>
            <w:u w:val="none"/>
          </w:rPr>
          <w:t>https://www.plan-</w:t>
        </w:r>
      </w:hyperlink>
    </w:p>
    <w:p w14:paraId="6D4CA102" w14:textId="4C3FB249" w:rsidR="000548ED" w:rsidRPr="0012699A" w:rsidRDefault="000548ED" w:rsidP="00352BA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international.org. Accessed 10 Mar 2019. </w:t>
      </w:r>
    </w:p>
    <w:p w14:paraId="60C60FE9" w14:textId="77777777" w:rsidR="00A91557" w:rsidRPr="0012699A" w:rsidRDefault="000548ED" w:rsidP="00A9155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Bangladesh Government (2017) Operational Guidelines for WASH in Emergencies – Bangladesh.</w:t>
      </w:r>
      <w:r w:rsidR="00A91557" w:rsidRPr="0012699A">
        <w:rPr>
          <w:rFonts w:ascii="Arial" w:hAnsi="Arial" w:cs="Arial"/>
          <w:color w:val="000000" w:themeColor="text1"/>
          <w:sz w:val="20"/>
          <w:szCs w:val="20"/>
        </w:rPr>
        <w:t xml:space="preserve"> </w:t>
      </w:r>
    </w:p>
    <w:p w14:paraId="2FC9C73C" w14:textId="0327F139" w:rsidR="000548ED" w:rsidRPr="0012699A" w:rsidRDefault="00060A4D" w:rsidP="00A91557">
      <w:pPr>
        <w:spacing w:line="480" w:lineRule="auto"/>
        <w:ind w:left="720"/>
        <w:rPr>
          <w:rFonts w:ascii="Arial" w:hAnsi="Arial" w:cs="Arial"/>
          <w:color w:val="000000" w:themeColor="text1"/>
          <w:sz w:val="20"/>
          <w:szCs w:val="20"/>
        </w:rPr>
      </w:pPr>
      <w:hyperlink r:id="rId8" w:history="1">
        <w:r w:rsidR="00A91557" w:rsidRPr="0012699A">
          <w:rPr>
            <w:rStyle w:val="Hyperlink"/>
            <w:rFonts w:ascii="Arial" w:hAnsi="Arial" w:cs="Arial"/>
            <w:color w:val="000000" w:themeColor="text1"/>
            <w:sz w:val="20"/>
            <w:szCs w:val="20"/>
            <w:u w:val="none"/>
          </w:rPr>
          <w:t>https://www.humanitarianresponse.info/sites/www.humanitarianresponse.info/files/documents/files/final_draft_wash_guideline_23feb17.pdf</w:t>
        </w:r>
      </w:hyperlink>
      <w:r w:rsidR="000548ED" w:rsidRPr="0012699A">
        <w:rPr>
          <w:rFonts w:ascii="Arial" w:hAnsi="Arial" w:cs="Arial"/>
          <w:color w:val="000000" w:themeColor="text1"/>
          <w:sz w:val="20"/>
          <w:szCs w:val="20"/>
        </w:rPr>
        <w:t xml:space="preserve">. Accessed 14 Nov 2018. </w:t>
      </w:r>
    </w:p>
    <w:p w14:paraId="6AED05DC" w14:textId="77777777" w:rsidR="000548ED"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Banzet J (2003) Towards child-friendly latrines in Viet Nam. Waterfront 18–19.</w:t>
      </w:r>
    </w:p>
    <w:p w14:paraId="5D005906" w14:textId="77777777" w:rsidR="00352BA2" w:rsidRPr="0012699A" w:rsidRDefault="000548ED" w:rsidP="00352BA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Bastable A, Lamb J (2012) Innovative designs and approaches in sanitation when responding to </w:t>
      </w:r>
    </w:p>
    <w:p w14:paraId="2206CA8D" w14:textId="0D1AECF0" w:rsidR="000548ED" w:rsidRPr="0012699A" w:rsidRDefault="000548ED" w:rsidP="00352BA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challenging and complex humanitarian contexts in urban areas. Waterlines 31. doi:10.3362/1756-3488.2012.007.</w:t>
      </w:r>
    </w:p>
    <w:p w14:paraId="293EB14F" w14:textId="77777777" w:rsidR="00352BA2" w:rsidRPr="0012699A" w:rsidRDefault="000548ED" w:rsidP="00352BA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Bastable A, Russell L, Gb O (2013) Gap Analysis in Emergency Water, Sanitation and Hygiene </w:t>
      </w:r>
    </w:p>
    <w:p w14:paraId="79953FFC" w14:textId="508753A7" w:rsidR="000548ED" w:rsidRPr="0012699A" w:rsidRDefault="000548ED" w:rsidP="00352BA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Promotion. </w:t>
      </w:r>
      <w:hyperlink r:id="rId9" w:history="1">
        <w:r w:rsidR="00352BA2" w:rsidRPr="0012699A">
          <w:rPr>
            <w:rStyle w:val="Hyperlink"/>
            <w:rFonts w:ascii="Arial" w:hAnsi="Arial" w:cs="Arial"/>
            <w:color w:val="000000" w:themeColor="text1"/>
            <w:sz w:val="20"/>
            <w:szCs w:val="20"/>
            <w:u w:val="none"/>
          </w:rPr>
          <w:t>https://www.alnap.org/system/files/content/resource/files/main/hif-wash-gap-</w:t>
        </w:r>
      </w:hyperlink>
      <w:r w:rsidRPr="0012699A">
        <w:rPr>
          <w:rFonts w:ascii="Arial" w:hAnsi="Arial" w:cs="Arial"/>
          <w:color w:val="000000" w:themeColor="text1"/>
          <w:sz w:val="20"/>
          <w:szCs w:val="20"/>
        </w:rPr>
        <w:t xml:space="preserve">analysis-1-incl-urban_0.pdf. Accessed 8 Mar 2018. </w:t>
      </w:r>
    </w:p>
    <w:p w14:paraId="293C1A49" w14:textId="77777777" w:rsidR="00352BA2" w:rsidRPr="0012699A" w:rsidRDefault="000548ED" w:rsidP="00352BA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Behnke N, Cronk R, Snel M, et al (2018) Improving environmental conditions for involuntarily </w:t>
      </w:r>
    </w:p>
    <w:p w14:paraId="6DC4B2A9" w14:textId="3D37CF39" w:rsidR="000548ED" w:rsidRPr="0012699A" w:rsidRDefault="000548ED" w:rsidP="00897AD9">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displaced populations: water, sanitation, and hygiene in orphanages, prisons, and refugee and IDP settlements. J Water Sanit Hyg Dev 1–7. doi: 10.2166/washdev.2018.019.</w:t>
      </w:r>
    </w:p>
    <w:p w14:paraId="777BD875" w14:textId="77777777" w:rsidR="00897AD9" w:rsidRPr="0012699A" w:rsidRDefault="000548ED" w:rsidP="00897AD9">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Brown J, Cavill S, Cumming O, Jeandron A (2012) Water, sanitation, and hygiene in emergencies: </w:t>
      </w:r>
    </w:p>
    <w:p w14:paraId="2E06F103" w14:textId="382ED3B0" w:rsidR="000548ED" w:rsidRPr="0012699A" w:rsidRDefault="000548ED" w:rsidP="00897AD9">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Summary review and recommendations for further research. Waterlines 31:11–29. doi: 10.3362/1756-3488.2012.004.</w:t>
      </w:r>
    </w:p>
    <w:p w14:paraId="351BAE66" w14:textId="77777777" w:rsidR="00DA5727"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Child Protection Working Group (2012) Minimum standards for child protection in humanitarian action. </w:t>
      </w:r>
    </w:p>
    <w:p w14:paraId="5B58BE0E" w14:textId="4639DE8D" w:rsidR="000548ED" w:rsidRPr="0012699A" w:rsidRDefault="000548ED" w:rsidP="00897AD9">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lastRenderedPageBreak/>
        <w:t>https://www.unicef.org/iran/Minimum_standards_for_child_protection_in_humanitarian_action.pdf. Accessed 30 Nov 2018.</w:t>
      </w:r>
    </w:p>
    <w:p w14:paraId="61FC0A54" w14:textId="1D2530DA" w:rsidR="00897AD9" w:rsidRPr="0012699A" w:rsidRDefault="000548ED" w:rsidP="00897AD9">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Deniel K (2006) Children’s sanitation in emergencies. Waterlines 24:28. doi:10.3362/0262-</w:t>
      </w:r>
    </w:p>
    <w:p w14:paraId="7680013D" w14:textId="652BF251" w:rsidR="000548ED" w:rsidRPr="0012699A" w:rsidRDefault="000548ED" w:rsidP="00897AD9">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8104.2006.012.</w:t>
      </w:r>
    </w:p>
    <w:p w14:paraId="61547ED2" w14:textId="77777777" w:rsidR="00897AD9"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Denis J (2015) Sanitation practices for infants and children in emergencies. Dissertation, Cranfield </w:t>
      </w:r>
    </w:p>
    <w:p w14:paraId="27BC7F6B" w14:textId="36CFEA18" w:rsidR="000548ED" w:rsidRPr="0012699A" w:rsidRDefault="000548ED" w:rsidP="00897AD9">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University.</w:t>
      </w:r>
    </w:p>
    <w:p w14:paraId="226C76B9" w14:textId="77777777" w:rsidR="00965E9F" w:rsidRPr="0012699A" w:rsidRDefault="00965E9F"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Eclipse Experience (2019) User-Centred Community Engagement. </w:t>
      </w:r>
      <w:hyperlink r:id="rId10" w:history="1">
        <w:r w:rsidRPr="0012699A">
          <w:rPr>
            <w:rStyle w:val="Hyperlink"/>
            <w:rFonts w:ascii="Arial" w:hAnsi="Arial" w:cs="Arial"/>
            <w:color w:val="000000" w:themeColor="text1"/>
            <w:sz w:val="20"/>
            <w:szCs w:val="20"/>
            <w:u w:val="none"/>
          </w:rPr>
          <w:t>http://www.eclipse-</w:t>
        </w:r>
      </w:hyperlink>
    </w:p>
    <w:p w14:paraId="36134F54" w14:textId="77777777" w:rsidR="00965E9F" w:rsidRPr="0012699A" w:rsidRDefault="00965E9F"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experience.com/user-centred-community-engagement. Accessed 8 Mar 2019.</w:t>
      </w:r>
    </w:p>
    <w:p w14:paraId="7F649088" w14:textId="77777777" w:rsidR="00657438" w:rsidRPr="0012699A" w:rsidRDefault="00657438" w:rsidP="00657438">
      <w:pPr>
        <w:spacing w:line="480" w:lineRule="auto"/>
        <w:rPr>
          <w:rFonts w:ascii="Arial" w:hAnsi="Arial" w:cs="Arial"/>
          <w:color w:val="000000" w:themeColor="text1"/>
          <w:sz w:val="20"/>
          <w:szCs w:val="20"/>
        </w:rPr>
      </w:pPr>
      <w:r>
        <w:rPr>
          <w:rFonts w:ascii="Arial" w:hAnsi="Arial" w:cs="Arial"/>
          <w:color w:val="000000" w:themeColor="text1"/>
          <w:sz w:val="20"/>
          <w:szCs w:val="20"/>
        </w:rPr>
        <w:t>Farrington, M</w:t>
      </w:r>
      <w:r w:rsidRPr="0012699A">
        <w:rPr>
          <w:rFonts w:ascii="Arial" w:hAnsi="Arial" w:cs="Arial"/>
          <w:color w:val="000000" w:themeColor="text1"/>
          <w:sz w:val="20"/>
          <w:szCs w:val="20"/>
        </w:rPr>
        <w:t xml:space="preserve"> (2018) Women’s Social Architecture Project: Phase 1 Final Report. Cox’s </w:t>
      </w:r>
    </w:p>
    <w:p w14:paraId="5009C0AB" w14:textId="77777777" w:rsidR="00657438" w:rsidRPr="0012699A" w:rsidRDefault="00657438" w:rsidP="00657438">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Bazaar, Bangladesh. https://oxfam.app.box.com/s/gmiiqfdn7ntbxeve7fikllywfitnkcjy/file/384891125807. Accessed 11 Dec 2018. </w:t>
      </w:r>
    </w:p>
    <w:p w14:paraId="4772BB87" w14:textId="77777777" w:rsidR="0090202E"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Ferron S, Lloyd A (2014) Emergency WASH for children. </w:t>
      </w:r>
    </w:p>
    <w:p w14:paraId="5696E69B" w14:textId="3DE6316F" w:rsidR="000548ED" w:rsidRPr="0012699A" w:rsidRDefault="00060A4D" w:rsidP="00965E9F">
      <w:pPr>
        <w:spacing w:line="480" w:lineRule="auto"/>
        <w:ind w:left="720"/>
        <w:rPr>
          <w:rFonts w:ascii="Arial" w:hAnsi="Arial" w:cs="Arial"/>
          <w:color w:val="000000" w:themeColor="text1"/>
          <w:sz w:val="20"/>
          <w:szCs w:val="20"/>
        </w:rPr>
      </w:pPr>
      <w:hyperlink r:id="rId11" w:history="1">
        <w:r w:rsidR="00965E9F" w:rsidRPr="0012699A">
          <w:rPr>
            <w:rStyle w:val="Hyperlink"/>
            <w:rFonts w:ascii="Arial" w:hAnsi="Arial" w:cs="Arial"/>
            <w:color w:val="000000" w:themeColor="text1"/>
            <w:sz w:val="20"/>
            <w:szCs w:val="20"/>
            <w:u w:val="none"/>
          </w:rPr>
          <w:t>https://www.elrha.org/wp-content/uploads/2015/02/2014-10-11-Emergency-WASH-for-</w:t>
        </w:r>
      </w:hyperlink>
      <w:r w:rsidR="000548ED" w:rsidRPr="0012699A">
        <w:rPr>
          <w:rFonts w:ascii="Arial" w:hAnsi="Arial" w:cs="Arial"/>
          <w:color w:val="000000" w:themeColor="text1"/>
          <w:sz w:val="20"/>
          <w:szCs w:val="20"/>
        </w:rPr>
        <w:t xml:space="preserve">Children-Final.pdf. Accessed 1 Nov 2018. </w:t>
      </w:r>
    </w:p>
    <w:p w14:paraId="6C76C855" w14:textId="77777777" w:rsidR="00965E9F" w:rsidRPr="0012699A" w:rsidRDefault="000548ED"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Gensch R, Jennings A, Renggli S, Reymond P (2018) Compendium of Sanitation Technologies in </w:t>
      </w:r>
    </w:p>
    <w:p w14:paraId="7619AF08" w14:textId="755C2EA8"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Emergencies.https://www.eawag.ch/fileadmin/Domain1/Abteilungen/sandec/schwerpunkte/sesp/Emergencies/compendium_emergencies.pdf. Accessed 22 Feb 2019.</w:t>
      </w:r>
    </w:p>
    <w:p w14:paraId="55F5C44F" w14:textId="77777777" w:rsidR="00965E9F"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Gustave YG (2011) Sanitation solutions for a refugee camp: Field trial of sanitation for the vulnerable. </w:t>
      </w:r>
    </w:p>
    <w:p w14:paraId="525CC73B" w14:textId="40F8E058"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Dissertation, 2IE Foundation (International Institute for Water and Environmental Engineering).</w:t>
      </w:r>
    </w:p>
    <w:p w14:paraId="2F3B18D7" w14:textId="77777777" w:rsidR="00965E9F"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Harvey P (2007) Excreta Disposal in Emergencies. https://wedc.ac.uk/publications/. Accessed 7 Mar </w:t>
      </w:r>
    </w:p>
    <w:p w14:paraId="4C54100E" w14:textId="26C35907" w:rsidR="000548ED" w:rsidRPr="0012699A" w:rsidRDefault="000548ED"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2019. </w:t>
      </w:r>
    </w:p>
    <w:p w14:paraId="75436ADC" w14:textId="77777777" w:rsidR="00965E9F" w:rsidRPr="0012699A" w:rsidRDefault="000548ED"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House S (2019) Strengthening the humanity in </w:t>
      </w:r>
      <w:r w:rsidRPr="0012699A">
        <w:rPr>
          <w:rFonts w:ascii="Arial" w:hAnsi="Arial" w:cs="Arial"/>
          <w:color w:val="000000" w:themeColor="text1"/>
          <w:sz w:val="20"/>
          <w:szCs w:val="20"/>
        </w:rPr>
        <w:t xml:space="preserve">humanitarian action in the work of the WASH sector in </w:t>
      </w:r>
    </w:p>
    <w:p w14:paraId="4FF8B8F5" w14:textId="17C38F94"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the Rohingya response. </w:t>
      </w:r>
      <w:r w:rsidR="00B00FC6" w:rsidRPr="00157B96">
        <w:rPr>
          <w:rFonts w:ascii="Arial" w:hAnsi="Arial" w:cs="Arial"/>
          <w:sz w:val="20"/>
          <w:szCs w:val="20"/>
        </w:rPr>
        <w:t>https://www.humanitarianlibrary.org/resource/strengthening-humanity-humanitarian-action-work-wash-sector-rohingya-response-gender-gbv</w:t>
      </w:r>
      <w:r w:rsidRPr="00157B96">
        <w:rPr>
          <w:rFonts w:ascii="Arial" w:hAnsi="Arial" w:cs="Arial"/>
          <w:color w:val="000000" w:themeColor="text1"/>
          <w:sz w:val="20"/>
          <w:szCs w:val="20"/>
        </w:rPr>
        <w:t xml:space="preserve"> </w:t>
      </w:r>
      <w:r w:rsidRPr="00157B96">
        <w:rPr>
          <w:rFonts w:ascii="Arial" w:hAnsi="Arial" w:cs="Arial"/>
          <w:color w:val="000000" w:themeColor="text1"/>
          <w:sz w:val="20"/>
          <w:szCs w:val="20"/>
        </w:rPr>
        <w:t>Accessed 25 Mar 2019.</w:t>
      </w:r>
      <w:r w:rsidRPr="0012699A">
        <w:rPr>
          <w:rFonts w:ascii="Arial" w:hAnsi="Arial" w:cs="Arial"/>
          <w:color w:val="000000" w:themeColor="text1"/>
          <w:sz w:val="20"/>
          <w:szCs w:val="20"/>
        </w:rPr>
        <w:t xml:space="preserve"> </w:t>
      </w:r>
    </w:p>
    <w:p w14:paraId="44FA05E0" w14:textId="77777777" w:rsidR="00965E9F" w:rsidRPr="0012699A" w:rsidRDefault="000548ED"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IASC (2006) Women, girls, boys and men: different needs - equal opportunities. Gender handbook for </w:t>
      </w:r>
    </w:p>
    <w:p w14:paraId="13DC80F9" w14:textId="5ECEF781" w:rsidR="000548ED" w:rsidRPr="0012699A" w:rsidRDefault="000548ED"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humanitarian action. https://www.humanitarianinfo.org/iasc/gender. Accessed 6 Mar 2019.</w:t>
      </w:r>
    </w:p>
    <w:p w14:paraId="584E7617" w14:textId="77777777" w:rsidR="00965E9F" w:rsidRPr="0012699A" w:rsidRDefault="000548ED"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Jabbar GA (2018) Gender-based violence in relation to water, sanitation and hygiene in the informal </w:t>
      </w:r>
    </w:p>
    <w:p w14:paraId="0D4C8E80" w14:textId="22E3C578" w:rsidR="000548ED" w:rsidRPr="0012699A" w:rsidRDefault="000548ED"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lastRenderedPageBreak/>
        <w:t>tented settlements of the Bekaa Valley, Lebanon. Dissertation, University of Leeds.</w:t>
      </w:r>
    </w:p>
    <w:p w14:paraId="0E94E043" w14:textId="77777777" w:rsidR="00965E9F"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Johannessen A (2011) Identifying gaps in emergency sanitation Design of new kits to increase </w:t>
      </w:r>
    </w:p>
    <w:p w14:paraId="5D256127" w14:textId="4C6B90A1" w:rsidR="00965E9F" w:rsidRPr="0012699A" w:rsidRDefault="000548ED"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effectiveness in emergencies. </w:t>
      </w:r>
      <w:hyperlink r:id="rId12" w:history="1">
        <w:r w:rsidR="00965E9F" w:rsidRPr="0012699A">
          <w:rPr>
            <w:rStyle w:val="Hyperlink"/>
            <w:rFonts w:ascii="Arial" w:hAnsi="Arial" w:cs="Arial"/>
            <w:color w:val="000000" w:themeColor="text1"/>
            <w:sz w:val="20"/>
            <w:szCs w:val="20"/>
            <w:u w:val="none"/>
          </w:rPr>
          <w:t>https://www.susana.org/lang-en/working-</w:t>
        </w:r>
      </w:hyperlink>
    </w:p>
    <w:p w14:paraId="4D038743" w14:textId="01EC3121"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groups/wg08/workshop. Accessed 7 Mar 2019. </w:t>
      </w:r>
    </w:p>
    <w:p w14:paraId="2EE37B36" w14:textId="77777777" w:rsidR="00965E9F"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Johns Hopkins Bloomberg School of Public Health, International Federation of Red Cross and Red </w:t>
      </w:r>
    </w:p>
    <w:p w14:paraId="13F9FE08" w14:textId="77777777" w:rsidR="00965E9F" w:rsidRPr="0012699A" w:rsidRDefault="000548ED" w:rsidP="00965E9F">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Crescent Societies (2008) The John Hopkins and Red Cross Red Crescent Public health </w:t>
      </w:r>
    </w:p>
    <w:p w14:paraId="1B68E91D" w14:textId="6ADF4F81"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guide in emergencies. https://reliefweb.int/sites/reliefweb.int/files/resources/Forward.pdf. Accessed 30 Nov 2018. </w:t>
      </w:r>
    </w:p>
    <w:p w14:paraId="7690779C" w14:textId="77777777" w:rsidR="0090202E"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Jones H, Wilbur J (2014) Compendium of accessible WASH technologies. </w:t>
      </w:r>
    </w:p>
    <w:p w14:paraId="48D7CCD9" w14:textId="0AFC12C3" w:rsidR="000548ED" w:rsidRPr="0012699A" w:rsidRDefault="00060A4D" w:rsidP="00965E9F">
      <w:pPr>
        <w:spacing w:line="480" w:lineRule="auto"/>
        <w:ind w:left="720"/>
        <w:rPr>
          <w:rFonts w:ascii="Arial" w:hAnsi="Arial" w:cs="Arial"/>
          <w:color w:val="000000" w:themeColor="text1"/>
          <w:sz w:val="20"/>
          <w:szCs w:val="20"/>
        </w:rPr>
      </w:pPr>
      <w:hyperlink r:id="rId13" w:history="1">
        <w:r w:rsidR="00965E9F" w:rsidRPr="0012699A">
          <w:rPr>
            <w:rStyle w:val="Hyperlink"/>
            <w:rFonts w:ascii="Arial" w:hAnsi="Arial" w:cs="Arial"/>
            <w:color w:val="000000" w:themeColor="text1"/>
            <w:sz w:val="20"/>
            <w:szCs w:val="20"/>
            <w:u w:val="none"/>
          </w:rPr>
          <w:t>https://washmatters.wateraid.org/publications/compendium-of-accessible-wash-technologies</w:t>
        </w:r>
      </w:hyperlink>
      <w:r w:rsidR="000548ED" w:rsidRPr="0012699A">
        <w:rPr>
          <w:rFonts w:ascii="Arial" w:hAnsi="Arial" w:cs="Arial"/>
          <w:color w:val="000000" w:themeColor="text1"/>
          <w:sz w:val="20"/>
          <w:szCs w:val="20"/>
        </w:rPr>
        <w:t xml:space="preserve">. Accessed 17 May 2017. </w:t>
      </w:r>
    </w:p>
    <w:p w14:paraId="10FCB248" w14:textId="77777777" w:rsidR="00965E9F" w:rsidRPr="0012699A" w:rsidRDefault="000548ED" w:rsidP="00965E9F">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Langford M, Bartram J, Roaf V (2017) The Human Right to Sanitation. In: Langford M, Russell AFS </w:t>
      </w:r>
    </w:p>
    <w:p w14:paraId="19DA7714" w14:textId="334C4B97" w:rsidR="000548ED" w:rsidRPr="0012699A" w:rsidRDefault="000548ED" w:rsidP="00965E9F">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(eds) The Human Right to Water: Theory, Practice and Prospects. Cambridge University Press, Cambridge, pp 345–395.</w:t>
      </w:r>
    </w:p>
    <w:p w14:paraId="0825D776" w14:textId="77777777" w:rsidR="0090202E"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Mazurana D, Benelli P, Gupta H, Walker P (2011) Sex and Age Matter: Improving Humanitarian Response in Emergencies. </w:t>
      </w:r>
    </w:p>
    <w:p w14:paraId="6D16F05D" w14:textId="27787BDE" w:rsidR="000548ED" w:rsidRPr="0012699A" w:rsidRDefault="00060A4D" w:rsidP="006A1922">
      <w:pPr>
        <w:spacing w:line="480" w:lineRule="auto"/>
        <w:ind w:left="720"/>
        <w:rPr>
          <w:rFonts w:ascii="Arial" w:hAnsi="Arial" w:cs="Arial"/>
          <w:color w:val="000000" w:themeColor="text1"/>
          <w:sz w:val="20"/>
          <w:szCs w:val="20"/>
        </w:rPr>
      </w:pPr>
      <w:hyperlink r:id="rId14" w:history="1">
        <w:r w:rsidR="006A1922" w:rsidRPr="0012699A">
          <w:rPr>
            <w:rStyle w:val="Hyperlink"/>
            <w:rFonts w:ascii="Arial" w:hAnsi="Arial" w:cs="Arial"/>
            <w:color w:val="000000" w:themeColor="text1"/>
            <w:sz w:val="20"/>
            <w:szCs w:val="20"/>
            <w:u w:val="none"/>
          </w:rPr>
          <w:t>https://www.globalprotectioncluster.org/_assets/files/tools_and_guidance/age_gender_diversity/Report_Sex_Age_Matter_2011_EN.pdf. Accessed 4</w:t>
        </w:r>
      </w:hyperlink>
      <w:r w:rsidR="000548ED" w:rsidRPr="0012699A">
        <w:rPr>
          <w:rFonts w:ascii="Arial" w:hAnsi="Arial" w:cs="Arial"/>
          <w:color w:val="000000" w:themeColor="text1"/>
          <w:sz w:val="20"/>
          <w:szCs w:val="20"/>
        </w:rPr>
        <w:t xml:space="preserve"> Mar 2019.</w:t>
      </w:r>
    </w:p>
    <w:p w14:paraId="04AE54C6" w14:textId="77777777" w:rsidR="006A1922" w:rsidRPr="0012699A" w:rsidRDefault="000548ED" w:rsidP="006A192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Mazurana D, Benelli P, Walker P (2013) How sex-and age-disaggregated data and gender and </w:t>
      </w:r>
    </w:p>
    <w:p w14:paraId="199EB1C5" w14:textId="77777777" w:rsidR="006A1922" w:rsidRPr="0012699A" w:rsidRDefault="000548ED" w:rsidP="006A192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generational analyses can improve humanitarian response. Disasters 37:S68–S82. doi: </w:t>
      </w:r>
    </w:p>
    <w:p w14:paraId="240FFF2C" w14:textId="68E7A480" w:rsidR="000548ED" w:rsidRPr="0012699A" w:rsidRDefault="000548ED" w:rsidP="006A192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10.1111/disa.12013.</w:t>
      </w:r>
    </w:p>
    <w:p w14:paraId="175CD4EA" w14:textId="21837530" w:rsidR="006A1922" w:rsidRPr="0012699A" w:rsidRDefault="00C5436F" w:rsidP="00DA5727">
      <w:pPr>
        <w:spacing w:line="480" w:lineRule="auto"/>
        <w:rPr>
          <w:rFonts w:ascii="Arial" w:hAnsi="Arial" w:cs="Arial"/>
          <w:color w:val="000000" w:themeColor="text1"/>
          <w:sz w:val="20"/>
          <w:szCs w:val="20"/>
        </w:rPr>
      </w:pPr>
      <w:r>
        <w:rPr>
          <w:rFonts w:ascii="Arial" w:hAnsi="Arial" w:cs="Arial"/>
          <w:color w:val="000000" w:themeColor="text1"/>
          <w:sz w:val="20"/>
          <w:szCs w:val="20"/>
        </w:rPr>
        <w:t>Noortgate J V D, Maes P</w:t>
      </w:r>
      <w:r w:rsidR="00157B96">
        <w:rPr>
          <w:rFonts w:ascii="Arial" w:hAnsi="Arial" w:cs="Arial"/>
          <w:color w:val="000000" w:themeColor="text1"/>
          <w:sz w:val="20"/>
          <w:szCs w:val="20"/>
        </w:rPr>
        <w:t xml:space="preserve"> </w:t>
      </w:r>
      <w:r w:rsidR="000548ED" w:rsidRPr="0012699A">
        <w:rPr>
          <w:rFonts w:ascii="Arial" w:hAnsi="Arial" w:cs="Arial"/>
          <w:color w:val="000000" w:themeColor="text1"/>
          <w:sz w:val="20"/>
          <w:szCs w:val="20"/>
        </w:rPr>
        <w:t xml:space="preserve">(2010) </w:t>
      </w:r>
      <w:r w:rsidR="000548ED" w:rsidRPr="0012699A">
        <w:rPr>
          <w:rFonts w:ascii="Arial" w:hAnsi="Arial" w:cs="Arial"/>
          <w:color w:val="000000" w:themeColor="text1"/>
          <w:sz w:val="20"/>
          <w:szCs w:val="20"/>
        </w:rPr>
        <w:t xml:space="preserve">Public Health Engineering in Precarious Situations. </w:t>
      </w:r>
    </w:p>
    <w:p w14:paraId="14BCF74E" w14:textId="756F0ECB" w:rsidR="000548ED" w:rsidRPr="0012699A" w:rsidRDefault="00060A4D" w:rsidP="006A1922">
      <w:pPr>
        <w:spacing w:line="480" w:lineRule="auto"/>
        <w:ind w:left="720"/>
        <w:rPr>
          <w:rFonts w:ascii="Arial" w:hAnsi="Arial" w:cs="Arial"/>
          <w:color w:val="000000" w:themeColor="text1"/>
          <w:sz w:val="20"/>
          <w:szCs w:val="20"/>
        </w:rPr>
      </w:pPr>
      <w:hyperlink r:id="rId15" w:history="1">
        <w:r w:rsidR="006A1922" w:rsidRPr="0012699A">
          <w:rPr>
            <w:rStyle w:val="Hyperlink"/>
            <w:rFonts w:ascii="Arial" w:hAnsi="Arial" w:cs="Arial"/>
            <w:color w:val="000000" w:themeColor="text1"/>
            <w:sz w:val="20"/>
            <w:szCs w:val="20"/>
            <w:u w:val="none"/>
          </w:rPr>
          <w:t>http://refbooks.msf.org/msf_docs/en/public_health/public_health_en.pdf</w:t>
        </w:r>
      </w:hyperlink>
      <w:r w:rsidR="000548ED" w:rsidRPr="0012699A">
        <w:rPr>
          <w:rFonts w:ascii="Arial" w:hAnsi="Arial" w:cs="Arial"/>
          <w:color w:val="000000" w:themeColor="text1"/>
          <w:sz w:val="20"/>
          <w:szCs w:val="20"/>
        </w:rPr>
        <w:t>. Accessed 18 Nov 2018.</w:t>
      </w:r>
    </w:p>
    <w:p w14:paraId="4D9C90FC"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O’Kane C (2013a) Guidelines for Children’s Participation in humanitarian programming. </w:t>
      </w:r>
    </w:p>
    <w:p w14:paraId="30682748" w14:textId="5CE162EA" w:rsidR="000548ED" w:rsidRPr="0012699A" w:rsidRDefault="000548ED" w:rsidP="006A192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https://reliefweb.int/sites/reliefweb.int/files/resources/Children_Participation_Humanitarian_Guidelines.pdf. Accessed 31 Mar 2019.</w:t>
      </w:r>
    </w:p>
    <w:p w14:paraId="7743128A"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O’Kane C (2013b) Review of children’s participation in humanitarian programming. </w:t>
      </w:r>
    </w:p>
    <w:p w14:paraId="26B7B49F" w14:textId="0D363355" w:rsidR="000548ED" w:rsidRPr="0012699A" w:rsidRDefault="00060A4D" w:rsidP="006A1922">
      <w:pPr>
        <w:spacing w:line="480" w:lineRule="auto"/>
        <w:ind w:left="720"/>
        <w:rPr>
          <w:rFonts w:ascii="Arial" w:hAnsi="Arial" w:cs="Arial"/>
          <w:color w:val="000000" w:themeColor="text1"/>
          <w:sz w:val="20"/>
          <w:szCs w:val="20"/>
        </w:rPr>
      </w:pPr>
      <w:hyperlink r:id="rId16" w:history="1">
        <w:r w:rsidR="006A1922" w:rsidRPr="0012699A">
          <w:rPr>
            <w:rStyle w:val="Hyperlink"/>
            <w:rFonts w:ascii="Arial" w:hAnsi="Arial" w:cs="Arial"/>
            <w:color w:val="000000" w:themeColor="text1"/>
            <w:sz w:val="20"/>
            <w:szCs w:val="20"/>
            <w:u w:val="none"/>
          </w:rPr>
          <w:t>https://www.alnap.org/system/files/content/resource/files/main/children-participation-</w:t>
        </w:r>
      </w:hyperlink>
      <w:r w:rsidR="000548ED" w:rsidRPr="0012699A">
        <w:rPr>
          <w:rFonts w:ascii="Arial" w:hAnsi="Arial" w:cs="Arial"/>
          <w:color w:val="000000" w:themeColor="text1"/>
          <w:sz w:val="20"/>
          <w:szCs w:val="20"/>
        </w:rPr>
        <w:t xml:space="preserve">humanitarian-review.pdf. Accessed 18 Nov 2018. </w:t>
      </w:r>
    </w:p>
    <w:p w14:paraId="286FA3C7" w14:textId="77777777" w:rsidR="006A1922" w:rsidRPr="0012699A" w:rsidRDefault="000548ED" w:rsidP="006A192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lastRenderedPageBreak/>
        <w:t xml:space="preserve">Obani P (2017) Inclusiveness in humanitarian action — access to water, sanitation &amp; hygiene in </w:t>
      </w:r>
    </w:p>
    <w:p w14:paraId="70990BD4" w14:textId="735BEBBD" w:rsidR="000548ED" w:rsidRPr="0012699A" w:rsidRDefault="000548ED" w:rsidP="006A192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focus. Curr Opin Environ Sustain 24:24–29.</w:t>
      </w:r>
    </w:p>
    <w:p w14:paraId="150778D3" w14:textId="52C26EEE" w:rsidR="006A1922"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OCHA (2018) Global Humanitarian Overview 2019. </w:t>
      </w:r>
      <w:hyperlink r:id="rId17" w:history="1">
        <w:r w:rsidR="006A1922" w:rsidRPr="0012699A">
          <w:rPr>
            <w:rStyle w:val="Hyperlink"/>
            <w:rFonts w:ascii="Arial" w:hAnsi="Arial" w:cs="Arial"/>
            <w:color w:val="000000" w:themeColor="text1"/>
            <w:sz w:val="20"/>
            <w:szCs w:val="20"/>
            <w:u w:val="none"/>
          </w:rPr>
          <w:t>https://www.unocha.org/global-humanitarian-</w:t>
        </w:r>
      </w:hyperlink>
    </w:p>
    <w:p w14:paraId="38BA3748" w14:textId="0ADEA44E" w:rsidR="000548ED" w:rsidRDefault="000548ED" w:rsidP="006A192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overview-2019. Accessed 10 Jan 2019. </w:t>
      </w:r>
    </w:p>
    <w:p w14:paraId="1A520D3E" w14:textId="3E017787" w:rsidR="00D04FA2" w:rsidRPr="00D04FA2" w:rsidRDefault="00D04FA2" w:rsidP="00D04FA2">
      <w:pPr>
        <w:spacing w:line="480" w:lineRule="auto"/>
        <w:ind w:left="709" w:hanging="709"/>
        <w:rPr>
          <w:rFonts w:ascii="Arial" w:hAnsi="Arial" w:cs="Arial"/>
          <w:color w:val="FF0000"/>
          <w:sz w:val="20"/>
          <w:szCs w:val="20"/>
        </w:rPr>
      </w:pPr>
      <w:r w:rsidRPr="00D04FA2">
        <w:rPr>
          <w:rFonts w:ascii="Arial" w:hAnsi="Arial" w:cs="Arial"/>
          <w:color w:val="FF0000"/>
          <w:sz w:val="20"/>
          <w:szCs w:val="20"/>
        </w:rPr>
        <w:t xml:space="preserve">OCHA (2020) Global Humanitarian Overview 2021. https://www.unocha.org/global-humanitarian-overview-2021. Accessed 8 Feb 2021. </w:t>
      </w:r>
    </w:p>
    <w:p w14:paraId="07F85CCA"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Oxfam (2012) Working with Children in Humanitarian WASH Programmes. </w:t>
      </w:r>
    </w:p>
    <w:p w14:paraId="5AE7A3DD" w14:textId="16D9B3C1" w:rsidR="000548ED" w:rsidRPr="0012699A" w:rsidRDefault="00060A4D" w:rsidP="006A1922">
      <w:pPr>
        <w:spacing w:line="480" w:lineRule="auto"/>
        <w:ind w:left="720"/>
        <w:rPr>
          <w:rFonts w:ascii="Arial" w:hAnsi="Arial" w:cs="Arial"/>
          <w:color w:val="000000" w:themeColor="text1"/>
          <w:sz w:val="20"/>
          <w:szCs w:val="20"/>
        </w:rPr>
      </w:pPr>
      <w:hyperlink r:id="rId18" w:history="1">
        <w:r w:rsidR="006A1922" w:rsidRPr="0012699A">
          <w:rPr>
            <w:rStyle w:val="Hyperlink"/>
            <w:rFonts w:ascii="Arial" w:hAnsi="Arial" w:cs="Arial"/>
            <w:color w:val="000000" w:themeColor="text1"/>
            <w:sz w:val="20"/>
            <w:szCs w:val="20"/>
            <w:u w:val="none"/>
          </w:rPr>
          <w:t>https://policy-practice.oxfam.org.uk/publications/oxfam-minimum-requirements-for-wash-</w:t>
        </w:r>
      </w:hyperlink>
      <w:r w:rsidR="000548ED" w:rsidRPr="0012699A">
        <w:rPr>
          <w:rFonts w:ascii="Arial" w:hAnsi="Arial" w:cs="Arial"/>
          <w:color w:val="000000" w:themeColor="text1"/>
          <w:sz w:val="20"/>
          <w:szCs w:val="20"/>
        </w:rPr>
        <w:t>programmes-mr-wash-300134. Accessed 30 Nov 2018.</w:t>
      </w:r>
    </w:p>
    <w:p w14:paraId="1C77BE3E"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Oxfam (2013) Oxfam Minimum Requirements for WASH Programmes (MR-WASH). </w:t>
      </w:r>
    </w:p>
    <w:p w14:paraId="038645E8" w14:textId="44811ED9" w:rsidR="000548ED" w:rsidRPr="0012699A" w:rsidRDefault="00060A4D" w:rsidP="006A1922">
      <w:pPr>
        <w:spacing w:line="480" w:lineRule="auto"/>
        <w:ind w:left="720"/>
        <w:rPr>
          <w:rFonts w:ascii="Arial" w:hAnsi="Arial" w:cs="Arial"/>
          <w:color w:val="000000" w:themeColor="text1"/>
          <w:sz w:val="20"/>
          <w:szCs w:val="20"/>
        </w:rPr>
      </w:pPr>
      <w:hyperlink r:id="rId19" w:history="1">
        <w:r w:rsidR="006A1922" w:rsidRPr="0012699A">
          <w:rPr>
            <w:rStyle w:val="Hyperlink"/>
            <w:rFonts w:ascii="Arial" w:hAnsi="Arial" w:cs="Arial"/>
            <w:color w:val="000000" w:themeColor="text1"/>
            <w:sz w:val="20"/>
            <w:szCs w:val="20"/>
            <w:u w:val="none"/>
          </w:rPr>
          <w:t>https://policy-practice.oxfam.org.uk/publications/oxfam-minimum-requirements-for-wash-</w:t>
        </w:r>
      </w:hyperlink>
      <w:r w:rsidR="000548ED" w:rsidRPr="0012699A">
        <w:rPr>
          <w:rFonts w:ascii="Arial" w:hAnsi="Arial" w:cs="Arial"/>
          <w:color w:val="000000" w:themeColor="text1"/>
          <w:sz w:val="20"/>
          <w:szCs w:val="20"/>
        </w:rPr>
        <w:t xml:space="preserve">programmes-mr-wash-300134. Accessed 18 Nov 2018. </w:t>
      </w:r>
    </w:p>
    <w:p w14:paraId="685FE484" w14:textId="77777777" w:rsidR="006A1922" w:rsidRPr="0012699A" w:rsidRDefault="000548ED" w:rsidP="006A192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Oxfam (2018) Sani Tweaks. Best practices in sanitation. www.oxfam.org.uk/sanitweaks. Accessed 31 </w:t>
      </w:r>
    </w:p>
    <w:p w14:paraId="513488FB" w14:textId="033A2311" w:rsidR="000548ED" w:rsidRPr="0012699A" w:rsidRDefault="000548ED" w:rsidP="006A192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Mar 2019. </w:t>
      </w:r>
    </w:p>
    <w:p w14:paraId="2D4F7E75" w14:textId="77777777" w:rsidR="006A1922"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Oxfam International, WEDC (2018) Shining a Light: How lighting in or around sanitation facilities </w:t>
      </w:r>
    </w:p>
    <w:p w14:paraId="6777EBC2" w14:textId="773DB6FD" w:rsidR="000548ED" w:rsidRPr="0012699A" w:rsidRDefault="000548ED" w:rsidP="006A192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affects the risk of gender-based violence in camps.</w:t>
      </w:r>
      <w:r w:rsidR="006A1922" w:rsidRPr="0012699A">
        <w:rPr>
          <w:rFonts w:ascii="Arial" w:hAnsi="Arial" w:cs="Arial"/>
          <w:color w:val="000000" w:themeColor="text1"/>
          <w:sz w:val="20"/>
          <w:szCs w:val="20"/>
        </w:rPr>
        <w:t xml:space="preserve"> </w:t>
      </w:r>
      <w:r w:rsidRPr="0012699A">
        <w:rPr>
          <w:rFonts w:ascii="Arial" w:hAnsi="Arial" w:cs="Arial"/>
          <w:color w:val="000000" w:themeColor="text1"/>
          <w:sz w:val="20"/>
          <w:szCs w:val="20"/>
        </w:rPr>
        <w:t xml:space="preserve">https://oxfamilibrary.openrepository.com/bitstream/handle/10546/620605/gd-shining-light-sanitation-gender-211218-en.pdf?sequence=1. Accessed 20 Feb 2019. </w:t>
      </w:r>
    </w:p>
    <w:p w14:paraId="50D667FF" w14:textId="77777777" w:rsidR="000548ED"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Pink R (2012) Child rights, right to water and sanitation, and human security. Health Hum Rights 14.</w:t>
      </w:r>
    </w:p>
    <w:p w14:paraId="72FA53BE" w14:textId="77777777" w:rsidR="006A1922" w:rsidRPr="0012699A" w:rsidRDefault="000548ED" w:rsidP="006A192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REACH Initiative (2015) Comprehensive Child Focused Assessment. Azraq Refugee Camp. </w:t>
      </w:r>
    </w:p>
    <w:p w14:paraId="4C608943" w14:textId="74EA9418" w:rsidR="000548ED" w:rsidRPr="0012699A" w:rsidRDefault="00060A4D" w:rsidP="006A1922">
      <w:pPr>
        <w:spacing w:line="480" w:lineRule="auto"/>
        <w:ind w:firstLine="720"/>
        <w:rPr>
          <w:rFonts w:ascii="Arial" w:hAnsi="Arial" w:cs="Arial"/>
          <w:color w:val="000000" w:themeColor="text1"/>
          <w:sz w:val="20"/>
          <w:szCs w:val="20"/>
        </w:rPr>
      </w:pPr>
      <w:hyperlink r:id="rId20" w:history="1">
        <w:r w:rsidR="006A1922" w:rsidRPr="0012699A">
          <w:rPr>
            <w:rStyle w:val="Hyperlink"/>
            <w:rFonts w:ascii="Arial" w:hAnsi="Arial" w:cs="Arial"/>
            <w:color w:val="000000" w:themeColor="text1"/>
            <w:sz w:val="20"/>
            <w:szCs w:val="20"/>
            <w:u w:val="none"/>
          </w:rPr>
          <w:t>https://www.reachresourcecentre.info/system/files/resource-</w:t>
        </w:r>
      </w:hyperlink>
      <w:r w:rsidR="006A1922" w:rsidRPr="0012699A">
        <w:rPr>
          <w:rStyle w:val="Hyperlink"/>
          <w:rFonts w:ascii="Arial" w:hAnsi="Arial" w:cs="Arial"/>
          <w:color w:val="000000" w:themeColor="text1"/>
          <w:sz w:val="20"/>
          <w:szCs w:val="20"/>
          <w:u w:val="none"/>
        </w:rPr>
        <w:tab/>
      </w:r>
      <w:r w:rsidR="000548ED" w:rsidRPr="0012699A">
        <w:rPr>
          <w:rFonts w:ascii="Arial" w:hAnsi="Arial" w:cs="Arial"/>
          <w:color w:val="000000" w:themeColor="text1"/>
          <w:sz w:val="20"/>
          <w:szCs w:val="20"/>
        </w:rPr>
        <w:t>documents/unicef_reach_comprehensive_child_focused_assessment_azraq_refugee_camp</w:t>
      </w:r>
      <w:r w:rsidR="006A1922" w:rsidRPr="0012699A">
        <w:rPr>
          <w:rFonts w:ascii="Arial" w:hAnsi="Arial" w:cs="Arial"/>
          <w:color w:val="000000" w:themeColor="text1"/>
          <w:sz w:val="20"/>
          <w:szCs w:val="20"/>
        </w:rPr>
        <w:tab/>
      </w:r>
      <w:r w:rsidR="000548ED" w:rsidRPr="0012699A">
        <w:rPr>
          <w:rFonts w:ascii="Arial" w:hAnsi="Arial" w:cs="Arial"/>
          <w:color w:val="000000" w:themeColor="text1"/>
          <w:sz w:val="20"/>
          <w:szCs w:val="20"/>
        </w:rPr>
        <w:t xml:space="preserve">_june_2015.pdf. Accessed 21 Feb 2019. </w:t>
      </w:r>
    </w:p>
    <w:p w14:paraId="4C902E9F" w14:textId="77777777" w:rsidR="006A1922" w:rsidRPr="0012699A" w:rsidRDefault="000548ED" w:rsidP="006A1922">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REACH Initiative (2018) Water, Sanitation and Hygiene Follow-up Assessment Monsoon Season </w:t>
      </w:r>
    </w:p>
    <w:p w14:paraId="2E7EB133" w14:textId="6212ECF6" w:rsidR="000548ED" w:rsidRPr="0012699A" w:rsidRDefault="000548ED" w:rsidP="006A1922">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(August-October 2018). https://bit.ly/2ACcRCf. Accessed 10 Jan 2019. </w:t>
      </w:r>
    </w:p>
    <w:p w14:paraId="3B9DEE4D" w14:textId="77777777" w:rsidR="00096DFB" w:rsidRPr="0012699A" w:rsidRDefault="00096DFB" w:rsidP="00096DFB">
      <w:pPr>
        <w:spacing w:line="480" w:lineRule="auto"/>
        <w:rPr>
          <w:rFonts w:ascii="Arial" w:hAnsi="Arial" w:cs="Arial"/>
          <w:color w:val="000000" w:themeColor="text1"/>
          <w:sz w:val="20"/>
          <w:szCs w:val="20"/>
        </w:rPr>
      </w:pPr>
      <w:r>
        <w:rPr>
          <w:rFonts w:ascii="Arial" w:hAnsi="Arial" w:cs="Arial"/>
          <w:color w:val="000000" w:themeColor="text1"/>
          <w:sz w:val="20"/>
          <w:szCs w:val="20"/>
        </w:rPr>
        <w:t>Rouse R, Reed R</w:t>
      </w:r>
      <w:r w:rsidRPr="0012699A">
        <w:rPr>
          <w:rFonts w:ascii="Arial" w:hAnsi="Arial" w:cs="Arial"/>
          <w:color w:val="000000" w:themeColor="text1"/>
          <w:sz w:val="20"/>
          <w:szCs w:val="20"/>
        </w:rPr>
        <w:t xml:space="preserve"> (2013) Solid waste management in emergencies. </w:t>
      </w:r>
    </w:p>
    <w:p w14:paraId="34CBCF8C" w14:textId="77777777" w:rsidR="00096DFB" w:rsidRPr="0012699A" w:rsidRDefault="00096DFB" w:rsidP="00096DFB">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 xml:space="preserve">https://www.who.int/water_sanitation_health/emergencies/WHO_TN_07_Solid_waste_management_in_emergencies.pdf?ua=1. Accessed 7 Mar 2019. </w:t>
      </w:r>
    </w:p>
    <w:p w14:paraId="6A9F0756" w14:textId="77777777" w:rsidR="006A1922"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Sandison P (2017) We’re Listening: An evaluation of user-centred community engagement in </w:t>
      </w:r>
    </w:p>
    <w:p w14:paraId="4D60AD8B" w14:textId="6B3AF91A" w:rsidR="000548ED" w:rsidRPr="0012699A" w:rsidRDefault="000548ED" w:rsidP="00892312">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lastRenderedPageBreak/>
        <w:t>emergency sanitation.</w:t>
      </w:r>
      <w:r w:rsidR="00892312" w:rsidRPr="0012699A">
        <w:rPr>
          <w:rFonts w:ascii="Arial" w:hAnsi="Arial" w:cs="Arial"/>
          <w:color w:val="000000" w:themeColor="text1"/>
          <w:sz w:val="20"/>
          <w:szCs w:val="20"/>
        </w:rPr>
        <w:t xml:space="preserve"> </w:t>
      </w:r>
      <w:hyperlink r:id="rId21" w:history="1">
        <w:r w:rsidR="00892312" w:rsidRPr="0012699A">
          <w:rPr>
            <w:rStyle w:val="Hyperlink"/>
            <w:rFonts w:ascii="Arial" w:hAnsi="Arial" w:cs="Arial"/>
            <w:color w:val="000000" w:themeColor="text1"/>
            <w:sz w:val="20"/>
            <w:szCs w:val="20"/>
            <w:u w:val="none"/>
          </w:rPr>
          <w:t>https://oxfamilibrary.openrepository.com/bitstream/handle/10546/620617/gd-listening-community-engagement-emergency-sanitation-050219-</w:t>
        </w:r>
      </w:hyperlink>
      <w:r w:rsidRPr="0012699A">
        <w:rPr>
          <w:rFonts w:ascii="Arial" w:hAnsi="Arial" w:cs="Arial"/>
          <w:color w:val="000000" w:themeColor="text1"/>
          <w:sz w:val="20"/>
          <w:szCs w:val="20"/>
        </w:rPr>
        <w:t xml:space="preserve">en.pdf?sequence=1&amp;isAllowed=y. Accessed 15 Feb 2019. </w:t>
      </w:r>
    </w:p>
    <w:p w14:paraId="3E3201AF" w14:textId="77777777" w:rsidR="001F6D44" w:rsidRPr="0012699A" w:rsidRDefault="000548ED" w:rsidP="001F6D44">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Save the Children (2013) WASH for Children in Emergencies. </w:t>
      </w:r>
    </w:p>
    <w:p w14:paraId="10EE9A4C" w14:textId="67671E98" w:rsidR="000548ED" w:rsidRPr="0012699A" w:rsidRDefault="00060A4D" w:rsidP="001F6D44">
      <w:pPr>
        <w:spacing w:line="480" w:lineRule="auto"/>
        <w:ind w:firstLine="720"/>
        <w:rPr>
          <w:rFonts w:ascii="Arial" w:hAnsi="Arial" w:cs="Arial"/>
          <w:color w:val="000000" w:themeColor="text1"/>
          <w:sz w:val="20"/>
          <w:szCs w:val="20"/>
        </w:rPr>
      </w:pPr>
      <w:hyperlink r:id="rId22" w:history="1">
        <w:r w:rsidR="001F6D44" w:rsidRPr="0012699A">
          <w:rPr>
            <w:rStyle w:val="Hyperlink"/>
            <w:rFonts w:ascii="Arial" w:hAnsi="Arial" w:cs="Arial"/>
            <w:color w:val="000000" w:themeColor="text1"/>
            <w:sz w:val="20"/>
            <w:szCs w:val="20"/>
            <w:u w:val="none"/>
          </w:rPr>
          <w:t>https://www.elrha.org/wp-content/uploads/2015/02/Annex-E-</w:t>
        </w:r>
      </w:hyperlink>
      <w:r w:rsidR="001F6D44" w:rsidRPr="0012699A">
        <w:rPr>
          <w:rStyle w:val="Hyperlink"/>
          <w:rFonts w:ascii="Arial" w:hAnsi="Arial" w:cs="Arial"/>
          <w:color w:val="000000" w:themeColor="text1"/>
          <w:sz w:val="20"/>
          <w:szCs w:val="20"/>
          <w:u w:val="none"/>
        </w:rPr>
        <w:tab/>
      </w:r>
      <w:r w:rsidR="000548ED" w:rsidRPr="0012699A">
        <w:rPr>
          <w:rFonts w:ascii="Arial" w:hAnsi="Arial" w:cs="Arial"/>
          <w:color w:val="000000" w:themeColor="text1"/>
          <w:sz w:val="20"/>
          <w:szCs w:val="20"/>
        </w:rPr>
        <w:t xml:space="preserve">Hygiene_Promotion_September_Newsletter_2013.pdf. Accessed 10 Jan 2019. </w:t>
      </w:r>
    </w:p>
    <w:p w14:paraId="79B75A6C" w14:textId="77777777" w:rsidR="001F6D4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Sphere Association (2018) The Sphere Handbook: Humanitarian Charter and Minimum Standards. </w:t>
      </w:r>
    </w:p>
    <w:p w14:paraId="2CA1FF32" w14:textId="6ED4A2EF" w:rsidR="000548ED" w:rsidRPr="0012699A" w:rsidRDefault="00060A4D" w:rsidP="001F6D44">
      <w:pPr>
        <w:spacing w:line="480" w:lineRule="auto"/>
        <w:ind w:firstLine="720"/>
        <w:rPr>
          <w:rFonts w:ascii="Arial" w:hAnsi="Arial" w:cs="Arial"/>
          <w:color w:val="000000" w:themeColor="text1"/>
          <w:sz w:val="20"/>
          <w:szCs w:val="20"/>
        </w:rPr>
      </w:pPr>
      <w:hyperlink r:id="rId23" w:history="1">
        <w:r w:rsidR="001F6D44" w:rsidRPr="0012699A">
          <w:rPr>
            <w:rStyle w:val="Hyperlink"/>
            <w:rFonts w:ascii="Arial" w:hAnsi="Arial" w:cs="Arial"/>
            <w:color w:val="000000" w:themeColor="text1"/>
            <w:sz w:val="20"/>
            <w:szCs w:val="20"/>
            <w:u w:val="none"/>
          </w:rPr>
          <w:t>www.practicalactionpublishing.org/sphere. Accessed 14</w:t>
        </w:r>
      </w:hyperlink>
      <w:r w:rsidR="000548ED" w:rsidRPr="0012699A">
        <w:rPr>
          <w:rFonts w:ascii="Arial" w:hAnsi="Arial" w:cs="Arial"/>
          <w:color w:val="000000" w:themeColor="text1"/>
          <w:sz w:val="20"/>
          <w:szCs w:val="20"/>
        </w:rPr>
        <w:t xml:space="preserve"> Nov 2018. </w:t>
      </w:r>
    </w:p>
    <w:p w14:paraId="1654E036" w14:textId="77777777" w:rsidR="001F6D44" w:rsidRPr="0012699A" w:rsidRDefault="000548ED" w:rsidP="001F6D44">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SuSanA (2012) Sustainable sanitation for emergencies and reconstruction situations. </w:t>
      </w:r>
    </w:p>
    <w:p w14:paraId="5DC7F3BC" w14:textId="6E7B96CB" w:rsidR="000548ED" w:rsidRPr="0012699A" w:rsidRDefault="000548ED" w:rsidP="001F6D44">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www.humanitarianreform.org. Accessed 6 Mar 2019. </w:t>
      </w:r>
    </w:p>
    <w:p w14:paraId="5AC6BDC0" w14:textId="77777777" w:rsidR="001F6D44" w:rsidRPr="0012699A" w:rsidRDefault="000548ED" w:rsidP="001F6D44">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Tanner S, O’Connor M (2017) A safe place to shine. Creating opportunities and raising voices of </w:t>
      </w:r>
    </w:p>
    <w:p w14:paraId="01ECE854" w14:textId="77777777" w:rsidR="001F6D44" w:rsidRPr="0012699A" w:rsidRDefault="000548ED" w:rsidP="001F6D44">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adolescent girls in humanitarian settings.</w:t>
      </w:r>
      <w:r w:rsidR="001F6D44" w:rsidRPr="0012699A">
        <w:rPr>
          <w:rFonts w:ascii="Arial" w:hAnsi="Arial" w:cs="Arial"/>
          <w:color w:val="000000" w:themeColor="text1"/>
          <w:sz w:val="20"/>
          <w:szCs w:val="20"/>
        </w:rPr>
        <w:t xml:space="preserve"> </w:t>
      </w:r>
    </w:p>
    <w:p w14:paraId="5ADE5394" w14:textId="13771A7E" w:rsidR="000548ED" w:rsidRPr="0012699A" w:rsidRDefault="00060A4D" w:rsidP="001F6D44">
      <w:pPr>
        <w:spacing w:line="480" w:lineRule="auto"/>
        <w:ind w:left="720"/>
        <w:rPr>
          <w:rFonts w:ascii="Arial" w:hAnsi="Arial" w:cs="Arial"/>
          <w:color w:val="000000" w:themeColor="text1"/>
          <w:sz w:val="20"/>
          <w:szCs w:val="20"/>
        </w:rPr>
      </w:pPr>
      <w:hyperlink r:id="rId24" w:history="1">
        <w:r w:rsidR="001F6D44" w:rsidRPr="0012699A">
          <w:rPr>
            <w:rStyle w:val="Hyperlink"/>
            <w:rFonts w:ascii="Arial" w:hAnsi="Arial" w:cs="Arial"/>
            <w:color w:val="000000" w:themeColor="text1"/>
            <w:sz w:val="20"/>
            <w:szCs w:val="20"/>
            <w:u w:val="none"/>
          </w:rPr>
          <w:t>https://www.rescue.org/sites/default/files/document/2248/irccompassglobalreport.pdf</w:t>
        </w:r>
      </w:hyperlink>
      <w:r w:rsidR="000548ED" w:rsidRPr="0012699A">
        <w:rPr>
          <w:rFonts w:ascii="Arial" w:hAnsi="Arial" w:cs="Arial"/>
          <w:color w:val="000000" w:themeColor="text1"/>
          <w:sz w:val="20"/>
          <w:szCs w:val="20"/>
        </w:rPr>
        <w:t xml:space="preserve">. Accessed 14 Mar 2019. </w:t>
      </w:r>
    </w:p>
    <w:p w14:paraId="37F812B0"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Toms C, Macleod H (2006) World Vision International Children in Emergencies Manual. </w:t>
      </w:r>
    </w:p>
    <w:p w14:paraId="1E393E44" w14:textId="7BB3C184" w:rsidR="000548ED" w:rsidRPr="0082607A" w:rsidRDefault="00060A4D" w:rsidP="001F6D44">
      <w:pPr>
        <w:spacing w:line="480" w:lineRule="auto"/>
        <w:ind w:left="720"/>
        <w:rPr>
          <w:rFonts w:ascii="Arial" w:hAnsi="Arial" w:cs="Arial"/>
          <w:color w:val="000000" w:themeColor="text1"/>
          <w:sz w:val="20"/>
          <w:szCs w:val="20"/>
        </w:rPr>
      </w:pPr>
      <w:hyperlink r:id="rId25" w:history="1">
        <w:r w:rsidR="001F6D44" w:rsidRPr="0082607A">
          <w:rPr>
            <w:rStyle w:val="Hyperlink"/>
            <w:rFonts w:ascii="Arial" w:hAnsi="Arial" w:cs="Arial"/>
            <w:color w:val="000000" w:themeColor="text1"/>
            <w:sz w:val="20"/>
            <w:szCs w:val="20"/>
            <w:u w:val="none"/>
          </w:rPr>
          <w:t>https://www.rescue.org/sites/default/files/document/2248/irccompassglobalreport.pdf</w:t>
        </w:r>
      </w:hyperlink>
      <w:r w:rsidR="000548ED" w:rsidRPr="0082607A">
        <w:rPr>
          <w:rFonts w:ascii="Arial" w:hAnsi="Arial" w:cs="Arial"/>
          <w:color w:val="000000" w:themeColor="text1"/>
          <w:sz w:val="20"/>
          <w:szCs w:val="20"/>
        </w:rPr>
        <w:t xml:space="preserve">. Accessed 14 Mar 2019. </w:t>
      </w:r>
    </w:p>
    <w:p w14:paraId="3A13D4AC" w14:textId="156C59A1" w:rsidR="0082607A" w:rsidRDefault="0082607A" w:rsidP="0082607A">
      <w:pPr>
        <w:spacing w:line="480" w:lineRule="auto"/>
        <w:ind w:left="720" w:hanging="720"/>
        <w:rPr>
          <w:rFonts w:ascii="Arial" w:hAnsi="Arial" w:cs="Arial"/>
          <w:color w:val="FF0000"/>
          <w:sz w:val="20"/>
          <w:szCs w:val="20"/>
        </w:rPr>
      </w:pPr>
      <w:r w:rsidRPr="0082607A">
        <w:rPr>
          <w:rFonts w:ascii="Arial" w:hAnsi="Arial" w:cs="Arial"/>
          <w:color w:val="FF0000"/>
          <w:sz w:val="20"/>
          <w:szCs w:val="20"/>
        </w:rPr>
        <w:t xml:space="preserve">The Alliance for Child Protection in Humanitarian Action (2019) Minimum Standards for Child Protection in Humanitarian Action, 2019 Edition. </w:t>
      </w:r>
      <w:hyperlink r:id="rId26" w:history="1">
        <w:r w:rsidR="00616BB3" w:rsidRPr="00616BB3">
          <w:rPr>
            <w:rStyle w:val="Hyperlink"/>
            <w:rFonts w:ascii="Arial" w:hAnsi="Arial" w:cs="Arial"/>
            <w:color w:val="FF0000"/>
            <w:sz w:val="20"/>
            <w:szCs w:val="20"/>
            <w:u w:val="none"/>
          </w:rPr>
          <w:t>https://alliancecpha.org/en/CPMS_home. Accessed 30 Dec 2020</w:t>
        </w:r>
      </w:hyperlink>
      <w:r w:rsidRPr="00616BB3">
        <w:rPr>
          <w:rFonts w:ascii="Arial" w:hAnsi="Arial" w:cs="Arial"/>
          <w:color w:val="FF0000"/>
          <w:sz w:val="20"/>
          <w:szCs w:val="20"/>
        </w:rPr>
        <w:t>.</w:t>
      </w:r>
    </w:p>
    <w:p w14:paraId="5C3015AD" w14:textId="151D86FF" w:rsidR="00616BB3" w:rsidRPr="0082607A" w:rsidRDefault="00616BB3" w:rsidP="00616BB3">
      <w:pPr>
        <w:spacing w:line="480" w:lineRule="auto"/>
        <w:ind w:left="720" w:hanging="720"/>
        <w:rPr>
          <w:rFonts w:ascii="Arial" w:hAnsi="Arial" w:cs="Arial"/>
          <w:color w:val="000000" w:themeColor="text1"/>
          <w:sz w:val="20"/>
          <w:szCs w:val="20"/>
        </w:rPr>
      </w:pPr>
      <w:r w:rsidRPr="0082607A">
        <w:rPr>
          <w:rFonts w:ascii="Arial" w:hAnsi="Arial" w:cs="Arial"/>
          <w:color w:val="FF0000"/>
          <w:sz w:val="20"/>
          <w:szCs w:val="20"/>
        </w:rPr>
        <w:t xml:space="preserve">The Alliance for Child Protection in Humanitarian Action (2019) </w:t>
      </w:r>
      <w:r>
        <w:rPr>
          <w:rFonts w:ascii="Arial" w:hAnsi="Arial" w:cs="Arial"/>
          <w:color w:val="FF0000"/>
          <w:sz w:val="20"/>
          <w:szCs w:val="20"/>
        </w:rPr>
        <w:t xml:space="preserve">Table of Indicators: </w:t>
      </w:r>
      <w:r w:rsidRPr="0082607A">
        <w:rPr>
          <w:rFonts w:ascii="Arial" w:hAnsi="Arial" w:cs="Arial"/>
          <w:color w:val="FF0000"/>
          <w:sz w:val="20"/>
          <w:szCs w:val="20"/>
        </w:rPr>
        <w:t xml:space="preserve">Minimum Standards for Child Protection in Humanitarian Action, 2019 Edition. </w:t>
      </w:r>
      <w:r w:rsidRPr="00616BB3">
        <w:rPr>
          <w:rFonts w:ascii="Arial" w:hAnsi="Arial" w:cs="Arial"/>
          <w:color w:val="FF0000"/>
          <w:sz w:val="20"/>
          <w:szCs w:val="20"/>
        </w:rPr>
        <w:t>https://alliancecpha.org/en/CPMS_Table_Indicators</w:t>
      </w:r>
      <w:r w:rsidRPr="00D04FA2">
        <w:rPr>
          <w:rFonts w:ascii="Arial" w:hAnsi="Arial" w:cs="Arial"/>
          <w:color w:val="FF0000"/>
          <w:sz w:val="20"/>
          <w:szCs w:val="20"/>
        </w:rPr>
        <w:t xml:space="preserve">. </w:t>
      </w:r>
      <w:r w:rsidRPr="0082607A">
        <w:rPr>
          <w:rFonts w:ascii="Arial" w:hAnsi="Arial" w:cs="Arial"/>
          <w:color w:val="FF0000"/>
          <w:sz w:val="20"/>
          <w:szCs w:val="20"/>
        </w:rPr>
        <w:t xml:space="preserve">Accessed </w:t>
      </w:r>
      <w:r>
        <w:rPr>
          <w:rFonts w:ascii="Arial" w:hAnsi="Arial" w:cs="Arial"/>
          <w:color w:val="FF0000"/>
          <w:sz w:val="20"/>
          <w:szCs w:val="20"/>
        </w:rPr>
        <w:t>10 Feb</w:t>
      </w:r>
      <w:r w:rsidRPr="0082607A">
        <w:rPr>
          <w:rFonts w:ascii="Arial" w:hAnsi="Arial" w:cs="Arial"/>
          <w:color w:val="FF0000"/>
          <w:sz w:val="20"/>
          <w:szCs w:val="20"/>
        </w:rPr>
        <w:t xml:space="preserve"> 202</w:t>
      </w:r>
      <w:r>
        <w:rPr>
          <w:rFonts w:ascii="Arial" w:hAnsi="Arial" w:cs="Arial"/>
          <w:color w:val="FF0000"/>
          <w:sz w:val="20"/>
          <w:szCs w:val="20"/>
        </w:rPr>
        <w:t>1</w:t>
      </w:r>
      <w:r w:rsidRPr="0082607A">
        <w:rPr>
          <w:rFonts w:ascii="Arial" w:hAnsi="Arial" w:cs="Arial"/>
          <w:color w:val="FF0000"/>
          <w:sz w:val="20"/>
          <w:szCs w:val="20"/>
        </w:rPr>
        <w:t>.</w:t>
      </w:r>
    </w:p>
    <w:p w14:paraId="09FBDD64"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UNHCR (2015) Design Guidelines for Emergency Toilets in Refugee Settings. </w:t>
      </w:r>
    </w:p>
    <w:p w14:paraId="151686F4" w14:textId="65CDEDE3" w:rsidR="000548ED" w:rsidRPr="0012699A" w:rsidRDefault="00060A4D" w:rsidP="0012699A">
      <w:pPr>
        <w:spacing w:line="480" w:lineRule="auto"/>
        <w:ind w:left="720"/>
        <w:rPr>
          <w:rFonts w:ascii="Arial" w:hAnsi="Arial" w:cs="Arial"/>
          <w:color w:val="000000" w:themeColor="text1"/>
          <w:sz w:val="20"/>
          <w:szCs w:val="20"/>
        </w:rPr>
      </w:pPr>
      <w:hyperlink r:id="rId27" w:history="1">
        <w:r w:rsidR="0012699A" w:rsidRPr="0012699A">
          <w:rPr>
            <w:rStyle w:val="Hyperlink"/>
            <w:rFonts w:ascii="Arial" w:hAnsi="Arial" w:cs="Arial"/>
            <w:color w:val="000000" w:themeColor="text1"/>
            <w:sz w:val="20"/>
            <w:szCs w:val="20"/>
            <w:u w:val="none"/>
          </w:rPr>
          <w:t>https://wash.unhcr.org/download/design-guidelines-for-toilets-in-refugee-</w:t>
        </w:r>
      </w:hyperlink>
      <w:r w:rsidR="000548ED" w:rsidRPr="0012699A">
        <w:rPr>
          <w:rFonts w:ascii="Arial" w:hAnsi="Arial" w:cs="Arial"/>
          <w:color w:val="000000" w:themeColor="text1"/>
          <w:sz w:val="20"/>
          <w:szCs w:val="20"/>
        </w:rPr>
        <w:t xml:space="preserve">settings/. Accessed 1 Aug 2019. </w:t>
      </w:r>
    </w:p>
    <w:p w14:paraId="012253AB"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UNHCR (2018a) Global Trends. Forced Displacement in 2017. https://www.unhcr.org/5b27be547.pdf. </w:t>
      </w:r>
    </w:p>
    <w:p w14:paraId="1C4406B9" w14:textId="3C82CDEA"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Accessed 10 Jan 2019. </w:t>
      </w:r>
    </w:p>
    <w:p w14:paraId="4E09CEDF" w14:textId="0D8049FC"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UNHCR (2018b) UNHCR Core WASH Indicators. </w:t>
      </w:r>
      <w:hyperlink r:id="rId28" w:history="1">
        <w:r w:rsidR="0012699A" w:rsidRPr="0012699A">
          <w:rPr>
            <w:rStyle w:val="Hyperlink"/>
            <w:rFonts w:ascii="Arial" w:hAnsi="Arial" w:cs="Arial"/>
            <w:color w:val="000000" w:themeColor="text1"/>
            <w:sz w:val="20"/>
            <w:szCs w:val="20"/>
            <w:u w:val="none"/>
          </w:rPr>
          <w:t>https://wash.unhcr.org/unhcr-wash-standards-and-</w:t>
        </w:r>
      </w:hyperlink>
    </w:p>
    <w:p w14:paraId="78C2B701" w14:textId="1CF06971"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lastRenderedPageBreak/>
        <w:t>indicators-for-refugee-settings/. Accessed 25 Jan 2019.</w:t>
      </w:r>
    </w:p>
    <w:p w14:paraId="422992A7" w14:textId="1E3E25F2"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UNHCR (2018c) UNHCR Population Statistics. </w:t>
      </w:r>
      <w:hyperlink r:id="rId29" w:history="1">
        <w:r w:rsidR="0012699A" w:rsidRPr="0012699A">
          <w:rPr>
            <w:rStyle w:val="Hyperlink"/>
            <w:rFonts w:ascii="Arial" w:hAnsi="Arial" w:cs="Arial"/>
            <w:color w:val="000000" w:themeColor="text1"/>
            <w:sz w:val="20"/>
            <w:szCs w:val="20"/>
            <w:u w:val="none"/>
          </w:rPr>
          <w:t>https://popstats.unhcr.org/en/demographics</w:t>
        </w:r>
      </w:hyperlink>
      <w:r w:rsidRPr="0012699A">
        <w:rPr>
          <w:rFonts w:ascii="Arial" w:hAnsi="Arial" w:cs="Arial"/>
          <w:color w:val="000000" w:themeColor="text1"/>
          <w:sz w:val="20"/>
          <w:szCs w:val="20"/>
        </w:rPr>
        <w:t xml:space="preserve">. </w:t>
      </w:r>
    </w:p>
    <w:p w14:paraId="60F38C5C" w14:textId="0DA305FE"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Accessed 28 Nov 2018.</w:t>
      </w:r>
    </w:p>
    <w:p w14:paraId="7C946B85" w14:textId="77777777" w:rsidR="0012699A" w:rsidRPr="00D04FA2" w:rsidRDefault="000548ED" w:rsidP="00DA5727">
      <w:pPr>
        <w:spacing w:line="480" w:lineRule="auto"/>
        <w:rPr>
          <w:rFonts w:ascii="Arial" w:hAnsi="Arial" w:cs="Arial"/>
          <w:color w:val="000000" w:themeColor="text1"/>
          <w:sz w:val="20"/>
          <w:szCs w:val="20"/>
        </w:rPr>
      </w:pPr>
      <w:r w:rsidRPr="00D04FA2">
        <w:rPr>
          <w:rFonts w:ascii="Arial" w:hAnsi="Arial" w:cs="Arial"/>
          <w:color w:val="000000" w:themeColor="text1"/>
          <w:sz w:val="20"/>
          <w:szCs w:val="20"/>
        </w:rPr>
        <w:t xml:space="preserve">UNHCR (2018d) UNHCR WASH Manual. Practical Guidance for Refugee Settings. </w:t>
      </w:r>
    </w:p>
    <w:p w14:paraId="7A5C8DF2" w14:textId="199CD5E3" w:rsidR="000548ED" w:rsidRPr="00D04FA2" w:rsidRDefault="000548ED" w:rsidP="0012699A">
      <w:pPr>
        <w:spacing w:line="480" w:lineRule="auto"/>
        <w:ind w:firstLine="720"/>
        <w:rPr>
          <w:rFonts w:ascii="Arial" w:hAnsi="Arial" w:cs="Arial"/>
          <w:color w:val="000000" w:themeColor="text1"/>
          <w:sz w:val="20"/>
          <w:szCs w:val="20"/>
        </w:rPr>
      </w:pPr>
      <w:r w:rsidRPr="00D04FA2">
        <w:rPr>
          <w:rFonts w:ascii="Arial" w:hAnsi="Arial" w:cs="Arial"/>
          <w:color w:val="000000" w:themeColor="text1"/>
          <w:sz w:val="20"/>
          <w:szCs w:val="20"/>
        </w:rPr>
        <w:t xml:space="preserve">http://wash.unhcr.org/unhcr-wash-manual-for-refugee-settings/. Accessed 14 Nov 2018. </w:t>
      </w:r>
    </w:p>
    <w:p w14:paraId="30C62F45" w14:textId="76891E47" w:rsidR="00D04FA2" w:rsidRPr="00D04FA2" w:rsidRDefault="00D04FA2" w:rsidP="00D04FA2">
      <w:pPr>
        <w:spacing w:line="480" w:lineRule="auto"/>
        <w:ind w:left="709" w:hanging="709"/>
        <w:rPr>
          <w:rFonts w:ascii="Arial" w:hAnsi="Arial" w:cs="Arial"/>
          <w:color w:val="FF0000"/>
          <w:sz w:val="20"/>
          <w:szCs w:val="20"/>
        </w:rPr>
      </w:pPr>
      <w:r w:rsidRPr="00D04FA2">
        <w:rPr>
          <w:rFonts w:ascii="Arial" w:hAnsi="Arial" w:cs="Arial"/>
          <w:color w:val="FF0000"/>
          <w:sz w:val="20"/>
          <w:szCs w:val="20"/>
        </w:rPr>
        <w:t>UNHCR (2020) UNHCR Population Statistics. https://www.unhcr.org/refugee-statistics/download/?url=E1ZxP4. Accessed 8 Feb 2021.</w:t>
      </w:r>
    </w:p>
    <w:p w14:paraId="1398C621"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UNICEF (2005) Emergency Field Handbook. A guide for UNICEF staff. </w:t>
      </w:r>
    </w:p>
    <w:p w14:paraId="4BBE65AA" w14:textId="64EDD888"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https://www.unicef.org/publications/files/UNICEF_EFH_2005.pdf. Accessed 8 Mar 2019. </w:t>
      </w:r>
    </w:p>
    <w:p w14:paraId="796008C8"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UNICEF (2010) Core Commitments for Children in Humanitarian Action. www.unicef.org. Accessed </w:t>
      </w:r>
    </w:p>
    <w:p w14:paraId="624F0233" w14:textId="66F5A8F7"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30 Nov 2018.</w:t>
      </w:r>
    </w:p>
    <w:p w14:paraId="7544AF20" w14:textId="77777777" w:rsidR="00741DF4"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UNICEF (2017a) UNICEF Target Product Profile: Accessible Latrine Slab for Emergencies. </w:t>
      </w:r>
    </w:p>
    <w:p w14:paraId="0C143765" w14:textId="7B156743" w:rsidR="000548ED" w:rsidRPr="0012699A" w:rsidRDefault="00060A4D" w:rsidP="0012699A">
      <w:pPr>
        <w:spacing w:line="480" w:lineRule="auto"/>
        <w:ind w:left="720"/>
        <w:rPr>
          <w:rFonts w:ascii="Arial" w:hAnsi="Arial" w:cs="Arial"/>
          <w:color w:val="000000" w:themeColor="text1"/>
          <w:sz w:val="20"/>
          <w:szCs w:val="20"/>
        </w:rPr>
      </w:pPr>
      <w:hyperlink r:id="rId30" w:history="1">
        <w:r w:rsidR="0012699A" w:rsidRPr="0012699A">
          <w:rPr>
            <w:rStyle w:val="Hyperlink"/>
            <w:rFonts w:ascii="Arial" w:hAnsi="Arial" w:cs="Arial"/>
            <w:color w:val="000000" w:themeColor="text1"/>
            <w:sz w:val="20"/>
            <w:szCs w:val="20"/>
            <w:u w:val="none"/>
          </w:rPr>
          <w:t>https://www.unicef.org/supply/files/2017.04.05_Accessible_Latrine_Slab_TPP_v2.2.pdf</w:t>
        </w:r>
      </w:hyperlink>
      <w:r w:rsidR="000548ED" w:rsidRPr="0012699A">
        <w:rPr>
          <w:rFonts w:ascii="Arial" w:hAnsi="Arial" w:cs="Arial"/>
          <w:color w:val="000000" w:themeColor="text1"/>
          <w:sz w:val="20"/>
          <w:szCs w:val="20"/>
        </w:rPr>
        <w:t xml:space="preserve">. Accessed 21 Feb 2019. </w:t>
      </w:r>
    </w:p>
    <w:p w14:paraId="26F21163"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UNICEF (2017b) Accessible latrine slab for emergencies: Q&amp;As. </w:t>
      </w:r>
    </w:p>
    <w:p w14:paraId="6E1F3A2C" w14:textId="1A29DD5E" w:rsidR="00741DF4" w:rsidRPr="0012699A" w:rsidRDefault="00060A4D" w:rsidP="0012699A">
      <w:pPr>
        <w:spacing w:line="480" w:lineRule="auto"/>
        <w:ind w:firstLine="720"/>
        <w:rPr>
          <w:rFonts w:ascii="Arial" w:hAnsi="Arial" w:cs="Arial"/>
          <w:color w:val="000000" w:themeColor="text1"/>
          <w:sz w:val="20"/>
          <w:szCs w:val="20"/>
        </w:rPr>
      </w:pPr>
      <w:hyperlink r:id="rId31" w:history="1">
        <w:r w:rsidR="0012699A" w:rsidRPr="0012699A">
          <w:rPr>
            <w:rStyle w:val="Hyperlink"/>
            <w:rFonts w:ascii="Arial" w:hAnsi="Arial" w:cs="Arial"/>
            <w:color w:val="000000" w:themeColor="text1"/>
            <w:sz w:val="20"/>
            <w:szCs w:val="20"/>
            <w:u w:val="none"/>
          </w:rPr>
          <w:t>https://www.unicef.org/supply/files/2017.05.02_QA_Latrine_Slab.pdf. Accessed 21</w:t>
        </w:r>
      </w:hyperlink>
      <w:r w:rsidR="000548ED" w:rsidRPr="0012699A">
        <w:rPr>
          <w:rFonts w:ascii="Arial" w:hAnsi="Arial" w:cs="Arial"/>
          <w:color w:val="000000" w:themeColor="text1"/>
          <w:sz w:val="20"/>
          <w:szCs w:val="20"/>
        </w:rPr>
        <w:t xml:space="preserve"> </w:t>
      </w:r>
    </w:p>
    <w:p w14:paraId="7E9DE17F" w14:textId="66FF6053" w:rsidR="000548ED" w:rsidRPr="0012699A" w:rsidRDefault="000548ED" w:rsidP="00741DF4">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Feb 2019. </w:t>
      </w:r>
    </w:p>
    <w:p w14:paraId="57BC7F9A" w14:textId="77777777" w:rsidR="00741DF4" w:rsidRPr="0012699A" w:rsidRDefault="00741DF4"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U</w:t>
      </w:r>
      <w:r w:rsidR="000548ED" w:rsidRPr="0012699A">
        <w:rPr>
          <w:rFonts w:ascii="Arial" w:hAnsi="Arial" w:cs="Arial"/>
          <w:color w:val="000000" w:themeColor="text1"/>
          <w:sz w:val="20"/>
          <w:szCs w:val="20"/>
        </w:rPr>
        <w:t xml:space="preserve">NICEF (2017c) Guidance: Including children with disabilities in humanitarian action – WASH. </w:t>
      </w:r>
    </w:p>
    <w:p w14:paraId="09E0D41B" w14:textId="07A159D6" w:rsidR="000548ED" w:rsidRPr="0012699A" w:rsidRDefault="00060A4D" w:rsidP="0012699A">
      <w:pPr>
        <w:spacing w:line="480" w:lineRule="auto"/>
        <w:ind w:left="720"/>
        <w:rPr>
          <w:rFonts w:ascii="Arial" w:hAnsi="Arial" w:cs="Arial"/>
          <w:color w:val="000000" w:themeColor="text1"/>
          <w:sz w:val="20"/>
          <w:szCs w:val="20"/>
        </w:rPr>
      </w:pPr>
      <w:hyperlink r:id="rId32" w:history="1">
        <w:r w:rsidR="0012699A" w:rsidRPr="0012699A">
          <w:rPr>
            <w:rStyle w:val="Hyperlink"/>
            <w:rFonts w:ascii="Arial" w:hAnsi="Arial" w:cs="Arial"/>
            <w:color w:val="000000" w:themeColor="text1"/>
            <w:sz w:val="20"/>
            <w:szCs w:val="20"/>
            <w:u w:val="none"/>
          </w:rPr>
          <w:t>https://training.unicef.org/disability/emergencies/downloads/UNICEF_WASH_English.pdf</w:t>
        </w:r>
      </w:hyperlink>
      <w:r w:rsidR="000548ED" w:rsidRPr="0012699A">
        <w:rPr>
          <w:rFonts w:ascii="Arial" w:hAnsi="Arial" w:cs="Arial"/>
          <w:color w:val="000000" w:themeColor="text1"/>
          <w:sz w:val="20"/>
          <w:szCs w:val="20"/>
        </w:rPr>
        <w:t>. Accessed 22 Feb 2019.</w:t>
      </w:r>
    </w:p>
    <w:p w14:paraId="218AB892"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UNICEF (2018) Humanitarian Action for Children 2018. www.unicef.org/appeals. Accessed 14 Mar </w:t>
      </w:r>
    </w:p>
    <w:p w14:paraId="1135B2CE" w14:textId="540010A0"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2019. </w:t>
      </w:r>
    </w:p>
    <w:p w14:paraId="24A964BE"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United Nations (1990) The United Nations Convention on the Rights of the Child. </w:t>
      </w:r>
    </w:p>
    <w:p w14:paraId="541935A4" w14:textId="29DB03F2"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https://www.unicef.org.uk/what-we-do/un-convention-child-rights/. Accessed 7 Nov 2018. </w:t>
      </w:r>
    </w:p>
    <w:p w14:paraId="0F3F9B86"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United Nations (2010a) UNGA Resolution 64/292. The human right to water and sanitation. </w:t>
      </w:r>
    </w:p>
    <w:p w14:paraId="662BC63E" w14:textId="523325D7"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https://undocs.org/en/A/RES/64/292. Accessed 17 Mar 2019. </w:t>
      </w:r>
    </w:p>
    <w:p w14:paraId="6924B304"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United Nations (2010b) HRC Res 15/9. Human rights and access to safe drinking water and </w:t>
      </w:r>
    </w:p>
    <w:p w14:paraId="3861276B" w14:textId="54D3A05B"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sanitation. </w:t>
      </w:r>
      <w:hyperlink r:id="rId33" w:history="1">
        <w:r w:rsidR="00741DF4" w:rsidRPr="0012699A">
          <w:rPr>
            <w:rStyle w:val="Hyperlink"/>
            <w:rFonts w:ascii="Arial" w:hAnsi="Arial" w:cs="Arial"/>
            <w:color w:val="000000" w:themeColor="text1"/>
            <w:sz w:val="20"/>
            <w:szCs w:val="20"/>
            <w:u w:val="none"/>
          </w:rPr>
          <w:t>https://undocs.org/A/HRC/RES/15/9. Accessed 17</w:t>
        </w:r>
      </w:hyperlink>
      <w:r w:rsidRPr="0012699A">
        <w:rPr>
          <w:rFonts w:ascii="Arial" w:hAnsi="Arial" w:cs="Arial"/>
          <w:color w:val="000000" w:themeColor="text1"/>
          <w:sz w:val="20"/>
          <w:szCs w:val="20"/>
        </w:rPr>
        <w:t xml:space="preserve"> Mar 2019. </w:t>
      </w:r>
    </w:p>
    <w:p w14:paraId="1AA4280A"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United Nations (2015) UNGA Resolution 70/169. The human rights to safe drinking water and </w:t>
      </w:r>
    </w:p>
    <w:p w14:paraId="0232071F" w14:textId="5E75C01B"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sanitation. </w:t>
      </w:r>
      <w:hyperlink r:id="rId34" w:history="1">
        <w:r w:rsidR="00741DF4" w:rsidRPr="0012699A">
          <w:rPr>
            <w:rStyle w:val="Hyperlink"/>
            <w:rFonts w:ascii="Arial" w:hAnsi="Arial" w:cs="Arial"/>
            <w:color w:val="000000" w:themeColor="text1"/>
            <w:sz w:val="20"/>
            <w:szCs w:val="20"/>
            <w:u w:val="none"/>
          </w:rPr>
          <w:t>https://undocs.org/en/A/RES/70/169. Accessed 17</w:t>
        </w:r>
      </w:hyperlink>
      <w:r w:rsidRPr="0012699A">
        <w:rPr>
          <w:rFonts w:ascii="Arial" w:hAnsi="Arial" w:cs="Arial"/>
          <w:color w:val="000000" w:themeColor="text1"/>
          <w:sz w:val="20"/>
          <w:szCs w:val="20"/>
        </w:rPr>
        <w:t xml:space="preserve"> Mar 2019.</w:t>
      </w:r>
    </w:p>
    <w:p w14:paraId="703EFC08"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lastRenderedPageBreak/>
        <w:t xml:space="preserve">United Nations (2016) Sustainable Development Goal 6. https://sustainabledevelopment.un.org/sdg6. </w:t>
      </w:r>
    </w:p>
    <w:p w14:paraId="5447DC2B" w14:textId="5AC5C5B8"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Accessed 15 Nov 2018.</w:t>
      </w:r>
    </w:p>
    <w:p w14:paraId="2F17D4AF"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United Nations Committee on the Rights of the Child (2009) General Comment on A12 Right to Be </w:t>
      </w:r>
    </w:p>
    <w:p w14:paraId="0A751F77" w14:textId="3B57B718" w:rsidR="005E2D6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Heard. </w:t>
      </w:r>
      <w:hyperlink r:id="rId35" w:history="1">
        <w:r w:rsidR="005E2D6D" w:rsidRPr="0012699A">
          <w:rPr>
            <w:rStyle w:val="Hyperlink"/>
            <w:rFonts w:ascii="Arial" w:hAnsi="Arial" w:cs="Arial"/>
            <w:color w:val="000000" w:themeColor="text1"/>
            <w:sz w:val="20"/>
            <w:szCs w:val="20"/>
            <w:u w:val="none"/>
          </w:rPr>
          <w:t>http://www.crae.org.uk/publications-</w:t>
        </w:r>
      </w:hyperlink>
    </w:p>
    <w:p w14:paraId="63D64865" w14:textId="78986C06" w:rsidR="000548ED" w:rsidRPr="0012699A" w:rsidRDefault="000548ED" w:rsidP="005E2D6D">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resources/uncrc-general-comment-on-right-to-be-heard-(article-12)/. Accessed 31 Mar 2019.</w:t>
      </w:r>
    </w:p>
    <w:p w14:paraId="3CEE96D6" w14:textId="29E01DE1" w:rsidR="005E2D6D"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Visser M (2012) External Evaluation </w:t>
      </w:r>
      <w:r w:rsidR="00616BB3">
        <w:rPr>
          <w:rFonts w:ascii="Arial" w:hAnsi="Arial" w:cs="Arial"/>
          <w:color w:val="000000" w:themeColor="text1"/>
          <w:sz w:val="20"/>
          <w:szCs w:val="20"/>
        </w:rPr>
        <w:t>WASH</w:t>
      </w:r>
      <w:r w:rsidRPr="0012699A">
        <w:rPr>
          <w:rFonts w:ascii="Arial" w:hAnsi="Arial" w:cs="Arial"/>
          <w:color w:val="000000" w:themeColor="text1"/>
          <w:sz w:val="20"/>
          <w:szCs w:val="20"/>
        </w:rPr>
        <w:t xml:space="preserve"> Provision in Bahn Refugee Camp in Nimba, Liberia. </w:t>
      </w:r>
    </w:p>
    <w:p w14:paraId="2EA43551" w14:textId="081785D9" w:rsidR="000548ED" w:rsidRPr="0012699A" w:rsidRDefault="00060A4D" w:rsidP="0012699A">
      <w:pPr>
        <w:spacing w:line="480" w:lineRule="auto"/>
        <w:ind w:left="720"/>
        <w:rPr>
          <w:rFonts w:ascii="Arial" w:hAnsi="Arial" w:cs="Arial"/>
          <w:color w:val="000000" w:themeColor="text1"/>
          <w:sz w:val="20"/>
          <w:szCs w:val="20"/>
        </w:rPr>
      </w:pPr>
      <w:hyperlink r:id="rId36" w:history="1">
        <w:r w:rsidR="0012699A" w:rsidRPr="0012699A">
          <w:rPr>
            <w:rStyle w:val="Hyperlink"/>
            <w:rFonts w:ascii="Arial" w:hAnsi="Arial" w:cs="Arial"/>
            <w:color w:val="000000" w:themeColor="text1"/>
            <w:sz w:val="20"/>
            <w:szCs w:val="20"/>
            <w:u w:val="none"/>
          </w:rPr>
          <w:t>https://www.alnap.org/system/files/content/resource/files/main/acf-bahn-camp-liberia-wash-</w:t>
        </w:r>
      </w:hyperlink>
      <w:r w:rsidR="000548ED" w:rsidRPr="0012699A">
        <w:rPr>
          <w:rFonts w:ascii="Arial" w:hAnsi="Arial" w:cs="Arial"/>
          <w:color w:val="000000" w:themeColor="text1"/>
          <w:sz w:val="20"/>
          <w:szCs w:val="20"/>
        </w:rPr>
        <w:t xml:space="preserve">evaluation-report.pdf. Accessed 7 Mar 2019. </w:t>
      </w:r>
    </w:p>
    <w:p w14:paraId="24A95FEC"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WHO (2008) Managing WHO Humanitarian Response in the Field. </w:t>
      </w:r>
    </w:p>
    <w:p w14:paraId="6C9E2A1B" w14:textId="0976911B"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https://www.who.int/hac/techguidance/tools/full_manual.pdf. Accessed 14 Nov 2018.</w:t>
      </w:r>
    </w:p>
    <w:p w14:paraId="57E1373B"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WHO (2018) Health topics: Sanitation. https://www.who.int/topics/sanitation/en/. Accessed 17 Mar </w:t>
      </w:r>
    </w:p>
    <w:p w14:paraId="0AC24B2B" w14:textId="10D1B389"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2019. </w:t>
      </w:r>
    </w:p>
    <w:p w14:paraId="7535D5BB"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Yates T, Allen Vujcic J, Leandre Joseph M, et al (2018) Efficacy and effectiveness of water, </w:t>
      </w:r>
    </w:p>
    <w:p w14:paraId="20C82C42" w14:textId="0909773F" w:rsidR="000548ED" w:rsidRPr="0012699A" w:rsidRDefault="000548ED" w:rsidP="0012699A">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sanitation, and hygiene interventions in emergencies in low-and middle-income countries: a systematic review. Waterlines 37. doi: 10.3362/1756-3488.17-00016.</w:t>
      </w:r>
    </w:p>
    <w:p w14:paraId="629580EC" w14:textId="77777777" w:rsidR="0012699A" w:rsidRPr="0012699A" w:rsidRDefault="000548ED" w:rsidP="0012699A">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Zakaria F, Muratbegovic A, Brdjanovic D, et al (2017) Evaluation of a smart toilet in an emergency </w:t>
      </w:r>
    </w:p>
    <w:p w14:paraId="3A569BD8" w14:textId="17604075" w:rsidR="000548ED"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 xml:space="preserve">camp. Int J Disaster Risk Reduct 27:512–523. doi: 10.1016/j.ijdrr.2017.11.015. </w:t>
      </w:r>
    </w:p>
    <w:p w14:paraId="6F2780BB" w14:textId="77777777" w:rsidR="0012699A" w:rsidRPr="0012699A" w:rsidRDefault="000548ED" w:rsidP="00DA5727">
      <w:pPr>
        <w:spacing w:line="480" w:lineRule="auto"/>
        <w:rPr>
          <w:rFonts w:ascii="Arial" w:hAnsi="Arial" w:cs="Arial"/>
          <w:color w:val="000000" w:themeColor="text1"/>
          <w:sz w:val="20"/>
          <w:szCs w:val="20"/>
        </w:rPr>
      </w:pPr>
      <w:r w:rsidRPr="0012699A">
        <w:rPr>
          <w:rFonts w:ascii="Arial" w:hAnsi="Arial" w:cs="Arial"/>
          <w:color w:val="000000" w:themeColor="text1"/>
          <w:sz w:val="20"/>
          <w:szCs w:val="20"/>
        </w:rPr>
        <w:t xml:space="preserve">Zomerplaag J, Moojiman A (2005) Child-Friendly Hygiene and Sanitation Facilities in Schools: </w:t>
      </w:r>
    </w:p>
    <w:p w14:paraId="3FAE4675" w14:textId="77777777" w:rsidR="0012699A" w:rsidRPr="0012699A" w:rsidRDefault="000548ED" w:rsidP="0012699A">
      <w:pPr>
        <w:spacing w:line="480" w:lineRule="auto"/>
        <w:ind w:firstLine="720"/>
        <w:rPr>
          <w:rFonts w:ascii="Arial" w:hAnsi="Arial" w:cs="Arial"/>
          <w:color w:val="000000" w:themeColor="text1"/>
          <w:sz w:val="20"/>
          <w:szCs w:val="20"/>
        </w:rPr>
      </w:pPr>
      <w:r w:rsidRPr="0012699A">
        <w:rPr>
          <w:rFonts w:ascii="Arial" w:hAnsi="Arial" w:cs="Arial"/>
          <w:color w:val="000000" w:themeColor="text1"/>
          <w:sz w:val="20"/>
          <w:szCs w:val="20"/>
        </w:rPr>
        <w:t>Indispensable to effective hygiene education.</w:t>
      </w:r>
    </w:p>
    <w:p w14:paraId="34076F07" w14:textId="229EC312" w:rsidR="000548ED" w:rsidRPr="0012699A" w:rsidRDefault="000548ED" w:rsidP="0012699A">
      <w:pPr>
        <w:spacing w:line="480" w:lineRule="auto"/>
        <w:ind w:left="720"/>
        <w:rPr>
          <w:rFonts w:ascii="Arial" w:hAnsi="Arial" w:cs="Arial"/>
          <w:color w:val="000000" w:themeColor="text1"/>
          <w:sz w:val="20"/>
          <w:szCs w:val="20"/>
        </w:rPr>
      </w:pPr>
      <w:r w:rsidRPr="0012699A">
        <w:rPr>
          <w:rFonts w:ascii="Arial" w:hAnsi="Arial" w:cs="Arial"/>
          <w:color w:val="000000" w:themeColor="text1"/>
          <w:sz w:val="20"/>
          <w:szCs w:val="20"/>
        </w:rPr>
        <w:t>https://www.ircwash.org/sites/default/files/Zomerplaag-2005-Child.pdf. Accessed 10 Mar 2019.</w:t>
      </w:r>
    </w:p>
    <w:p w14:paraId="2E21F1CF" w14:textId="77777777" w:rsidR="000548ED" w:rsidRPr="000548ED" w:rsidRDefault="000548ED" w:rsidP="00DA5727">
      <w:pPr>
        <w:spacing w:line="480" w:lineRule="auto"/>
        <w:rPr>
          <w:rFonts w:ascii="Arial" w:hAnsi="Arial" w:cs="Arial"/>
          <w:sz w:val="20"/>
          <w:szCs w:val="20"/>
        </w:rPr>
      </w:pPr>
    </w:p>
    <w:p w14:paraId="46A7E48E" w14:textId="15675733" w:rsidR="00432843" w:rsidRPr="000548ED" w:rsidRDefault="00432843" w:rsidP="00DA5727">
      <w:pPr>
        <w:spacing w:line="480" w:lineRule="auto"/>
        <w:rPr>
          <w:rFonts w:ascii="Arial" w:hAnsi="Arial" w:cs="Arial"/>
          <w:sz w:val="20"/>
          <w:szCs w:val="20"/>
        </w:rPr>
      </w:pPr>
    </w:p>
    <w:sectPr w:rsidR="00432843" w:rsidRPr="000548ED" w:rsidSect="004F7F2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8C5"/>
    <w:rsid w:val="00002948"/>
    <w:rsid w:val="000125D4"/>
    <w:rsid w:val="000548ED"/>
    <w:rsid w:val="0005564D"/>
    <w:rsid w:val="00060A4D"/>
    <w:rsid w:val="00062E16"/>
    <w:rsid w:val="00081595"/>
    <w:rsid w:val="00096DFB"/>
    <w:rsid w:val="000A22B8"/>
    <w:rsid w:val="000B4AC3"/>
    <w:rsid w:val="000D0DC2"/>
    <w:rsid w:val="00117836"/>
    <w:rsid w:val="00121C38"/>
    <w:rsid w:val="0012699A"/>
    <w:rsid w:val="001578C5"/>
    <w:rsid w:val="00157B96"/>
    <w:rsid w:val="00187C4F"/>
    <w:rsid w:val="001A7E5C"/>
    <w:rsid w:val="001F5CD8"/>
    <w:rsid w:val="001F6D44"/>
    <w:rsid w:val="00205024"/>
    <w:rsid w:val="00266540"/>
    <w:rsid w:val="002A272B"/>
    <w:rsid w:val="00307FDB"/>
    <w:rsid w:val="003107A2"/>
    <w:rsid w:val="003159BE"/>
    <w:rsid w:val="00331AA0"/>
    <w:rsid w:val="00352BA2"/>
    <w:rsid w:val="00356DB8"/>
    <w:rsid w:val="0036333C"/>
    <w:rsid w:val="00392A85"/>
    <w:rsid w:val="003A0DB6"/>
    <w:rsid w:val="003D45D2"/>
    <w:rsid w:val="004020E6"/>
    <w:rsid w:val="00402712"/>
    <w:rsid w:val="00420926"/>
    <w:rsid w:val="00432843"/>
    <w:rsid w:val="00452969"/>
    <w:rsid w:val="004643F5"/>
    <w:rsid w:val="004744CA"/>
    <w:rsid w:val="004943EA"/>
    <w:rsid w:val="004A088A"/>
    <w:rsid w:val="004A1736"/>
    <w:rsid w:val="004F7F20"/>
    <w:rsid w:val="0050102E"/>
    <w:rsid w:val="00502ACE"/>
    <w:rsid w:val="00524163"/>
    <w:rsid w:val="00532048"/>
    <w:rsid w:val="00550F8E"/>
    <w:rsid w:val="00580B8B"/>
    <w:rsid w:val="005B6BA1"/>
    <w:rsid w:val="005C2F6B"/>
    <w:rsid w:val="005D07BD"/>
    <w:rsid w:val="005E2C51"/>
    <w:rsid w:val="005E2D6D"/>
    <w:rsid w:val="00613BC5"/>
    <w:rsid w:val="00616BB3"/>
    <w:rsid w:val="006234E3"/>
    <w:rsid w:val="00637623"/>
    <w:rsid w:val="006532E3"/>
    <w:rsid w:val="00657438"/>
    <w:rsid w:val="006825D2"/>
    <w:rsid w:val="006A1922"/>
    <w:rsid w:val="006C7499"/>
    <w:rsid w:val="006E4BA7"/>
    <w:rsid w:val="006F0BFE"/>
    <w:rsid w:val="006F1D0C"/>
    <w:rsid w:val="00715E93"/>
    <w:rsid w:val="0073567D"/>
    <w:rsid w:val="00737657"/>
    <w:rsid w:val="007409E9"/>
    <w:rsid w:val="00741DF4"/>
    <w:rsid w:val="00765A18"/>
    <w:rsid w:val="007810D7"/>
    <w:rsid w:val="00783344"/>
    <w:rsid w:val="007B28D5"/>
    <w:rsid w:val="0082607A"/>
    <w:rsid w:val="00861590"/>
    <w:rsid w:val="00871A8D"/>
    <w:rsid w:val="008863C5"/>
    <w:rsid w:val="00892312"/>
    <w:rsid w:val="00897AD9"/>
    <w:rsid w:val="00897D36"/>
    <w:rsid w:val="008C1463"/>
    <w:rsid w:val="008D6996"/>
    <w:rsid w:val="0090202E"/>
    <w:rsid w:val="009108FE"/>
    <w:rsid w:val="00933CCB"/>
    <w:rsid w:val="0096462D"/>
    <w:rsid w:val="00965E9F"/>
    <w:rsid w:val="009D7666"/>
    <w:rsid w:val="009E1534"/>
    <w:rsid w:val="009E338A"/>
    <w:rsid w:val="009E500E"/>
    <w:rsid w:val="00A22B0D"/>
    <w:rsid w:val="00A249E1"/>
    <w:rsid w:val="00A34B2F"/>
    <w:rsid w:val="00A450F9"/>
    <w:rsid w:val="00A56195"/>
    <w:rsid w:val="00A83E00"/>
    <w:rsid w:val="00A91557"/>
    <w:rsid w:val="00AB0B72"/>
    <w:rsid w:val="00AD102E"/>
    <w:rsid w:val="00AE4288"/>
    <w:rsid w:val="00B00FC6"/>
    <w:rsid w:val="00B4516B"/>
    <w:rsid w:val="00B47D69"/>
    <w:rsid w:val="00B557A1"/>
    <w:rsid w:val="00B64DAA"/>
    <w:rsid w:val="00B85518"/>
    <w:rsid w:val="00B927C9"/>
    <w:rsid w:val="00BA5413"/>
    <w:rsid w:val="00BD15C6"/>
    <w:rsid w:val="00BD6A80"/>
    <w:rsid w:val="00C2616E"/>
    <w:rsid w:val="00C473C6"/>
    <w:rsid w:val="00C5436F"/>
    <w:rsid w:val="00C87D9E"/>
    <w:rsid w:val="00CB1A48"/>
    <w:rsid w:val="00CC6981"/>
    <w:rsid w:val="00D04BAE"/>
    <w:rsid w:val="00D04FA2"/>
    <w:rsid w:val="00D13ED7"/>
    <w:rsid w:val="00D2451F"/>
    <w:rsid w:val="00D25B3E"/>
    <w:rsid w:val="00D37524"/>
    <w:rsid w:val="00D7441D"/>
    <w:rsid w:val="00D75417"/>
    <w:rsid w:val="00DA4A53"/>
    <w:rsid w:val="00DA5727"/>
    <w:rsid w:val="00DF23DA"/>
    <w:rsid w:val="00E2506C"/>
    <w:rsid w:val="00E31DF6"/>
    <w:rsid w:val="00E435A2"/>
    <w:rsid w:val="00E75EC4"/>
    <w:rsid w:val="00EB26E3"/>
    <w:rsid w:val="00F1199C"/>
    <w:rsid w:val="00F17726"/>
    <w:rsid w:val="00F34B43"/>
    <w:rsid w:val="00F81587"/>
    <w:rsid w:val="00FD7A07"/>
    <w:rsid w:val="00FF6097"/>
    <w:rsid w:val="00FF7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2BB20"/>
  <w15:chartTrackingRefBased/>
  <w15:docId w15:val="{CA97E0BB-B2E2-EA4B-8D02-586E85751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451F"/>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D69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6996"/>
    <w:rPr>
      <w:rFonts w:ascii="Times New Roman" w:hAnsi="Times New Roman" w:cs="Times New Roman"/>
      <w:sz w:val="18"/>
      <w:szCs w:val="18"/>
    </w:rPr>
  </w:style>
  <w:style w:type="character" w:styleId="Hyperlink">
    <w:name w:val="Hyperlink"/>
    <w:basedOn w:val="DefaultParagraphFont"/>
    <w:uiPriority w:val="99"/>
    <w:unhideWhenUsed/>
    <w:rsid w:val="00452969"/>
    <w:rPr>
      <w:color w:val="0563C1" w:themeColor="hyperlink"/>
      <w:u w:val="single"/>
    </w:rPr>
  </w:style>
  <w:style w:type="character" w:customStyle="1" w:styleId="UnresolvedMention1">
    <w:name w:val="Unresolved Mention1"/>
    <w:basedOn w:val="DefaultParagraphFont"/>
    <w:uiPriority w:val="99"/>
    <w:semiHidden/>
    <w:unhideWhenUsed/>
    <w:rsid w:val="00452969"/>
    <w:rPr>
      <w:color w:val="605E5C"/>
      <w:shd w:val="clear" w:color="auto" w:fill="E1DFDD"/>
    </w:rPr>
  </w:style>
  <w:style w:type="character" w:styleId="CommentReference">
    <w:name w:val="annotation reference"/>
    <w:basedOn w:val="DefaultParagraphFont"/>
    <w:uiPriority w:val="99"/>
    <w:semiHidden/>
    <w:unhideWhenUsed/>
    <w:rsid w:val="003107A2"/>
    <w:rPr>
      <w:sz w:val="16"/>
      <w:szCs w:val="16"/>
    </w:rPr>
  </w:style>
  <w:style w:type="paragraph" w:styleId="CommentText">
    <w:name w:val="annotation text"/>
    <w:basedOn w:val="Normal"/>
    <w:link w:val="CommentTextChar"/>
    <w:uiPriority w:val="99"/>
    <w:semiHidden/>
    <w:unhideWhenUsed/>
    <w:rsid w:val="003107A2"/>
    <w:rPr>
      <w:sz w:val="20"/>
      <w:szCs w:val="20"/>
    </w:rPr>
  </w:style>
  <w:style w:type="character" w:customStyle="1" w:styleId="CommentTextChar">
    <w:name w:val="Comment Text Char"/>
    <w:basedOn w:val="DefaultParagraphFont"/>
    <w:link w:val="CommentText"/>
    <w:uiPriority w:val="99"/>
    <w:semiHidden/>
    <w:rsid w:val="003107A2"/>
    <w:rPr>
      <w:sz w:val="20"/>
      <w:szCs w:val="20"/>
    </w:rPr>
  </w:style>
  <w:style w:type="paragraph" w:styleId="CommentSubject">
    <w:name w:val="annotation subject"/>
    <w:basedOn w:val="CommentText"/>
    <w:next w:val="CommentText"/>
    <w:link w:val="CommentSubjectChar"/>
    <w:uiPriority w:val="99"/>
    <w:semiHidden/>
    <w:unhideWhenUsed/>
    <w:rsid w:val="003107A2"/>
    <w:rPr>
      <w:b/>
      <w:bCs/>
    </w:rPr>
  </w:style>
  <w:style w:type="character" w:customStyle="1" w:styleId="CommentSubjectChar">
    <w:name w:val="Comment Subject Char"/>
    <w:basedOn w:val="CommentTextChar"/>
    <w:link w:val="CommentSubject"/>
    <w:uiPriority w:val="99"/>
    <w:semiHidden/>
    <w:rsid w:val="003107A2"/>
    <w:rPr>
      <w:b/>
      <w:bCs/>
      <w:sz w:val="20"/>
      <w:szCs w:val="20"/>
    </w:rPr>
  </w:style>
  <w:style w:type="character" w:styleId="UnresolvedMention">
    <w:name w:val="Unresolved Mention"/>
    <w:basedOn w:val="DefaultParagraphFont"/>
    <w:uiPriority w:val="99"/>
    <w:semiHidden/>
    <w:unhideWhenUsed/>
    <w:rsid w:val="00DA5727"/>
    <w:rPr>
      <w:color w:val="605E5C"/>
      <w:shd w:val="clear" w:color="auto" w:fill="E1DFDD"/>
    </w:rPr>
  </w:style>
  <w:style w:type="character" w:styleId="FollowedHyperlink">
    <w:name w:val="FollowedHyperlink"/>
    <w:basedOn w:val="DefaultParagraphFont"/>
    <w:uiPriority w:val="99"/>
    <w:semiHidden/>
    <w:unhideWhenUsed/>
    <w:rsid w:val="00A915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shmatters.wateraid.org/publications/compendium-of-accessible-wash-technologies" TargetMode="External"/><Relationship Id="rId18" Type="http://schemas.openxmlformats.org/officeDocument/2006/relationships/hyperlink" Target="https://policy-practice.oxfam.org.uk/publications/oxfam-minimum-requirements-for-wash-" TargetMode="External"/><Relationship Id="rId26" Type="http://schemas.openxmlformats.org/officeDocument/2006/relationships/hyperlink" Target="https://alliancecpha.org/en/CPMS_home.%20Accessed%2030%20Dec%202020" TargetMode="External"/><Relationship Id="rId21" Type="http://schemas.openxmlformats.org/officeDocument/2006/relationships/hyperlink" Target="https://oxfamilibrary.openrepository.com/bitstream/handle/10546/620617/gd-listening-community-engagement-emergency-sanitation-050219-" TargetMode="External"/><Relationship Id="rId34" Type="http://schemas.openxmlformats.org/officeDocument/2006/relationships/hyperlink" Target="https://undocs.org/en/A/RES/70/169.%20Accessed%2017" TargetMode="External"/><Relationship Id="rId7" Type="http://schemas.openxmlformats.org/officeDocument/2006/relationships/hyperlink" Target="https://www.plan-" TargetMode="External"/><Relationship Id="rId12" Type="http://schemas.openxmlformats.org/officeDocument/2006/relationships/hyperlink" Target="https://www.susana.org/lang-en/working-" TargetMode="External"/><Relationship Id="rId17" Type="http://schemas.openxmlformats.org/officeDocument/2006/relationships/hyperlink" Target="https://www.unocha.org/global-humanitarian-" TargetMode="External"/><Relationship Id="rId25" Type="http://schemas.openxmlformats.org/officeDocument/2006/relationships/hyperlink" Target="https://www.rescue.org/sites/default/files/document/2248/irccompassglobalreport.pdf" TargetMode="External"/><Relationship Id="rId33" Type="http://schemas.openxmlformats.org/officeDocument/2006/relationships/hyperlink" Target="https://undocs.org/A/HRC/RES/15/9.%20Accessed%2017"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lnap.org/system/files/content/resource/files/main/children-participation-" TargetMode="External"/><Relationship Id="rId20" Type="http://schemas.openxmlformats.org/officeDocument/2006/relationships/hyperlink" Target="https://www.reachresourcecentre.info/system/files/resource-" TargetMode="External"/><Relationship Id="rId29" Type="http://schemas.openxmlformats.org/officeDocument/2006/relationships/hyperlink" Target="https://popstats.unhcr.org/en/demographics" TargetMode="External"/><Relationship Id="rId1" Type="http://schemas.openxmlformats.org/officeDocument/2006/relationships/customXml" Target="../customXml/item1.xml"/><Relationship Id="rId6" Type="http://schemas.openxmlformats.org/officeDocument/2006/relationships/hyperlink" Target="https://reliefweb.int/report/world/humanitarian-inclusion-standards-older-people-and-people-disabilities" TargetMode="External"/><Relationship Id="rId11" Type="http://schemas.openxmlformats.org/officeDocument/2006/relationships/hyperlink" Target="https://www.elrha.org/wp-content/uploads/2015/02/2014-10-11-Emergency-WASH-for-" TargetMode="External"/><Relationship Id="rId24" Type="http://schemas.openxmlformats.org/officeDocument/2006/relationships/hyperlink" Target="https://www.rescue.org/sites/default/files/document/2248/irccompassglobalreport.pdf" TargetMode="External"/><Relationship Id="rId32" Type="http://schemas.openxmlformats.org/officeDocument/2006/relationships/hyperlink" Target="https://training.unicef.org/disability/emergencies/downloads/UNICEF_WASH_English.pdf" TargetMode="External"/><Relationship Id="rId37" Type="http://schemas.openxmlformats.org/officeDocument/2006/relationships/fontTable" Target="fontTable.xml"/><Relationship Id="rId5" Type="http://schemas.openxmlformats.org/officeDocument/2006/relationships/hyperlink" Target="https://www.ircwash.org/sites/default/files/acfi-2005-water.pdf.%20Accessed%207" TargetMode="External"/><Relationship Id="rId15" Type="http://schemas.openxmlformats.org/officeDocument/2006/relationships/hyperlink" Target="http://refbooks.msf.org/msf_docs/en/public_health/public_health_en.pdf" TargetMode="External"/><Relationship Id="rId23" Type="http://schemas.openxmlformats.org/officeDocument/2006/relationships/hyperlink" Target="http://www.practicalactionpublishing.org/sphere.%20Accessed%2014" TargetMode="External"/><Relationship Id="rId28" Type="http://schemas.openxmlformats.org/officeDocument/2006/relationships/hyperlink" Target="https://wash.unhcr.org/unhcr-wash-standards-and-" TargetMode="External"/><Relationship Id="rId36" Type="http://schemas.openxmlformats.org/officeDocument/2006/relationships/hyperlink" Target="https://www.alnap.org/system/files/content/resource/files/main/acf-bahn-camp-liberia-wash-" TargetMode="External"/><Relationship Id="rId10" Type="http://schemas.openxmlformats.org/officeDocument/2006/relationships/hyperlink" Target="http://www.eclipse-" TargetMode="External"/><Relationship Id="rId19" Type="http://schemas.openxmlformats.org/officeDocument/2006/relationships/hyperlink" Target="https://policy-practice.oxfam.org.uk/publications/oxfam-minimum-requirements-for-wash-" TargetMode="External"/><Relationship Id="rId31" Type="http://schemas.openxmlformats.org/officeDocument/2006/relationships/hyperlink" Target="https://www.unicef.org/supply/files/2017.05.02_QA_Latrine_Slab.pdf.%20Accessed%2021" TargetMode="External"/><Relationship Id="rId4" Type="http://schemas.openxmlformats.org/officeDocument/2006/relationships/webSettings" Target="webSettings.xml"/><Relationship Id="rId9" Type="http://schemas.openxmlformats.org/officeDocument/2006/relationships/hyperlink" Target="https://www.alnap.org/system/files/content/resource/files/main/hif-wash-gap-" TargetMode="External"/><Relationship Id="rId14" Type="http://schemas.openxmlformats.org/officeDocument/2006/relationships/hyperlink" Target="https://www.globalprotectioncluster.org/_assets/files/tools_and_guidance/age_gender_diversity/Report_Sex_Age_Matter_2011_EN.pdf.%20Accessed%204" TargetMode="External"/><Relationship Id="rId22" Type="http://schemas.openxmlformats.org/officeDocument/2006/relationships/hyperlink" Target="https://www.elrha.org/wp-content/uploads/2015/02/Annex-E-" TargetMode="External"/><Relationship Id="rId27" Type="http://schemas.openxmlformats.org/officeDocument/2006/relationships/hyperlink" Target="https://wash.unhcr.org/download/design-guidelines-for-toilets-in-refugee-" TargetMode="External"/><Relationship Id="rId30" Type="http://schemas.openxmlformats.org/officeDocument/2006/relationships/hyperlink" Target="https://www.unicef.org/supply/files/2017.04.05_Accessible_Latrine_Slab_TPP_v2.2.pdf" TargetMode="External"/><Relationship Id="rId35" Type="http://schemas.openxmlformats.org/officeDocument/2006/relationships/hyperlink" Target="http://www.crae.org.uk/publications-" TargetMode="External"/><Relationship Id="rId8" Type="http://schemas.openxmlformats.org/officeDocument/2006/relationships/hyperlink" Target="https://www.humanitarianresponse.info/sites/www.humanitarianresponse.info/files/documents/files/final_draft_wash_guideline_23feb17.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03176-4126-AC47-93CB-88744855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15479</Words>
  <Characters>88233</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Rosato-Scott</dc:creator>
  <cp:keywords/>
  <dc:description/>
  <cp:lastModifiedBy>Claire Rosato-Scott</cp:lastModifiedBy>
  <cp:revision>3</cp:revision>
  <dcterms:created xsi:type="dcterms:W3CDTF">2021-02-26T22:34:00Z</dcterms:created>
  <dcterms:modified xsi:type="dcterms:W3CDTF">2021-02-26T22:41:00Z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0086b13b-2c57-3da9-9669-af90d9fdff31</vt:lpwstr>
  </property>
  <property fmtid="{D5CDD505-2E9C-101B-9397-08002B2CF9AE}" pid="4" name="Mendeley Citation Style_1">
    <vt:lpwstr>http://www.zotero.org/styles/springer-basic-author-date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http://www.zotero.org/styles/springer-basic-author-date</vt:lpwstr>
  </property>
  <property fmtid="{D5CDD505-2E9C-101B-9397-08002B2CF9AE}" pid="22" name="Mendeley Recent Style Name 8_1">
    <vt:lpwstr>Springer - Basic (author-date)</vt:lpwstr>
  </property>
  <property fmtid="{D5CDD505-2E9C-101B-9397-08002B2CF9AE}" pid="23" name="Mendeley Recent Style Id 9_1">
    <vt:lpwstr>http://www.zotero.org/styles/harvard-university-of-leeds</vt:lpwstr>
  </property>
  <property fmtid="{D5CDD505-2E9C-101B-9397-08002B2CF9AE}" pid="24" name="Mendeley Recent Style Name 9_1">
    <vt:lpwstr>University of Leeds - Harvard</vt:lpwstr>
  </property>
</Properties>
</file>