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4C" w:rsidRPr="008E3D4C" w:rsidRDefault="008E3D4C" w:rsidP="008E3D4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Appendix A: </w:t>
      </w:r>
    </w:p>
    <w:p w:rsidR="008E3D4C" w:rsidRPr="008E3D4C" w:rsidRDefault="008E3D4C" w:rsidP="008E3D4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LESS-scale: Literature Evaluation System for Scars (Adapted from Miller Methodological Rating Scale 1995)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Methodological Attributes Points Awarded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Research Question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clear and well defined research question addressed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The study addresses a clear and well defined research question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Study Design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Single group pretest-posttest</w:t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2.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Quasi-experimental (nonequivalent control group / non-randomization)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3.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Randomization with control group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Replicability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Intervention or follow-up description insufficiently detailed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Procedures contain sufficient detail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Baseline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baseline scores, client characteristics or measures reported</w:t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Baseline scores, client characteristics or measures reported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2.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Baseline equality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Quality control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intervention standardized specified</w:t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Intervention standardized by manual, procedures, specific training and so forth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Follow-up length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Less than 6 months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6-11 months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2.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12 months or longer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Follow-up rate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Less than 80% completion or no report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80% to 100% completion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Compliance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report on compliance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Compliance rate as exclusion criterion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Objective verification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objective verification of records</w:t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Verification of records (paper records, medical charts, diagnostic interviews, data storage)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Dropouts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discussion or enumeration of dropouts or dropout excluded from analysis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Intervention dropout enumerated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Independent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Non-blinded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Single-blinded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2.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Double-blinded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Reliability of outcome measures (OM)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reliable OM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Reliable subjective OM alone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2.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Reliable objective OM alone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3.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Reliable subjective and objective OM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Analyses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ind w:left="705" w:hanging="705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statistical analyses conducted or clearly inappropriate analyses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Appropriate statistical analyses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Conflict of interest 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report of conflict of interest or industry sponsored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 conflict of interest reported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Review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0.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Not published in a peer-reviewed journal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r w:rsidRPr="008E3D4C">
        <w:rPr>
          <w:rFonts w:ascii="Arial" w:eastAsia="Calibri" w:hAnsi="Arial" w:cs="Arial"/>
          <w:sz w:val="24"/>
          <w:szCs w:val="24"/>
          <w:lang w:val="en-US"/>
        </w:rPr>
        <w:tab/>
        <w:t>Published in a peer-reviewed journal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NOTE: 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 xml:space="preserve">Scores could range from 0 (low) to 22 (high). </w:t>
      </w:r>
    </w:p>
    <w:p w:rsidR="008E3D4C" w:rsidRPr="008E3D4C" w:rsidRDefault="008E3D4C" w:rsidP="008E3D4C">
      <w:pPr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  <w:r w:rsidRPr="008E3D4C">
        <w:rPr>
          <w:rFonts w:ascii="Arial" w:eastAsia="Calibri" w:hAnsi="Arial" w:cs="Arial"/>
          <w:sz w:val="24"/>
          <w:szCs w:val="24"/>
          <w:lang w:val="en-US"/>
        </w:rPr>
        <w:t>Adapted from Miller et al. (1995) and Vaughn and Howard (2003).</w:t>
      </w:r>
    </w:p>
    <w:p w:rsidR="001871D6" w:rsidRDefault="001871D6">
      <w:bookmarkStart w:id="0" w:name="_GoBack"/>
      <w:bookmarkEnd w:id="0"/>
    </w:p>
    <w:sectPr w:rsidR="0018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14"/>
    <w:rsid w:val="001871D6"/>
    <w:rsid w:val="008E3D4C"/>
    <w:rsid w:val="00E8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69130-209C-45F4-9132-00ED029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Moortgat</dc:creator>
  <cp:keywords/>
  <dc:description/>
  <cp:lastModifiedBy>Peter Moortgat</cp:lastModifiedBy>
  <cp:revision>2</cp:revision>
  <dcterms:created xsi:type="dcterms:W3CDTF">2015-08-25T14:10:00Z</dcterms:created>
  <dcterms:modified xsi:type="dcterms:W3CDTF">2015-08-25T14:11:00Z</dcterms:modified>
</cp:coreProperties>
</file>