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335" w:rsidRDefault="00060335" w:rsidP="000E7218">
      <w:pPr>
        <w:ind w:firstLine="720"/>
        <w:jc w:val="center"/>
        <w:rPr>
          <w:u w:val="single"/>
        </w:rPr>
      </w:pPr>
      <w:r>
        <w:rPr>
          <w:u w:val="single"/>
        </w:rPr>
        <w:t>Quality Assessment</w:t>
      </w:r>
    </w:p>
    <w:p w:rsidR="00060335" w:rsidRDefault="00060335" w:rsidP="00060335">
      <w:pPr>
        <w:rPr>
          <w:sz w:val="28"/>
        </w:rPr>
      </w:pPr>
    </w:p>
    <w:p w:rsidR="00060335" w:rsidRDefault="00060335" w:rsidP="00060335">
      <w:pPr>
        <w:rPr>
          <w:b/>
          <w:color w:val="2F5496" w:themeColor="accent5" w:themeShade="BF"/>
          <w:shd w:val="clear" w:color="auto" w:fill="FFFFFF"/>
        </w:rPr>
      </w:pPr>
      <w:r>
        <w:rPr>
          <w:b/>
          <w:color w:val="2F5496" w:themeColor="accent5" w:themeShade="BF"/>
          <w:shd w:val="clear" w:color="auto" w:fill="FFFFFF"/>
        </w:rPr>
        <w:t>Cohort studies</w:t>
      </w:r>
    </w:p>
    <w:tbl>
      <w:tblPr>
        <w:tblStyle w:val="TableGrid"/>
        <w:tblW w:w="13921" w:type="dxa"/>
        <w:tblLook w:val="04A0" w:firstRow="1" w:lastRow="0" w:firstColumn="1" w:lastColumn="0" w:noHBand="0" w:noVBand="1"/>
      </w:tblPr>
      <w:tblGrid>
        <w:gridCol w:w="1116"/>
        <w:gridCol w:w="1649"/>
        <w:gridCol w:w="1286"/>
        <w:gridCol w:w="1813"/>
        <w:gridCol w:w="1321"/>
        <w:gridCol w:w="1388"/>
        <w:gridCol w:w="1703"/>
        <w:gridCol w:w="943"/>
        <w:gridCol w:w="1151"/>
        <w:gridCol w:w="1551"/>
      </w:tblGrid>
      <w:tr w:rsidR="00060335" w:rsidRPr="00E44F61" w:rsidTr="000E7218">
        <w:trPr>
          <w:trHeight w:val="340"/>
        </w:trPr>
        <w:tc>
          <w:tcPr>
            <w:tcW w:w="1116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Reference (year). Country.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Representativeness of the exposed cohort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Selection of the non-exposed cohort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Ascertainment of exposure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Demonstration that outcome of interest was not present at start of study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Comparability of cohorts on </w:t>
            </w:r>
            <w:r w:rsidRPr="00E44F61">
              <w:rPr>
                <w:sz w:val="18"/>
                <w:szCs w:val="18"/>
              </w:rPr>
              <w:t>the basis of the design or analysis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Assessment of outcome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Was follow-up long enough for outcomes to occur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Adequacy of follow-up of cohorts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E44F61" w:rsidRDefault="00060335" w:rsidP="000E7218">
            <w:pPr>
              <w:rPr>
                <w:sz w:val="18"/>
                <w:szCs w:val="18"/>
              </w:rPr>
            </w:pPr>
            <w:r w:rsidRPr="00E44F61">
              <w:rPr>
                <w:sz w:val="18"/>
                <w:szCs w:val="18"/>
              </w:rPr>
              <w:t>Additional Bias</w:t>
            </w:r>
          </w:p>
        </w:tc>
      </w:tr>
      <w:tr w:rsidR="00060335" w:rsidRPr="00E44F61" w:rsidTr="000E7218">
        <w:trPr>
          <w:trHeight w:val="255"/>
        </w:trPr>
        <w:tc>
          <w:tcPr>
            <w:tcW w:w="1116" w:type="dxa"/>
            <w:vMerge w:val="restart"/>
            <w:tcBorders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Campbell et al. (1996), UK</w:t>
            </w:r>
          </w:p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rPr>
          <w:trHeight w:val="2140"/>
        </w:trPr>
        <w:tc>
          <w:tcPr>
            <w:tcW w:w="1116" w:type="dxa"/>
            <w:vMerge/>
            <w:tcBorders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Only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primiparous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women who were married and who took part in a survey of diet in late pregnancy and had remained in the area where they were born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Controls from same Aberdeen Maternity Hospital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Food diaries completed by mothers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Controlled for sex, BMI, alcohol consumption, cuff size, though not other adult lifestyle factors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Studied 76% of the 331 people whom we were able to trace (&gt;50%)</w:t>
            </w:r>
          </w:p>
        </w:tc>
        <w:tc>
          <w:tcPr>
            <w:tcW w:w="1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rPr>
          <w:trHeight w:val="371"/>
        </w:trPr>
        <w:tc>
          <w:tcPr>
            <w:tcW w:w="1116" w:type="dxa"/>
            <w:vMerge w:val="restart"/>
            <w:tcBorders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Conlisk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(2004), Guatemala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ED5C1F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rPr>
          <w:trHeight w:val="2140"/>
        </w:trPr>
        <w:tc>
          <w:tcPr>
            <w:tcW w:w="1116" w:type="dxa"/>
            <w:vMerge/>
            <w:tcBorders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Dependent upon attendance at village feeding hall, which varied by village from 65-85%. 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From matched villages randomised to receive a different supplement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Recorded supplement intake (to the nearest 10ml). 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Controlled for SES, gestational age, age, energy intake, physical activity and migration (also controlled for adult BMI although results similar to those without controlling for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BMI so these not shown)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Fasting finger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prick blood glucose test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Examined 78% of those who could be traced </w:t>
            </w:r>
            <w:r w:rsidR="00ED5C1F">
              <w:rPr>
                <w:rFonts w:ascii="Calibri" w:hAnsi="Calibri"/>
                <w:color w:val="000000"/>
                <w:sz w:val="18"/>
                <w:szCs w:val="18"/>
              </w:rPr>
              <w:t>with exclusions explained (&gt;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50%)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Danielsen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et al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(2013), Denmark</w:t>
            </w:r>
          </w:p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rPr>
          <w:trHeight w:val="772"/>
        </w:trPr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Dependent upon agreement and completion of questionnaire by eligible mothers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Controls from same population 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ood frequency questionnaire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and structured interview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Adjusted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for maternal smoking, BMI, educ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t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ion, energy intake and offspring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’s physical activity level but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not offspring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’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s dietary intake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44% of original cohort (&lt;50%), 49% of traced individuals (&lt;50%)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Potential non-response bias – mothers of participating offspring more often normal weight and non-smokers and had higher educational attainment than mothers of non-participating offspring.  </w:t>
            </w: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De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Rooij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(2007),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  <w:r w:rsidR="00ED5C1F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Potential selective participation if those who were fit enough were more likely to attend clinical at 58y.  </w:t>
            </w: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Comprehensive recruitment but follow up relied on living in the same area 58 years later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Born in same location, different time period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Adjusted for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sex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and BMI,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though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not for offspring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’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s behavioural risk factors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Clinical examination 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55% of eligible cohort (&gt;50%)</w:t>
            </w:r>
          </w:p>
        </w:tc>
        <w:tc>
          <w:tcPr>
            <w:tcW w:w="1551" w:type="dxa"/>
            <w:vMerge/>
            <w:tcBorders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Hochner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(2012), Israel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2F1B6A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  <w:r w:rsidR="00060335" w:rsidRPr="00E44F61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Population-based cohort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Non-exposed drawn from the same community as exposed cohort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mppBMI</w:t>
            </w:r>
            <w:proofErr w:type="spellEnd"/>
            <w:proofErr w:type="gramEnd"/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and GWG reported by mothers in interviews conducted by nurses while hospitalised after delivery.  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Controlled for ethnicity, sex, parity, mother's age, maternal smoking, maternal SES, maternal years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of education, maternal medical condition, birth weight, gestational week, and offspring characteristics at 32 years of age (smoking status, physical activity, years of education)</w:t>
            </w:r>
            <w:r w:rsidR="002F1B6A">
              <w:rPr>
                <w:rFonts w:ascii="Calibri" w:hAnsi="Calibri"/>
                <w:color w:val="000000"/>
                <w:sz w:val="18"/>
                <w:szCs w:val="18"/>
              </w:rPr>
              <w:t>, but not adult BMI?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All subjects accounted for?</w:t>
            </w:r>
          </w:p>
        </w:tc>
        <w:tc>
          <w:tcPr>
            <w:tcW w:w="1551" w:type="dxa"/>
            <w:vMerge/>
            <w:tcBorders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Hrolfsdottir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(2015), Denmark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Lower energy intake, lower educational level and higher prevalence of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primi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- and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multiparity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in mothers attending vs. not attending clinical examination  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Non-exposed drawn from the same community as exposed cohort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Maternal pre-pregnancy weight was based on self-report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Controlled for maternal pre-pregnancy BMI, age, parity, smoking status, educational level, (offspring's sex), whether offspring thinks their father is overweight, plus additional adjustment for offspring smoking, alcohol habits and BMI at age 20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Studied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45% of the follow-up cohort (&lt;50%)</w:t>
            </w:r>
          </w:p>
        </w:tc>
        <w:tc>
          <w:tcPr>
            <w:tcW w:w="1551" w:type="dxa"/>
            <w:vMerge/>
            <w:tcBorders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Huang et al (2010), China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Default="002F1B6A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?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Women only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Same community,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different time period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Assumed by birth location, time and historical records.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No mention of control for any factors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Mamun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(2009), Australia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Large loss to follow-up – resulting in limited statistical power</w:t>
            </w: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Population-based sample from major public hospital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Con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trols drawn from same population-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based hospital sample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Gestational weight gain during pregnancy calculated from measured maximum weight in pregnancy and self-reported </w:t>
            </w:r>
            <w:proofErr w:type="spellStart"/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prepregnancy</w:t>
            </w:r>
            <w:proofErr w:type="spellEnd"/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weight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Controlled for maternal age at birth, maternal education, parity, cigarette smoking, </w:t>
            </w:r>
            <w:proofErr w:type="gramStart"/>
            <w:r>
              <w:rPr>
                <w:rFonts w:ascii="Calibri" w:hAnsi="Calibri"/>
                <w:color w:val="000000"/>
                <w:sz w:val="18"/>
                <w:szCs w:val="18"/>
              </w:rPr>
              <w:t>maternal</w:t>
            </w:r>
            <w:proofErr w:type="gram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pp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BM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but d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id not control for offspring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BMI or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behavioural risk factors.  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Studied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53% of eligible cohort, (&gt;50%)</w:t>
            </w:r>
          </w:p>
        </w:tc>
        <w:tc>
          <w:tcPr>
            <w:tcW w:w="1551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De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Rooij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(2006),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Comprehensive recruitment but follow up relied upon living in the same area 58 years later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Born in same location, different time period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Adjusted for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sex</w:t>
            </w:r>
            <w:r w:rsidR="002F1B6A"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BMI.  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 and linked records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Studied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29% of original cohort (&lt;50%)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Ravelli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(1998),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Studied population matched to total population born in the area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Random sample from same hospital taken before and after famine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Adjusted for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sex and adult BMI, not for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adult behavioural factors.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Linked records and medically accredited IGTT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nly 702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(13%)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subjects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studied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of an identified 5425 potential participants (&lt;50%)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Calorie intake unknown (other sources of food available on top of official rations).  </w:t>
            </w:r>
          </w:p>
        </w:tc>
      </w:tr>
      <w:tr w:rsidR="00060335" w:rsidRPr="00E44F61" w:rsidTr="000E7218">
        <w:tc>
          <w:tcPr>
            <w:tcW w:w="1116" w:type="dxa"/>
            <w:vMerge w:val="restart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Roseboom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(1999),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  <w:r w:rsidR="005706F1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  <w:vMerge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Comprehensive recruitment but follow up relied upon living in the same area </w:t>
            </w:r>
            <w:r w:rsidRPr="00E47D0E">
              <w:rPr>
                <w:rFonts w:ascii="Calibri" w:hAnsi="Calibri"/>
                <w:color w:val="000000"/>
                <w:sz w:val="18"/>
                <w:szCs w:val="18"/>
              </w:rPr>
              <w:t>˜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50 years later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Born in same location, different time period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Controlled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for age, sex, maternal characteristics (weight at end of pregnancy and weight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gain), adult characteristics (BMI, SES, use of anti-hypertensive medication).  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% of traced individuals followed up (&lt;50%)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  <w:r w:rsidR="005706F1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rPr>
          <w:trHeight w:val="2897"/>
        </w:trPr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Roseboom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(2000),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Comprehensive recruitment but follow up relied upon living in the same area ˜50 years later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Same hospital community, although different time of birth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Controlled for sex, adult BMI, adult SES, smoking status, use of lipid lowering medication, maternal (age, parity, weight at last prenatal visit, SES), infant feeding practice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33% of traced individuals followed up (&lt;50%)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Roseboom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(2001),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Babies born in Wilhelmina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Gasthuis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university hospital, but needed to live in or close to Amsterdam to be included in follow up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Different exposure groups drawn from same community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Adjusted for sex, plus adult BMI, smoking, SES, and age.  Also adjusted for maternal weight gain and weight at end of pregnancy and size of baby at birth.  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30% of traced individuals (&lt;50%)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Rytter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(2013), Denmark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Mothers attending routine antenatal care at medical centre in Aarhus medical centre, Denmark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Controls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drawn from same medical centre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Structured interview plus food diary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Controlled for maternal pre-pregnancy BMI, maternal education, smoking during pregnancy,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maternal age, parity, energy intake and sex; no mention of control for offspring lifestyle risk factors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or adult BMI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E44F61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46%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of original cohort (just &lt;50%)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but description provided of those lost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and participation was not associated with exposure in the study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Loss to follow up – limited power; self-reported food diary – potentially imprecise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estimates of exposure</w:t>
            </w: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5706F1">
            <w:pPr>
              <w:tabs>
                <w:tab w:val="center" w:pos="716"/>
              </w:tabs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  <w:r w:rsidR="005706F1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  <w:r w:rsidR="005706F1">
              <w:rPr>
                <w:rFonts w:ascii="Calibri" w:hAnsi="Calibri"/>
                <w:color w:val="000000"/>
                <w:sz w:val="18"/>
                <w:szCs w:val="18"/>
              </w:rPr>
              <w:tab/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Shiell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et al (2001), UK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Study confined to persons born in Motherwell Maternity Hospital who still lived in the area 29 years later.  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All participants drawn from same community, gradient of intake of various nutrients so no non-exposed cohort as such.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Reported dietary intake in specially designed form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Did not control for maternal intake of saturated fat, salt etc. 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65% of traced individuals followed up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(&gt;50%)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Crude measures of maternal dietary exposure variable; possible confounding by high saturated fat/salt and/or reduced GWG</w:t>
            </w: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4928FD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Stein et al (2006), Netherlands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Comprehensive recruitment from midwifery training schools and university hospital but individuals born out of wedlock were not traced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Same study hospitals or same-sex siblings, different time period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Assumed by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birth location, time and historical records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Controlled for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age, sex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 smoking, alcohol intake, height, waist circumference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Studied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42% of traced individuals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(&lt;50%)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A*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B*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060335" w:rsidRPr="00E44F61" w:rsidTr="000E7218">
        <w:tc>
          <w:tcPr>
            <w:tcW w:w="1116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Webb et al (2005), Guatemala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Eligible participants different from eligible non-participants and from ineligible members of the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birth cohort with respect to birth weight, supplement group, and maternal supplement intake in the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Atole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villages, plus relied on participants still living in same area at follow up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From matched villages randomised to receive a different supplement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Recorded supplement intake (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to the nearest 10ml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Followed from birth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 xml:space="preserve">Controlled for sex, BMI, WHR, SES at birth, current residence (urban/rural), </w:t>
            </w: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attained education, current PA level, age and follow-up, smoking status (yes/no) and alcohol consumption (yes/no)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Clinical examination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18+ years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E44F61">
              <w:rPr>
                <w:rFonts w:ascii="Calibri" w:hAnsi="Calibri"/>
                <w:color w:val="000000"/>
                <w:sz w:val="18"/>
                <w:szCs w:val="18"/>
              </w:rPr>
              <w:t>77% of eligible cohort measures examined (&gt;50%)</w:t>
            </w:r>
          </w:p>
        </w:tc>
        <w:tc>
          <w:tcPr>
            <w:tcW w:w="1551" w:type="dxa"/>
          </w:tcPr>
          <w:p w:rsidR="00060335" w:rsidRPr="00945C84" w:rsidRDefault="00060335" w:rsidP="000E7218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Not able to separate effects of protein and energy supplementation.  Participation bias: </w:t>
            </w:r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 xml:space="preserve">significant differences in birth weight, supplement group, and maternal supplement intake in the </w:t>
            </w:r>
            <w:proofErr w:type="spellStart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>Atole</w:t>
            </w:r>
            <w:proofErr w:type="spellEnd"/>
            <w:r w:rsidRPr="00945C84">
              <w:rPr>
                <w:rFonts w:ascii="Calibri" w:hAnsi="Calibri"/>
                <w:color w:val="000000"/>
                <w:sz w:val="18"/>
                <w:szCs w:val="18"/>
              </w:rPr>
              <w:t xml:space="preserve"> villages were observed between participants and non-participants</w:t>
            </w:r>
          </w:p>
        </w:tc>
      </w:tr>
    </w:tbl>
    <w:p w:rsidR="00060335" w:rsidRPr="005C2126" w:rsidRDefault="00060335" w:rsidP="00060335">
      <w:pPr>
        <w:rPr>
          <w:sz w:val="28"/>
        </w:rPr>
      </w:pPr>
    </w:p>
    <w:p w:rsidR="00060335" w:rsidRDefault="00060335" w:rsidP="00060335">
      <w:pPr>
        <w:rPr>
          <w:b/>
          <w:color w:val="2F5496" w:themeColor="accent5" w:themeShade="BF"/>
          <w:shd w:val="clear" w:color="auto" w:fill="FFFFFF"/>
        </w:rPr>
      </w:pPr>
      <w:r>
        <w:rPr>
          <w:b/>
          <w:color w:val="2F5496" w:themeColor="accent5" w:themeShade="BF"/>
          <w:shd w:val="clear" w:color="auto" w:fill="FFFFFF"/>
        </w:rPr>
        <w:br w:type="page"/>
      </w:r>
    </w:p>
    <w:p w:rsidR="00060335" w:rsidRDefault="00060335" w:rsidP="00060335">
      <w:pPr>
        <w:rPr>
          <w:b/>
          <w:color w:val="2F5496" w:themeColor="accent5" w:themeShade="BF"/>
          <w:shd w:val="clear" w:color="auto" w:fill="FFFFFF"/>
        </w:rPr>
      </w:pPr>
      <w:r>
        <w:rPr>
          <w:b/>
          <w:color w:val="2F5496" w:themeColor="accent5" w:themeShade="BF"/>
          <w:shd w:val="clear" w:color="auto" w:fill="FFFFFF"/>
        </w:rPr>
        <w:lastRenderedPageBreak/>
        <w:t>Cross-sectional studies</w:t>
      </w:r>
    </w:p>
    <w:p w:rsidR="00060335" w:rsidRDefault="00060335" w:rsidP="00060335">
      <w:pPr>
        <w:rPr>
          <w:sz w:val="28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185"/>
        <w:gridCol w:w="1653"/>
        <w:gridCol w:w="1123"/>
        <w:gridCol w:w="1421"/>
        <w:gridCol w:w="1335"/>
        <w:gridCol w:w="1377"/>
        <w:gridCol w:w="1129"/>
        <w:gridCol w:w="1119"/>
        <w:gridCol w:w="1597"/>
        <w:gridCol w:w="2009"/>
      </w:tblGrid>
      <w:tr w:rsidR="004D42FD" w:rsidRPr="00945C84" w:rsidTr="004D42FD">
        <w:trPr>
          <w:trHeight w:val="340"/>
        </w:trPr>
        <w:tc>
          <w:tcPr>
            <w:tcW w:w="1185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Reference (year). Country.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Representativeness of the sample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Sample Size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Ascertainment of Exposure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Non-respondents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Comparability of outcome groups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Assessment of outcome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Statistical test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Adequacy of follow-up period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Additional Bias</w:t>
            </w: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Li et al (2010), China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</w:t>
            </w:r>
            <w:r w:rsidRPr="00945C84">
              <w:rPr>
                <w:rFonts w:ascii="Calibri" w:hAnsi="Calibri"/>
                <w:sz w:val="18"/>
                <w:szCs w:val="18"/>
              </w:rPr>
              <w:t>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cstheme="minorHAnsi"/>
                <w:sz w:val="18"/>
                <w:szCs w:val="18"/>
              </w:rPr>
              <w:t>Data from China National Nutritional and Health Survey (CNNHS)</w:t>
            </w:r>
            <w:r w:rsidRPr="00945C84">
              <w:rPr>
                <w:rFonts w:ascii="Calibri" w:hAnsi="Calibri"/>
                <w:sz w:val="18"/>
                <w:szCs w:val="18"/>
              </w:rPr>
              <w:t>, a nationally representative cross-sectional study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N o</w:t>
            </w:r>
            <w:r>
              <w:rPr>
                <w:sz w:val="18"/>
                <w:szCs w:val="18"/>
              </w:rPr>
              <w:t>f interest =2959 (total N=7874)</w:t>
            </w:r>
            <w:r w:rsidRPr="00945C8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Exposure to famine based on year of birth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No description of response rate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cstheme="minorHAnsi"/>
                <w:sz w:val="18"/>
                <w:szCs w:val="18"/>
              </w:rPr>
              <w:t xml:space="preserve">Controlled for sex, family history of diabetes, educational level, current smoking, alcohol </w:t>
            </w:r>
            <w:r>
              <w:rPr>
                <w:rFonts w:cstheme="minorHAnsi"/>
                <w:sz w:val="18"/>
                <w:szCs w:val="18"/>
              </w:rPr>
              <w:t>use and physical activity level, but not adult BMI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Clinical examination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 xml:space="preserve">Assumed that residents investigated were born in the same province and in a similar rural area.  </w:t>
            </w:r>
          </w:p>
          <w:p w:rsidR="004D42FD" w:rsidRPr="00945C84" w:rsidRDefault="004D42FD" w:rsidP="000E7218">
            <w:pPr>
              <w:rPr>
                <w:sz w:val="18"/>
                <w:szCs w:val="18"/>
              </w:rPr>
            </w:pPr>
          </w:p>
          <w:p w:rsidR="004D42FD" w:rsidRPr="00945C84" w:rsidRDefault="004D42FD" w:rsidP="000E7218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 xml:space="preserve">Lack of reliable information about individual food availability during the famine.  </w:t>
            </w:r>
          </w:p>
          <w:p w:rsidR="004D42FD" w:rsidRPr="00945C84" w:rsidRDefault="004D42FD" w:rsidP="000E7218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Loos et al (2002), Belgium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B*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 xml:space="preserve">A*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Population based sample.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N=800 individual twins, satisfactory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 xml:space="preserve">Self-reported weight before pregnancy and weight gain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52.7% (&gt;50%)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 xml:space="preserve">Controlled for age, sex, gestational age, BMI. 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Clinical examination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proofErr w:type="spellStart"/>
            <w:r w:rsidRPr="00945C84">
              <w:rPr>
                <w:sz w:val="18"/>
                <w:szCs w:val="18"/>
              </w:rPr>
              <w:t>Mi</w:t>
            </w:r>
            <w:proofErr w:type="spellEnd"/>
            <w:r w:rsidRPr="00945C84">
              <w:rPr>
                <w:sz w:val="18"/>
                <w:szCs w:val="18"/>
              </w:rPr>
              <w:t xml:space="preserve"> et al (2000), China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B</w:t>
            </w:r>
            <w:r>
              <w:rPr>
                <w:rFonts w:ascii="Calibri" w:hAnsi="Calibri"/>
                <w:sz w:val="18"/>
                <w:szCs w:val="18"/>
              </w:rPr>
              <w:t>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Offspring born in the Peking Union Medical College Hospital in Beijing.  Relied on mothers still living in Beijing about 45 years after birth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N=627, satisfactory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 xml:space="preserve">Clinical examination of maternal height and weight by blinded observers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Traced and examined only 33% of eligible adult offspring (&lt;50%)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ascii="Calibri" w:hAnsi="Calibri"/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 xml:space="preserve">Adjusted for sex and BMI 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Clinical examination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269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proofErr w:type="spellStart"/>
            <w:r w:rsidRPr="00945C84">
              <w:rPr>
                <w:sz w:val="18"/>
                <w:szCs w:val="18"/>
              </w:rPr>
              <w:t>Scheers-Andersson</w:t>
            </w:r>
            <w:proofErr w:type="spellEnd"/>
            <w:r w:rsidRPr="00945C84">
              <w:rPr>
                <w:sz w:val="18"/>
                <w:szCs w:val="18"/>
              </w:rPr>
              <w:t xml:space="preserve"> et al (2015), Sweden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B*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B*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Analysis on sibling pairs may suffer from too low statistical power</w:t>
            </w:r>
          </w:p>
        </w:tc>
      </w:tr>
      <w:tr w:rsidR="004D42FD" w:rsidRPr="00945C84" w:rsidTr="004D42FD">
        <w:trPr>
          <w:trHeight w:val="3959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Only includes women with at least two male children (full brothers)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N=9816 brothers, satisfactory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Clinical measurement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No non-respondents (data from publically accessible military conscription records)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 xml:space="preserve">Controlled for genetic effects (sibling-pair study).  Controlled for maternal age at birth, birth year, gestational age, maternal early-pregnancy BMI, parity and maternal education, although not for offspring BMI 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Record linkage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325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  <w:proofErr w:type="spellStart"/>
            <w:r w:rsidRPr="00945C84">
              <w:rPr>
                <w:rFonts w:eastAsiaTheme="majorEastAsia" w:cstheme="majorBidi"/>
                <w:sz w:val="18"/>
                <w:szCs w:val="18"/>
              </w:rPr>
              <w:t>Stanner</w:t>
            </w:r>
            <w:proofErr w:type="spellEnd"/>
            <w:r w:rsidRPr="00945C84">
              <w:rPr>
                <w:rFonts w:eastAsiaTheme="majorEastAsia" w:cstheme="majorBidi"/>
                <w:sz w:val="18"/>
                <w:szCs w:val="18"/>
              </w:rPr>
              <w:t xml:space="preserve"> et al (1997), Russia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B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B*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1093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 xml:space="preserve">Relied on participants living in same area </w:t>
            </w:r>
            <w:r w:rsidRPr="00945C84">
              <w:rPr>
                <w:rFonts w:ascii="Calibri" w:hAnsi="Calibri" w:cs="Calibri"/>
                <w:sz w:val="18"/>
                <w:szCs w:val="18"/>
              </w:rPr>
              <w:t>˜</w:t>
            </w:r>
            <w:r w:rsidRPr="00945C84">
              <w:rPr>
                <w:sz w:val="18"/>
                <w:szCs w:val="18"/>
              </w:rPr>
              <w:t>50 years later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Sample size = 549 (169 exposed), satisfactory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Exposure to famine based on year of birth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Low response rate (28% male, 58% female)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Controlled for sex, but not adult NCD risk factors e.g. BMI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Clinical examination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339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  <w:r w:rsidRPr="00945C84">
              <w:rPr>
                <w:rFonts w:eastAsiaTheme="majorEastAsia" w:cstheme="majorBidi"/>
                <w:sz w:val="18"/>
                <w:szCs w:val="18"/>
              </w:rPr>
              <w:t>Wang et al (2015), China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B*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 xml:space="preserve">Lack of reliable information about individual food availability during the famine.  </w:t>
            </w:r>
          </w:p>
          <w:p w:rsidR="004D42FD" w:rsidRPr="00945C84" w:rsidRDefault="004D42FD" w:rsidP="004D42FD">
            <w:pPr>
              <w:rPr>
                <w:sz w:val="18"/>
                <w:szCs w:val="18"/>
              </w:rPr>
            </w:pPr>
          </w:p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 xml:space="preserve">Actual calorie intake unknown (other sources of food available on top of official rations). </w:t>
            </w:r>
          </w:p>
        </w:tc>
      </w:tr>
      <w:tr w:rsidR="004D42FD" w:rsidRPr="00945C84" w:rsidTr="004D42FD">
        <w:trPr>
          <w:trHeight w:val="1093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Population-based sample obtained using stratified cluster sampling method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N of interest =2420 (total N=6445), satisfactory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Exposure to famine based on year of birth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High response rate (90.8%)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Controlled for age, but not adult NCD risk factors e.g. BMI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Clinical examination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338"/>
        </w:trPr>
        <w:tc>
          <w:tcPr>
            <w:tcW w:w="1185" w:type="dxa"/>
            <w:vMerge w:val="restart"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  <w:r w:rsidRPr="00945C84">
              <w:rPr>
                <w:rFonts w:eastAsiaTheme="majorEastAsia" w:cstheme="majorBidi"/>
                <w:sz w:val="18"/>
                <w:szCs w:val="18"/>
              </w:rPr>
              <w:t>Zheng et al (2012), China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  <w:shd w:val="clear" w:color="auto" w:fill="FFFFFF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B*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A*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A*</w:t>
            </w:r>
          </w:p>
        </w:tc>
        <w:tc>
          <w:tcPr>
            <w:tcW w:w="20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D42FD" w:rsidRPr="00945C84" w:rsidTr="004D42FD">
        <w:trPr>
          <w:trHeight w:val="1539"/>
        </w:trPr>
        <w:tc>
          <w:tcPr>
            <w:tcW w:w="1185" w:type="dxa"/>
            <w:vMerge/>
            <w:tcBorders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Volunteers and urban residents only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Sample size = 5040, satisfactory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Exposure to famine based on year of birth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No description of response rate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sz w:val="18"/>
                <w:szCs w:val="18"/>
              </w:rPr>
              <w:t>Controlled for age, but not adult NCD risk factors e.g. BMI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Clinical examination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 w:rsidRPr="00945C84">
              <w:rPr>
                <w:rFonts w:ascii="Calibri" w:hAnsi="Calibri"/>
                <w:sz w:val="18"/>
                <w:szCs w:val="18"/>
              </w:rPr>
              <w:t>Yes</w:t>
            </w:r>
          </w:p>
        </w:tc>
        <w:tc>
          <w:tcPr>
            <w:tcW w:w="1597" w:type="dxa"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18+ years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2FD" w:rsidRPr="00945C84" w:rsidRDefault="004D42FD" w:rsidP="004D42FD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</w:tr>
    </w:tbl>
    <w:p w:rsidR="00344868" w:rsidRDefault="00344868" w:rsidP="00060335">
      <w:pPr>
        <w:rPr>
          <w:b/>
          <w:color w:val="2F5496" w:themeColor="accent5" w:themeShade="BF"/>
          <w:shd w:val="clear" w:color="auto" w:fill="FFFFFF"/>
        </w:rPr>
      </w:pPr>
    </w:p>
    <w:p w:rsidR="00060335" w:rsidRPr="00FB6F1E" w:rsidRDefault="00060335" w:rsidP="00060335">
      <w:pPr>
        <w:rPr>
          <w:b/>
          <w:color w:val="2F5496" w:themeColor="accent5" w:themeShade="BF"/>
          <w:shd w:val="clear" w:color="auto" w:fill="FFFFFF"/>
        </w:rPr>
      </w:pPr>
      <w:r w:rsidRPr="00FB6F1E">
        <w:rPr>
          <w:b/>
          <w:color w:val="2F5496" w:themeColor="accent5" w:themeShade="BF"/>
          <w:shd w:val="clear" w:color="auto" w:fill="FFFFFF"/>
        </w:rPr>
        <w:t>RCTs</w:t>
      </w:r>
    </w:p>
    <w:tbl>
      <w:tblPr>
        <w:tblStyle w:val="TableGrid"/>
        <w:tblW w:w="11732" w:type="dxa"/>
        <w:tblLook w:val="04A0" w:firstRow="1" w:lastRow="0" w:firstColumn="1" w:lastColumn="0" w:noHBand="0" w:noVBand="1"/>
      </w:tblPr>
      <w:tblGrid>
        <w:gridCol w:w="1295"/>
        <w:gridCol w:w="1766"/>
        <w:gridCol w:w="1401"/>
        <w:gridCol w:w="1367"/>
        <w:gridCol w:w="1558"/>
        <w:gridCol w:w="1395"/>
        <w:gridCol w:w="1177"/>
        <w:gridCol w:w="1773"/>
      </w:tblGrid>
      <w:tr w:rsidR="00060335" w:rsidRPr="00777730" w:rsidTr="000E7218">
        <w:trPr>
          <w:trHeight w:val="340"/>
        </w:trPr>
        <w:tc>
          <w:tcPr>
            <w:tcW w:w="1295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bookmarkStart w:id="0" w:name="_GoBack"/>
            <w:bookmarkEnd w:id="0"/>
            <w:r w:rsidRPr="00777730">
              <w:rPr>
                <w:sz w:val="18"/>
                <w:szCs w:val="18"/>
              </w:rPr>
              <w:t>Reference (year). Country.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Random Sequence generation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Allocation concealment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Blinding of participants and personnel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Blinding of Outcome Assessment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Incomplete outcome data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Selective reporting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Additional bias</w:t>
            </w:r>
          </w:p>
        </w:tc>
      </w:tr>
      <w:tr w:rsidR="00060335" w:rsidRPr="00777730" w:rsidTr="000E7218">
        <w:trPr>
          <w:trHeight w:val="269"/>
        </w:trPr>
        <w:tc>
          <w:tcPr>
            <w:tcW w:w="1295" w:type="dxa"/>
            <w:vMerge w:val="restart"/>
            <w:tcBorders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Macleod et al (2013), UK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 w:rsidRPr="00A56E86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 w:rsidRPr="00A56E86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1344E7" w:rsidRDefault="00060335" w:rsidP="000E7218">
            <w:pPr>
              <w:rPr>
                <w:color w:val="FF0000"/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335" w:rsidRDefault="00060335" w:rsidP="000E7218">
            <w:pPr>
              <w:rPr>
                <w:sz w:val="18"/>
                <w:szCs w:val="18"/>
              </w:rPr>
            </w:pPr>
          </w:p>
        </w:tc>
      </w:tr>
      <w:tr w:rsidR="00060335" w:rsidRPr="00777730" w:rsidTr="000E7218">
        <w:trPr>
          <w:trHeight w:val="269"/>
        </w:trPr>
        <w:tc>
          <w:tcPr>
            <w:tcW w:w="1295" w:type="dxa"/>
            <w:vMerge/>
            <w:tcBorders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Analysed 50% of traced offspring. 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color w:val="000000"/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Limited risk of selected reporting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335" w:rsidRDefault="00060335" w:rsidP="000E7218">
            <w:pPr>
              <w:rPr>
                <w:sz w:val="18"/>
                <w:szCs w:val="18"/>
              </w:rPr>
            </w:pPr>
          </w:p>
        </w:tc>
      </w:tr>
      <w:tr w:rsidR="00060335" w:rsidRPr="00777730" w:rsidTr="000E7218">
        <w:trPr>
          <w:trHeight w:val="269"/>
        </w:trPr>
        <w:tc>
          <w:tcPr>
            <w:tcW w:w="1295" w:type="dxa"/>
            <w:vMerge w:val="restart"/>
            <w:tcBorders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proofErr w:type="spellStart"/>
            <w:r w:rsidRPr="00777730">
              <w:rPr>
                <w:sz w:val="18"/>
                <w:szCs w:val="18"/>
              </w:rPr>
              <w:t>Rytter</w:t>
            </w:r>
            <w:proofErr w:type="spellEnd"/>
            <w:r w:rsidRPr="00777730">
              <w:rPr>
                <w:sz w:val="18"/>
                <w:szCs w:val="18"/>
              </w:rPr>
              <w:t xml:space="preserve"> et al. (2011), Denmark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Loss to follow-up and consequent limited power</w:t>
            </w:r>
          </w:p>
        </w:tc>
      </w:tr>
      <w:tr w:rsidR="00060335" w:rsidRPr="00777730" w:rsidTr="000E7218">
        <w:trPr>
          <w:trHeight w:val="1093"/>
        </w:trPr>
        <w:tc>
          <w:tcPr>
            <w:tcW w:w="1295" w:type="dxa"/>
            <w:vMerge/>
            <w:tcBorders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 xml:space="preserve">Identical looking capsules in identical boxes (OO - reference group vs. FO); no oil group was </w:t>
            </w:r>
            <w:proofErr w:type="spellStart"/>
            <w:r w:rsidRPr="00777730">
              <w:rPr>
                <w:color w:val="000000"/>
                <w:sz w:val="18"/>
                <w:szCs w:val="18"/>
              </w:rPr>
              <w:t>unblinded</w:t>
            </w:r>
            <w:proofErr w:type="spellEnd"/>
            <w:r w:rsidRPr="00777730">
              <w:rPr>
                <w:color w:val="000000"/>
                <w:sz w:val="18"/>
                <w:szCs w:val="18"/>
              </w:rPr>
              <w:t xml:space="preserve"> although this was not the reference group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No mention (although used objective clinical examination to detect outcomes)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Larger loss to follow up for FO (41% included) vs. OO (53% included) and NO (48% included)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Limited risk of selected reporting</w:t>
            </w:r>
          </w:p>
        </w:tc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</w:p>
        </w:tc>
      </w:tr>
      <w:tr w:rsidR="00060335" w:rsidRPr="00777730" w:rsidTr="000E7218">
        <w:trPr>
          <w:trHeight w:val="297"/>
        </w:trPr>
        <w:tc>
          <w:tcPr>
            <w:tcW w:w="1295" w:type="dxa"/>
            <w:vMerge w:val="restart"/>
            <w:tcBorders>
              <w:right w:val="single" w:sz="4" w:space="0" w:color="auto"/>
            </w:tcBorders>
          </w:tcPr>
          <w:p w:rsidR="00060335" w:rsidRDefault="00060335" w:rsidP="000E7218">
            <w:pPr>
              <w:rPr>
                <w:rFonts w:eastAsiaTheme="majorEastAsia" w:cstheme="majorBidi"/>
                <w:sz w:val="18"/>
                <w:szCs w:val="18"/>
              </w:rPr>
            </w:pPr>
            <w:proofErr w:type="spellStart"/>
            <w:r>
              <w:rPr>
                <w:rFonts w:eastAsiaTheme="majorEastAsia" w:cstheme="majorBidi"/>
                <w:sz w:val="18"/>
                <w:szCs w:val="18"/>
              </w:rPr>
              <w:t>Rytter</w:t>
            </w:r>
            <w:proofErr w:type="spellEnd"/>
            <w:r>
              <w:rPr>
                <w:rFonts w:eastAsiaTheme="majorEastAsia" w:cstheme="majorBidi"/>
                <w:sz w:val="18"/>
                <w:szCs w:val="18"/>
              </w:rPr>
              <w:t xml:space="preserve"> et al. (2012),</w:t>
            </w:r>
          </w:p>
          <w:p w:rsidR="00060335" w:rsidRPr="00777730" w:rsidRDefault="00060335" w:rsidP="000E7218">
            <w:pPr>
              <w:rPr>
                <w:rFonts w:eastAsiaTheme="majorEastAsia" w:cstheme="majorBidi"/>
                <w:sz w:val="18"/>
                <w:szCs w:val="18"/>
              </w:rPr>
            </w:pPr>
            <w:r w:rsidRPr="00777730">
              <w:rPr>
                <w:rFonts w:eastAsiaTheme="majorEastAsia" w:cstheme="majorBidi"/>
                <w:sz w:val="18"/>
                <w:szCs w:val="18"/>
              </w:rPr>
              <w:t>Denmark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A*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Loss to follow-up and resulting limited power</w:t>
            </w:r>
          </w:p>
        </w:tc>
      </w:tr>
      <w:tr w:rsidR="00060335" w:rsidRPr="00777730" w:rsidTr="000E7218">
        <w:trPr>
          <w:trHeight w:val="1093"/>
        </w:trPr>
        <w:tc>
          <w:tcPr>
            <w:tcW w:w="1295" w:type="dxa"/>
            <w:vMerge/>
            <w:tcBorders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rFonts w:eastAsiaTheme="majorEastAsia" w:cstheme="majorBidi"/>
                <w:sz w:val="18"/>
                <w:szCs w:val="1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 xml:space="preserve">*Assuming same as </w:t>
            </w:r>
            <w:proofErr w:type="spellStart"/>
            <w:r w:rsidRPr="00777730">
              <w:rPr>
                <w:color w:val="000000"/>
                <w:sz w:val="18"/>
                <w:szCs w:val="18"/>
              </w:rPr>
              <w:t>Rytter</w:t>
            </w:r>
            <w:proofErr w:type="spellEnd"/>
            <w:r w:rsidRPr="00777730">
              <w:rPr>
                <w:color w:val="000000"/>
                <w:sz w:val="18"/>
                <w:szCs w:val="18"/>
              </w:rPr>
              <w:t xml:space="preserve"> et al 2011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 xml:space="preserve">*Assuming same as </w:t>
            </w:r>
            <w:proofErr w:type="spellStart"/>
            <w:r w:rsidRPr="00777730">
              <w:rPr>
                <w:color w:val="000000"/>
                <w:sz w:val="18"/>
                <w:szCs w:val="18"/>
              </w:rPr>
              <w:t>Rytter</w:t>
            </w:r>
            <w:proofErr w:type="spellEnd"/>
            <w:r w:rsidRPr="00777730">
              <w:rPr>
                <w:color w:val="000000"/>
                <w:sz w:val="18"/>
                <w:szCs w:val="18"/>
              </w:rPr>
              <w:t xml:space="preserve"> et al 2011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 xml:space="preserve">Identical looking capsules in identical boxes (OO - reference group vs. FO); no oil group </w:t>
            </w:r>
            <w:r w:rsidRPr="00777730">
              <w:rPr>
                <w:color w:val="000000"/>
                <w:sz w:val="18"/>
                <w:szCs w:val="18"/>
              </w:rPr>
              <w:lastRenderedPageBreak/>
              <w:t xml:space="preserve">was </w:t>
            </w:r>
            <w:proofErr w:type="spellStart"/>
            <w:r w:rsidRPr="00777730">
              <w:rPr>
                <w:color w:val="000000"/>
                <w:sz w:val="18"/>
                <w:szCs w:val="18"/>
              </w:rPr>
              <w:t>unblinded</w:t>
            </w:r>
            <w:proofErr w:type="spellEnd"/>
            <w:r w:rsidRPr="00777730">
              <w:rPr>
                <w:color w:val="000000"/>
                <w:sz w:val="18"/>
                <w:szCs w:val="18"/>
              </w:rPr>
              <w:t xml:space="preserve"> although this was not the reference group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</w:rPr>
              <w:t>ll outcomes were clinically mea</w:t>
            </w:r>
            <w:r w:rsidRPr="00777730">
              <w:rPr>
                <w:color w:val="000000"/>
                <w:sz w:val="18"/>
                <w:szCs w:val="18"/>
              </w:rPr>
              <w:t>sured by assistants who were blinded for study allocation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Larger loss to follow up for FO (41% included) vs. OO (53% included)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  <w:r w:rsidRPr="00777730">
              <w:rPr>
                <w:color w:val="000000"/>
                <w:sz w:val="18"/>
                <w:szCs w:val="18"/>
              </w:rPr>
              <w:t>Limited risk of selected reporting</w:t>
            </w:r>
          </w:p>
        </w:tc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35" w:rsidRPr="00777730" w:rsidRDefault="00060335" w:rsidP="000E7218">
            <w:pPr>
              <w:rPr>
                <w:sz w:val="18"/>
                <w:szCs w:val="18"/>
              </w:rPr>
            </w:pPr>
          </w:p>
        </w:tc>
      </w:tr>
    </w:tbl>
    <w:p w:rsidR="00060335" w:rsidRDefault="00060335" w:rsidP="00060335">
      <w:pPr>
        <w:rPr>
          <w:sz w:val="28"/>
        </w:rPr>
      </w:pPr>
    </w:p>
    <w:p w:rsidR="00060335" w:rsidRDefault="00060335" w:rsidP="00060335">
      <w:pPr>
        <w:rPr>
          <w:sz w:val="28"/>
        </w:rPr>
      </w:pPr>
    </w:p>
    <w:p w:rsidR="00060335" w:rsidRPr="00060335" w:rsidRDefault="00060335" w:rsidP="00060335">
      <w:pPr>
        <w:jc w:val="center"/>
        <w:rPr>
          <w:u w:val="single"/>
        </w:rPr>
      </w:pPr>
    </w:p>
    <w:sectPr w:rsidR="00060335" w:rsidRPr="00060335" w:rsidSect="000603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335"/>
    <w:rsid w:val="00046AD8"/>
    <w:rsid w:val="00060335"/>
    <w:rsid w:val="000E7218"/>
    <w:rsid w:val="002F1B6A"/>
    <w:rsid w:val="00344868"/>
    <w:rsid w:val="004928FD"/>
    <w:rsid w:val="004D42FD"/>
    <w:rsid w:val="005706F1"/>
    <w:rsid w:val="006A4BF6"/>
    <w:rsid w:val="0088205B"/>
    <w:rsid w:val="00ED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13EC"/>
  <w15:chartTrackingRefBased/>
  <w15:docId w15:val="{B2A25C06-785B-4699-8F91-A5030E14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0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11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Wilkins</dc:creator>
  <cp:keywords/>
  <dc:description/>
  <cp:lastModifiedBy>Elizabeth Wilkins</cp:lastModifiedBy>
  <cp:revision>5</cp:revision>
  <dcterms:created xsi:type="dcterms:W3CDTF">2017-06-21T16:33:00Z</dcterms:created>
  <dcterms:modified xsi:type="dcterms:W3CDTF">2017-08-01T09:32:00Z</dcterms:modified>
</cp:coreProperties>
</file>