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A633" w14:textId="77777777" w:rsidR="004E09B1" w:rsidRPr="00640831" w:rsidRDefault="004E09B1" w:rsidP="004E09B1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40831">
        <w:rPr>
          <w:rFonts w:ascii="Times New Roman" w:eastAsia="Calibri" w:hAnsi="Times New Roman" w:cs="Times New Roman"/>
          <w:b/>
          <w:bCs/>
          <w:sz w:val="24"/>
          <w:szCs w:val="24"/>
        </w:rPr>
        <w:t>Table 2: Quality assessment of the studies included in the review</w:t>
      </w:r>
    </w:p>
    <w:tbl>
      <w:tblPr>
        <w:tblStyle w:val="TableGrid"/>
        <w:tblpPr w:leftFromText="180" w:rightFromText="180" w:vertAnchor="page" w:horzAnchor="margin" w:tblpXSpec="center" w:tblpY="1941"/>
        <w:tblW w:w="10343" w:type="dxa"/>
        <w:tblLayout w:type="fixed"/>
        <w:tblLook w:val="04A0" w:firstRow="1" w:lastRow="0" w:firstColumn="1" w:lastColumn="0" w:noHBand="0" w:noVBand="1"/>
      </w:tblPr>
      <w:tblGrid>
        <w:gridCol w:w="2836"/>
        <w:gridCol w:w="42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709"/>
        <w:gridCol w:w="850"/>
      </w:tblGrid>
      <w:tr w:rsidR="004E09B1" w:rsidRPr="00844BE1" w14:paraId="0778A1BA" w14:textId="77777777" w:rsidTr="00F87EB4">
        <w:trPr>
          <w:trHeight w:val="416"/>
        </w:trPr>
        <w:tc>
          <w:tcPr>
            <w:tcW w:w="2836" w:type="dxa"/>
            <w:vMerge w:val="restart"/>
            <w:noWrap/>
            <w:vAlign w:val="center"/>
            <w:hideMark/>
          </w:tcPr>
          <w:p w14:paraId="58E49EBC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bookmarkStart w:id="0" w:name="_Hlk97889660"/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Study</w:t>
            </w:r>
          </w:p>
        </w:tc>
        <w:tc>
          <w:tcPr>
            <w:tcW w:w="5948" w:type="dxa"/>
            <w:gridSpan w:val="14"/>
            <w:vAlign w:val="center"/>
          </w:tcPr>
          <w:p w14:paraId="55AA7294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Question number</w:t>
            </w:r>
          </w:p>
        </w:tc>
        <w:tc>
          <w:tcPr>
            <w:tcW w:w="709" w:type="dxa"/>
            <w:vMerge w:val="restart"/>
            <w:vAlign w:val="center"/>
          </w:tcPr>
          <w:p w14:paraId="06FA8145" w14:textId="77777777" w:rsidR="004E09B1" w:rsidRPr="00844BE1" w:rsidRDefault="004E09B1" w:rsidP="00F87E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4BE1">
              <w:rPr>
                <w:rFonts w:ascii="Times New Roman" w:hAnsi="Times New Roman" w:cs="Times New Roman"/>
                <w:b/>
              </w:rPr>
              <w:t>Total score</w:t>
            </w:r>
          </w:p>
        </w:tc>
        <w:tc>
          <w:tcPr>
            <w:tcW w:w="850" w:type="dxa"/>
            <w:vMerge w:val="restart"/>
            <w:vAlign w:val="center"/>
          </w:tcPr>
          <w:p w14:paraId="533DDDF3" w14:textId="77777777" w:rsidR="004E09B1" w:rsidRPr="00844BE1" w:rsidRDefault="004E09B1" w:rsidP="00F87E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4BE1">
              <w:rPr>
                <w:rFonts w:ascii="Times New Roman" w:hAnsi="Times New Roman" w:cs="Times New Roman"/>
                <w:b/>
              </w:rPr>
              <w:t>Study quality</w:t>
            </w:r>
          </w:p>
        </w:tc>
      </w:tr>
      <w:tr w:rsidR="004E09B1" w:rsidRPr="00844BE1" w14:paraId="0A826224" w14:textId="77777777" w:rsidTr="00F87EB4">
        <w:trPr>
          <w:trHeight w:val="420"/>
        </w:trPr>
        <w:tc>
          <w:tcPr>
            <w:tcW w:w="2836" w:type="dxa"/>
            <w:vMerge/>
            <w:noWrap/>
          </w:tcPr>
          <w:p w14:paraId="39E10602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</w:p>
        </w:tc>
        <w:tc>
          <w:tcPr>
            <w:tcW w:w="420" w:type="dxa"/>
            <w:vAlign w:val="center"/>
          </w:tcPr>
          <w:p w14:paraId="08B03F5D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</w:t>
            </w:r>
          </w:p>
        </w:tc>
        <w:tc>
          <w:tcPr>
            <w:tcW w:w="425" w:type="dxa"/>
            <w:vAlign w:val="center"/>
          </w:tcPr>
          <w:p w14:paraId="6C7B94F2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2</w:t>
            </w:r>
          </w:p>
        </w:tc>
        <w:tc>
          <w:tcPr>
            <w:tcW w:w="425" w:type="dxa"/>
            <w:vAlign w:val="center"/>
          </w:tcPr>
          <w:p w14:paraId="5C0DF0AA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3</w:t>
            </w:r>
          </w:p>
        </w:tc>
        <w:tc>
          <w:tcPr>
            <w:tcW w:w="425" w:type="dxa"/>
            <w:vAlign w:val="center"/>
          </w:tcPr>
          <w:p w14:paraId="1DD68134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4</w:t>
            </w:r>
          </w:p>
        </w:tc>
        <w:tc>
          <w:tcPr>
            <w:tcW w:w="426" w:type="dxa"/>
            <w:vAlign w:val="center"/>
          </w:tcPr>
          <w:p w14:paraId="49275A64" w14:textId="77777777" w:rsidR="004E09B1" w:rsidRPr="00844BE1" w:rsidRDefault="004E09B1" w:rsidP="00F87E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4BE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5" w:type="dxa"/>
            <w:vAlign w:val="center"/>
          </w:tcPr>
          <w:p w14:paraId="05C39881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6</w:t>
            </w:r>
          </w:p>
        </w:tc>
        <w:tc>
          <w:tcPr>
            <w:tcW w:w="425" w:type="dxa"/>
            <w:vAlign w:val="center"/>
          </w:tcPr>
          <w:p w14:paraId="3BBE4F1A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7</w:t>
            </w:r>
          </w:p>
        </w:tc>
        <w:tc>
          <w:tcPr>
            <w:tcW w:w="425" w:type="dxa"/>
            <w:vAlign w:val="center"/>
          </w:tcPr>
          <w:p w14:paraId="0EED61CE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8</w:t>
            </w:r>
          </w:p>
        </w:tc>
        <w:tc>
          <w:tcPr>
            <w:tcW w:w="426" w:type="dxa"/>
            <w:vAlign w:val="center"/>
          </w:tcPr>
          <w:p w14:paraId="43CDC8A5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9</w:t>
            </w:r>
          </w:p>
        </w:tc>
        <w:tc>
          <w:tcPr>
            <w:tcW w:w="425" w:type="dxa"/>
            <w:vAlign w:val="center"/>
          </w:tcPr>
          <w:p w14:paraId="48972D3F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10</w:t>
            </w:r>
          </w:p>
        </w:tc>
        <w:tc>
          <w:tcPr>
            <w:tcW w:w="425" w:type="dxa"/>
            <w:vAlign w:val="center"/>
          </w:tcPr>
          <w:p w14:paraId="6AAF926A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11</w:t>
            </w:r>
          </w:p>
        </w:tc>
        <w:tc>
          <w:tcPr>
            <w:tcW w:w="425" w:type="dxa"/>
            <w:vAlign w:val="center"/>
          </w:tcPr>
          <w:p w14:paraId="6C90E61D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12</w:t>
            </w:r>
          </w:p>
        </w:tc>
        <w:tc>
          <w:tcPr>
            <w:tcW w:w="426" w:type="dxa"/>
            <w:vAlign w:val="center"/>
          </w:tcPr>
          <w:p w14:paraId="0DD8DF2C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13</w:t>
            </w:r>
          </w:p>
        </w:tc>
        <w:tc>
          <w:tcPr>
            <w:tcW w:w="425" w:type="dxa"/>
            <w:vAlign w:val="center"/>
          </w:tcPr>
          <w:p w14:paraId="53F65F8B" w14:textId="77777777" w:rsidR="004E09B1" w:rsidRPr="00844BE1" w:rsidRDefault="004E09B1" w:rsidP="00F87EB4">
            <w:pPr>
              <w:jc w:val="center"/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b/>
                <w:color w:val="262626"/>
                <w:lang w:eastAsia="en-IN"/>
              </w:rPr>
              <w:t>14</w:t>
            </w:r>
          </w:p>
        </w:tc>
        <w:tc>
          <w:tcPr>
            <w:tcW w:w="709" w:type="dxa"/>
            <w:vMerge/>
          </w:tcPr>
          <w:p w14:paraId="2DBC390E" w14:textId="77777777" w:rsidR="004E09B1" w:rsidRPr="00844BE1" w:rsidRDefault="004E09B1" w:rsidP="00F87E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14:paraId="28E59498" w14:textId="77777777" w:rsidR="004E09B1" w:rsidRPr="00844BE1" w:rsidRDefault="004E09B1" w:rsidP="00F87E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09B1" w:rsidRPr="00844BE1" w14:paraId="2B687B4C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46FBA72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Nasaka A. et al., 2011</w:t>
            </w:r>
          </w:p>
        </w:tc>
        <w:tc>
          <w:tcPr>
            <w:tcW w:w="420" w:type="dxa"/>
            <w:vAlign w:val="center"/>
          </w:tcPr>
          <w:p w14:paraId="3F48D6E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869B4F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A51098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1E8568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594CD0A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2EEC0A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C60F8B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F336E7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3216BC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42F782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4C2103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995D9D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74D2BB1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3610F3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4D9290EB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0ACE679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1E12A027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624EE6F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Anderson B. et al., 2011</w:t>
            </w:r>
          </w:p>
        </w:tc>
        <w:tc>
          <w:tcPr>
            <w:tcW w:w="420" w:type="dxa"/>
            <w:vAlign w:val="center"/>
          </w:tcPr>
          <w:p w14:paraId="07FFF2E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115E82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077D30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FE833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A1246C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4A31906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A7E09B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047E88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61B0799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350A3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FD6CED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EC980D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3360B29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FB10A3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65E1263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0983BDBD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23576160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4B96BD4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Choi M.K. et al., 2011</w:t>
            </w:r>
          </w:p>
        </w:tc>
        <w:tc>
          <w:tcPr>
            <w:tcW w:w="420" w:type="dxa"/>
            <w:vAlign w:val="center"/>
          </w:tcPr>
          <w:p w14:paraId="70E72C3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F9856B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2441D7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2B873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2EE53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C0BA98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6743A1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3E4D00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C0E2F2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733E05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4C32E03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6CFAF8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788DFEA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NR</w:t>
            </w:r>
          </w:p>
        </w:tc>
        <w:tc>
          <w:tcPr>
            <w:tcW w:w="425" w:type="dxa"/>
            <w:vAlign w:val="center"/>
          </w:tcPr>
          <w:p w14:paraId="7A6F050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102034B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3E92DDE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50E6254A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6A3F68C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Larson N. et al., 2011</w:t>
            </w:r>
          </w:p>
        </w:tc>
        <w:tc>
          <w:tcPr>
            <w:tcW w:w="420" w:type="dxa"/>
            <w:vAlign w:val="center"/>
          </w:tcPr>
          <w:p w14:paraId="1DA3906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6E6BD4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CF7C65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8812CB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E9CF6A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6AED81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CA463A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9912A6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6114BF1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3F45B2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059DA0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20E504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4A2A98C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F34AC9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2CF2C01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60D7C67A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4F526D6B" w14:textId="77777777" w:rsidTr="00F87EB4">
        <w:trPr>
          <w:trHeight w:val="411"/>
        </w:trPr>
        <w:tc>
          <w:tcPr>
            <w:tcW w:w="2836" w:type="dxa"/>
            <w:vAlign w:val="center"/>
          </w:tcPr>
          <w:p w14:paraId="2831791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Fulkerson J. A. et al., 2011</w:t>
            </w:r>
          </w:p>
        </w:tc>
        <w:tc>
          <w:tcPr>
            <w:tcW w:w="420" w:type="dxa"/>
            <w:vAlign w:val="center"/>
          </w:tcPr>
          <w:p w14:paraId="0CFF9F8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597EA0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FF96B7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E9D00D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7836D42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A75F35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0672A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46872A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6602C37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312580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1C787D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EB31C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85EC21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649495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48E9B8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6DF0F0CA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0E9A9E8C" w14:textId="77777777" w:rsidTr="00F87EB4">
        <w:trPr>
          <w:trHeight w:val="335"/>
        </w:trPr>
        <w:tc>
          <w:tcPr>
            <w:tcW w:w="2836" w:type="dxa"/>
            <w:vAlign w:val="center"/>
          </w:tcPr>
          <w:p w14:paraId="283C7B6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Smith K. J. et al., 2012</w:t>
            </w:r>
          </w:p>
        </w:tc>
        <w:tc>
          <w:tcPr>
            <w:tcW w:w="420" w:type="dxa"/>
            <w:vAlign w:val="center"/>
          </w:tcPr>
          <w:p w14:paraId="3357474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657653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1D2955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6B82AD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24F18D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1F79FC6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5D4C9A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F488AB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4CFD9AA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822669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1AC7512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B802C6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F33C42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FF9057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3F53F61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50" w:type="dxa"/>
            <w:vAlign w:val="center"/>
          </w:tcPr>
          <w:p w14:paraId="131458AD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4221CA1E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5CC10F1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Odegaard A. O. et al., 2012</w:t>
            </w:r>
          </w:p>
        </w:tc>
        <w:tc>
          <w:tcPr>
            <w:tcW w:w="420" w:type="dxa"/>
            <w:vAlign w:val="center"/>
          </w:tcPr>
          <w:p w14:paraId="756CC1F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85A0E0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1D9E32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EEC7EF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51CF0F1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F81AA1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C67D11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5CCF57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12F179D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4DB51D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CDF9C2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976E92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1DB343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16FF56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1F266A2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1FC4208F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4F14C86E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2553B54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Buscemi S. et al., 2013</w:t>
            </w:r>
          </w:p>
        </w:tc>
        <w:tc>
          <w:tcPr>
            <w:tcW w:w="420" w:type="dxa"/>
            <w:vAlign w:val="center"/>
          </w:tcPr>
          <w:p w14:paraId="175DDFC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75E824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FB7AA7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414641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D4F8DC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000096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C76828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97A260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E126C6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3D5A7A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68D6B4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A59C39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40B112D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42C37D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F67115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001209F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1EBA3F53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6B5A084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Cahill L. E. et al., 2014</w:t>
            </w:r>
          </w:p>
        </w:tc>
        <w:tc>
          <w:tcPr>
            <w:tcW w:w="420" w:type="dxa"/>
            <w:vAlign w:val="center"/>
          </w:tcPr>
          <w:p w14:paraId="77FCEEA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D5D3CF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CF97D2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43AA7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0F095B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8AD581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D1846F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76638F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57A3EBB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695B33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8098E4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1A56F8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62B4473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91CD32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21DD9EF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4E293A9C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6E87156F" w14:textId="77777777" w:rsidTr="00F87EB4">
        <w:trPr>
          <w:trHeight w:val="397"/>
        </w:trPr>
        <w:tc>
          <w:tcPr>
            <w:tcW w:w="2836" w:type="dxa"/>
            <w:vAlign w:val="center"/>
          </w:tcPr>
          <w:p w14:paraId="6A1C260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Payab M. et al., 2015</w:t>
            </w:r>
          </w:p>
        </w:tc>
        <w:tc>
          <w:tcPr>
            <w:tcW w:w="420" w:type="dxa"/>
            <w:vAlign w:val="center"/>
          </w:tcPr>
          <w:p w14:paraId="54EB89F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B18EE7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68169B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DC0FED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FFCB5B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CD4689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BBCBE9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2E8BC5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58E176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724439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542477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BD200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482D7C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A9BE2D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9599F1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4E38A7B8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24813333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4F4E2A2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proofErr w:type="spellStart"/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Bezerra</w:t>
            </w:r>
            <w:proofErr w:type="spellEnd"/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 xml:space="preserve"> I. N. et al., 2015</w:t>
            </w:r>
          </w:p>
        </w:tc>
        <w:tc>
          <w:tcPr>
            <w:tcW w:w="420" w:type="dxa"/>
            <w:vAlign w:val="center"/>
          </w:tcPr>
          <w:p w14:paraId="04B2EF8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F9D03E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5ACD08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1C78ED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FBF03B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DFDDC2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EF3436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56E40C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01B700B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4A2FC5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BB8691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CA5222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761CEB5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NR</w:t>
            </w:r>
          </w:p>
        </w:tc>
        <w:tc>
          <w:tcPr>
            <w:tcW w:w="425" w:type="dxa"/>
            <w:vAlign w:val="center"/>
          </w:tcPr>
          <w:p w14:paraId="4E7E58E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709" w:type="dxa"/>
            <w:vAlign w:val="center"/>
          </w:tcPr>
          <w:p w14:paraId="6024809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50" w:type="dxa"/>
            <w:vAlign w:val="center"/>
          </w:tcPr>
          <w:p w14:paraId="7365D3F4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740CCB71" w14:textId="77777777" w:rsidTr="00F87EB4">
        <w:trPr>
          <w:trHeight w:val="290"/>
        </w:trPr>
        <w:tc>
          <w:tcPr>
            <w:tcW w:w="2836" w:type="dxa"/>
            <w:vAlign w:val="center"/>
          </w:tcPr>
          <w:p w14:paraId="0B95F33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Kant A. K. et al., 2015</w:t>
            </w:r>
          </w:p>
        </w:tc>
        <w:tc>
          <w:tcPr>
            <w:tcW w:w="420" w:type="dxa"/>
            <w:vAlign w:val="center"/>
          </w:tcPr>
          <w:p w14:paraId="12A1181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927102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AA2F55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8ABEB2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5668B5B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A1128E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F5B929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71489A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9F24FE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FEFD7D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F37155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F39743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A2CD0E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457F79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DC2B12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0113EA3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38D19F36" w14:textId="77777777" w:rsidTr="00F87EB4">
        <w:trPr>
          <w:trHeight w:val="306"/>
        </w:trPr>
        <w:tc>
          <w:tcPr>
            <w:tcW w:w="2836" w:type="dxa"/>
            <w:vAlign w:val="center"/>
          </w:tcPr>
          <w:p w14:paraId="29E5A63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Seguin R. A. et al., 2016</w:t>
            </w:r>
          </w:p>
        </w:tc>
        <w:tc>
          <w:tcPr>
            <w:tcW w:w="420" w:type="dxa"/>
            <w:vAlign w:val="center"/>
          </w:tcPr>
          <w:p w14:paraId="6A273EA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E9BC4B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8D5985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541F39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7E2A7AE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EB935B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24DE8C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1E7B81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118F159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93D032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4AE9DD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9EA6DE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6186989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398039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79CE7691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50" w:type="dxa"/>
            <w:vAlign w:val="center"/>
          </w:tcPr>
          <w:p w14:paraId="00A79A28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17E47D45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5CD5BAA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Tian X. et al., 2016</w:t>
            </w:r>
          </w:p>
        </w:tc>
        <w:tc>
          <w:tcPr>
            <w:tcW w:w="420" w:type="dxa"/>
            <w:vAlign w:val="center"/>
          </w:tcPr>
          <w:p w14:paraId="0E675EE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EB0BEE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D9773F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64977D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B885A0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08F2012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723FE4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DDD47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B2C8C5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7106E1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C5B968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0AAD21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44BCCA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AF5D60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14211527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543532A3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5319626C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33A682A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Demmler K. M. et al., 2017</w:t>
            </w:r>
          </w:p>
        </w:tc>
        <w:tc>
          <w:tcPr>
            <w:tcW w:w="420" w:type="dxa"/>
            <w:vAlign w:val="center"/>
          </w:tcPr>
          <w:p w14:paraId="15F0130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61771E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C7A5E4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D7F80B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5F79CBC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E8BE00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71DFF4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4D70A0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8A79F9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1A1DB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95ED18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5990FA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0BFAF4F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594FD5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2FC83A11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2F6865E2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4D4ED136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0FE1A27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Dong F. et al., 2017</w:t>
            </w:r>
          </w:p>
        </w:tc>
        <w:tc>
          <w:tcPr>
            <w:tcW w:w="420" w:type="dxa"/>
            <w:vAlign w:val="center"/>
          </w:tcPr>
          <w:p w14:paraId="5E22E29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B5C4EA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F42C15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F005B4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BB9CA5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19463D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4C8039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83E2CF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450D92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CA76E9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E4A138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ADD2F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12644C9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CDBF2F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0D05801F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2710DF2F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12A06781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63BCD4D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Kant A. K. et al., 2018</w:t>
            </w:r>
          </w:p>
        </w:tc>
        <w:tc>
          <w:tcPr>
            <w:tcW w:w="420" w:type="dxa"/>
            <w:vAlign w:val="center"/>
          </w:tcPr>
          <w:p w14:paraId="5E3F10B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471A5B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6EFE1E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BBB4FF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BF85F4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26CBDE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40BE11D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6BF7DE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B4D2EF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B0F170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CF3B0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BCCBE3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68AA7C8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F782F7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70C2D68D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7DADE112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19C54C49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2EAF6BF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McClain A. C. et al., 2018</w:t>
            </w:r>
          </w:p>
        </w:tc>
        <w:tc>
          <w:tcPr>
            <w:tcW w:w="420" w:type="dxa"/>
            <w:vAlign w:val="center"/>
          </w:tcPr>
          <w:p w14:paraId="1ACEEEF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FB1CDE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334C06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9C7079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37A03B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AED6C9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16C4A1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262BE1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4123C74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14A1EFB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375833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E38938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0B7F754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3C2443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709" w:type="dxa"/>
            <w:vAlign w:val="center"/>
          </w:tcPr>
          <w:p w14:paraId="3EBFA049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50" w:type="dxa"/>
            <w:vAlign w:val="center"/>
          </w:tcPr>
          <w:p w14:paraId="5874F419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0EF311E0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410C40E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Zeng Q. et al., 2018</w:t>
            </w:r>
          </w:p>
        </w:tc>
        <w:tc>
          <w:tcPr>
            <w:tcW w:w="420" w:type="dxa"/>
            <w:vAlign w:val="center"/>
          </w:tcPr>
          <w:p w14:paraId="0E2269C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94005C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82A760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FFE3F4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7CF9AF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2787A0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2ED396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1BFF15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6B9B91E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A38C3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EB69FD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F1E70C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0DD8E6A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NR</w:t>
            </w:r>
          </w:p>
        </w:tc>
        <w:tc>
          <w:tcPr>
            <w:tcW w:w="425" w:type="dxa"/>
            <w:vAlign w:val="center"/>
          </w:tcPr>
          <w:p w14:paraId="551520C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26986903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40015A54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4C50E04C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1E016B2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Cunha D. B. et al., 2018</w:t>
            </w:r>
          </w:p>
        </w:tc>
        <w:tc>
          <w:tcPr>
            <w:tcW w:w="420" w:type="dxa"/>
            <w:vAlign w:val="center"/>
          </w:tcPr>
          <w:p w14:paraId="3779B56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33012C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64CE2C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EA617D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44ED314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A89389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D4D5FC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C6074D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B6E44C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05056E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52213D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75FDCC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3A55E3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A1C25F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74EA5C1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5DDB978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7128F6C0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55B99DA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Choi M. K. et al., 2019</w:t>
            </w:r>
          </w:p>
        </w:tc>
        <w:tc>
          <w:tcPr>
            <w:tcW w:w="420" w:type="dxa"/>
            <w:vAlign w:val="center"/>
          </w:tcPr>
          <w:p w14:paraId="4CE2B61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06F50D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97D177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EF9A4B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A2FF53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CDE18F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F6F9B9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7B1832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000E34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D1B130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2B5A1E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D11C54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6DCA406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314D8A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51C84B9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0C09DB2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00EFE98A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4B8F1B8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Liu Z. et al., 2019</w:t>
            </w:r>
          </w:p>
        </w:tc>
        <w:tc>
          <w:tcPr>
            <w:tcW w:w="420" w:type="dxa"/>
            <w:vAlign w:val="center"/>
          </w:tcPr>
          <w:p w14:paraId="4C2127D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F03779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30EE28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D15EBC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D02FFB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719FCA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AFF853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7A5647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4F0B335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BBE81B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682A7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D50E8F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405E36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0F1F5E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709" w:type="dxa"/>
            <w:vAlign w:val="center"/>
          </w:tcPr>
          <w:p w14:paraId="5D73990D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36C36469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55EA4014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0EDEFAF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Wang H. et al., 2019</w:t>
            </w:r>
          </w:p>
        </w:tc>
        <w:tc>
          <w:tcPr>
            <w:tcW w:w="420" w:type="dxa"/>
            <w:vAlign w:val="center"/>
          </w:tcPr>
          <w:p w14:paraId="1B4FD46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093D7C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2CAE95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D67901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6910A7F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3F096DA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7BF6F5C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6200D4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6A9B25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72A5AE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EEE912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14396A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8F8617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BBFB3F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64674113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683860E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2FFA97DB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16A9280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Wang B. et al., 2020</w:t>
            </w:r>
          </w:p>
        </w:tc>
        <w:tc>
          <w:tcPr>
            <w:tcW w:w="420" w:type="dxa"/>
            <w:vAlign w:val="center"/>
          </w:tcPr>
          <w:p w14:paraId="7270F8B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303825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8AB297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963154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932E94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12B348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18A4D8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1CCCF8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3942D46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3DA284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348684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BD69F3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33A6552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F1D62A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755F78D0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6AAAA7F7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5C9A15A7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3BA0805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Du Y. et al., 2021</w:t>
            </w:r>
          </w:p>
        </w:tc>
        <w:tc>
          <w:tcPr>
            <w:tcW w:w="420" w:type="dxa"/>
            <w:vAlign w:val="center"/>
          </w:tcPr>
          <w:p w14:paraId="1767F33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9E9DFD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C3C2B2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B50ED1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4AA41E2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525FB7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D2BCAC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40F455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18E480B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12A98FE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A3BF7B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99A8D6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192FA08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32E3B6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2FA9A88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50" w:type="dxa"/>
            <w:vAlign w:val="center"/>
          </w:tcPr>
          <w:p w14:paraId="1AB2E8CF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7B9CFF2F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1E3D9A5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Chen S. et al., 2021</w:t>
            </w:r>
          </w:p>
        </w:tc>
        <w:tc>
          <w:tcPr>
            <w:tcW w:w="420" w:type="dxa"/>
            <w:vAlign w:val="center"/>
          </w:tcPr>
          <w:p w14:paraId="3C559F1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BC51FC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460064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2DCCEF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2BFCD46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1D6CC11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037809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1C4E064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785322A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865A3E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5E4EC9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F8532D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03FC913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B5BB16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57B1FF75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50" w:type="dxa"/>
            <w:vAlign w:val="center"/>
          </w:tcPr>
          <w:p w14:paraId="62A1FE13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4698CC0E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50F6979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Zheng J. et al., 2021</w:t>
            </w:r>
          </w:p>
        </w:tc>
        <w:tc>
          <w:tcPr>
            <w:tcW w:w="420" w:type="dxa"/>
            <w:vAlign w:val="center"/>
          </w:tcPr>
          <w:p w14:paraId="1F21B2A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ACF78B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4582D8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5D83EE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43F31FF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11DB84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C3306B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C9621B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0697D43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09B49241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6F5B866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53FFF8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339A280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751BC98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460F8016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5BB19472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6360777D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6ED90B7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Ma Y. et al., 2021</w:t>
            </w:r>
          </w:p>
        </w:tc>
        <w:tc>
          <w:tcPr>
            <w:tcW w:w="420" w:type="dxa"/>
            <w:vAlign w:val="center"/>
          </w:tcPr>
          <w:p w14:paraId="179A31B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17236F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5B444E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FC4263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2FACCB8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A8C864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C08776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4BD8D4C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5867988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95362C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2F00A60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6ED8C65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22FC73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DFAA8F4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34306AEA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vAlign w:val="center"/>
          </w:tcPr>
          <w:p w14:paraId="4082576B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Fair</w:t>
            </w:r>
          </w:p>
        </w:tc>
      </w:tr>
      <w:tr w:rsidR="004E09B1" w:rsidRPr="00844BE1" w14:paraId="2A7B75F5" w14:textId="77777777" w:rsidTr="00F87EB4">
        <w:trPr>
          <w:trHeight w:val="353"/>
        </w:trPr>
        <w:tc>
          <w:tcPr>
            <w:tcW w:w="2836" w:type="dxa"/>
            <w:noWrap/>
            <w:vAlign w:val="center"/>
          </w:tcPr>
          <w:p w14:paraId="06D4EB8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  <w:t>Cui N. et al., 2021</w:t>
            </w:r>
          </w:p>
        </w:tc>
        <w:tc>
          <w:tcPr>
            <w:tcW w:w="420" w:type="dxa"/>
            <w:vAlign w:val="center"/>
          </w:tcPr>
          <w:p w14:paraId="315C49D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C89DF5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04956A9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688E4D4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636E233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5" w:type="dxa"/>
            <w:vAlign w:val="center"/>
          </w:tcPr>
          <w:p w14:paraId="729096B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2FF2E2AB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13EE7B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6" w:type="dxa"/>
            <w:vAlign w:val="center"/>
          </w:tcPr>
          <w:p w14:paraId="3EF4C0FA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4E9C0352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2384C16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54CBC607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426" w:type="dxa"/>
            <w:vAlign w:val="center"/>
          </w:tcPr>
          <w:p w14:paraId="2878D2CF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425" w:type="dxa"/>
            <w:vAlign w:val="center"/>
          </w:tcPr>
          <w:p w14:paraId="3E3C27FD" w14:textId="77777777" w:rsidR="004E09B1" w:rsidRPr="00844BE1" w:rsidRDefault="004E09B1" w:rsidP="00F87EB4">
            <w:pPr>
              <w:rPr>
                <w:rFonts w:ascii="Times New Roman" w:eastAsia="Times New Roman" w:hAnsi="Times New Roman" w:cs="Times New Roman"/>
                <w:color w:val="000000" w:themeColor="text1"/>
                <w:lang w:eastAsia="en-IN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Y</w:t>
            </w:r>
          </w:p>
        </w:tc>
        <w:tc>
          <w:tcPr>
            <w:tcW w:w="709" w:type="dxa"/>
            <w:vAlign w:val="center"/>
          </w:tcPr>
          <w:p w14:paraId="24D6F81E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vAlign w:val="center"/>
          </w:tcPr>
          <w:p w14:paraId="65F95D41" w14:textId="77777777" w:rsidR="004E09B1" w:rsidRPr="00844BE1" w:rsidRDefault="004E09B1" w:rsidP="00F87EB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44BE1">
              <w:rPr>
                <w:rFonts w:ascii="Times New Roman" w:hAnsi="Times New Roman" w:cs="Times New Roman"/>
                <w:color w:val="000000" w:themeColor="text1"/>
              </w:rPr>
              <w:t>Good</w:t>
            </w:r>
          </w:p>
        </w:tc>
      </w:tr>
      <w:tr w:rsidR="004E09B1" w:rsidRPr="00844BE1" w14:paraId="74C51006" w14:textId="77777777" w:rsidTr="00F87EB4">
        <w:trPr>
          <w:trHeight w:val="1090"/>
        </w:trPr>
        <w:tc>
          <w:tcPr>
            <w:tcW w:w="10343" w:type="dxa"/>
            <w:gridSpan w:val="17"/>
            <w:noWrap/>
            <w:vAlign w:val="center"/>
          </w:tcPr>
          <w:p w14:paraId="5D690EB2" w14:textId="77777777" w:rsidR="004E09B1" w:rsidRPr="00844BE1" w:rsidRDefault="004E09B1" w:rsidP="00F87EB4">
            <w:pPr>
              <w:rPr>
                <w:rFonts w:ascii="Times New Roman" w:hAnsi="Times New Roman" w:cs="Times New Roman"/>
                <w:b/>
                <w:bCs/>
              </w:rPr>
            </w:pPr>
            <w:r w:rsidRPr="00844BE1">
              <w:rPr>
                <w:rFonts w:ascii="Times New Roman" w:hAnsi="Times New Roman" w:cs="Times New Roman"/>
                <w:b/>
                <w:bCs/>
              </w:rPr>
              <w:t>Questions for quality assessment</w:t>
            </w:r>
          </w:p>
          <w:p w14:paraId="2265A293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Was the research question or objective in this paper clearly stated?</w:t>
            </w:r>
          </w:p>
          <w:p w14:paraId="301AA810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Was the study population clearly specified and defined?</w:t>
            </w:r>
          </w:p>
          <w:p w14:paraId="09AE2C4E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Was the participation rate of eligible persons at least 50%?</w:t>
            </w:r>
          </w:p>
          <w:p w14:paraId="79E6728A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Were all the subjects selected or recruited from the same or similar populations?</w:t>
            </w:r>
          </w:p>
          <w:p w14:paraId="18C51FE8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lastRenderedPageBreak/>
              <w:t>Was a sample size justification, power description, or variance and effect estimates provided?</w:t>
            </w:r>
          </w:p>
          <w:p w14:paraId="5D65BFDA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For the analyses in this paper, were the exposure(s) of interest measured prior to the outcome(s) being measured?</w:t>
            </w:r>
          </w:p>
          <w:p w14:paraId="237DED5B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Was the timeframe sufficient so that one could reasonably expect to see an association between exposure and outcome if it existed?</w:t>
            </w:r>
          </w:p>
          <w:p w14:paraId="310789C3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For exposures that can vary in amount or level, did the study examine different levels of the exposure?</w:t>
            </w:r>
          </w:p>
          <w:p w14:paraId="093CBF2E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Were the exposure measures (independent variables) clearly defined, valid, reliable, and implemented consistently across all study participants?</w:t>
            </w:r>
          </w:p>
          <w:p w14:paraId="7A7F0A2B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lang w:val="en-IN"/>
              </w:rPr>
            </w:pPr>
            <w:r w:rsidRPr="00844BE1">
              <w:rPr>
                <w:rFonts w:ascii="Times New Roman" w:hAnsi="Times New Roman"/>
              </w:rPr>
              <w:t>Was the exposure(s) assessed more than once over time?</w:t>
            </w:r>
          </w:p>
          <w:p w14:paraId="76B6183E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44BE1">
              <w:rPr>
                <w:rFonts w:ascii="Times New Roman" w:hAnsi="Times New Roman"/>
              </w:rPr>
              <w:t>Were the outcome measures (dependent variables) clearly defined, valid, reliable, and implemented? consistently across all study participants?</w:t>
            </w:r>
          </w:p>
          <w:p w14:paraId="42CCEFD8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44BE1">
              <w:rPr>
                <w:rFonts w:ascii="Times New Roman" w:hAnsi="Times New Roman"/>
                <w:color w:val="000000" w:themeColor="text1"/>
              </w:rPr>
              <w:t>Were the outcome assessors blinded to the exposure status of participants?</w:t>
            </w:r>
          </w:p>
          <w:p w14:paraId="4B1A0BE8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44BE1">
              <w:rPr>
                <w:rFonts w:ascii="Times New Roman" w:hAnsi="Times New Roman"/>
                <w:color w:val="000000" w:themeColor="text1"/>
              </w:rPr>
              <w:t>Was loss to follow-up after baseline 20% or less?</w:t>
            </w:r>
          </w:p>
          <w:p w14:paraId="4147A656" w14:textId="77777777" w:rsidR="004E09B1" w:rsidRPr="00844BE1" w:rsidRDefault="004E09B1" w:rsidP="00F87EB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44BE1">
              <w:rPr>
                <w:rFonts w:ascii="Times New Roman" w:hAnsi="Times New Roman"/>
                <w:color w:val="000000" w:themeColor="text1"/>
              </w:rPr>
              <w:t>Were key potential confounding variables measured and adjusted statistically for their impact on the relationship? between exposure(s) and outcome(s)?</w:t>
            </w:r>
          </w:p>
        </w:tc>
      </w:tr>
    </w:tbl>
    <w:bookmarkEnd w:id="0"/>
    <w:p w14:paraId="4704ADC4" w14:textId="77777777" w:rsidR="004E09B1" w:rsidRPr="00844BE1" w:rsidRDefault="004E09B1" w:rsidP="004E09B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4BE1">
        <w:rPr>
          <w:rFonts w:ascii="Times New Roman" w:hAnsi="Times New Roman" w:cs="Times New Roman"/>
          <w:b/>
          <w:bCs/>
          <w:sz w:val="20"/>
          <w:szCs w:val="20"/>
        </w:rPr>
        <w:lastRenderedPageBreak/>
        <w:t>Quality was rated as poor (0–4 out of 14 questions), fair (5–10 out of 14 questions), or good (11–14 out of 14 questions); Y: yes, N: no, NA: not applicable, NR: not reported</w:t>
      </w:r>
    </w:p>
    <w:p w14:paraId="73C6017F" w14:textId="77777777" w:rsidR="004E09B1" w:rsidRDefault="004E09B1"/>
    <w:sectPr w:rsidR="004E0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774"/>
    <w:multiLevelType w:val="hybridMultilevel"/>
    <w:tmpl w:val="B726AD26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847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B1"/>
    <w:rsid w:val="004E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44DB"/>
  <w15:chartTrackingRefBased/>
  <w15:docId w15:val="{33F4D3E5-9EB7-4C95-AC5E-E6E56482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9B1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09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Swapnil Godbharle</dc:creator>
  <cp:keywords/>
  <dc:description/>
  <cp:lastModifiedBy>Swapnil Godbharle</cp:lastModifiedBy>
  <cp:revision>1</cp:revision>
  <dcterms:created xsi:type="dcterms:W3CDTF">2022-05-12T05:15:00Z</dcterms:created>
  <dcterms:modified xsi:type="dcterms:W3CDTF">2022-05-12T05:16:00Z</dcterms:modified>
</cp:coreProperties>
</file>