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E90EA" w14:textId="77777777" w:rsidR="00F87005" w:rsidRDefault="00F87005" w:rsidP="00F87005">
      <w:pPr>
        <w:rPr>
          <w:rtl/>
        </w:rPr>
      </w:pPr>
      <w:r w:rsidRPr="00FF1F1B">
        <w:rPr>
          <w:rFonts w:ascii="Times New Roman" w:hAnsi="Times New Roman" w:cs="Times New Roman"/>
          <w:sz w:val="24"/>
          <w:szCs w:val="24"/>
          <w:highlight w:val="yellow"/>
        </w:rPr>
        <w:t>Appendix</w:t>
      </w:r>
    </w:p>
    <w:p w14:paraId="191A11CA" w14:textId="77777777" w:rsidR="00F87005" w:rsidRDefault="00F87005" w:rsidP="00F87005">
      <w:r w:rsidRPr="00FF1F1B">
        <w:rPr>
          <w:rFonts w:ascii="Times New Roman" w:hAnsi="Times New Roman" w:cs="Times New Roman" w:hint="cs"/>
          <w:sz w:val="24"/>
          <w:szCs w:val="24"/>
          <w:rtl/>
        </w:rPr>
        <w:t xml:space="preserve"> </w:t>
      </w:r>
      <w:r w:rsidRPr="00FF1F1B">
        <w:rPr>
          <w:rFonts w:ascii="Times New Roman" w:hAnsi="Times New Roman" w:cs="Times New Roman"/>
          <w:sz w:val="24"/>
          <w:szCs w:val="24"/>
          <w:highlight w:val="yellow"/>
        </w:rPr>
        <w:t>(Appendix 1: Interview guide)</w:t>
      </w:r>
    </w:p>
    <w:p w14:paraId="18292F61" w14:textId="77777777" w:rsidR="00F87005" w:rsidRPr="00AD4CC4" w:rsidRDefault="00F87005" w:rsidP="00F87005">
      <w:pPr>
        <w:rPr>
          <w:rFonts w:asciiTheme="majorBidi" w:hAnsiTheme="majorBidi" w:cstheme="majorBidi"/>
          <w:b/>
          <w:bCs/>
          <w:color w:val="000000" w:themeColor="text1"/>
        </w:rPr>
      </w:pPr>
      <w:r w:rsidRPr="00AD4CC4">
        <w:rPr>
          <w:rFonts w:asciiTheme="majorBidi" w:hAnsiTheme="majorBidi" w:cstheme="majorBidi"/>
          <w:b/>
          <w:bCs/>
          <w:color w:val="000000" w:themeColor="text1"/>
        </w:rPr>
        <w:t>Explain the objectives of the study</w:t>
      </w:r>
    </w:p>
    <w:p w14:paraId="7F0B4A2A" w14:textId="77777777" w:rsidR="00F87005" w:rsidRPr="00AD4CC4" w:rsidRDefault="00F87005" w:rsidP="00F87005">
      <w:pPr>
        <w:rPr>
          <w:rFonts w:asciiTheme="majorBidi" w:hAnsiTheme="majorBidi" w:cstheme="majorBidi"/>
          <w:b/>
          <w:bCs/>
          <w:color w:val="000000" w:themeColor="text1"/>
        </w:rPr>
      </w:pPr>
      <w:r w:rsidRPr="00AD4CC4">
        <w:rPr>
          <w:rFonts w:asciiTheme="majorBidi" w:hAnsiTheme="majorBidi" w:cstheme="majorBidi"/>
          <w:b/>
          <w:bCs/>
          <w:color w:val="000000" w:themeColor="text1"/>
        </w:rPr>
        <w:t>Get written permission to participate in the study</w:t>
      </w:r>
    </w:p>
    <w:p w14:paraId="6F293AB8" w14:textId="77777777" w:rsidR="00F87005" w:rsidRPr="00AD4CC4" w:rsidRDefault="00F87005" w:rsidP="00F87005">
      <w:pPr>
        <w:rPr>
          <w:rFonts w:asciiTheme="majorBidi" w:hAnsiTheme="majorBidi" w:cstheme="majorBidi"/>
          <w:b/>
          <w:bCs/>
          <w:color w:val="000000" w:themeColor="text1"/>
        </w:rPr>
      </w:pPr>
      <w:r w:rsidRPr="00AD4CC4">
        <w:rPr>
          <w:rFonts w:asciiTheme="majorBidi" w:hAnsiTheme="majorBidi" w:cstheme="majorBidi"/>
          <w:b/>
          <w:bCs/>
          <w:color w:val="000000" w:themeColor="text1"/>
        </w:rPr>
        <w:t>Get permission to record audio</w:t>
      </w:r>
    </w:p>
    <w:p w14:paraId="1BBEA2A7" w14:textId="77777777" w:rsidR="00F87005" w:rsidRPr="00E11A00" w:rsidRDefault="00F87005" w:rsidP="00F87005">
      <w:pPr>
        <w:rPr>
          <w:rFonts w:asciiTheme="majorBidi" w:hAnsiTheme="majorBidi" w:cstheme="majorBidi"/>
          <w:color w:val="000000" w:themeColor="text1"/>
        </w:rPr>
      </w:pPr>
      <w:r w:rsidRPr="00E11A00">
        <w:rPr>
          <w:rFonts w:asciiTheme="majorBidi" w:hAnsiTheme="majorBidi" w:cstheme="majorBidi"/>
          <w:color w:val="000000" w:themeColor="text1"/>
        </w:rPr>
        <w:t>Name of the interviewee:</w:t>
      </w:r>
    </w:p>
    <w:p w14:paraId="7B72933E" w14:textId="77777777" w:rsidR="00F87005" w:rsidRPr="00E11A00" w:rsidRDefault="00F87005" w:rsidP="00F87005">
      <w:pPr>
        <w:rPr>
          <w:rFonts w:asciiTheme="majorBidi" w:hAnsiTheme="majorBidi" w:cstheme="majorBidi"/>
          <w:color w:val="000000" w:themeColor="text1"/>
        </w:rPr>
      </w:pPr>
      <w:r w:rsidRPr="00E11A00">
        <w:rPr>
          <w:rFonts w:asciiTheme="majorBidi" w:hAnsiTheme="majorBidi" w:cstheme="majorBidi"/>
          <w:color w:val="000000" w:themeColor="text1"/>
        </w:rPr>
        <w:t>Organizational position of the interviewee:</w:t>
      </w:r>
    </w:p>
    <w:p w14:paraId="7587A2AA" w14:textId="77777777" w:rsidR="00F87005" w:rsidRPr="00E11A00" w:rsidRDefault="00F87005" w:rsidP="00F87005">
      <w:pPr>
        <w:rPr>
          <w:rFonts w:asciiTheme="majorBidi" w:hAnsiTheme="majorBidi" w:cstheme="majorBidi"/>
          <w:color w:val="000000" w:themeColor="text1"/>
        </w:rPr>
      </w:pPr>
      <w:r w:rsidRPr="00E11A00">
        <w:rPr>
          <w:rFonts w:asciiTheme="majorBidi" w:hAnsiTheme="majorBidi" w:cstheme="majorBidi"/>
          <w:color w:val="000000" w:themeColor="text1"/>
        </w:rPr>
        <w:t>Relevant organization to be interviewed:</w:t>
      </w:r>
    </w:p>
    <w:p w14:paraId="6F783862" w14:textId="77777777" w:rsidR="00F87005" w:rsidRPr="00E11A00" w:rsidRDefault="00F87005" w:rsidP="00F87005">
      <w:pPr>
        <w:rPr>
          <w:rFonts w:asciiTheme="majorBidi" w:hAnsiTheme="majorBidi" w:cstheme="majorBidi"/>
          <w:color w:val="000000" w:themeColor="text1"/>
        </w:rPr>
      </w:pPr>
      <w:r w:rsidRPr="00E11A00">
        <w:rPr>
          <w:rFonts w:asciiTheme="majorBidi" w:hAnsiTheme="majorBidi" w:cstheme="majorBidi"/>
          <w:color w:val="000000" w:themeColor="text1"/>
        </w:rPr>
        <w:t>Date and time of the interview:</w:t>
      </w:r>
    </w:p>
    <w:p w14:paraId="721805B4" w14:textId="77777777" w:rsidR="00F87005" w:rsidRPr="00E11A00" w:rsidRDefault="00F87005" w:rsidP="00F87005">
      <w:pPr>
        <w:rPr>
          <w:rFonts w:asciiTheme="majorBidi" w:hAnsiTheme="majorBidi" w:cstheme="majorBidi"/>
          <w:color w:val="000000" w:themeColor="text1"/>
        </w:rPr>
      </w:pPr>
      <w:r w:rsidRPr="00E11A00">
        <w:rPr>
          <w:rFonts w:asciiTheme="majorBidi" w:hAnsiTheme="majorBidi" w:cstheme="majorBidi"/>
          <w:color w:val="000000" w:themeColor="text1"/>
        </w:rPr>
        <w:t>Interview location:</w:t>
      </w:r>
    </w:p>
    <w:p w14:paraId="1E9FBF35" w14:textId="77777777" w:rsidR="00F87005" w:rsidRPr="00E11A00" w:rsidRDefault="00F87005" w:rsidP="00F87005">
      <w:pPr>
        <w:rPr>
          <w:rFonts w:asciiTheme="majorBidi" w:hAnsiTheme="majorBidi" w:cstheme="majorBidi"/>
          <w:color w:val="000000" w:themeColor="text1"/>
          <w:rtl/>
        </w:rPr>
      </w:pPr>
      <w:r w:rsidRPr="00E11A00">
        <w:rPr>
          <w:rFonts w:asciiTheme="majorBidi" w:hAnsiTheme="majorBidi" w:cstheme="majorBidi"/>
          <w:color w:val="000000" w:themeColor="text1"/>
        </w:rPr>
        <w:t>Work experience of the interviewee relat</w:t>
      </w:r>
      <w:r>
        <w:rPr>
          <w:rFonts w:asciiTheme="majorBidi" w:hAnsiTheme="majorBidi" w:cstheme="majorBidi"/>
          <w:color w:val="000000" w:themeColor="text1"/>
        </w:rPr>
        <w:t>ed</w:t>
      </w:r>
      <w:r w:rsidRPr="00E11A00">
        <w:rPr>
          <w:rFonts w:asciiTheme="majorBidi" w:hAnsiTheme="majorBidi" w:cstheme="majorBidi"/>
          <w:color w:val="000000" w:themeColor="text1"/>
        </w:rPr>
        <w:t xml:space="preserve"> to </w:t>
      </w:r>
      <w:r w:rsidRPr="005A6F23">
        <w:rPr>
          <w:rFonts w:asciiTheme="majorBidi" w:hAnsiTheme="majorBidi" w:cstheme="majorBidi"/>
          <w:color w:val="000000" w:themeColor="text1"/>
        </w:rPr>
        <w:t>depression</w:t>
      </w:r>
      <w:r>
        <w:rPr>
          <w:rFonts w:asciiTheme="majorBidi" w:hAnsiTheme="majorBidi" w:cstheme="majorBidi"/>
          <w:color w:val="000000" w:themeColor="text1"/>
        </w:rPr>
        <w:t>:</w:t>
      </w:r>
    </w:p>
    <w:p w14:paraId="71770E9F" w14:textId="77777777" w:rsidR="00F87005" w:rsidRDefault="00F87005" w:rsidP="00F87005">
      <w:pPr>
        <w:rPr>
          <w:rFonts w:asciiTheme="majorBidi" w:hAnsiTheme="majorBidi" w:cstheme="majorBidi"/>
          <w:b/>
          <w:bCs/>
          <w:color w:val="000000" w:themeColor="text1"/>
          <w:rtl/>
        </w:rPr>
      </w:pPr>
      <w:r w:rsidRPr="00AD4CC4">
        <w:rPr>
          <w:rFonts w:asciiTheme="majorBidi" w:hAnsiTheme="majorBidi" w:cstheme="majorBidi"/>
          <w:b/>
          <w:bCs/>
          <w:color w:val="000000" w:themeColor="text1"/>
        </w:rPr>
        <w:t>Question</w:t>
      </w:r>
    </w:p>
    <w:p w14:paraId="7F78D6B4" w14:textId="77777777" w:rsidR="00F87005" w:rsidRPr="005A6F23" w:rsidRDefault="00F87005" w:rsidP="00F87005">
      <w:pPr>
        <w:jc w:val="both"/>
        <w:rPr>
          <w:rFonts w:asciiTheme="majorBidi" w:hAnsiTheme="majorBidi" w:cstheme="majorBidi"/>
          <w:color w:val="000000" w:themeColor="text1"/>
          <w:lang w:bidi="fa-IR"/>
        </w:rPr>
      </w:pPr>
      <w:r w:rsidRPr="005A6F23">
        <w:rPr>
          <w:rFonts w:asciiTheme="majorBidi" w:hAnsiTheme="majorBidi" w:cstheme="majorBidi"/>
          <w:color w:val="000000" w:themeColor="text1"/>
          <w:lang w:bidi="fa-IR"/>
        </w:rPr>
        <w:t>The following table is obtained from the results of the review. In your opinion, what factors in causing major depression in Iran can be added to the list below?</w:t>
      </w:r>
    </w:p>
    <w:tbl>
      <w:tblPr>
        <w:tblW w:w="7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5002"/>
      </w:tblGrid>
      <w:tr w:rsidR="00F87005" w:rsidRPr="005A6F23" w14:paraId="41DAF4F7" w14:textId="77777777" w:rsidTr="001C4F97">
        <w:tc>
          <w:tcPr>
            <w:tcW w:w="2947" w:type="dxa"/>
            <w:shd w:val="clear" w:color="auto" w:fill="auto"/>
          </w:tcPr>
          <w:p w14:paraId="59D1BBCA" w14:textId="77777777" w:rsidR="00F87005" w:rsidRPr="005A6F23" w:rsidRDefault="00F87005" w:rsidP="001C4F97">
            <w:pPr>
              <w:spacing w:after="0" w:line="276" w:lineRule="auto"/>
              <w:jc w:val="center"/>
              <w:rPr>
                <w:rFonts w:asciiTheme="majorBidi" w:hAnsiTheme="majorBidi" w:cstheme="majorBidi"/>
                <w:b/>
                <w:bCs/>
                <w:color w:val="000000" w:themeColor="text1"/>
              </w:rPr>
            </w:pPr>
            <w:r w:rsidRPr="005A6F23">
              <w:rPr>
                <w:rFonts w:asciiTheme="majorBidi" w:hAnsiTheme="majorBidi" w:cstheme="majorBidi"/>
                <w:b/>
                <w:bCs/>
                <w:color w:val="000000" w:themeColor="text1"/>
                <w:shd w:val="clear" w:color="auto" w:fill="FFFFFF"/>
              </w:rPr>
              <w:t xml:space="preserve">Factor </w:t>
            </w:r>
          </w:p>
        </w:tc>
        <w:tc>
          <w:tcPr>
            <w:tcW w:w="5002" w:type="dxa"/>
            <w:shd w:val="clear" w:color="auto" w:fill="auto"/>
          </w:tcPr>
          <w:p w14:paraId="5E1E0CB9" w14:textId="77777777" w:rsidR="00F87005" w:rsidRPr="005A6F23" w:rsidRDefault="00F87005" w:rsidP="001C4F97">
            <w:pPr>
              <w:spacing w:after="0" w:line="276" w:lineRule="auto"/>
              <w:jc w:val="center"/>
              <w:rPr>
                <w:rFonts w:asciiTheme="majorBidi" w:hAnsiTheme="majorBidi" w:cstheme="majorBidi"/>
                <w:b/>
                <w:bCs/>
                <w:color w:val="000000" w:themeColor="text1"/>
              </w:rPr>
            </w:pPr>
            <w:r w:rsidRPr="005A6F23">
              <w:rPr>
                <w:rFonts w:asciiTheme="majorBidi" w:hAnsiTheme="majorBidi" w:cstheme="majorBidi"/>
                <w:b/>
                <w:bCs/>
                <w:color w:val="000000" w:themeColor="text1"/>
              </w:rPr>
              <w:t>Determinant</w:t>
            </w:r>
          </w:p>
        </w:tc>
      </w:tr>
      <w:tr w:rsidR="00F87005" w:rsidRPr="005A6F23" w14:paraId="45A606DA" w14:textId="77777777" w:rsidTr="001C4F97">
        <w:trPr>
          <w:trHeight w:val="180"/>
        </w:trPr>
        <w:tc>
          <w:tcPr>
            <w:tcW w:w="2947" w:type="dxa"/>
            <w:vMerge w:val="restart"/>
            <w:shd w:val="clear" w:color="auto" w:fill="auto"/>
            <w:vAlign w:val="center"/>
          </w:tcPr>
          <w:p w14:paraId="07F486D1"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Socio-demographic</w:t>
            </w:r>
          </w:p>
        </w:tc>
        <w:tc>
          <w:tcPr>
            <w:tcW w:w="5002" w:type="dxa"/>
            <w:shd w:val="clear" w:color="auto" w:fill="auto"/>
          </w:tcPr>
          <w:p w14:paraId="4AE4C6A8"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religiosity</w:t>
            </w:r>
          </w:p>
        </w:tc>
      </w:tr>
      <w:tr w:rsidR="00F87005" w:rsidRPr="005A6F23" w14:paraId="39116C9F" w14:textId="77777777" w:rsidTr="001C4F97">
        <w:trPr>
          <w:trHeight w:val="135"/>
        </w:trPr>
        <w:tc>
          <w:tcPr>
            <w:tcW w:w="2947" w:type="dxa"/>
            <w:vMerge/>
            <w:shd w:val="clear" w:color="auto" w:fill="auto"/>
            <w:vAlign w:val="center"/>
          </w:tcPr>
          <w:p w14:paraId="0D61C1A6"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7A4EB8B8"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 xml:space="preserve">low physical activity </w:t>
            </w:r>
          </w:p>
        </w:tc>
      </w:tr>
      <w:tr w:rsidR="00F87005" w:rsidRPr="005A6F23" w14:paraId="1F4C473F" w14:textId="77777777" w:rsidTr="001C4F97">
        <w:trPr>
          <w:trHeight w:val="135"/>
        </w:trPr>
        <w:tc>
          <w:tcPr>
            <w:tcW w:w="2947" w:type="dxa"/>
            <w:vMerge/>
            <w:shd w:val="clear" w:color="auto" w:fill="auto"/>
            <w:vAlign w:val="center"/>
          </w:tcPr>
          <w:p w14:paraId="6C80DA50"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26442500"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overweight</w:t>
            </w:r>
          </w:p>
        </w:tc>
      </w:tr>
      <w:tr w:rsidR="00F87005" w:rsidRPr="005A6F23" w14:paraId="3208A011" w14:textId="77777777" w:rsidTr="001C4F97">
        <w:trPr>
          <w:trHeight w:val="234"/>
        </w:trPr>
        <w:tc>
          <w:tcPr>
            <w:tcW w:w="2947" w:type="dxa"/>
            <w:vMerge/>
            <w:shd w:val="clear" w:color="auto" w:fill="auto"/>
            <w:vAlign w:val="center"/>
          </w:tcPr>
          <w:p w14:paraId="4C55F1FC"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18312FEF"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family dynamics</w:t>
            </w:r>
          </w:p>
        </w:tc>
      </w:tr>
      <w:tr w:rsidR="00F87005" w:rsidRPr="005A6F23" w14:paraId="58E3FFD4" w14:textId="77777777" w:rsidTr="001C4F97">
        <w:trPr>
          <w:trHeight w:val="234"/>
        </w:trPr>
        <w:tc>
          <w:tcPr>
            <w:tcW w:w="2947" w:type="dxa"/>
            <w:vMerge/>
            <w:shd w:val="clear" w:color="auto" w:fill="auto"/>
            <w:vAlign w:val="center"/>
          </w:tcPr>
          <w:p w14:paraId="0FF18784"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3FE8968A"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family history of psychiatric disorders</w:t>
            </w:r>
          </w:p>
        </w:tc>
      </w:tr>
      <w:tr w:rsidR="00F87005" w:rsidRPr="005A6F23" w14:paraId="411530D6" w14:textId="77777777" w:rsidTr="001C4F97">
        <w:trPr>
          <w:trHeight w:val="206"/>
        </w:trPr>
        <w:tc>
          <w:tcPr>
            <w:tcW w:w="2947" w:type="dxa"/>
            <w:vMerge w:val="restart"/>
            <w:shd w:val="clear" w:color="auto" w:fill="auto"/>
            <w:vAlign w:val="center"/>
          </w:tcPr>
          <w:p w14:paraId="3DDA3DBC"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Violence</w:t>
            </w:r>
          </w:p>
        </w:tc>
        <w:tc>
          <w:tcPr>
            <w:tcW w:w="5002" w:type="dxa"/>
            <w:shd w:val="clear" w:color="auto" w:fill="auto"/>
          </w:tcPr>
          <w:p w14:paraId="787F2757"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Early abuse</w:t>
            </w:r>
          </w:p>
        </w:tc>
      </w:tr>
      <w:tr w:rsidR="00F87005" w:rsidRPr="005A6F23" w14:paraId="153634AE" w14:textId="77777777" w:rsidTr="001C4F97">
        <w:trPr>
          <w:trHeight w:val="270"/>
        </w:trPr>
        <w:tc>
          <w:tcPr>
            <w:tcW w:w="2947" w:type="dxa"/>
            <w:vMerge/>
            <w:shd w:val="clear" w:color="auto" w:fill="auto"/>
            <w:vAlign w:val="center"/>
          </w:tcPr>
          <w:p w14:paraId="64FF61E0"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345AA9F0"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Partner violence</w:t>
            </w:r>
          </w:p>
        </w:tc>
      </w:tr>
      <w:tr w:rsidR="00F87005" w:rsidRPr="005A6F23" w14:paraId="3AD91E16" w14:textId="77777777" w:rsidTr="001C4F97">
        <w:trPr>
          <w:trHeight w:val="300"/>
        </w:trPr>
        <w:tc>
          <w:tcPr>
            <w:tcW w:w="2947" w:type="dxa"/>
            <w:vMerge w:val="restart"/>
            <w:shd w:val="clear" w:color="auto" w:fill="auto"/>
            <w:vAlign w:val="center"/>
          </w:tcPr>
          <w:p w14:paraId="5B8FBE8B"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Drug and Smoking</w:t>
            </w:r>
          </w:p>
        </w:tc>
        <w:tc>
          <w:tcPr>
            <w:tcW w:w="5002" w:type="dxa"/>
            <w:shd w:val="clear" w:color="auto" w:fill="auto"/>
          </w:tcPr>
          <w:p w14:paraId="348DB157"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Tobacco consumption</w:t>
            </w:r>
          </w:p>
        </w:tc>
      </w:tr>
      <w:tr w:rsidR="00F87005" w:rsidRPr="005A6F23" w14:paraId="48317C26" w14:textId="77777777" w:rsidTr="001C4F97">
        <w:trPr>
          <w:trHeight w:val="176"/>
        </w:trPr>
        <w:tc>
          <w:tcPr>
            <w:tcW w:w="2947" w:type="dxa"/>
            <w:vMerge/>
            <w:shd w:val="clear" w:color="auto" w:fill="auto"/>
            <w:vAlign w:val="center"/>
          </w:tcPr>
          <w:p w14:paraId="366416C6"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38CA692C"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cannabis use</w:t>
            </w:r>
          </w:p>
        </w:tc>
      </w:tr>
      <w:tr w:rsidR="00F87005" w:rsidRPr="005A6F23" w14:paraId="1AC37D8A" w14:textId="77777777" w:rsidTr="001C4F97">
        <w:trPr>
          <w:trHeight w:val="251"/>
        </w:trPr>
        <w:tc>
          <w:tcPr>
            <w:tcW w:w="2947" w:type="dxa"/>
            <w:shd w:val="clear" w:color="auto" w:fill="auto"/>
            <w:vAlign w:val="center"/>
          </w:tcPr>
          <w:p w14:paraId="2D749C5E"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Occupation</w:t>
            </w:r>
          </w:p>
        </w:tc>
        <w:tc>
          <w:tcPr>
            <w:tcW w:w="5002" w:type="dxa"/>
            <w:shd w:val="clear" w:color="auto" w:fill="auto"/>
          </w:tcPr>
          <w:p w14:paraId="6D9F7E77"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Job stress (work demand and decision latitude)</w:t>
            </w:r>
          </w:p>
        </w:tc>
      </w:tr>
      <w:tr w:rsidR="00F87005" w:rsidRPr="005A6F23" w14:paraId="59F9FBDD" w14:textId="77777777" w:rsidTr="001C4F97">
        <w:trPr>
          <w:trHeight w:val="404"/>
        </w:trPr>
        <w:tc>
          <w:tcPr>
            <w:tcW w:w="2947" w:type="dxa"/>
            <w:vMerge w:val="restart"/>
            <w:shd w:val="clear" w:color="auto" w:fill="auto"/>
            <w:vAlign w:val="center"/>
          </w:tcPr>
          <w:p w14:paraId="58B3D699"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childhood experience</w:t>
            </w:r>
          </w:p>
        </w:tc>
        <w:tc>
          <w:tcPr>
            <w:tcW w:w="5002" w:type="dxa"/>
            <w:shd w:val="clear" w:color="auto" w:fill="auto"/>
          </w:tcPr>
          <w:p w14:paraId="063C7FA8"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childhood maltreatment</w:t>
            </w:r>
          </w:p>
        </w:tc>
      </w:tr>
      <w:tr w:rsidR="00F87005" w:rsidRPr="005A6F23" w14:paraId="168AE876" w14:textId="77777777" w:rsidTr="001C4F97">
        <w:trPr>
          <w:trHeight w:val="351"/>
        </w:trPr>
        <w:tc>
          <w:tcPr>
            <w:tcW w:w="2947" w:type="dxa"/>
            <w:vMerge/>
            <w:shd w:val="clear" w:color="auto" w:fill="auto"/>
          </w:tcPr>
          <w:p w14:paraId="66403116"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47A81719" w14:textId="77777777" w:rsidR="00F87005" w:rsidRPr="005A6F23" w:rsidRDefault="00F87005" w:rsidP="001C4F97">
            <w:pPr>
              <w:autoSpaceDE w:val="0"/>
              <w:autoSpaceDN w:val="0"/>
              <w:adjustRightInd w:val="0"/>
              <w:spacing w:after="0" w:line="276" w:lineRule="auto"/>
              <w:jc w:val="both"/>
              <w:rPr>
                <w:rFonts w:asciiTheme="majorBidi" w:hAnsiTheme="majorBidi" w:cstheme="majorBidi"/>
                <w:color w:val="000000" w:themeColor="text1"/>
              </w:rPr>
            </w:pPr>
            <w:r w:rsidRPr="005A6F23">
              <w:rPr>
                <w:rFonts w:asciiTheme="majorBidi" w:hAnsiTheme="majorBidi" w:cstheme="majorBidi"/>
                <w:color w:val="000000" w:themeColor="text1"/>
              </w:rPr>
              <w:t>Parental warmth</w:t>
            </w:r>
          </w:p>
        </w:tc>
      </w:tr>
      <w:tr w:rsidR="00F87005" w:rsidRPr="005A6F23" w14:paraId="0D48AEEB" w14:textId="77777777" w:rsidTr="001C4F97">
        <w:trPr>
          <w:trHeight w:val="311"/>
        </w:trPr>
        <w:tc>
          <w:tcPr>
            <w:tcW w:w="2947" w:type="dxa"/>
            <w:vMerge w:val="restart"/>
            <w:shd w:val="clear" w:color="auto" w:fill="auto"/>
            <w:vAlign w:val="center"/>
          </w:tcPr>
          <w:p w14:paraId="6A04AA31"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Social inequalities</w:t>
            </w:r>
          </w:p>
          <w:p w14:paraId="500203E6"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785C702F"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discrimination</w:t>
            </w:r>
          </w:p>
        </w:tc>
      </w:tr>
      <w:tr w:rsidR="00F87005" w:rsidRPr="005A6F23" w14:paraId="56CA7E50" w14:textId="77777777" w:rsidTr="001C4F97">
        <w:trPr>
          <w:trHeight w:val="235"/>
        </w:trPr>
        <w:tc>
          <w:tcPr>
            <w:tcW w:w="2947" w:type="dxa"/>
            <w:vMerge/>
            <w:shd w:val="clear" w:color="auto" w:fill="auto"/>
            <w:vAlign w:val="center"/>
          </w:tcPr>
          <w:p w14:paraId="386B19F4"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7FCF8266"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social support</w:t>
            </w:r>
          </w:p>
        </w:tc>
      </w:tr>
      <w:tr w:rsidR="00F87005" w:rsidRPr="005A6F23" w14:paraId="1AAD1866" w14:textId="77777777" w:rsidTr="001C4F97">
        <w:trPr>
          <w:trHeight w:val="205"/>
        </w:trPr>
        <w:tc>
          <w:tcPr>
            <w:tcW w:w="2947" w:type="dxa"/>
            <w:vMerge w:val="restart"/>
            <w:shd w:val="clear" w:color="auto" w:fill="auto"/>
            <w:vAlign w:val="center"/>
          </w:tcPr>
          <w:p w14:paraId="315C9543"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Eating habits</w:t>
            </w:r>
          </w:p>
        </w:tc>
        <w:tc>
          <w:tcPr>
            <w:tcW w:w="5002" w:type="dxa"/>
            <w:shd w:val="clear" w:color="auto" w:fill="auto"/>
          </w:tcPr>
          <w:p w14:paraId="47D6E8C8"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heavy episodic drinking</w:t>
            </w:r>
          </w:p>
        </w:tc>
      </w:tr>
      <w:tr w:rsidR="00F87005" w:rsidRPr="005A6F23" w14:paraId="0696327B" w14:textId="77777777" w:rsidTr="001C4F97">
        <w:trPr>
          <w:trHeight w:val="209"/>
        </w:trPr>
        <w:tc>
          <w:tcPr>
            <w:tcW w:w="2947" w:type="dxa"/>
            <w:vMerge/>
            <w:shd w:val="clear" w:color="auto" w:fill="auto"/>
          </w:tcPr>
          <w:p w14:paraId="7D8DCF6D"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445B88A6"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healthy dietary pattern</w:t>
            </w:r>
          </w:p>
        </w:tc>
      </w:tr>
      <w:tr w:rsidR="00F87005" w:rsidRPr="005A6F23" w14:paraId="71441A86" w14:textId="77777777" w:rsidTr="001C4F97">
        <w:trPr>
          <w:trHeight w:val="267"/>
        </w:trPr>
        <w:tc>
          <w:tcPr>
            <w:tcW w:w="2947" w:type="dxa"/>
            <w:vMerge w:val="restart"/>
            <w:shd w:val="clear" w:color="auto" w:fill="auto"/>
            <w:vAlign w:val="center"/>
          </w:tcPr>
          <w:p w14:paraId="4B1B5AEB"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Others</w:t>
            </w:r>
          </w:p>
        </w:tc>
        <w:tc>
          <w:tcPr>
            <w:tcW w:w="5002" w:type="dxa"/>
            <w:shd w:val="clear" w:color="auto" w:fill="auto"/>
          </w:tcPr>
          <w:p w14:paraId="737BD916"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cancers</w:t>
            </w:r>
          </w:p>
        </w:tc>
      </w:tr>
      <w:tr w:rsidR="00F87005" w:rsidRPr="005A6F23" w14:paraId="31AEC32F" w14:textId="77777777" w:rsidTr="001C4F97">
        <w:trPr>
          <w:trHeight w:val="405"/>
        </w:trPr>
        <w:tc>
          <w:tcPr>
            <w:tcW w:w="2947" w:type="dxa"/>
            <w:vMerge/>
            <w:shd w:val="clear" w:color="auto" w:fill="auto"/>
          </w:tcPr>
          <w:p w14:paraId="5CBA787F"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p>
        </w:tc>
        <w:tc>
          <w:tcPr>
            <w:tcW w:w="5002" w:type="dxa"/>
            <w:shd w:val="clear" w:color="auto" w:fill="auto"/>
          </w:tcPr>
          <w:p w14:paraId="78AD76AD"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stressful life events</w:t>
            </w:r>
          </w:p>
        </w:tc>
      </w:tr>
      <w:tr w:rsidR="00F87005" w:rsidRPr="005A6F23" w14:paraId="57304958" w14:textId="77777777" w:rsidTr="001C4F97">
        <w:trPr>
          <w:trHeight w:val="128"/>
        </w:trPr>
        <w:tc>
          <w:tcPr>
            <w:tcW w:w="2947" w:type="dxa"/>
            <w:shd w:val="clear" w:color="auto" w:fill="auto"/>
            <w:vAlign w:val="center"/>
          </w:tcPr>
          <w:p w14:paraId="1882B120" w14:textId="77777777" w:rsidR="00F87005" w:rsidRPr="005A6F23" w:rsidRDefault="00F87005" w:rsidP="001C4F97">
            <w:pPr>
              <w:autoSpaceDE w:val="0"/>
              <w:autoSpaceDN w:val="0"/>
              <w:adjustRightInd w:val="0"/>
              <w:spacing w:after="0" w:line="276" w:lineRule="auto"/>
              <w:jc w:val="center"/>
              <w:rPr>
                <w:rFonts w:asciiTheme="majorBidi" w:hAnsiTheme="majorBidi" w:cstheme="majorBidi"/>
                <w:color w:val="000000" w:themeColor="text1"/>
              </w:rPr>
            </w:pPr>
            <w:r w:rsidRPr="005A6F23">
              <w:rPr>
                <w:rFonts w:asciiTheme="majorBidi" w:hAnsiTheme="majorBidi" w:cstheme="majorBidi"/>
                <w:color w:val="000000" w:themeColor="text1"/>
              </w:rPr>
              <w:t>Disaster</w:t>
            </w:r>
          </w:p>
        </w:tc>
        <w:tc>
          <w:tcPr>
            <w:tcW w:w="5002" w:type="dxa"/>
            <w:tcBorders>
              <w:bottom w:val="single" w:sz="4" w:space="0" w:color="auto"/>
            </w:tcBorders>
            <w:shd w:val="clear" w:color="auto" w:fill="auto"/>
          </w:tcPr>
          <w:p w14:paraId="68D1E44D" w14:textId="77777777" w:rsidR="00F87005" w:rsidRPr="005A6F23" w:rsidRDefault="00F87005" w:rsidP="001C4F97">
            <w:pPr>
              <w:spacing w:after="0" w:line="276" w:lineRule="auto"/>
              <w:rPr>
                <w:rFonts w:asciiTheme="majorBidi" w:hAnsiTheme="majorBidi" w:cstheme="majorBidi"/>
                <w:color w:val="000000" w:themeColor="text1"/>
              </w:rPr>
            </w:pPr>
            <w:r w:rsidRPr="005A6F23">
              <w:rPr>
                <w:rFonts w:asciiTheme="majorBidi" w:hAnsiTheme="majorBidi" w:cstheme="majorBidi"/>
                <w:color w:val="000000" w:themeColor="text1"/>
              </w:rPr>
              <w:t>Natural disaster</w:t>
            </w:r>
          </w:p>
        </w:tc>
      </w:tr>
    </w:tbl>
    <w:p w14:paraId="727A99F8" w14:textId="77777777" w:rsidR="00F87005" w:rsidRDefault="00F87005" w:rsidP="00F87005">
      <w:pPr>
        <w:spacing w:line="480" w:lineRule="auto"/>
        <w:jc w:val="both"/>
        <w:rPr>
          <w:rFonts w:ascii="Times New Roman" w:hAnsi="Times New Roman" w:cs="Times New Roman"/>
          <w:sz w:val="24"/>
          <w:szCs w:val="24"/>
          <w:highlight w:val="yellow"/>
        </w:rPr>
      </w:pPr>
    </w:p>
    <w:p w14:paraId="6471B99A" w14:textId="77777777" w:rsidR="00F87005" w:rsidRDefault="00F87005" w:rsidP="00F87005">
      <w:pPr>
        <w:rPr>
          <w:rFonts w:ascii="Times New Roman" w:hAnsi="Times New Roman" w:cs="Times New Roman"/>
          <w:sz w:val="24"/>
          <w:szCs w:val="24"/>
          <w:highlight w:val="yellow"/>
        </w:rPr>
        <w:sectPr w:rsidR="00F87005">
          <w:footerReference w:type="default" r:id="rId4"/>
          <w:pgSz w:w="12240" w:h="15840"/>
          <w:pgMar w:top="1440" w:right="1440" w:bottom="1440" w:left="1440" w:header="720" w:footer="720" w:gutter="0"/>
          <w:cols w:space="720"/>
          <w:docGrid w:linePitch="360"/>
        </w:sectPr>
      </w:pPr>
    </w:p>
    <w:p w14:paraId="79EA222F" w14:textId="77777777" w:rsidR="00F87005" w:rsidRPr="003B420C" w:rsidRDefault="00F87005" w:rsidP="00F87005">
      <w:pPr>
        <w:rPr>
          <w:rFonts w:ascii="Times New Roman" w:hAnsi="Times New Roman" w:cs="Times New Roman"/>
          <w:sz w:val="24"/>
          <w:szCs w:val="24"/>
          <w:highlight w:val="yellow"/>
        </w:rPr>
      </w:pPr>
      <w:r w:rsidRPr="00FF1F1B">
        <w:rPr>
          <w:rFonts w:ascii="Times New Roman" w:hAnsi="Times New Roman" w:cs="Times New Roman"/>
          <w:sz w:val="24"/>
          <w:szCs w:val="24"/>
          <w:highlight w:val="yellow"/>
        </w:rPr>
        <w:lastRenderedPageBreak/>
        <w:t xml:space="preserve">(Appendix </w:t>
      </w:r>
      <w:r>
        <w:rPr>
          <w:rFonts w:ascii="Times New Roman" w:hAnsi="Times New Roman" w:cs="Times New Roman"/>
          <w:sz w:val="24"/>
          <w:szCs w:val="24"/>
          <w:highlight w:val="yellow"/>
        </w:rPr>
        <w:t>2</w:t>
      </w:r>
      <w:r w:rsidRPr="00FF1F1B">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Extraction table</w:t>
      </w:r>
      <w:r w:rsidRPr="00FF1F1B">
        <w:rPr>
          <w:rFonts w:ascii="Times New Roman" w:hAnsi="Times New Roman" w:cs="Times New Roman"/>
          <w:sz w:val="24"/>
          <w:szCs w:val="24"/>
          <w:highlight w:val="yellow"/>
        </w:rPr>
        <w:t>)</w:t>
      </w:r>
    </w:p>
    <w:tbl>
      <w:tblPr>
        <w:tblW w:w="1420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1979"/>
        <w:gridCol w:w="2742"/>
        <w:gridCol w:w="3869"/>
        <w:gridCol w:w="4962"/>
      </w:tblGrid>
      <w:tr w:rsidR="00F87005" w:rsidRPr="003B420C" w14:paraId="42FC6B60" w14:textId="77777777" w:rsidTr="001C4F97">
        <w:trPr>
          <w:tblHeader/>
        </w:trPr>
        <w:tc>
          <w:tcPr>
            <w:tcW w:w="653" w:type="dxa"/>
            <w:tcBorders>
              <w:top w:val="single" w:sz="4" w:space="0" w:color="auto"/>
              <w:left w:val="single" w:sz="4" w:space="0" w:color="auto"/>
              <w:bottom w:val="single" w:sz="4" w:space="0" w:color="auto"/>
              <w:right w:val="single" w:sz="4" w:space="0" w:color="auto"/>
            </w:tcBorders>
            <w:hideMark/>
          </w:tcPr>
          <w:p w14:paraId="262E4BBA"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No</w:t>
            </w:r>
          </w:p>
        </w:tc>
        <w:tc>
          <w:tcPr>
            <w:tcW w:w="1979" w:type="dxa"/>
            <w:tcBorders>
              <w:top w:val="single" w:sz="4" w:space="0" w:color="auto"/>
              <w:left w:val="single" w:sz="4" w:space="0" w:color="auto"/>
              <w:bottom w:val="single" w:sz="4" w:space="0" w:color="auto"/>
              <w:right w:val="single" w:sz="4" w:space="0" w:color="auto"/>
            </w:tcBorders>
            <w:hideMark/>
          </w:tcPr>
          <w:p w14:paraId="591BF2B7" w14:textId="77777777" w:rsidR="00F87005" w:rsidRPr="003B420C" w:rsidRDefault="00F87005" w:rsidP="001C4F97">
            <w:pPr>
              <w:autoSpaceDE w:val="0"/>
              <w:autoSpaceDN w:val="0"/>
              <w:adjustRightInd w:val="0"/>
              <w:spacing w:after="0" w:line="240" w:lineRule="auto"/>
              <w:jc w:val="center"/>
              <w:rPr>
                <w:rFonts w:ascii="Times New Roman" w:hAnsi="Times New Roman" w:cs="Times New Roman"/>
                <w:b/>
                <w:bCs/>
                <w:color w:val="231F20"/>
                <w:sz w:val="20"/>
                <w:szCs w:val="20"/>
              </w:rPr>
            </w:pPr>
            <w:r w:rsidRPr="003B420C">
              <w:rPr>
                <w:rFonts w:ascii="Times New Roman" w:hAnsi="Times New Roman" w:cs="Times New Roman"/>
                <w:b/>
                <w:bCs/>
                <w:color w:val="231F20"/>
                <w:sz w:val="20"/>
                <w:szCs w:val="20"/>
              </w:rPr>
              <w:t>Author, Country, publish year</w:t>
            </w:r>
          </w:p>
        </w:tc>
        <w:tc>
          <w:tcPr>
            <w:tcW w:w="2742" w:type="dxa"/>
            <w:tcBorders>
              <w:top w:val="single" w:sz="4" w:space="0" w:color="auto"/>
              <w:left w:val="single" w:sz="4" w:space="0" w:color="auto"/>
              <w:bottom w:val="single" w:sz="4" w:space="0" w:color="auto"/>
              <w:right w:val="single" w:sz="4" w:space="0" w:color="auto"/>
            </w:tcBorders>
            <w:hideMark/>
          </w:tcPr>
          <w:p w14:paraId="203B2FA6"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b/>
                <w:bCs/>
                <w:color w:val="231F20"/>
                <w:sz w:val="20"/>
                <w:szCs w:val="20"/>
              </w:rPr>
              <w:t>Study Description</w:t>
            </w:r>
          </w:p>
        </w:tc>
        <w:tc>
          <w:tcPr>
            <w:tcW w:w="3869" w:type="dxa"/>
            <w:tcBorders>
              <w:top w:val="single" w:sz="4" w:space="0" w:color="auto"/>
              <w:left w:val="single" w:sz="4" w:space="0" w:color="auto"/>
              <w:bottom w:val="single" w:sz="4" w:space="0" w:color="auto"/>
              <w:right w:val="single" w:sz="4" w:space="0" w:color="auto"/>
            </w:tcBorders>
            <w:hideMark/>
          </w:tcPr>
          <w:p w14:paraId="199FACA1"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b/>
                <w:bCs/>
                <w:color w:val="231F20"/>
                <w:sz w:val="20"/>
                <w:szCs w:val="20"/>
              </w:rPr>
              <w:t>Objective</w:t>
            </w:r>
          </w:p>
        </w:tc>
        <w:tc>
          <w:tcPr>
            <w:tcW w:w="4962" w:type="dxa"/>
            <w:tcBorders>
              <w:top w:val="single" w:sz="4" w:space="0" w:color="auto"/>
              <w:left w:val="single" w:sz="4" w:space="0" w:color="auto"/>
              <w:bottom w:val="single" w:sz="4" w:space="0" w:color="auto"/>
              <w:right w:val="single" w:sz="4" w:space="0" w:color="auto"/>
            </w:tcBorders>
            <w:hideMark/>
          </w:tcPr>
          <w:p w14:paraId="1DAE4E3E"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b/>
                <w:bCs/>
                <w:color w:val="231F20"/>
                <w:sz w:val="20"/>
                <w:szCs w:val="20"/>
              </w:rPr>
              <w:t xml:space="preserve">Result </w:t>
            </w:r>
          </w:p>
        </w:tc>
      </w:tr>
      <w:tr w:rsidR="00F87005" w:rsidRPr="003B420C" w14:paraId="60016C6F" w14:textId="77777777" w:rsidTr="001C4F97">
        <w:tc>
          <w:tcPr>
            <w:tcW w:w="653" w:type="dxa"/>
            <w:tcBorders>
              <w:top w:val="single" w:sz="4" w:space="0" w:color="auto"/>
              <w:left w:val="single" w:sz="4" w:space="0" w:color="auto"/>
              <w:bottom w:val="single" w:sz="4" w:space="0" w:color="auto"/>
              <w:right w:val="single" w:sz="4" w:space="0" w:color="auto"/>
            </w:tcBorders>
          </w:tcPr>
          <w:p w14:paraId="68B02D52" w14:textId="77777777" w:rsidR="00F87005" w:rsidRPr="003B420C" w:rsidRDefault="00F87005" w:rsidP="001C4F97">
            <w:pPr>
              <w:spacing w:after="0" w:line="240" w:lineRule="auto"/>
              <w:jc w:val="center"/>
              <w:rPr>
                <w:rFonts w:asciiTheme="majorBidi" w:hAnsiTheme="majorBidi" w:cstheme="majorBidi"/>
                <w:sz w:val="20"/>
                <w:szCs w:val="20"/>
              </w:rPr>
            </w:pPr>
            <w:r w:rsidRPr="003B420C">
              <w:rPr>
                <w:rFonts w:asciiTheme="majorBidi" w:hAnsiTheme="majorBidi" w:cstheme="majorBidi"/>
                <w:sz w:val="20"/>
                <w:szCs w:val="20"/>
              </w:rPr>
              <w:t>1</w:t>
            </w:r>
          </w:p>
        </w:tc>
        <w:tc>
          <w:tcPr>
            <w:tcW w:w="1979" w:type="dxa"/>
            <w:tcBorders>
              <w:top w:val="single" w:sz="4" w:space="0" w:color="auto"/>
              <w:left w:val="single" w:sz="4" w:space="0" w:color="auto"/>
              <w:bottom w:val="single" w:sz="4" w:space="0" w:color="auto"/>
              <w:right w:val="single" w:sz="4" w:space="0" w:color="auto"/>
            </w:tcBorders>
          </w:tcPr>
          <w:p w14:paraId="49C78EC3" w14:textId="77777777" w:rsidR="00F87005" w:rsidRPr="003B420C" w:rsidRDefault="00F87005" w:rsidP="001C4F97">
            <w:pPr>
              <w:autoSpaceDE w:val="0"/>
              <w:autoSpaceDN w:val="0"/>
              <w:adjustRightInd w:val="0"/>
              <w:spacing w:after="0" w:line="240" w:lineRule="auto"/>
              <w:rPr>
                <w:rFonts w:asciiTheme="majorBidi" w:hAnsiTheme="majorBidi" w:cstheme="majorBidi"/>
                <w:color w:val="231F20"/>
                <w:sz w:val="20"/>
                <w:szCs w:val="20"/>
              </w:rPr>
            </w:pPr>
            <w:r w:rsidRPr="003B420C">
              <w:rPr>
                <w:rFonts w:asciiTheme="majorBidi" w:hAnsiTheme="majorBidi" w:cstheme="majorBidi"/>
                <w:sz w:val="20"/>
                <w:szCs w:val="20"/>
                <w:lang w:bidi="fa-IR"/>
              </w:rPr>
              <w:t>Y. S. Zhang</w:t>
            </w:r>
            <w:r w:rsidRPr="003B420C">
              <w:rPr>
                <w:rFonts w:asciiTheme="majorBidi" w:hAnsiTheme="majorBidi" w:cstheme="majorBidi"/>
                <w:color w:val="231F20"/>
                <w:sz w:val="20"/>
                <w:szCs w:val="20"/>
              </w:rPr>
              <w:t xml:space="preserve"> </w:t>
            </w:r>
            <w:proofErr w:type="spellStart"/>
            <w:r w:rsidRPr="003B420C">
              <w:rPr>
                <w:rFonts w:asciiTheme="majorBidi" w:hAnsiTheme="majorBidi" w:cstheme="majorBidi"/>
                <w:color w:val="231F20"/>
                <w:sz w:val="20"/>
                <w:szCs w:val="20"/>
              </w:rPr>
              <w:t>nad</w:t>
            </w:r>
            <w:proofErr w:type="spellEnd"/>
            <w:r w:rsidRPr="003B420C">
              <w:rPr>
                <w:rFonts w:asciiTheme="majorBidi" w:hAnsiTheme="majorBidi" w:cstheme="majorBidi"/>
                <w:color w:val="231F20"/>
                <w:sz w:val="20"/>
                <w:szCs w:val="20"/>
              </w:rPr>
              <w:t xml:space="preserve"> et al. </w:t>
            </w:r>
            <w:r w:rsidRPr="003B420C">
              <w:rPr>
                <w:rFonts w:asciiTheme="majorBidi" w:hAnsiTheme="majorBidi" w:cstheme="majorBidi"/>
                <w:sz w:val="20"/>
                <w:szCs w:val="20"/>
                <w:lang w:bidi="fa-IR"/>
              </w:rPr>
              <w:t>China, 2020</w:t>
            </w:r>
            <w:r w:rsidRPr="003B420C">
              <w:rPr>
                <w:rFonts w:asciiTheme="majorBidi" w:hAnsiTheme="majorBidi" w:cstheme="majorBidi"/>
                <w:color w:val="231F20"/>
                <w:sz w:val="20"/>
                <w:szCs w:val="20"/>
              </w:rPr>
              <w:t xml:space="preserve">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&lt;EndNote&gt;&lt;Cite&gt;&lt;Author&gt;Zhang&lt;/Author&gt;&lt;Year&gt;2020&lt;/Year&gt;&lt;RecNum&gt;25&lt;/RecNum&gt;&lt;DisplayText&gt;(32)&lt;/DisplayText&gt;&lt;record&gt;&lt;rec-number&gt;25&lt;/rec-number&gt;&lt;foreign-keys&gt;&lt;key app="EN" db-id="tasvra20qrdrv0e2xpqprw51fxfr0pas5wr2" timestamp="1663162249"&gt;25&lt;/key&gt;&lt;/foreign-keys&gt;&lt;ref-type name="Journal Article"&gt;17&lt;/ref-type&gt;&lt;contributors&gt;&lt;authors&gt;&lt;author&gt;Zhang, Y. S.&lt;/author&gt;&lt;author&gt;Jin, Y.&lt;/author&gt;&lt;author&gt;Rao, W. W.&lt;/author&gt;&lt;author&gt;Cui, L. J.&lt;/author&gt;&lt;author&gt;Li, J. F.&lt;/author&gt;&lt;author&gt;Li, L.&lt;/author&gt;&lt;author&gt;Gabor, S. U.&lt;/author&gt;&lt;author&gt;Brian, J. H.&lt;/author&gt;&lt;author&gt;Li, K. Q.&lt;/author&gt;&lt;author&gt;Xiang, Y. T.&lt;/author&gt;&lt;/authors&gt;&lt;/contributors&gt;&lt;titles&gt;&lt;title&gt;Prevalence and socio-demographic correlates of major depressive disorder in older adults in Hebei province, China&lt;/title&gt;&lt;secondary-title&gt;Journal of Affective Disorders&lt;/secondary-title&gt;&lt;/titles&gt;&lt;periodical&gt;&lt;full-title&gt;Journal of Affective Disorders&lt;/full-title&gt;&lt;/periodical&gt;&lt;pages&gt;590-594&lt;/pages&gt;&lt;volume&gt;265&lt;/volume&gt;&lt;dates&gt;&lt;year&gt;2020&lt;/year&gt;&lt;pub-dates&gt;&lt;date&gt;Mar&lt;/date&gt;&lt;/pub-dates&gt;&lt;/dates&gt;&lt;isbn&gt;0165-0327&lt;/isbn&gt;&lt;accession-num&gt;WOS:000514822200075&lt;/accession-num&gt;&lt;urls&gt;&lt;related-urls&gt;&lt;url&gt;&amp;lt;Go to ISI&amp;gt;://WOS:000514822200075&lt;/url&gt;&lt;/related-urls&gt;&lt;/urls&gt;&lt;electronic-resource-num&gt;10.1016/j.jad.2019.11.096&lt;/electronic-resource-num&gt;&lt;/record&gt;&lt;/Cite&gt;&lt;/EndNote&gt;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(32)</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07BC9EDE" w14:textId="77777777" w:rsidR="00F87005" w:rsidRPr="003B420C" w:rsidRDefault="00F87005" w:rsidP="001C4F97">
            <w:pPr>
              <w:spacing w:after="0" w:line="240" w:lineRule="auto"/>
              <w:rPr>
                <w:rFonts w:asciiTheme="majorBidi" w:hAnsiTheme="majorBidi" w:cstheme="majorBidi"/>
                <w:color w:val="231F20"/>
                <w:sz w:val="20"/>
                <w:szCs w:val="20"/>
              </w:rPr>
            </w:pPr>
            <w:r w:rsidRPr="003B420C">
              <w:rPr>
                <w:rFonts w:asciiTheme="majorBidi" w:hAnsiTheme="majorBidi" w:cstheme="majorBidi"/>
                <w:color w:val="231F20"/>
                <w:sz w:val="20"/>
                <w:szCs w:val="20"/>
              </w:rPr>
              <w:t>Multistage, stratified, random sampling was administered between April and August 2016. A total of 3911 participants were enrolled.</w:t>
            </w:r>
          </w:p>
        </w:tc>
        <w:tc>
          <w:tcPr>
            <w:tcW w:w="3869" w:type="dxa"/>
            <w:tcBorders>
              <w:top w:val="single" w:sz="4" w:space="0" w:color="auto"/>
              <w:left w:val="single" w:sz="4" w:space="0" w:color="auto"/>
              <w:bottom w:val="single" w:sz="4" w:space="0" w:color="auto"/>
              <w:right w:val="single" w:sz="4" w:space="0" w:color="auto"/>
            </w:tcBorders>
          </w:tcPr>
          <w:p w14:paraId="6A275DD2" w14:textId="77777777" w:rsidR="00F87005" w:rsidRPr="003B420C" w:rsidRDefault="00F87005" w:rsidP="001C4F97">
            <w:pPr>
              <w:spacing w:after="0" w:line="240" w:lineRule="auto"/>
              <w:rPr>
                <w:rFonts w:asciiTheme="majorBidi" w:hAnsiTheme="majorBidi" w:cstheme="majorBidi"/>
                <w:color w:val="231F20"/>
                <w:sz w:val="20"/>
                <w:szCs w:val="20"/>
              </w:rPr>
            </w:pPr>
            <w:r w:rsidRPr="003B420C">
              <w:rPr>
                <w:rFonts w:asciiTheme="majorBidi" w:hAnsiTheme="majorBidi" w:cstheme="majorBidi"/>
                <w:color w:val="231F20"/>
                <w:sz w:val="20"/>
                <w:szCs w:val="20"/>
              </w:rPr>
              <w:t>This study examined the 1-month and lifetime prevalence of MDD and its socio-demographic correlates in older adults living in Hebei province, an agricultural area of China.</w:t>
            </w:r>
          </w:p>
        </w:tc>
        <w:tc>
          <w:tcPr>
            <w:tcW w:w="4962" w:type="dxa"/>
            <w:tcBorders>
              <w:top w:val="single" w:sz="4" w:space="0" w:color="auto"/>
              <w:left w:val="single" w:sz="4" w:space="0" w:color="auto"/>
              <w:bottom w:val="single" w:sz="4" w:space="0" w:color="auto"/>
              <w:right w:val="single" w:sz="4" w:space="0" w:color="auto"/>
            </w:tcBorders>
          </w:tcPr>
          <w:p w14:paraId="034743D1" w14:textId="77777777" w:rsidR="00F87005" w:rsidRPr="003B420C" w:rsidRDefault="00F87005" w:rsidP="001C4F97">
            <w:pPr>
              <w:spacing w:after="0" w:line="240" w:lineRule="auto"/>
              <w:jc w:val="both"/>
              <w:rPr>
                <w:rFonts w:asciiTheme="majorBidi" w:hAnsiTheme="majorBidi" w:cstheme="majorBidi"/>
                <w:color w:val="231F20"/>
                <w:sz w:val="20"/>
                <w:szCs w:val="20"/>
              </w:rPr>
            </w:pPr>
            <w:r w:rsidRPr="003B420C">
              <w:rPr>
                <w:rFonts w:asciiTheme="majorBidi" w:hAnsiTheme="majorBidi" w:cstheme="majorBidi"/>
                <w:color w:val="231F20"/>
                <w:sz w:val="20"/>
                <w:szCs w:val="20"/>
              </w:rPr>
              <w:t>female gender [P &lt; 0.001, adjusted odds ratio (</w:t>
            </w:r>
            <w:proofErr w:type="spellStart"/>
            <w:r w:rsidRPr="003B420C">
              <w:rPr>
                <w:rFonts w:asciiTheme="majorBidi" w:hAnsiTheme="majorBidi" w:cstheme="majorBidi"/>
                <w:color w:val="231F20"/>
                <w:sz w:val="20"/>
                <w:szCs w:val="20"/>
              </w:rPr>
              <w:t>aOR</w:t>
            </w:r>
            <w:proofErr w:type="spellEnd"/>
            <w:r w:rsidRPr="003B420C">
              <w:rPr>
                <w:rFonts w:asciiTheme="majorBidi" w:hAnsiTheme="majorBidi" w:cstheme="majorBidi"/>
                <w:color w:val="231F20"/>
                <w:sz w:val="20"/>
                <w:szCs w:val="20"/>
              </w:rPr>
              <w:t xml:space="preserve">) = 2.6, 95%CI: 1.53-4.53], presence of comorbid major medical conditions (P &lt; 0.001, </w:t>
            </w:r>
            <w:proofErr w:type="spellStart"/>
            <w:r w:rsidRPr="003B420C">
              <w:rPr>
                <w:rFonts w:asciiTheme="majorBidi" w:hAnsiTheme="majorBidi" w:cstheme="majorBidi"/>
                <w:color w:val="231F20"/>
                <w:sz w:val="20"/>
                <w:szCs w:val="20"/>
              </w:rPr>
              <w:t>aOR</w:t>
            </w:r>
            <w:proofErr w:type="spellEnd"/>
            <w:r w:rsidRPr="003B420C">
              <w:rPr>
                <w:rFonts w:asciiTheme="majorBidi" w:hAnsiTheme="majorBidi" w:cstheme="majorBidi"/>
                <w:color w:val="231F20"/>
                <w:sz w:val="20"/>
                <w:szCs w:val="20"/>
              </w:rPr>
              <w:t xml:space="preserve"> = 4.8, 95%CI: 2.17-10.39) and family history of psychiatric disorders (P = 0.013, </w:t>
            </w:r>
            <w:proofErr w:type="spellStart"/>
            <w:r w:rsidRPr="003B420C">
              <w:rPr>
                <w:rFonts w:asciiTheme="majorBidi" w:hAnsiTheme="majorBidi" w:cstheme="majorBidi"/>
                <w:color w:val="231F20"/>
                <w:sz w:val="20"/>
                <w:szCs w:val="20"/>
              </w:rPr>
              <w:t>aOR</w:t>
            </w:r>
            <w:proofErr w:type="spellEnd"/>
            <w:r w:rsidRPr="003B420C">
              <w:rPr>
                <w:rFonts w:asciiTheme="majorBidi" w:hAnsiTheme="majorBidi" w:cstheme="majorBidi"/>
                <w:color w:val="231F20"/>
                <w:sz w:val="20"/>
                <w:szCs w:val="20"/>
              </w:rPr>
              <w:t xml:space="preserve"> = 3.4, 95%CI: 1.30-8.96) were independently and significantly associated with higher odds of MDD.</w:t>
            </w:r>
          </w:p>
        </w:tc>
      </w:tr>
      <w:tr w:rsidR="00F87005" w:rsidRPr="003B420C" w14:paraId="12C6A5A5" w14:textId="77777777" w:rsidTr="001C4F97">
        <w:tc>
          <w:tcPr>
            <w:tcW w:w="653" w:type="dxa"/>
            <w:tcBorders>
              <w:top w:val="single" w:sz="4" w:space="0" w:color="auto"/>
              <w:left w:val="single" w:sz="4" w:space="0" w:color="auto"/>
              <w:bottom w:val="single" w:sz="4" w:space="0" w:color="auto"/>
              <w:right w:val="single" w:sz="4" w:space="0" w:color="auto"/>
            </w:tcBorders>
          </w:tcPr>
          <w:p w14:paraId="31A9D16B" w14:textId="77777777" w:rsidR="00F87005" w:rsidRPr="003B420C" w:rsidRDefault="00F87005" w:rsidP="001C4F97">
            <w:pPr>
              <w:spacing w:after="0" w:line="240" w:lineRule="auto"/>
              <w:jc w:val="center"/>
              <w:rPr>
                <w:rFonts w:asciiTheme="majorBidi" w:hAnsiTheme="majorBidi" w:cstheme="majorBidi"/>
                <w:color w:val="FF0000"/>
                <w:sz w:val="20"/>
                <w:szCs w:val="20"/>
              </w:rPr>
            </w:pPr>
            <w:r w:rsidRPr="003B420C">
              <w:rPr>
                <w:rFonts w:asciiTheme="majorBidi" w:hAnsiTheme="majorBidi" w:cstheme="majorBidi"/>
                <w:color w:val="FF0000"/>
                <w:sz w:val="20"/>
                <w:szCs w:val="20"/>
              </w:rPr>
              <w:t>2</w:t>
            </w:r>
          </w:p>
        </w:tc>
        <w:tc>
          <w:tcPr>
            <w:tcW w:w="1979" w:type="dxa"/>
            <w:tcBorders>
              <w:top w:val="single" w:sz="4" w:space="0" w:color="auto"/>
              <w:left w:val="single" w:sz="4" w:space="0" w:color="auto"/>
              <w:bottom w:val="single" w:sz="4" w:space="0" w:color="auto"/>
              <w:right w:val="single" w:sz="4" w:space="0" w:color="auto"/>
            </w:tcBorders>
          </w:tcPr>
          <w:p w14:paraId="5AD3C059" w14:textId="77777777" w:rsidR="00F87005" w:rsidRPr="003B420C" w:rsidRDefault="00F87005" w:rsidP="001C4F97">
            <w:pPr>
              <w:spacing w:after="0" w:line="240" w:lineRule="auto"/>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G. C. Medeiros and et al. USA. 2020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&lt;EndNote&gt;&lt;Cite&gt;&lt;Author&gt;Medeiros&lt;/Author&gt;&lt;Year&gt;2020&lt;/Year&gt;&lt;RecNum&gt;26&lt;/RecNum&gt;&lt;DisplayText&gt;(33)&lt;/DisplayText&gt;&lt;record&gt;&lt;rec-number&gt;26&lt;/rec-number&gt;&lt;foreign-keys&gt;&lt;key app="EN" db-id="tasvra20qrdrv0e2xpqprw51fxfr0pas5wr2" timestamp="1663162249"&gt;26&lt;/key&gt;&lt;/foreign-keys&gt;&lt;ref-type name="Journal Article"&gt;17&lt;/ref-type&gt;&lt;contributors&gt;&lt;authors&gt;&lt;author&gt;Medeiros, G. C.&lt;/author&gt;&lt;author&gt;Prueitt, W. L.&lt;/author&gt;&lt;author&gt;Minhajuddin, A.&lt;/author&gt;&lt;author&gt;Patel, S. S.&lt;/author&gt;&lt;author&gt;Czysz, A. H.&lt;/author&gt;&lt;author&gt;Furman, J. L.&lt;/author&gt;&lt;author&gt;Mason, B. L.&lt;/author&gt;&lt;author&gt;Rush, A. J.&lt;/author&gt;&lt;author&gt;Jha, M. K.&lt;/author&gt;&lt;author&gt;Trivedi, M. H.&lt;/author&gt;&lt;/authors&gt;&lt;/contributors&gt;&lt;titles&gt;&lt;title&gt;Childhood maltreatment and impact on clinical features of major depression in adults&lt;/title&gt;&lt;secondary-title&gt;Psychiatry Research&lt;/secondary-title&gt;&lt;/titles&gt;&lt;periodical&gt;&lt;full-title&gt;Psychiatry Research&lt;/full-title&gt;&lt;/periodical&gt;&lt;volume&gt;293&lt;/volume&gt;&lt;dates&gt;&lt;year&gt;2020&lt;/year&gt;&lt;pub-dates&gt;&lt;date&gt;Nov&lt;/date&gt;&lt;/pub-dates&gt;&lt;/dates&gt;&lt;isbn&gt;0165-1781&lt;/isbn&gt;&lt;accession-num&gt;WOS:000591588300032&lt;/accession-num&gt;&lt;urls&gt;&lt;related-urls&gt;&lt;url&gt;&amp;lt;Go to ISI&amp;gt;://WOS:000591588300032&lt;/url&gt;&lt;/related-urls&gt;&lt;/urls&gt;&lt;custom7&gt;113412&lt;/custom7&gt;&lt;electronic-resource-num&gt;10.1016/j.psychres.2020.113412&lt;/electronic-resource-num&gt;&lt;/record&gt;&lt;/Cite&gt;&lt;/EndNote&gt;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(33)</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0887054E" w14:textId="77777777" w:rsidR="00F87005" w:rsidRPr="003B420C" w:rsidRDefault="00F87005" w:rsidP="001C4F97">
            <w:pPr>
              <w:spacing w:after="0" w:line="240" w:lineRule="auto"/>
              <w:rPr>
                <w:rFonts w:asciiTheme="majorBidi" w:hAnsiTheme="majorBidi" w:cstheme="majorBidi"/>
                <w:color w:val="231F20"/>
                <w:sz w:val="20"/>
                <w:szCs w:val="20"/>
              </w:rPr>
            </w:pPr>
            <w:r w:rsidRPr="003B420C">
              <w:rPr>
                <w:rFonts w:asciiTheme="majorBidi" w:hAnsiTheme="majorBidi" w:cstheme="majorBidi"/>
                <w:color w:val="231F20"/>
                <w:sz w:val="20"/>
                <w:szCs w:val="20"/>
              </w:rPr>
              <w:t>We analyzed the baseline data of 663 individuals from the CO-MED study.</w:t>
            </w:r>
          </w:p>
        </w:tc>
        <w:tc>
          <w:tcPr>
            <w:tcW w:w="3869" w:type="dxa"/>
            <w:tcBorders>
              <w:top w:val="single" w:sz="4" w:space="0" w:color="auto"/>
              <w:left w:val="single" w:sz="4" w:space="0" w:color="auto"/>
              <w:bottom w:val="single" w:sz="4" w:space="0" w:color="auto"/>
              <w:right w:val="single" w:sz="4" w:space="0" w:color="auto"/>
            </w:tcBorders>
          </w:tcPr>
          <w:p w14:paraId="3EE33530" w14:textId="77777777" w:rsidR="00F87005" w:rsidRPr="003B420C" w:rsidRDefault="00F87005" w:rsidP="001C4F97">
            <w:pPr>
              <w:spacing w:after="0" w:line="240" w:lineRule="auto"/>
              <w:rPr>
                <w:rFonts w:asciiTheme="majorBidi" w:hAnsiTheme="majorBidi" w:cstheme="majorBidi"/>
                <w:color w:val="231F20"/>
                <w:sz w:val="20"/>
                <w:szCs w:val="20"/>
              </w:rPr>
            </w:pPr>
            <w:r w:rsidRPr="003B420C">
              <w:rPr>
                <w:rFonts w:asciiTheme="majorBidi" w:hAnsiTheme="majorBidi" w:cstheme="majorBidi"/>
                <w:color w:val="231F20"/>
                <w:sz w:val="20"/>
                <w:szCs w:val="20"/>
              </w:rPr>
              <w:t>This study examined: 1) the prevalence of childhood maltreatment (CMT) in individuals with chronic and/or recurrent depression, 2) the association between CMT and depressive symptoms, 3) the link between CMT and worse clinical presentation of depression, 4) the effects of accumulation of different types of CMT, and 5) the relationship between the age at CMT and depression.</w:t>
            </w:r>
          </w:p>
        </w:tc>
        <w:tc>
          <w:tcPr>
            <w:tcW w:w="4962" w:type="dxa"/>
            <w:tcBorders>
              <w:top w:val="single" w:sz="4" w:space="0" w:color="auto"/>
              <w:left w:val="single" w:sz="4" w:space="0" w:color="auto"/>
              <w:bottom w:val="single" w:sz="4" w:space="0" w:color="auto"/>
              <w:right w:val="single" w:sz="4" w:space="0" w:color="auto"/>
            </w:tcBorders>
          </w:tcPr>
          <w:p w14:paraId="2D7C4097" w14:textId="77777777" w:rsidR="00F87005" w:rsidRPr="003B420C" w:rsidRDefault="00F87005" w:rsidP="001C4F97">
            <w:pPr>
              <w:spacing w:after="0" w:line="240" w:lineRule="auto"/>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Half of the sample (n = 331) reported CMT. Those with CMT had higher rates of panic/phobic, cognitive and </w:t>
            </w:r>
            <w:proofErr w:type="spellStart"/>
            <w:r w:rsidRPr="003B420C">
              <w:rPr>
                <w:rFonts w:asciiTheme="majorBidi" w:hAnsiTheme="majorBidi" w:cstheme="majorBidi"/>
                <w:color w:val="231F20"/>
                <w:sz w:val="20"/>
                <w:szCs w:val="20"/>
              </w:rPr>
              <w:t>anhedonic</w:t>
            </w:r>
            <w:proofErr w:type="spellEnd"/>
            <w:r w:rsidRPr="003B420C">
              <w:rPr>
                <w:rFonts w:asciiTheme="majorBidi" w:hAnsiTheme="majorBidi" w:cstheme="majorBidi"/>
                <w:color w:val="231F20"/>
                <w:sz w:val="20"/>
                <w:szCs w:val="20"/>
              </w:rPr>
              <w:t xml:space="preserve"> symptoms than those without CMT. All individual types of maltreatment were associated with a poorer clinical presentation including: 1) earlier MDD onset; 2) more severe MDD, 3) more </w:t>
            </w:r>
            <w:proofErr w:type="spellStart"/>
            <w:r w:rsidRPr="003B420C">
              <w:rPr>
                <w:rFonts w:asciiTheme="majorBidi" w:hAnsiTheme="majorBidi" w:cstheme="majorBidi"/>
                <w:color w:val="231F20"/>
                <w:sz w:val="20"/>
                <w:szCs w:val="20"/>
              </w:rPr>
              <w:t>suiccidality</w:t>
            </w:r>
            <w:proofErr w:type="spellEnd"/>
            <w:r w:rsidRPr="003B420C">
              <w:rPr>
                <w:rFonts w:asciiTheme="majorBidi" w:hAnsiTheme="majorBidi" w:cstheme="majorBidi"/>
                <w:color w:val="231F20"/>
                <w:sz w:val="20"/>
                <w:szCs w:val="20"/>
              </w:rPr>
              <w:t>, 4) worse quality of life, and functioning, and 5) more psychiatric comorbidities.</w:t>
            </w:r>
          </w:p>
        </w:tc>
      </w:tr>
      <w:tr w:rsidR="00F87005" w:rsidRPr="003B420C" w14:paraId="359EF83B" w14:textId="77777777" w:rsidTr="001C4F97">
        <w:tc>
          <w:tcPr>
            <w:tcW w:w="653" w:type="dxa"/>
            <w:tcBorders>
              <w:top w:val="single" w:sz="4" w:space="0" w:color="auto"/>
              <w:left w:val="single" w:sz="4" w:space="0" w:color="auto"/>
              <w:bottom w:val="single" w:sz="4" w:space="0" w:color="auto"/>
              <w:right w:val="single" w:sz="4" w:space="0" w:color="auto"/>
            </w:tcBorders>
          </w:tcPr>
          <w:p w14:paraId="69CD54AD"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3</w:t>
            </w:r>
          </w:p>
        </w:tc>
        <w:tc>
          <w:tcPr>
            <w:tcW w:w="1979" w:type="dxa"/>
            <w:tcBorders>
              <w:top w:val="single" w:sz="4" w:space="0" w:color="auto"/>
              <w:left w:val="single" w:sz="4" w:space="0" w:color="auto"/>
              <w:bottom w:val="single" w:sz="4" w:space="0" w:color="auto"/>
              <w:right w:val="single" w:sz="4" w:space="0" w:color="auto"/>
            </w:tcBorders>
          </w:tcPr>
          <w:p w14:paraId="0536515C"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Daiki Kobayashi and et al. Japan. 2020</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&lt;EndNote&gt;&lt;Cite&gt;&lt;Author&gt;Kobayashi&lt;/Author&gt;&lt;Year&gt;2020&lt;/Year&gt;&lt;RecNum&gt;28&lt;/RecNum&gt;&lt;DisplayText&gt;(34)&lt;/DisplayText&gt;&lt;record&gt;&lt;rec-number&gt;28&lt;/rec-number&gt;&lt;foreign-keys&gt;&lt;key app="EN" db-id="tasvra20qrdrv0e2xpqprw51fxfr0pas5wr2" timestamp="1663162249"&gt;28&lt;/key&gt;&lt;/foreign-keys&gt;&lt;ref-type name="Journal Article"&gt;17&lt;/ref-type&gt;&lt;contributors&gt;&lt;authors&gt;&lt;author&gt;Kobayashi, D.&lt;/author&gt;&lt;author&gt;First, M. B.&lt;/author&gt;&lt;author&gt;Shimbo, T.&lt;/author&gt;&lt;author&gt;Kanba, S.&lt;/author&gt;&lt;author&gt;Hirano, Y.&lt;/author&gt;&lt;/authors&gt;&lt;/contributors&gt;&lt;titles&gt;&lt;title&gt;Association of self-reported religiosity with the development of major depression in multireligious country Japan&lt;/title&gt;&lt;secondary-title&gt;Psychiatry and Clinical Neurosciences&lt;/secondary-title&gt;&lt;/titles&gt;&lt;periodical&gt;&lt;full-title&gt;Psychiatry and Clinical Neurosciences&lt;/full-title&gt;&lt;/periodical&gt;&lt;pages&gt;535-541&lt;/pages&gt;&lt;volume&gt;74&lt;/volume&gt;&lt;number&gt;10&lt;/number&gt;&lt;dates&gt;&lt;year&gt;2020&lt;/year&gt;&lt;pub-dates&gt;&lt;date&gt;Oct&lt;/date&gt;&lt;/pub-dates&gt;&lt;/dates&gt;&lt;isbn&gt;1323-1316&lt;/isbn&gt;&lt;accession-num&gt;WOS:000545272900001&lt;/accession-num&gt;&lt;urls&gt;&lt;related-urls&gt;&lt;url&gt;&amp;lt;Go to ISI&amp;gt;://WOS:000545272900001&lt;/url&gt;&lt;/related-urls&gt;&lt;/urls&gt;&lt;electronic-resource-num&gt;10.1111/pcn.13087&lt;/electronic-resource-num&gt;&lt;/record&gt;&lt;/Cite&gt;&lt;/EndNote&gt;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(34)</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0FDBE81A"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 longitudinal study was conducted in a large hospital in Tokyo, Japan, from 2005 to 2018. 67 723 adult participants</w:t>
            </w:r>
          </w:p>
        </w:tc>
        <w:tc>
          <w:tcPr>
            <w:tcW w:w="3869" w:type="dxa"/>
            <w:tcBorders>
              <w:top w:val="single" w:sz="4" w:space="0" w:color="auto"/>
              <w:left w:val="single" w:sz="4" w:space="0" w:color="auto"/>
              <w:bottom w:val="single" w:sz="4" w:space="0" w:color="auto"/>
              <w:right w:val="single" w:sz="4" w:space="0" w:color="auto"/>
            </w:tcBorders>
          </w:tcPr>
          <w:p w14:paraId="0263F156"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objective was to evaluate the association between religiosity and subsequent depression in a multireligious population.</w:t>
            </w:r>
          </w:p>
        </w:tc>
        <w:tc>
          <w:tcPr>
            <w:tcW w:w="4962" w:type="dxa"/>
            <w:tcBorders>
              <w:top w:val="single" w:sz="4" w:space="0" w:color="auto"/>
              <w:left w:val="single" w:sz="4" w:space="0" w:color="auto"/>
              <w:bottom w:val="single" w:sz="4" w:space="0" w:color="auto"/>
              <w:right w:val="single" w:sz="4" w:space="0" w:color="auto"/>
            </w:tcBorders>
          </w:tcPr>
          <w:p w14:paraId="4F2E131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extremely religious group (OR, 1.51; 95% confidence interval [CI], 1.28-1.78) and the moderately religious group (OR, 1.30; 95% CI, 1.14-1.49) were statistically associated with increased development of MDD compared to the not-religious-at-all group. Those who had increased their religiosity from baseline had statistically lower development of MDD (OR, 0.85; 95% CI, 0.75-0.97) compared to those who remained in the same degree of religiosity from baseline.</w:t>
            </w:r>
          </w:p>
        </w:tc>
      </w:tr>
      <w:tr w:rsidR="00F87005" w:rsidRPr="003B420C" w14:paraId="24C92ADA" w14:textId="77777777" w:rsidTr="001C4F97">
        <w:tc>
          <w:tcPr>
            <w:tcW w:w="653" w:type="dxa"/>
            <w:tcBorders>
              <w:top w:val="single" w:sz="4" w:space="0" w:color="auto"/>
              <w:left w:val="single" w:sz="4" w:space="0" w:color="auto"/>
              <w:bottom w:val="single" w:sz="4" w:space="0" w:color="auto"/>
              <w:right w:val="single" w:sz="4" w:space="0" w:color="auto"/>
            </w:tcBorders>
          </w:tcPr>
          <w:p w14:paraId="2EA5B39F"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4</w:t>
            </w:r>
          </w:p>
        </w:tc>
        <w:tc>
          <w:tcPr>
            <w:tcW w:w="1979" w:type="dxa"/>
            <w:tcBorders>
              <w:top w:val="single" w:sz="4" w:space="0" w:color="auto"/>
              <w:left w:val="single" w:sz="4" w:space="0" w:color="auto"/>
              <w:bottom w:val="single" w:sz="4" w:space="0" w:color="auto"/>
              <w:right w:val="single" w:sz="4" w:space="0" w:color="auto"/>
            </w:tcBorders>
          </w:tcPr>
          <w:p w14:paraId="25E8997B"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Y. C. E. Chung and et al. Taiwan.2019</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&lt;EndNote&gt;&lt;Cite&gt;&lt;Author&gt;Chung&lt;/Author&gt;&lt;Year&gt;2019&lt;/Year&gt;&lt;RecNum&gt;35&lt;/RecNum&gt;&lt;DisplayText&gt;(35)&lt;/DisplayText&gt;&lt;record&gt;&lt;rec-number&gt;35&lt;/rec-number&gt;&lt;foreign-keys&gt;&lt;key app="EN" db-id="tasvra20qrdrv0e2xpqprw51fxfr0pas5wr2" timestamp="1663162249"&gt;35&lt;/key&gt;&lt;/foreign-keys&gt;&lt;ref-type name="Journal Article"&gt;17&lt;/ref-type&gt;&lt;contributors&gt;&lt;authors&gt;&lt;author&gt;Chung, Y. C. E.&lt;/author&gt;&lt;author&gt;Chen, H. C.&lt;/author&gt;&lt;author&gt;Chou, H. C. L.&lt;/author&gt;&lt;author&gt;Chen, I. M.&lt;/author&gt;&lt;author&gt;Lee, M. S.&lt;/author&gt;&lt;author&gt;Chuang, L. C.&lt;/author&gt;&lt;author&gt;Liu, Y. W.&lt;/author&gt;&lt;author&gt;Liu, M. L.&lt;/author&gt;&lt;author&gt;Chen, C. H.&lt;/author&gt;&lt;author&gt;Wu, C. S.&lt;/author&gt;&lt;author&gt;Huang, M. C.&lt;/author&gt;&lt;author&gt;Liao, S. C.&lt;/author&gt;&lt;author&gt;Ni, Y. H.&lt;/author&gt;&lt;author&gt;Lai, M. S.&lt;/author&gt;&lt;author&gt;Shih, W. L.&lt;/author&gt;&lt;author&gt;Kuo, P. H.&lt;/author&gt;&lt;/authors&gt;&lt;/contributors&gt;&lt;titles&gt;&lt;title&gt;Exploration of microbiota targets for major depressive disorder and mood related traits&lt;/title&gt;&lt;secondary-title&gt;Journal of Psychiatric Research&lt;/secondary-title&gt;&lt;/titles&gt;&lt;periodical&gt;&lt;full-title&gt;Journal of Psychiatric Research&lt;/full-title&gt;&lt;/periodical&gt;&lt;pages&gt;74-82&lt;/pages&gt;&lt;volume&gt;111&lt;/volume&gt;&lt;dates&gt;&lt;year&gt;2019&lt;/year&gt;&lt;pub-dates&gt;&lt;date&gt;Apr&lt;/date&gt;&lt;/pub-dates&gt;&lt;/dates&gt;&lt;isbn&gt;0022-3956&lt;/isbn&gt;&lt;accession-num&gt;WOS:000466252700011&lt;/accession-num&gt;&lt;urls&gt;&lt;related-urls&gt;&lt;url&gt;&amp;lt;Go to ISI&amp;gt;://WOS:000466252700011&lt;/url&gt;&lt;/related-urls&gt;&lt;/urls&gt;&lt;electronic-resource-num&gt;10.1016/j.jpsychires.2019.01.016&lt;/electronic-resource-num&gt;&lt;/record&gt;&lt;/Cite&gt;&lt;/EndNote&gt;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(35)</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6754B86E"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recruited 36 MDD patients and 37 healthy controls for 16S rRNA gene sequencing.</w:t>
            </w:r>
          </w:p>
        </w:tc>
        <w:tc>
          <w:tcPr>
            <w:tcW w:w="3869" w:type="dxa"/>
            <w:tcBorders>
              <w:top w:val="single" w:sz="4" w:space="0" w:color="auto"/>
              <w:left w:val="single" w:sz="4" w:space="0" w:color="auto"/>
              <w:bottom w:val="single" w:sz="4" w:space="0" w:color="auto"/>
              <w:right w:val="single" w:sz="4" w:space="0" w:color="auto"/>
            </w:tcBorders>
          </w:tcPr>
          <w:p w14:paraId="38344F5E"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current study aimed to identify microbiota targets for major depressive disorder (MDD) and mood-related traits in Taiwanese samples, while taking into account the influence of dietary patterns.</w:t>
            </w:r>
          </w:p>
        </w:tc>
        <w:tc>
          <w:tcPr>
            <w:tcW w:w="4962" w:type="dxa"/>
            <w:tcBorders>
              <w:top w:val="single" w:sz="4" w:space="0" w:color="auto"/>
              <w:left w:val="single" w:sz="4" w:space="0" w:color="auto"/>
              <w:bottom w:val="single" w:sz="4" w:space="0" w:color="auto"/>
              <w:right w:val="single" w:sz="4" w:space="0" w:color="auto"/>
            </w:tcBorders>
          </w:tcPr>
          <w:p w14:paraId="49D5A93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At genus level, Bifidobacterium (7%) and </w:t>
            </w:r>
            <w:proofErr w:type="spellStart"/>
            <w:r w:rsidRPr="003B420C">
              <w:rPr>
                <w:rFonts w:asciiTheme="majorBidi" w:hAnsiTheme="majorBidi" w:cstheme="majorBidi"/>
                <w:color w:val="231F20"/>
                <w:sz w:val="20"/>
                <w:szCs w:val="20"/>
              </w:rPr>
              <w:t>Blautia</w:t>
            </w:r>
            <w:proofErr w:type="spellEnd"/>
            <w:r w:rsidRPr="003B420C">
              <w:rPr>
                <w:rFonts w:asciiTheme="majorBidi" w:hAnsiTheme="majorBidi" w:cstheme="majorBidi"/>
                <w:color w:val="231F20"/>
                <w:sz w:val="20"/>
                <w:szCs w:val="20"/>
              </w:rPr>
              <w:t xml:space="preserve"> (8%) had relatively high abundance among MDD patients, while </w:t>
            </w:r>
            <w:proofErr w:type="spellStart"/>
            <w:r w:rsidRPr="003B420C">
              <w:rPr>
                <w:rFonts w:asciiTheme="majorBidi" w:hAnsiTheme="majorBidi" w:cstheme="majorBidi"/>
                <w:color w:val="231F20"/>
                <w:sz w:val="20"/>
                <w:szCs w:val="20"/>
              </w:rPr>
              <w:t>Prevotella</w:t>
            </w:r>
            <w:proofErr w:type="spellEnd"/>
            <w:r w:rsidRPr="003B420C">
              <w:rPr>
                <w:rFonts w:asciiTheme="majorBidi" w:hAnsiTheme="majorBidi" w:cstheme="majorBidi"/>
                <w:color w:val="231F20"/>
                <w:sz w:val="20"/>
                <w:szCs w:val="20"/>
              </w:rPr>
              <w:t xml:space="preserve"> (16%) had high abundance in controls. </w:t>
            </w:r>
            <w:proofErr w:type="spellStart"/>
            <w:r w:rsidRPr="003B420C">
              <w:rPr>
                <w:rFonts w:asciiTheme="majorBidi" w:hAnsiTheme="majorBidi" w:cstheme="majorBidi"/>
                <w:color w:val="231F20"/>
                <w:sz w:val="20"/>
                <w:szCs w:val="20"/>
              </w:rPr>
              <w:t>Holdemania</w:t>
            </w:r>
            <w:proofErr w:type="spellEnd"/>
            <w:r w:rsidRPr="003B420C">
              <w:rPr>
                <w:rFonts w:asciiTheme="majorBidi" w:hAnsiTheme="majorBidi" w:cstheme="majorBidi"/>
                <w:color w:val="231F20"/>
                <w:sz w:val="20"/>
                <w:szCs w:val="20"/>
              </w:rPr>
              <w:t xml:space="preserve"> exhibited moderate correlation with anxiety (r = 0.65) and perceived stress level (r = 0.49) mainly in MDD patients but not controls.</w:t>
            </w:r>
          </w:p>
        </w:tc>
      </w:tr>
      <w:tr w:rsidR="00F87005" w:rsidRPr="003B420C" w14:paraId="5897DF29" w14:textId="77777777" w:rsidTr="001C4F97">
        <w:tc>
          <w:tcPr>
            <w:tcW w:w="653" w:type="dxa"/>
            <w:tcBorders>
              <w:top w:val="single" w:sz="4" w:space="0" w:color="auto"/>
              <w:left w:val="single" w:sz="4" w:space="0" w:color="auto"/>
              <w:bottom w:val="single" w:sz="4" w:space="0" w:color="auto"/>
              <w:right w:val="single" w:sz="4" w:space="0" w:color="auto"/>
            </w:tcBorders>
          </w:tcPr>
          <w:p w14:paraId="547DA371"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5</w:t>
            </w:r>
          </w:p>
        </w:tc>
        <w:tc>
          <w:tcPr>
            <w:tcW w:w="1979" w:type="dxa"/>
            <w:tcBorders>
              <w:top w:val="single" w:sz="4" w:space="0" w:color="auto"/>
              <w:left w:val="single" w:sz="4" w:space="0" w:color="auto"/>
              <w:bottom w:val="single" w:sz="4" w:space="0" w:color="auto"/>
              <w:right w:val="single" w:sz="4" w:space="0" w:color="auto"/>
            </w:tcBorders>
          </w:tcPr>
          <w:p w14:paraId="72F4135E"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lang w:bidi="fa-IR"/>
              </w:rPr>
            </w:pPr>
            <w:r w:rsidRPr="003B420C">
              <w:rPr>
                <w:rFonts w:ascii="Segoe UI" w:hAnsi="Segoe UI" w:cs="Segoe UI"/>
                <w:sz w:val="20"/>
                <w:szCs w:val="20"/>
                <w:lang w:bidi="fa-IR"/>
              </w:rPr>
              <w:t>R. L. Rohde</w:t>
            </w:r>
            <w:r w:rsidRPr="003B420C">
              <w:rPr>
                <w:rFonts w:asciiTheme="majorBidi" w:hAnsiTheme="majorBidi" w:cstheme="majorBidi"/>
                <w:color w:val="231F20"/>
                <w:sz w:val="20"/>
                <w:szCs w:val="20"/>
              </w:rPr>
              <w:t xml:space="preserve"> and et al. USA. 2018</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&lt;EndNote&gt;&lt;Cite&gt;&lt;Author&gt;Rohde&lt;/Author&gt;&lt;Year&gt;2018&lt;/Year&gt;&lt;RecNum&gt;39&lt;/RecNum&gt;&lt;DisplayText&gt;(36)&lt;/DisplayText&gt;&lt;record&gt;&lt;rec-number&gt;39&lt;/rec-number&gt;&lt;foreign-keys&gt;&lt;key app="EN" db-id="tasvra20qrdrv0e2xpqprw51fxfr0pas5wr2" timestamp="1663162249"&gt;39&lt;/key&gt;&lt;/foreign-keys&gt;&lt;ref-type name="Journal Article"&gt;17&lt;/ref-type&gt;&lt;contributors&gt;&lt;authors&gt;&lt;author&gt;Rohde, R. L.&lt;/author&gt;&lt;author&gt;Boakye, E. A.&lt;/author&gt;&lt;author&gt;Challapalli, S. D.&lt;/author&gt;&lt;author&gt;Patel, S. H.&lt;/author&gt;&lt;author&gt;Geneus, C. J.&lt;/author&gt;&lt;author&gt;Tobo, B. B.&lt;/author&gt;&lt;author&gt;Simpson, M. C.&lt;/author&gt;&lt;author&gt;Mohammed, K. A.&lt;/author&gt;&lt;author&gt;Deshields, T.&lt;/author&gt;&lt;author&gt;Varvares, M. A.&lt;/author&gt;&lt;author&gt;Osazuwa-Peters, N.&lt;/author&gt;&lt;/authors&gt;&lt;/contributors&gt;&lt;titles&gt;&lt;title&gt;Prevalence and sociodemographic factors associated with depression among hospitalized patients with head and neck cancer-Results from a national study&lt;/title&gt;&lt;secondary-title&gt;Psycho-Oncology&lt;/secondary-title&gt;&lt;/titles&gt;&lt;periodical&gt;&lt;full-title&gt;Psycho-Oncology&lt;/full-title&gt;&lt;/periodical&gt;&lt;pages&gt;2809-2814&lt;/pages&gt;&lt;volume&gt;27&lt;/volume&gt;&lt;number&gt;12&lt;/number&gt;&lt;dates&gt;&lt;year&gt;2018&lt;/year&gt;&lt;pub-dates&gt;&lt;date&gt;Dec&lt;/date&gt;&lt;/pub-dates&gt;&lt;/dates&gt;&lt;isbn&gt;1057-9249&lt;/isbn&gt;&lt;accession-num&gt;WOS:000452440800018&lt;/accession-num&gt;&lt;urls&gt;&lt;related-urls&gt;&lt;url&gt;&amp;lt;Go to ISI&amp;gt;://WOS:000452440800018&lt;/url&gt;&lt;/related-urls&gt;&lt;/urls&gt;&lt;electronic-resource-num&gt;10.1002/pon.4893&lt;/electronic-resource-num&gt;&lt;/record&gt;&lt;/Cite&gt;&lt;/EndNote&gt;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(36)</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1897FDE1"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71 541 cases of HNC using a national dataset, the Nationwide Inpatient Sample, from 2008 to 2013.</w:t>
            </w:r>
          </w:p>
        </w:tc>
        <w:tc>
          <w:tcPr>
            <w:tcW w:w="3869" w:type="dxa"/>
            <w:tcBorders>
              <w:top w:val="single" w:sz="4" w:space="0" w:color="auto"/>
              <w:left w:val="single" w:sz="4" w:space="0" w:color="auto"/>
              <w:bottom w:val="single" w:sz="4" w:space="0" w:color="auto"/>
              <w:right w:val="single" w:sz="4" w:space="0" w:color="auto"/>
            </w:tcBorders>
          </w:tcPr>
          <w:p w14:paraId="19F3569D"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This study explored the prevalence of and sociodemographic and clinical factors associated with depression, among patients with head and neck cancer. </w:t>
            </w:r>
          </w:p>
        </w:tc>
        <w:tc>
          <w:tcPr>
            <w:tcW w:w="4962" w:type="dxa"/>
            <w:tcBorders>
              <w:top w:val="single" w:sz="4" w:space="0" w:color="auto"/>
              <w:left w:val="single" w:sz="4" w:space="0" w:color="auto"/>
              <w:bottom w:val="single" w:sz="4" w:space="0" w:color="auto"/>
              <w:right w:val="single" w:sz="4" w:space="0" w:color="auto"/>
            </w:tcBorders>
          </w:tcPr>
          <w:p w14:paraId="274E8F84"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For every unit increase in comorbidities, odds of depression increased by 20% (</w:t>
            </w:r>
            <w:proofErr w:type="spellStart"/>
            <w:r w:rsidRPr="003B420C">
              <w:rPr>
                <w:rFonts w:asciiTheme="majorBidi" w:hAnsiTheme="majorBidi" w:cstheme="majorBidi"/>
                <w:color w:val="231F20"/>
                <w:sz w:val="20"/>
                <w:szCs w:val="20"/>
              </w:rPr>
              <w:t>aOR</w:t>
            </w:r>
            <w:proofErr w:type="spellEnd"/>
            <w:r w:rsidRPr="003B420C">
              <w:rPr>
                <w:rFonts w:asciiTheme="majorBidi" w:hAnsiTheme="majorBidi" w:cstheme="majorBidi"/>
                <w:color w:val="231F20"/>
                <w:sz w:val="20"/>
                <w:szCs w:val="20"/>
              </w:rPr>
              <w:t xml:space="preserve"> = 1.20; 95% CI, 1.19-1.23).</w:t>
            </w:r>
          </w:p>
          <w:p w14:paraId="0BE48390" w14:textId="77777777" w:rsidR="00F87005" w:rsidRPr="003B420C" w:rsidRDefault="00F87005" w:rsidP="001C4F97">
            <w:pPr>
              <w:spacing w:after="0" w:line="240" w:lineRule="auto"/>
              <w:jc w:val="center"/>
              <w:rPr>
                <w:rFonts w:asciiTheme="majorBidi" w:hAnsiTheme="majorBidi" w:cstheme="majorBidi"/>
                <w:color w:val="231F20"/>
                <w:sz w:val="20"/>
                <w:szCs w:val="20"/>
                <w:lang w:bidi="fa-IR"/>
              </w:rPr>
            </w:pPr>
            <w:r w:rsidRPr="003B420C">
              <w:rPr>
                <w:rFonts w:asciiTheme="majorBidi" w:hAnsiTheme="majorBidi" w:cstheme="majorBidi"/>
                <w:color w:val="231F20"/>
                <w:sz w:val="20"/>
                <w:szCs w:val="20"/>
              </w:rPr>
              <w:lastRenderedPageBreak/>
              <w:t>Depression odds vary depending on HNC anatomic site, and one in four patients with laryngeal cancer may be depressed.</w:t>
            </w:r>
          </w:p>
        </w:tc>
      </w:tr>
      <w:tr w:rsidR="00F87005" w:rsidRPr="003B420C" w14:paraId="5605AABE" w14:textId="77777777" w:rsidTr="001C4F97">
        <w:tc>
          <w:tcPr>
            <w:tcW w:w="653" w:type="dxa"/>
            <w:tcBorders>
              <w:top w:val="single" w:sz="4" w:space="0" w:color="auto"/>
              <w:left w:val="single" w:sz="4" w:space="0" w:color="auto"/>
              <w:bottom w:val="single" w:sz="4" w:space="0" w:color="auto"/>
              <w:right w:val="single" w:sz="4" w:space="0" w:color="auto"/>
            </w:tcBorders>
          </w:tcPr>
          <w:p w14:paraId="55591C68"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lastRenderedPageBreak/>
              <w:t>6</w:t>
            </w:r>
          </w:p>
        </w:tc>
        <w:tc>
          <w:tcPr>
            <w:tcW w:w="1979" w:type="dxa"/>
            <w:tcBorders>
              <w:top w:val="single" w:sz="4" w:space="0" w:color="auto"/>
              <w:left w:val="single" w:sz="4" w:space="0" w:color="auto"/>
              <w:bottom w:val="single" w:sz="4" w:space="0" w:color="auto"/>
              <w:right w:val="single" w:sz="4" w:space="0" w:color="auto"/>
            </w:tcBorders>
          </w:tcPr>
          <w:p w14:paraId="56A3ACED" w14:textId="77777777" w:rsidR="00F87005" w:rsidRPr="003B420C" w:rsidRDefault="00F87005" w:rsidP="001C4F97">
            <w:pPr>
              <w:autoSpaceDE w:val="0"/>
              <w:autoSpaceDN w:val="0"/>
              <w:adjustRightInd w:val="0"/>
              <w:spacing w:after="0" w:line="240" w:lineRule="auto"/>
              <w:jc w:val="center"/>
              <w:rPr>
                <w:rFonts w:ascii="Arial" w:eastAsia="Times New Roman" w:hAnsi="Arial"/>
                <w:color w:val="1A0DAB"/>
                <w:sz w:val="20"/>
                <w:szCs w:val="20"/>
                <w:u w:val="single"/>
                <w:shd w:val="clear" w:color="auto" w:fill="FFFFFF"/>
                <w:lang w:bidi="fa-IR"/>
              </w:rPr>
            </w:pPr>
            <w:r w:rsidRPr="003B420C">
              <w:rPr>
                <w:rFonts w:asciiTheme="majorBidi" w:hAnsiTheme="majorBidi" w:cstheme="majorBidi"/>
                <w:color w:val="231F20"/>
                <w:sz w:val="20"/>
                <w:szCs w:val="20"/>
              </w:rPr>
              <w:t xml:space="preserve">A. Y. </w:t>
            </w:r>
            <w:proofErr w:type="spellStart"/>
            <w:r w:rsidRPr="003B420C">
              <w:rPr>
                <w:rFonts w:asciiTheme="majorBidi" w:hAnsiTheme="majorBidi" w:cstheme="majorBidi"/>
                <w:color w:val="231F20"/>
                <w:sz w:val="20"/>
                <w:szCs w:val="20"/>
              </w:rPr>
              <w:t>Kudinova</w:t>
            </w:r>
            <w:proofErr w:type="spellEnd"/>
            <w:r w:rsidRPr="003B420C">
              <w:rPr>
                <w:rFonts w:asciiTheme="majorBidi" w:hAnsiTheme="majorBidi" w:cstheme="majorBidi"/>
                <w:color w:val="231F20"/>
                <w:sz w:val="20"/>
                <w:szCs w:val="20"/>
              </w:rPr>
              <w:t xml:space="preserve"> and et al. Cauca. 2018 </w:t>
            </w:r>
            <w:r w:rsidRPr="003B420C">
              <w:rPr>
                <w:rFonts w:ascii="Times New Roman" w:eastAsia="Times New Roman" w:hAnsi="Times New Roman" w:cs="Times New Roman"/>
                <w:sz w:val="20"/>
                <w:szCs w:val="20"/>
                <w:lang w:bidi="fa-IR"/>
              </w:rPr>
              <w:fldChar w:fldCharType="begin"/>
            </w:r>
            <w:r>
              <w:rPr>
                <w:rFonts w:ascii="Times New Roman" w:eastAsia="Times New Roman" w:hAnsi="Times New Roman" w:cs="Times New Roman"/>
                <w:sz w:val="20"/>
                <w:szCs w:val="20"/>
                <w:lang w:bidi="fa-IR"/>
              </w:rPr>
              <w:instrText xml:space="preserve"> ADDIN EN.CITE &lt;EndNote&gt;&lt;Cite&gt;&lt;Author&gt;Kudinova&lt;/Author&gt;&lt;Year&gt;2018&lt;/Year&gt;&lt;RecNum&gt;41&lt;/RecNum&gt;&lt;DisplayText&gt;(37)&lt;/DisplayText&gt;&lt;record&gt;&lt;rec-number&gt;41&lt;/rec-number&gt;&lt;foreign-keys&gt;&lt;key app="EN" db-id="tasvra20qrdrv0e2xpqprw51fxfr0pas5wr2" timestamp="1663162249"&gt;41&lt;/key&gt;&lt;/foreign-keys&gt;&lt;ref-type name="Journal Article"&gt;17&lt;/ref-type&gt;&lt;contributors&gt;&lt;authors&gt;&lt;author&gt;Kudinova, A. Y.&lt;/author&gt;&lt;author&gt;James, K.&lt;/author&gt;&lt;author&gt;Gibb, B. E.&lt;/author&gt;&lt;/authors&gt;&lt;/contributors&gt;&lt;titles&gt;&lt;title&gt;Cognitive Reappraisal and Depression in Children with a Parent History of Depression&lt;/title&gt;&lt;secondary-title&gt;Journal of Abnormal Child Psychology&lt;/secondary-title&gt;&lt;/titles&gt;&lt;periodical&gt;&lt;full-title&gt;Journal of Abnormal Child Psychology&lt;/full-title&gt;&lt;/periodical&gt;&lt;pages&gt;849-856&lt;/pages&gt;&lt;volume&gt;46&lt;/volume&gt;&lt;number&gt;4&lt;/number&gt;&lt;dates&gt;&lt;year&gt;2018&lt;/year&gt;&lt;pub-dates&gt;&lt;date&gt;May&lt;/date&gt;&lt;/pub-dates&gt;&lt;/dates&gt;&lt;isbn&gt;0091-0627&lt;/isbn&gt;&lt;accession-num&gt;WOS:000430097700015&lt;/accession-num&gt;&lt;urls&gt;&lt;related-urls&gt;&lt;url&gt;&amp;lt;Go to ISI&amp;gt;://WOS:000430097700015&lt;/url&gt;&lt;/related-urls&gt;&lt;/urls&gt;&lt;electronic-resource-num&gt;10.1007/s10802-017-0333-2&lt;/electronic-resource-num&gt;&lt;/record&gt;&lt;/Cite&gt;&lt;/EndNote&gt;</w:instrText>
            </w:r>
            <w:r w:rsidRPr="003B420C">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(37)</w:t>
            </w:r>
            <w:r w:rsidRPr="003B420C">
              <w:rPr>
                <w:rFonts w:ascii="Times New Roman" w:eastAsia="Times New Roman" w:hAnsi="Times New Roman" w:cs="Times New Roman"/>
                <w:sz w:val="20"/>
                <w:szCs w:val="20"/>
                <w:lang w:bidi="fa-IR"/>
              </w:rPr>
              <w:fldChar w:fldCharType="end"/>
            </w:r>
            <w:hyperlink r:id="rId5" w:history="1"/>
          </w:p>
        </w:tc>
        <w:tc>
          <w:tcPr>
            <w:tcW w:w="2742" w:type="dxa"/>
            <w:tcBorders>
              <w:top w:val="single" w:sz="4" w:space="0" w:color="auto"/>
              <w:left w:val="single" w:sz="4" w:space="0" w:color="auto"/>
              <w:bottom w:val="single" w:sz="4" w:space="0" w:color="auto"/>
              <w:right w:val="single" w:sz="4" w:space="0" w:color="auto"/>
            </w:tcBorders>
          </w:tcPr>
          <w:p w14:paraId="602DF68F"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recruited 458 parents and their children between the ages of 7-11 from the community</w:t>
            </w:r>
          </w:p>
        </w:tc>
        <w:tc>
          <w:tcPr>
            <w:tcW w:w="3869" w:type="dxa"/>
            <w:tcBorders>
              <w:top w:val="single" w:sz="4" w:space="0" w:color="auto"/>
              <w:left w:val="single" w:sz="4" w:space="0" w:color="auto"/>
              <w:bottom w:val="single" w:sz="4" w:space="0" w:color="auto"/>
              <w:right w:val="single" w:sz="4" w:space="0" w:color="auto"/>
            </w:tcBorders>
          </w:tcPr>
          <w:p w14:paraId="5E58AC7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current study examined whether child emotion regulation, specifically, the use of cognitive reappraisal and suppression, moderated the link between parent and child depression.</w:t>
            </w:r>
          </w:p>
        </w:tc>
        <w:tc>
          <w:tcPr>
            <w:tcW w:w="4962" w:type="dxa"/>
            <w:tcBorders>
              <w:top w:val="single" w:sz="4" w:space="0" w:color="auto"/>
              <w:left w:val="single" w:sz="4" w:space="0" w:color="auto"/>
              <w:bottom w:val="single" w:sz="4" w:space="0" w:color="auto"/>
              <w:right w:val="single" w:sz="4" w:space="0" w:color="auto"/>
            </w:tcBorders>
          </w:tcPr>
          <w:p w14:paraId="0ADCDC8C"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These findings suggest that, among children with a history of parent depression, children's use of cognitive reappraisal may influence their own risk for developing depression and highlights the potential utility of early interventions that focus on improving the use of emotion regulation strategies like cognitive reappraisal among children of depressed parents.</w:t>
            </w:r>
          </w:p>
        </w:tc>
      </w:tr>
      <w:tr w:rsidR="00F87005" w:rsidRPr="003B420C" w14:paraId="21391C37" w14:textId="77777777" w:rsidTr="001C4F97">
        <w:tc>
          <w:tcPr>
            <w:tcW w:w="653" w:type="dxa"/>
            <w:tcBorders>
              <w:top w:val="single" w:sz="4" w:space="0" w:color="auto"/>
              <w:left w:val="single" w:sz="4" w:space="0" w:color="auto"/>
              <w:bottom w:val="single" w:sz="4" w:space="0" w:color="auto"/>
              <w:right w:val="single" w:sz="4" w:space="0" w:color="auto"/>
            </w:tcBorders>
          </w:tcPr>
          <w:p w14:paraId="32742A98"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7</w:t>
            </w:r>
          </w:p>
        </w:tc>
        <w:tc>
          <w:tcPr>
            <w:tcW w:w="1979" w:type="dxa"/>
            <w:tcBorders>
              <w:top w:val="single" w:sz="4" w:space="0" w:color="auto"/>
              <w:left w:val="single" w:sz="4" w:space="0" w:color="auto"/>
              <w:bottom w:val="single" w:sz="4" w:space="0" w:color="auto"/>
              <w:right w:val="single" w:sz="4" w:space="0" w:color="auto"/>
            </w:tcBorders>
          </w:tcPr>
          <w:p w14:paraId="2D92CE74"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O. </w:t>
            </w:r>
            <w:proofErr w:type="spellStart"/>
            <w:r w:rsidRPr="003B420C">
              <w:rPr>
                <w:rFonts w:asciiTheme="majorBidi" w:hAnsiTheme="majorBidi" w:cstheme="majorBidi"/>
                <w:color w:val="231F20"/>
                <w:sz w:val="20"/>
                <w:szCs w:val="20"/>
              </w:rPr>
              <w:t>Santesteban-Echarri</w:t>
            </w:r>
            <w:proofErr w:type="spellEnd"/>
            <w:r w:rsidRPr="003B420C">
              <w:rPr>
                <w:rFonts w:asciiTheme="majorBidi" w:hAnsiTheme="majorBidi" w:cstheme="majorBidi"/>
                <w:color w:val="231F20"/>
                <w:sz w:val="20"/>
                <w:szCs w:val="20"/>
              </w:rPr>
              <w:t xml:space="preserve"> and et al. USA. 2017</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&lt;EndNote&gt;&lt;Cite&gt;&lt;Author&gt;Santesteban-Echarri&lt;/Author&gt;&lt;Year&gt;2017&lt;/Year&gt;&lt;RecNum&gt;49&lt;/RecNum&gt;&lt;DisplayText&gt;(38)&lt;/DisplayText&gt;&lt;record&gt;&lt;rec-number&gt;49&lt;/rec-number&gt;&lt;foreign-keys&gt;&lt;key app="EN" db-id="tasvra20qrdrv0e2xpqprw51fxfr0pas5wr2" timestamp="1663162249"&gt;49&lt;/key&gt;&lt;/foreign-keys&gt;&lt;ref-type name="Journal Article"&gt;17&lt;/ref-type&gt;&lt;contributors&gt;&lt;authors&gt;&lt;author&gt;Santesteban-Echarri, O.&lt;/author&gt;&lt;author&gt;Ramos-Olazagasti, M. A.&lt;/author&gt;&lt;author&gt;Eisenberg, R. E.&lt;/author&gt;&lt;author&gt;Wei, C. Y.&lt;/author&gt;&lt;author&gt;Bird, H. R.&lt;/author&gt;&lt;author&gt;Canino, G.&lt;/author&gt;&lt;author&gt;Duarte, C. S.&lt;/author&gt;&lt;/authors&gt;&lt;/contributors&gt;&lt;titles&gt;&lt;title&gt;Parental warmth and psychiatric disorders among Puerto Rican children in two different socio-cultural contexts&lt;/title&gt;&lt;secondary-title&gt;Journal of Psychiatric Research&lt;/secondary-title&gt;&lt;/titles&gt;&lt;periodical&gt;&lt;full-title&gt;Journal of Psychiatric Research&lt;/full-title&gt;&lt;/periodical&gt;&lt;pages&gt;30-36&lt;/pages&gt;&lt;volume&gt;87&lt;/volume&gt;&lt;dates&gt;&lt;year&gt;2017&lt;/year&gt;&lt;pub-dates&gt;&lt;date&gt;Apr&lt;/date&gt;&lt;/pub-dates&gt;&lt;/dates&gt;&lt;isbn&gt;0022-3956&lt;/isbn&gt;&lt;accession-num&gt;WOS:000396971000005&lt;/accession-num&gt;&lt;urls&gt;&lt;related-urls&gt;&lt;url&gt;&amp;lt;Go to ISI&amp;gt;://WOS:000396971000005&lt;/url&gt;&lt;/related-urls&gt;&lt;/urls&gt;&lt;electronic-resource-num&gt;10.1016/j.jpsychires.2016.12.008&lt;/electronic-resource-num&gt;&lt;/record&gt;&lt;/Cite&gt;&lt;/EndNote&gt;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(38)</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74070BAF"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Boricua Youth Study participants, Puerto Rican children 5 to 13 years of age at Wave 1 living in the South Bronx (New York) (SB) and San Juan and </w:t>
            </w:r>
            <w:proofErr w:type="spellStart"/>
            <w:r w:rsidRPr="003B420C">
              <w:rPr>
                <w:rFonts w:asciiTheme="majorBidi" w:hAnsiTheme="majorBidi" w:cstheme="majorBidi"/>
                <w:color w:val="231F20"/>
                <w:sz w:val="20"/>
                <w:szCs w:val="20"/>
              </w:rPr>
              <w:t>Canguas</w:t>
            </w:r>
            <w:proofErr w:type="spellEnd"/>
            <w:r w:rsidRPr="003B420C">
              <w:rPr>
                <w:rFonts w:asciiTheme="majorBidi" w:hAnsiTheme="majorBidi" w:cstheme="majorBidi"/>
                <w:color w:val="231F20"/>
                <w:sz w:val="20"/>
                <w:szCs w:val="20"/>
              </w:rPr>
              <w:t xml:space="preserve"> (PR) (n = 2,491), were followed for three consecutive years.</w:t>
            </w:r>
          </w:p>
        </w:tc>
        <w:tc>
          <w:tcPr>
            <w:tcW w:w="3869" w:type="dxa"/>
            <w:tcBorders>
              <w:top w:val="single" w:sz="4" w:space="0" w:color="auto"/>
              <w:left w:val="single" w:sz="4" w:space="0" w:color="auto"/>
              <w:bottom w:val="single" w:sz="4" w:space="0" w:color="auto"/>
              <w:right w:val="single" w:sz="4" w:space="0" w:color="auto"/>
            </w:tcBorders>
          </w:tcPr>
          <w:p w14:paraId="4D5826B8"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We prospectively examined the association between Parental warmth and child psychiatric disorders (anxiety, major depression disorder, ADHD, disruptive behavior disorders) </w:t>
            </w:r>
          </w:p>
        </w:tc>
        <w:tc>
          <w:tcPr>
            <w:tcW w:w="4962" w:type="dxa"/>
            <w:tcBorders>
              <w:top w:val="single" w:sz="4" w:space="0" w:color="auto"/>
              <w:left w:val="single" w:sz="4" w:space="0" w:color="auto"/>
              <w:bottom w:val="single" w:sz="4" w:space="0" w:color="auto"/>
              <w:right w:val="single" w:sz="4" w:space="0" w:color="auto"/>
            </w:tcBorders>
          </w:tcPr>
          <w:p w14:paraId="49D23B48"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Higher levels of PW were related to lower odds of child anxiety and major depressive disorder over time (OR = 0.69[0.60; 0.79]; 0.49[0.41; 0.58], respectively).</w:t>
            </w:r>
          </w:p>
        </w:tc>
      </w:tr>
      <w:tr w:rsidR="00F87005" w:rsidRPr="003B420C" w14:paraId="7F486625" w14:textId="77777777" w:rsidTr="001C4F97">
        <w:tc>
          <w:tcPr>
            <w:tcW w:w="653" w:type="dxa"/>
            <w:tcBorders>
              <w:top w:val="single" w:sz="4" w:space="0" w:color="auto"/>
              <w:left w:val="single" w:sz="4" w:space="0" w:color="auto"/>
              <w:bottom w:val="single" w:sz="4" w:space="0" w:color="auto"/>
              <w:right w:val="single" w:sz="4" w:space="0" w:color="auto"/>
            </w:tcBorders>
          </w:tcPr>
          <w:p w14:paraId="26FC2267"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8</w:t>
            </w:r>
          </w:p>
        </w:tc>
        <w:tc>
          <w:tcPr>
            <w:tcW w:w="1979" w:type="dxa"/>
            <w:tcBorders>
              <w:top w:val="single" w:sz="4" w:space="0" w:color="auto"/>
              <w:left w:val="single" w:sz="4" w:space="0" w:color="auto"/>
              <w:bottom w:val="single" w:sz="4" w:space="0" w:color="auto"/>
              <w:right w:val="single" w:sz="4" w:space="0" w:color="auto"/>
            </w:tcBorders>
          </w:tcPr>
          <w:p w14:paraId="31C09AA4"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Segoe UI" w:hAnsi="Segoe UI" w:cs="Segoe UI"/>
                <w:sz w:val="20"/>
                <w:szCs w:val="20"/>
                <w:lang w:bidi="fa-IR"/>
              </w:rPr>
              <w:t>B. Park</w:t>
            </w:r>
            <w:r w:rsidRPr="003B420C">
              <w:rPr>
                <w:rFonts w:asciiTheme="majorBidi" w:hAnsiTheme="majorBidi" w:cstheme="majorBidi"/>
                <w:color w:val="231F20"/>
                <w:sz w:val="20"/>
                <w:szCs w:val="20"/>
              </w:rPr>
              <w:t xml:space="preserve"> and et al. South Korea. 2017</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&lt;EndNote&gt;&lt;Cite&gt;&lt;Author&gt;Park&lt;/Author&gt;&lt;Year&gt;2017&lt;/Year&gt;&lt;RecNum&gt;53&lt;/RecNum&gt;&lt;DisplayText&gt;(39)&lt;/DisplayText&gt;&lt;record&gt;&lt;rec-number&gt;53&lt;/rec-number&gt;&lt;foreign-keys&gt;&lt;key app="EN" db-id="tasvra20qrdrv0e2xpqprw51fxfr0pas5wr2" timestamp="1663162249"&gt;53&lt;/key&gt;&lt;/foreign-keys&gt;&lt;ref-type name="Journal Article"&gt;17&lt;/ref-type&gt;&lt;contributors&gt;&lt;authors&gt;&lt;author&gt;Park, B.&lt;/author&gt;&lt;author&gt;Youn, S.&lt;/author&gt;&lt;author&gt;Vi, K. K.&lt;/author&gt;&lt;author&gt;Lee, S. Y.&lt;/author&gt;&lt;author&gt;Lee, J. S.&lt;/author&gt;&lt;author&gt;Chung, S.&lt;/author&gt;&lt;/authors&gt;&lt;/contributors&gt;&lt;titles&gt;&lt;title&gt;The Prevalence of Depression among Patients with the Top Ten Most Common Cancers in South Korea&lt;/title&gt;&lt;secondary-title&gt;Psychiatry Investigation&lt;/secondary-title&gt;&lt;/titles&gt;&lt;periodical&gt;&lt;full-title&gt;Psychiatry Investigation&lt;/full-title&gt;&lt;/periodical&gt;&lt;pages&gt;618-625&lt;/pages&gt;&lt;volume&gt;14&lt;/volume&gt;&lt;number&gt;5&lt;/number&gt;&lt;dates&gt;&lt;year&gt;2017&lt;/year&gt;&lt;pub-dates&gt;&lt;date&gt;Sep&lt;/date&gt;&lt;/pub-dates&gt;&lt;/dates&gt;&lt;isbn&gt;1738-3684&lt;/isbn&gt;&lt;accession-num&gt;WOS:000410870800013&lt;/accession-num&gt;&lt;urls&gt;&lt;related-urls&gt;&lt;url&gt;&amp;lt;Go to ISI&amp;gt;://WOS:000410870800013&lt;/url&gt;&lt;/related-urls&gt;&lt;/urls&gt;&lt;electronic-resource-num&gt;10.4306/pi.2017.14.5.618&lt;/electronic-resource-num&gt;&lt;/record&gt;&lt;/Cite&gt;&lt;/EndNote&gt;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(39)</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44F95B8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This was a 1-year cross-sectional study using a national patient sample provided by the South Korean National Health Insurance in 2011.</w:t>
            </w:r>
          </w:p>
        </w:tc>
        <w:tc>
          <w:tcPr>
            <w:tcW w:w="3869" w:type="dxa"/>
            <w:tcBorders>
              <w:top w:val="single" w:sz="4" w:space="0" w:color="auto"/>
              <w:left w:val="single" w:sz="4" w:space="0" w:color="auto"/>
              <w:bottom w:val="single" w:sz="4" w:space="0" w:color="auto"/>
              <w:right w:val="single" w:sz="4" w:space="0" w:color="auto"/>
            </w:tcBorders>
          </w:tcPr>
          <w:p w14:paraId="2D38E44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explored the prevalence rates of depression among the ten most prevalent cancers in South Korea using a national patient sample.</w:t>
            </w:r>
          </w:p>
        </w:tc>
        <w:tc>
          <w:tcPr>
            <w:tcW w:w="4962" w:type="dxa"/>
            <w:tcBorders>
              <w:top w:val="single" w:sz="4" w:space="0" w:color="auto"/>
              <w:left w:val="single" w:sz="4" w:space="0" w:color="auto"/>
              <w:bottom w:val="single" w:sz="4" w:space="0" w:color="auto"/>
              <w:right w:val="single" w:sz="4" w:space="0" w:color="auto"/>
            </w:tcBorders>
          </w:tcPr>
          <w:p w14:paraId="7A99F491"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prevalence of depression varied according to cancer types. Patients with lung cancer were the most prone to experience depression.</w:t>
            </w:r>
          </w:p>
        </w:tc>
      </w:tr>
      <w:tr w:rsidR="00F87005" w:rsidRPr="003B420C" w14:paraId="275DC292" w14:textId="77777777" w:rsidTr="001C4F97">
        <w:tc>
          <w:tcPr>
            <w:tcW w:w="653" w:type="dxa"/>
            <w:tcBorders>
              <w:top w:val="single" w:sz="4" w:space="0" w:color="auto"/>
              <w:left w:val="single" w:sz="4" w:space="0" w:color="auto"/>
              <w:bottom w:val="single" w:sz="4" w:space="0" w:color="auto"/>
              <w:right w:val="single" w:sz="4" w:space="0" w:color="auto"/>
            </w:tcBorders>
          </w:tcPr>
          <w:p w14:paraId="178382DE"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9</w:t>
            </w:r>
          </w:p>
        </w:tc>
        <w:tc>
          <w:tcPr>
            <w:tcW w:w="1979" w:type="dxa"/>
            <w:tcBorders>
              <w:top w:val="single" w:sz="4" w:space="0" w:color="auto"/>
              <w:left w:val="single" w:sz="4" w:space="0" w:color="auto"/>
              <w:bottom w:val="single" w:sz="4" w:space="0" w:color="auto"/>
              <w:right w:val="single" w:sz="4" w:space="0" w:color="auto"/>
            </w:tcBorders>
          </w:tcPr>
          <w:p w14:paraId="2B404801"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Segoe UI" w:hAnsi="Segoe UI" w:cs="Segoe UI"/>
                <w:sz w:val="20"/>
                <w:szCs w:val="20"/>
                <w:lang w:bidi="fa-IR"/>
              </w:rPr>
              <w:t>C. J. Bell</w:t>
            </w:r>
            <w:r w:rsidRPr="003B420C">
              <w:rPr>
                <w:rFonts w:asciiTheme="majorBidi" w:hAnsiTheme="majorBidi" w:cstheme="majorBidi"/>
                <w:color w:val="231F20"/>
                <w:sz w:val="20"/>
                <w:szCs w:val="20"/>
              </w:rPr>
              <w:t xml:space="preserve"> and et al. New Zealand. 2017</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&lt;EndNote&gt;&lt;Cite&gt;&lt;Author&gt;Bell&lt;/Author&gt;&lt;Year&gt;2017&lt;/Year&gt;&lt;RecNum&gt;57&lt;/RecNum&gt;&lt;DisplayText&gt;(40)&lt;/DisplayText&gt;&lt;record&gt;&lt;rec-number&gt;57&lt;/rec-number&gt;&lt;foreign-keys&gt;&lt;key app="EN" db-id="tasvra20qrdrv0e2xpqprw51fxfr0pas5wr2" timestamp="1663162249"&gt;57&lt;/key&gt;&lt;/foreign-keys&gt;&lt;ref-type name="Journal Article"&gt;17&lt;/ref-type&gt;&lt;contributors&gt;&lt;authors&gt;&lt;author&gt;Bell, C. J.&lt;/author&gt;&lt;author&gt;Boden, J. M.&lt;/author&gt;&lt;author&gt;Horwood, L. J.&lt;/author&gt;&lt;author&gt;Mulder, R. T.&lt;/author&gt;&lt;/authors&gt;&lt;/contributors&gt;&lt;titles&gt;&lt;title&gt;The role of peri-traumatic stress and disruption distress in predicting symptoms of major depression following exposure to a natural disaster&lt;/title&gt;&lt;secondary-title&gt;Australian and New Zealand Journal of Psychiatry&lt;/secondary-title&gt;&lt;/titles&gt;&lt;periodical&gt;&lt;full-title&gt;Australian and New Zealand Journal of Psychiatry&lt;/full-title&gt;&lt;/periodical&gt;&lt;pages&gt;711-718&lt;/pages&gt;&lt;volume&gt;51&lt;/volume&gt;&lt;number&gt;7&lt;/number&gt;&lt;dates&gt;&lt;year&gt;2017&lt;/year&gt;&lt;pub-dates&gt;&lt;date&gt;Jul&lt;/date&gt;&lt;/pub-dates&gt;&lt;/dates&gt;&lt;isbn&gt;0004-8674&lt;/isbn&gt;&lt;accession-num&gt;WOS:000404042000011&lt;/accession-num&gt;&lt;urls&gt;&lt;related-urls&gt;&lt;url&gt;&amp;lt;Go to ISI&amp;gt;://WOS:000404042000011&lt;/url&gt;&lt;/related-urls&gt;&lt;/urls&gt;&lt;electronic-resource-num&gt;10.1177/0004867417691852&lt;/electronic-resource-num&gt;&lt;/record&gt;&lt;/Cite&gt;&lt;/EndNote&gt;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(40)</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5C172188"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(n=495)-</w:t>
            </w:r>
          </w:p>
        </w:tc>
        <w:tc>
          <w:tcPr>
            <w:tcW w:w="3869" w:type="dxa"/>
            <w:tcBorders>
              <w:top w:val="single" w:sz="4" w:space="0" w:color="auto"/>
              <w:left w:val="single" w:sz="4" w:space="0" w:color="auto"/>
              <w:bottom w:val="single" w:sz="4" w:space="0" w:color="auto"/>
              <w:right w:val="single" w:sz="4" w:space="0" w:color="auto"/>
            </w:tcBorders>
          </w:tcPr>
          <w:p w14:paraId="7E6E5012"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aims of this study were to do this by examining the roles of peri-traumatic stress and distress due to lingering disaster-related disruption in explaining linkages between disaster exposure and major depressive disorder symptoms among a cohort exposed to the 2010-2011 Canterbury (New Zealand) earthquakes.</w:t>
            </w:r>
          </w:p>
        </w:tc>
        <w:tc>
          <w:tcPr>
            <w:tcW w:w="4962" w:type="dxa"/>
            <w:tcBorders>
              <w:top w:val="single" w:sz="4" w:space="0" w:color="auto"/>
              <w:left w:val="single" w:sz="4" w:space="0" w:color="auto"/>
              <w:bottom w:val="single" w:sz="4" w:space="0" w:color="auto"/>
              <w:right w:val="single" w:sz="4" w:space="0" w:color="auto"/>
            </w:tcBorders>
          </w:tcPr>
          <w:p w14:paraId="6902B16E" w14:textId="77777777" w:rsidR="00F87005" w:rsidRPr="003B420C" w:rsidRDefault="00F87005" w:rsidP="001C4F97">
            <w:pPr>
              <w:spacing w:after="0" w:line="240" w:lineRule="auto"/>
              <w:jc w:val="center"/>
              <w:rPr>
                <w:rFonts w:asciiTheme="majorBidi" w:hAnsiTheme="majorBidi" w:cstheme="majorBidi"/>
                <w:color w:val="231F20"/>
                <w:sz w:val="20"/>
                <w:szCs w:val="20"/>
                <w:lang w:bidi="fa-IR"/>
              </w:rPr>
            </w:pPr>
            <w:r w:rsidRPr="003B420C">
              <w:rPr>
                <w:rFonts w:asciiTheme="majorBidi" w:hAnsiTheme="majorBidi" w:cstheme="majorBidi"/>
                <w:color w:val="231F20"/>
                <w:sz w:val="20"/>
                <w:szCs w:val="20"/>
              </w:rPr>
              <w:t>The associations between earthquake exposure and major depression were explained largely by the experience of peri-traumatic stress during the earthquakes (=0.180, p&lt;0.01).</w:t>
            </w:r>
          </w:p>
        </w:tc>
      </w:tr>
      <w:tr w:rsidR="00F87005" w:rsidRPr="003B420C" w14:paraId="631DBFC1" w14:textId="77777777" w:rsidTr="001C4F97">
        <w:tc>
          <w:tcPr>
            <w:tcW w:w="653" w:type="dxa"/>
            <w:tcBorders>
              <w:top w:val="single" w:sz="4" w:space="0" w:color="auto"/>
              <w:left w:val="single" w:sz="4" w:space="0" w:color="auto"/>
              <w:bottom w:val="single" w:sz="4" w:space="0" w:color="auto"/>
              <w:right w:val="single" w:sz="4" w:space="0" w:color="auto"/>
            </w:tcBorders>
          </w:tcPr>
          <w:p w14:paraId="52FE2D4F"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10</w:t>
            </w:r>
          </w:p>
        </w:tc>
        <w:tc>
          <w:tcPr>
            <w:tcW w:w="1979" w:type="dxa"/>
            <w:tcBorders>
              <w:top w:val="single" w:sz="4" w:space="0" w:color="auto"/>
              <w:left w:val="single" w:sz="4" w:space="0" w:color="auto"/>
              <w:bottom w:val="single" w:sz="4" w:space="0" w:color="auto"/>
              <w:right w:val="single" w:sz="4" w:space="0" w:color="auto"/>
            </w:tcBorders>
          </w:tcPr>
          <w:p w14:paraId="7C1D1A78"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C. Rahe and et al, Germany. 2016</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&lt;EndNote&gt;&lt;Cite&gt;&lt;Author&gt;Rahe&lt;/Author&gt;&lt;Year&gt;2016&lt;/Year&gt;&lt;RecNum&gt;62&lt;/RecNum&gt;&lt;DisplayText&gt;(41)&lt;/DisplayText&gt;&lt;record&gt;&lt;rec-number&gt;62&lt;/rec-number&gt;&lt;foreign-keys&gt;&lt;key app="EN" db-id="tasvra20qrdrv0e2xpqprw51fxfr0pas5wr2" timestamp="1663162249"&gt;62&lt;/key&gt;&lt;/foreign-keys&gt;&lt;ref-type name="Journal Article"&gt;17&lt;/ref-type&gt;&lt;contributors&gt;&lt;authors&gt;&lt;author&gt;Rahe, C.&lt;/author&gt;&lt;author&gt;Khil, L.&lt;/author&gt;&lt;author&gt;Wellmann, J.&lt;/author&gt;&lt;author&gt;Baune, B. T.&lt;/author&gt;&lt;author&gt;Arolt, V.&lt;/author&gt;&lt;author&gt;Berger, K.&lt;/author&gt;&lt;/authors&gt;&lt;/contributors&gt;&lt;titles&gt;&lt;title&gt;Impact of major depressive disorder, distinct subtypes, and symptom severity on lifestyle in the BiDirect Study&lt;/title&gt;&lt;secondary-title&gt;Psychiatry Research&lt;/secondary-title&gt;&lt;/titles&gt;&lt;periodical&gt;&lt;full-title&gt;Psychiatry Research&lt;/full-title&gt;&lt;/periodical&gt;&lt;pages&gt;164-171&lt;/pages&gt;&lt;volume&gt;245&lt;/volume&gt;&lt;dates&gt;&lt;year&gt;2016&lt;/year&gt;&lt;pub-dates&gt;&lt;date&gt;Nov&lt;/date&gt;&lt;/pub-dates&gt;&lt;/dates&gt;&lt;isbn&gt;0165-1781&lt;/isbn&gt;&lt;accession-num&gt;WOS:000386741600024&lt;/accession-num&gt;&lt;urls&gt;&lt;related-urls&gt;&lt;url&gt;&amp;lt;Go to ISI&amp;gt;://WOS:000386741600024&lt;/url&gt;&lt;/related-urls&gt;&lt;/urls&gt;&lt;electronic-resource-num&gt;10.1016/j.psychres.2016.08.035&lt;/electronic-resource-num&gt;&lt;/record&gt;&lt;/Cite&gt;&lt;/EndNote&gt;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(41)</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038D679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 sample of 823 patients with MDD and 597 non-depressed controls was examined</w:t>
            </w:r>
          </w:p>
        </w:tc>
        <w:tc>
          <w:tcPr>
            <w:tcW w:w="3869" w:type="dxa"/>
            <w:tcBorders>
              <w:top w:val="single" w:sz="4" w:space="0" w:color="auto"/>
              <w:left w:val="single" w:sz="4" w:space="0" w:color="auto"/>
              <w:bottom w:val="single" w:sz="4" w:space="0" w:color="auto"/>
              <w:right w:val="single" w:sz="4" w:space="0" w:color="auto"/>
            </w:tcBorders>
          </w:tcPr>
          <w:p w14:paraId="62CB6783"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aim of this study was to examine associations of </w:t>
            </w:r>
            <w:hyperlink r:id="rId6" w:tooltip="Learn more about major depressive disorder from ScienceDirect's AI-generated Topic Pages" w:history="1">
              <w:r w:rsidRPr="003B420C">
                <w:rPr>
                  <w:rFonts w:asciiTheme="majorBidi" w:hAnsiTheme="majorBidi" w:cstheme="majorBidi"/>
                  <w:color w:val="231F20"/>
                  <w:sz w:val="20"/>
                  <w:szCs w:val="20"/>
                </w:rPr>
                <w:t>major depressive disorder</w:t>
              </w:r>
            </w:hyperlink>
            <w:r w:rsidRPr="003B420C">
              <w:rPr>
                <w:rFonts w:asciiTheme="majorBidi" w:hAnsiTheme="majorBidi" w:cstheme="majorBidi"/>
                <w:color w:val="231F20"/>
                <w:sz w:val="20"/>
                <w:szCs w:val="20"/>
              </w:rPr>
              <w:t> (MDD), its distinct subtypes, and symptom severity with the individual lifestyle factors smoking, diet quality, physical activity, and </w:t>
            </w:r>
            <w:hyperlink r:id="rId7" w:tooltip="Learn more about body mass index from ScienceDirect's AI-generated Topic Pages" w:history="1">
              <w:r w:rsidRPr="003B420C">
                <w:rPr>
                  <w:rFonts w:asciiTheme="majorBidi" w:hAnsiTheme="majorBidi" w:cstheme="majorBidi"/>
                  <w:color w:val="231F20"/>
                  <w:sz w:val="20"/>
                  <w:szCs w:val="20"/>
                </w:rPr>
                <w:t>body mass index</w:t>
              </w:r>
            </w:hyperlink>
            <w:r w:rsidRPr="003B420C">
              <w:rPr>
                <w:rFonts w:asciiTheme="majorBidi" w:hAnsiTheme="majorBidi" w:cstheme="majorBidi"/>
                <w:color w:val="231F20"/>
                <w:sz w:val="20"/>
                <w:szCs w:val="20"/>
              </w:rPr>
              <w:t xml:space="preserve"> as well as with a combined lifestyle index </w:t>
            </w:r>
            <w:r w:rsidRPr="003B420C">
              <w:rPr>
                <w:rFonts w:asciiTheme="majorBidi" w:hAnsiTheme="majorBidi" w:cstheme="majorBidi"/>
                <w:color w:val="231F20"/>
                <w:sz w:val="20"/>
                <w:szCs w:val="20"/>
              </w:rPr>
              <w:lastRenderedPageBreak/>
              <w:t>measuring the co-occurrence of these lifestyle factors.</w:t>
            </w:r>
          </w:p>
        </w:tc>
        <w:tc>
          <w:tcPr>
            <w:tcW w:w="4962" w:type="dxa"/>
            <w:tcBorders>
              <w:top w:val="single" w:sz="4" w:space="0" w:color="auto"/>
              <w:left w:val="single" w:sz="4" w:space="0" w:color="auto"/>
              <w:bottom w:val="single" w:sz="4" w:space="0" w:color="auto"/>
              <w:right w:val="single" w:sz="4" w:space="0" w:color="auto"/>
            </w:tcBorders>
          </w:tcPr>
          <w:p w14:paraId="304F091F" w14:textId="77777777" w:rsidR="00F87005" w:rsidRPr="003B420C" w:rsidRDefault="00F87005" w:rsidP="001C4F97">
            <w:pPr>
              <w:spacing w:after="0" w:line="240" w:lineRule="auto"/>
              <w:jc w:val="center"/>
              <w:rPr>
                <w:rFonts w:asciiTheme="majorBidi" w:hAnsiTheme="majorBidi" w:cstheme="majorBidi"/>
                <w:color w:val="231F20"/>
                <w:sz w:val="20"/>
                <w:szCs w:val="20"/>
                <w:lang w:bidi="fa-IR"/>
              </w:rPr>
            </w:pPr>
            <w:r w:rsidRPr="003B420C">
              <w:rPr>
                <w:rFonts w:asciiTheme="majorBidi" w:hAnsiTheme="majorBidi" w:cstheme="majorBidi"/>
                <w:color w:val="231F20"/>
                <w:sz w:val="20"/>
                <w:szCs w:val="20"/>
                <w:lang w:bidi="fa-IR"/>
              </w:rPr>
              <w:lastRenderedPageBreak/>
              <w:t>After adjustment, MDD was significantly associated with smoking, low physical activity, and overweight. Likewise, MDD was significantly related to the overall lifestyle index.</w:t>
            </w:r>
          </w:p>
        </w:tc>
      </w:tr>
      <w:tr w:rsidR="00F87005" w:rsidRPr="003B420C" w14:paraId="1C6B999C" w14:textId="77777777" w:rsidTr="001C4F97">
        <w:tc>
          <w:tcPr>
            <w:tcW w:w="653" w:type="dxa"/>
            <w:tcBorders>
              <w:top w:val="single" w:sz="4" w:space="0" w:color="auto"/>
              <w:left w:val="single" w:sz="4" w:space="0" w:color="auto"/>
              <w:bottom w:val="single" w:sz="4" w:space="0" w:color="auto"/>
              <w:right w:val="single" w:sz="4" w:space="0" w:color="auto"/>
            </w:tcBorders>
          </w:tcPr>
          <w:p w14:paraId="0752329F"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11</w:t>
            </w:r>
          </w:p>
        </w:tc>
        <w:tc>
          <w:tcPr>
            <w:tcW w:w="1979" w:type="dxa"/>
            <w:tcBorders>
              <w:top w:val="single" w:sz="4" w:space="0" w:color="auto"/>
              <w:left w:val="single" w:sz="4" w:space="0" w:color="auto"/>
              <w:bottom w:val="single" w:sz="4" w:space="0" w:color="auto"/>
              <w:right w:val="single" w:sz="4" w:space="0" w:color="auto"/>
            </w:tcBorders>
          </w:tcPr>
          <w:p w14:paraId="776CB9A0"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P. </w:t>
            </w:r>
            <w:proofErr w:type="spellStart"/>
            <w:r w:rsidRPr="003B420C">
              <w:rPr>
                <w:rFonts w:asciiTheme="majorBidi" w:hAnsiTheme="majorBidi" w:cstheme="majorBidi"/>
                <w:color w:val="231F20"/>
                <w:sz w:val="20"/>
                <w:szCs w:val="20"/>
              </w:rPr>
              <w:t>Pedrelli</w:t>
            </w:r>
            <w:proofErr w:type="spellEnd"/>
            <w:r w:rsidRPr="003B420C">
              <w:rPr>
                <w:rFonts w:asciiTheme="majorBidi" w:hAnsiTheme="majorBidi" w:cstheme="majorBidi"/>
                <w:color w:val="231F20"/>
                <w:sz w:val="20"/>
                <w:szCs w:val="20"/>
              </w:rPr>
              <w:t xml:space="preserve"> and et al. England. 2016</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&lt;EndNote&gt;&lt;Cite&gt;&lt;Author&gt;Pedrelli&lt;/Author&gt;&lt;Year&gt;2016&lt;/Year&gt;&lt;RecNum&gt;64&lt;/RecNum&gt;&lt;DisplayText&gt;(42)&lt;/DisplayText&gt;&lt;record&gt;&lt;rec-number&gt;64&lt;/rec-number&gt;&lt;foreign-keys&gt;&lt;key app="EN" db-id="tasvra20qrdrv0e2xpqprw51fxfr0pas5wr2" timestamp="1663162249"&gt;64&lt;/key&gt;&lt;/foreign-keys&gt;&lt;ref-type name="Journal Article"&gt;17&lt;/ref-type&gt;&lt;contributors&gt;&lt;authors&gt;&lt;author&gt;Pedrelli, P.&lt;/author&gt;&lt;author&gt;Borsari, B.&lt;/author&gt;&lt;author&gt;Lipson, S. K.&lt;/author&gt;&lt;author&gt;Heinze, J. E.&lt;/author&gt;&lt;author&gt;Eisenberg, D.&lt;/author&gt;&lt;/authors&gt;&lt;/contributors&gt;&lt;titles&gt;&lt;title&gt;Gender Differences in the Relationships Among Major Depressive Disorder, Heavy Alcohol Use, and Mental Health Treatment Engagement Among College Students&lt;/title&gt;&lt;secondary-title&gt;Journal of Studies on Alcohol and Drugs&lt;/secondary-title&gt;&lt;/titles&gt;&lt;periodical&gt;&lt;full-title&gt;Journal of Studies on Alcohol and Drugs&lt;/full-title&gt;&lt;/periodical&gt;&lt;pages&gt;620-628&lt;/pages&gt;&lt;volume&gt;77&lt;/volume&gt;&lt;number&gt;4&lt;/number&gt;&lt;dates&gt;&lt;year&gt;2016&lt;/year&gt;&lt;pub-dates&gt;&lt;date&gt;Jul&lt;/date&gt;&lt;/pub-dates&gt;&lt;/dates&gt;&lt;isbn&gt;1937-1888&lt;/isbn&gt;&lt;accession-num&gt;WOS:000379376900017&lt;/accession-num&gt;&lt;urls&gt;&lt;related-urls&gt;&lt;url&gt;&amp;lt;Go to ISI&amp;gt;://WOS:000379376900017&lt;/url&gt;&lt;/related-urls&gt;&lt;/urls&gt;&lt;electronic-resource-num&gt;10.15288/jsad.2016.77.620&lt;/electronic-resource-num&gt;&lt;/record&gt;&lt;/Cite&gt;&lt;/EndNote&gt;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(42)</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211A345A"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61,561 (65.3% female)</w:t>
            </w:r>
          </w:p>
        </w:tc>
        <w:tc>
          <w:tcPr>
            <w:tcW w:w="3869" w:type="dxa"/>
            <w:tcBorders>
              <w:top w:val="single" w:sz="4" w:space="0" w:color="auto"/>
              <w:left w:val="single" w:sz="4" w:space="0" w:color="auto"/>
              <w:bottom w:val="single" w:sz="4" w:space="0" w:color="auto"/>
              <w:right w:val="single" w:sz="4" w:space="0" w:color="auto"/>
            </w:tcBorders>
          </w:tcPr>
          <w:p w14:paraId="055712AD"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This study examined the association between MDD and HED in this population, the effect of gender on this association, and whether comorbid MDD and heavy alcohol use are associated with higher rates of mental health treatment engagement.</w:t>
            </w:r>
          </w:p>
        </w:tc>
        <w:tc>
          <w:tcPr>
            <w:tcW w:w="4962" w:type="dxa"/>
            <w:tcBorders>
              <w:top w:val="single" w:sz="4" w:space="0" w:color="auto"/>
              <w:left w:val="single" w:sz="4" w:space="0" w:color="auto"/>
              <w:bottom w:val="single" w:sz="4" w:space="0" w:color="auto"/>
              <w:right w:val="single" w:sz="4" w:space="0" w:color="auto"/>
            </w:tcBorders>
          </w:tcPr>
          <w:p w14:paraId="7874303D"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Students with MDD reported more frequent HED and higher </w:t>
            </w:r>
            <w:proofErr w:type="spellStart"/>
            <w:r w:rsidRPr="003B420C">
              <w:rPr>
                <w:rFonts w:asciiTheme="majorBidi" w:hAnsiTheme="majorBidi" w:cstheme="majorBidi"/>
                <w:color w:val="231F20"/>
                <w:sz w:val="20"/>
                <w:szCs w:val="20"/>
              </w:rPr>
              <w:t>pBAC</w:t>
            </w:r>
            <w:proofErr w:type="spellEnd"/>
            <w:r w:rsidRPr="003B420C">
              <w:rPr>
                <w:rFonts w:asciiTheme="majorBidi" w:hAnsiTheme="majorBidi" w:cstheme="majorBidi"/>
                <w:color w:val="231F20"/>
                <w:sz w:val="20"/>
                <w:szCs w:val="20"/>
              </w:rPr>
              <w:t xml:space="preserve"> than did students without MDD; this was especially true for female students.</w:t>
            </w:r>
          </w:p>
        </w:tc>
      </w:tr>
      <w:tr w:rsidR="00F87005" w:rsidRPr="003B420C" w14:paraId="7B43E30B" w14:textId="77777777" w:rsidTr="001C4F97">
        <w:tc>
          <w:tcPr>
            <w:tcW w:w="653" w:type="dxa"/>
            <w:tcBorders>
              <w:top w:val="single" w:sz="4" w:space="0" w:color="auto"/>
              <w:left w:val="single" w:sz="4" w:space="0" w:color="auto"/>
              <w:bottom w:val="single" w:sz="4" w:space="0" w:color="auto"/>
              <w:right w:val="single" w:sz="4" w:space="0" w:color="auto"/>
            </w:tcBorders>
          </w:tcPr>
          <w:p w14:paraId="66F0BC7A"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12</w:t>
            </w:r>
          </w:p>
        </w:tc>
        <w:tc>
          <w:tcPr>
            <w:tcW w:w="1979" w:type="dxa"/>
            <w:tcBorders>
              <w:top w:val="single" w:sz="4" w:space="0" w:color="auto"/>
              <w:left w:val="single" w:sz="4" w:space="0" w:color="auto"/>
              <w:bottom w:val="single" w:sz="4" w:space="0" w:color="auto"/>
              <w:right w:val="single" w:sz="4" w:space="0" w:color="auto"/>
            </w:tcBorders>
          </w:tcPr>
          <w:p w14:paraId="3C7B871C"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S. Park and et al. Asian countries. 2015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&lt;EndNote&gt;&lt;Cite&gt;&lt;Author&gt;Park&lt;/Author&gt;&lt;Year&gt;2015&lt;/Year&gt;&lt;RecNum&gt;78&lt;/RecNum&gt;&lt;DisplayText&gt;(43)&lt;/DisplayText&gt;&lt;record&gt;&lt;rec-number&gt;78&lt;/rec-number&gt;&lt;foreign-keys&gt;&lt;key app="EN" db-id="tasvra20qrdrv0e2xpqprw51fxfr0pas5wr2" timestamp="1663162249"&gt;78&lt;/key&gt;&lt;/foreign-keys&gt;&lt;ref-type name="Journal Article"&gt;17&lt;/ref-type&gt;&lt;contributors&gt;&lt;authors&gt;&lt;author&gt;Park, S.&lt;/author&gt;&lt;author&gt;Hatim, A.&lt;/author&gt;&lt;author&gt;Si, T. M.&lt;/author&gt;&lt;author&gt;Jeon, H. J.&lt;/author&gt;&lt;author&gt;Srisurapanont, M.&lt;/author&gt;&lt;author&gt;Bautista, D.&lt;/author&gt;&lt;author&gt;Liu, S. I.&lt;/author&gt;&lt;author&gt;Chua, H. C.&lt;/author&gt;&lt;author&gt;Hong, J. P.&lt;/author&gt;&lt;/authors&gt;&lt;/contributors&gt;&lt;titles&gt;&lt;title&gt;Stressful life events preceding the onset of depression in Asian patients with major depressive disorder&lt;/title&gt;&lt;secondary-title&gt;International Journal of Social Psychiatry&lt;/secondary-title&gt;&lt;/titles&gt;&lt;periodical&gt;&lt;full-title&gt;International Journal of Social Psychiatry&lt;/full-title&gt;&lt;/periodical&gt;&lt;pages&gt;735-742&lt;/pages&gt;&lt;volume&gt;61&lt;/volume&gt;&lt;number&gt;8&lt;/number&gt;&lt;dates&gt;&lt;year&gt;2015&lt;/year&gt;&lt;/dates&gt;&lt;work-type&gt;Article&lt;/work-type&gt;&lt;urls&gt;&lt;related-urls&gt;&lt;url&gt;https://www.scopus.com/inward/record.uri?eid=2-s2.0-84951744991&amp;amp;doi=10.1177%2f0020764015577842&amp;amp;partnerID=40&amp;amp;md5=6ae5cce8747ac1642e3b464f40994dee&lt;/url&gt;&lt;/related-urls&gt;&lt;/urls&gt;&lt;electronic-resource-num&gt;10.1177/0020764015577842&lt;/electronic-resource-num&gt;&lt;remote-database-name&gt;Scopus&lt;/remote-database-name&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(43)</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69FB2180"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 total of 507 outpatients with MDD were recruited in China (n = 114), South Korea (n = 101), Malaysia (n = 90), Thailand (n = 103) and Taiwan (n = 99). </w:t>
            </w:r>
          </w:p>
        </w:tc>
        <w:tc>
          <w:tcPr>
            <w:tcW w:w="3869" w:type="dxa"/>
            <w:tcBorders>
              <w:top w:val="single" w:sz="4" w:space="0" w:color="auto"/>
              <w:left w:val="single" w:sz="4" w:space="0" w:color="auto"/>
              <w:bottom w:val="single" w:sz="4" w:space="0" w:color="auto"/>
              <w:right w:val="single" w:sz="4" w:space="0" w:color="auto"/>
            </w:tcBorders>
          </w:tcPr>
          <w:p w14:paraId="62410DA7"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aimed to compare types of stressful life events associated with the onset of depressive episodes in patients with major depressive disorder (MDD) in five Asian countries.</w:t>
            </w:r>
          </w:p>
        </w:tc>
        <w:tc>
          <w:tcPr>
            <w:tcW w:w="4962" w:type="dxa"/>
            <w:tcBorders>
              <w:top w:val="single" w:sz="4" w:space="0" w:color="auto"/>
              <w:left w:val="single" w:sz="4" w:space="0" w:color="auto"/>
              <w:bottom w:val="single" w:sz="4" w:space="0" w:color="auto"/>
              <w:right w:val="single" w:sz="4" w:space="0" w:color="auto"/>
            </w:tcBorders>
          </w:tcPr>
          <w:p w14:paraId="74B5BDEB"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type of stressful life event that preceded the onset of a depressive episode differed between patients in China and Taiwan and those in South Korea, Malaysia and Thailand. Patients in China and Taiwan were less likely to report interpersonal relationship problems and occupational/financial problems than patients in South Korea, Malaysia and Thailand.</w:t>
            </w:r>
          </w:p>
        </w:tc>
      </w:tr>
      <w:tr w:rsidR="00F87005" w:rsidRPr="003B420C" w14:paraId="13E45359" w14:textId="77777777" w:rsidTr="001C4F97">
        <w:tc>
          <w:tcPr>
            <w:tcW w:w="653" w:type="dxa"/>
            <w:tcBorders>
              <w:top w:val="single" w:sz="4" w:space="0" w:color="auto"/>
              <w:left w:val="single" w:sz="4" w:space="0" w:color="auto"/>
              <w:bottom w:val="single" w:sz="4" w:space="0" w:color="auto"/>
              <w:right w:val="single" w:sz="4" w:space="0" w:color="auto"/>
            </w:tcBorders>
          </w:tcPr>
          <w:p w14:paraId="766A14CE"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13</w:t>
            </w:r>
          </w:p>
        </w:tc>
        <w:tc>
          <w:tcPr>
            <w:tcW w:w="1979" w:type="dxa"/>
            <w:tcBorders>
              <w:top w:val="single" w:sz="4" w:space="0" w:color="auto"/>
              <w:left w:val="single" w:sz="4" w:space="0" w:color="auto"/>
              <w:bottom w:val="single" w:sz="4" w:space="0" w:color="auto"/>
              <w:right w:val="single" w:sz="4" w:space="0" w:color="auto"/>
            </w:tcBorders>
          </w:tcPr>
          <w:p w14:paraId="5EAD0DC2"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A. Schulz and et al, Germany. 2014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&lt;EndNote&gt;&lt;Cite&gt;&lt;Author&gt;Schulz&lt;/Author&gt;&lt;Year&gt;2014&lt;/Year&gt;&lt;RecNum&gt;92&lt;/RecNum&gt;&lt;DisplayText&gt;(44)&lt;/DisplayText&gt;&lt;record&gt;&lt;rec-number&gt;92&lt;/rec-number&gt;&lt;foreign-keys&gt;&lt;key app="EN" db-id="tasvra20qrdrv0e2xpqprw51fxfr0pas5wr2" timestamp="1663162249"&gt;92&lt;/key&gt;&lt;/foreign-keys&gt;&lt;ref-type name="Journal Article"&gt;17&lt;/ref-type&gt;&lt;contributors&gt;&lt;authors&gt;&lt;author&gt;Schulz, A.&lt;/author&gt;&lt;author&gt;Becker, M.&lt;/author&gt;&lt;author&gt;Van der Auwera, S.&lt;/author&gt;&lt;author&gt;Barnow, S.&lt;/author&gt;&lt;author&gt;Appel, K.&lt;/author&gt;&lt;author&gt;Mahler, J.&lt;/author&gt;&lt;author&gt;Schmidt, C. O.&lt;/author&gt;&lt;author&gt;John, U.&lt;/author&gt;&lt;author&gt;Freyberger, H. J.&lt;/author&gt;&lt;author&gt;Grabe, H. J.&lt;/author&gt;&lt;/authors&gt;&lt;/contributors&gt;&lt;titles&gt;&lt;title&gt;The impact of childhood trauma on depression: Does resilience matter? Population-based results from the Study of Health in Pomerania&lt;/title&gt;&lt;secondary-title&gt;Journal of Psychosomatic Research&lt;/secondary-title&gt;&lt;/titles&gt;&lt;periodical&gt;&lt;full-title&gt;Journal of Psychosomatic Research&lt;/full-title&gt;&lt;/periodical&gt;&lt;pages&gt;97-103&lt;/pages&gt;&lt;volume&gt;77&lt;/volume&gt;&lt;number&gt;2&lt;/number&gt;&lt;dates&gt;&lt;year&gt;2014&lt;/year&gt;&lt;pub-dates&gt;&lt;date&gt;Aug&lt;/date&gt;&lt;/pub-dates&gt;&lt;/dates&gt;&lt;isbn&gt;0022-3999&lt;/isbn&gt;&lt;accession-num&gt;WOS:000340012300003&lt;/accession-num&gt;&lt;urls&gt;&lt;related-urls&gt;&lt;url&gt;&amp;lt;Go to ISI&amp;gt;://WOS:000340012300003&lt;/url&gt;&lt;/related-urls&gt;&lt;/urls&gt;&lt;electronic-resource-num&gt;10.1016/j.jpsychores.2014.06.008&lt;/electronic-resource-num&gt;&lt;/record&gt;&lt;/Cite&gt;&lt;/EndNote&gt;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(44)</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2FF5AD1C"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Two thousand and forty-six subjects aged 29-89</w:t>
            </w:r>
          </w:p>
        </w:tc>
        <w:tc>
          <w:tcPr>
            <w:tcW w:w="3869" w:type="dxa"/>
            <w:tcBorders>
              <w:top w:val="single" w:sz="4" w:space="0" w:color="auto"/>
              <w:left w:val="single" w:sz="4" w:space="0" w:color="auto"/>
              <w:bottom w:val="single" w:sz="4" w:space="0" w:color="auto"/>
              <w:right w:val="single" w:sz="4" w:space="0" w:color="auto"/>
            </w:tcBorders>
          </w:tcPr>
          <w:p w14:paraId="7EFED8A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This study aims at investigating the influence of dispositional resilience on this relationship.</w:t>
            </w:r>
          </w:p>
        </w:tc>
        <w:tc>
          <w:tcPr>
            <w:tcW w:w="4962" w:type="dxa"/>
            <w:tcBorders>
              <w:top w:val="single" w:sz="4" w:space="0" w:color="auto"/>
              <w:left w:val="single" w:sz="4" w:space="0" w:color="auto"/>
              <w:bottom w:val="single" w:sz="4" w:space="0" w:color="auto"/>
              <w:right w:val="single" w:sz="4" w:space="0" w:color="auto"/>
            </w:tcBorders>
          </w:tcPr>
          <w:p w14:paraId="11CA2B1B"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findings support the clinical assumption that resilient subjects may be partly protected against the detrimental long-term effects of child abuse and neglect.</w:t>
            </w:r>
          </w:p>
        </w:tc>
      </w:tr>
      <w:tr w:rsidR="00F87005" w:rsidRPr="003B420C" w14:paraId="7C5FCA9A" w14:textId="77777777" w:rsidTr="001C4F97">
        <w:tc>
          <w:tcPr>
            <w:tcW w:w="653" w:type="dxa"/>
            <w:tcBorders>
              <w:top w:val="single" w:sz="4" w:space="0" w:color="auto"/>
              <w:left w:val="single" w:sz="4" w:space="0" w:color="auto"/>
              <w:bottom w:val="single" w:sz="4" w:space="0" w:color="auto"/>
              <w:right w:val="single" w:sz="4" w:space="0" w:color="auto"/>
            </w:tcBorders>
          </w:tcPr>
          <w:p w14:paraId="395E3B13"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14</w:t>
            </w:r>
          </w:p>
        </w:tc>
        <w:tc>
          <w:tcPr>
            <w:tcW w:w="1979" w:type="dxa"/>
            <w:tcBorders>
              <w:top w:val="single" w:sz="4" w:space="0" w:color="auto"/>
              <w:left w:val="single" w:sz="4" w:space="0" w:color="auto"/>
              <w:bottom w:val="single" w:sz="4" w:space="0" w:color="auto"/>
              <w:right w:val="single" w:sz="4" w:space="0" w:color="auto"/>
            </w:tcBorders>
          </w:tcPr>
          <w:p w14:paraId="6F0D1527"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J. J. J. </w:t>
            </w:r>
            <w:proofErr w:type="spellStart"/>
            <w:r w:rsidRPr="003B420C">
              <w:rPr>
                <w:rFonts w:asciiTheme="majorBidi" w:hAnsiTheme="majorBidi" w:cstheme="majorBidi"/>
                <w:color w:val="231F20"/>
                <w:sz w:val="20"/>
                <w:szCs w:val="20"/>
              </w:rPr>
              <w:t>Schuch</w:t>
            </w:r>
            <w:proofErr w:type="spellEnd"/>
            <w:r w:rsidRPr="003B420C">
              <w:rPr>
                <w:rFonts w:asciiTheme="majorBidi" w:hAnsiTheme="majorBidi" w:cstheme="majorBidi"/>
                <w:color w:val="231F20"/>
                <w:sz w:val="20"/>
                <w:szCs w:val="20"/>
              </w:rPr>
              <w:t xml:space="preserve"> and et al. Netherland. 2014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&lt;EndNote&gt;&lt;Cite&gt;&lt;Author&gt;Schuch&lt;/Author&gt;&lt;Year&gt;2014&lt;/Year&gt;&lt;RecNum&gt;93&lt;/RecNum&gt;&lt;DisplayText&gt;(45)&lt;/DisplayText&gt;&lt;record&gt;&lt;rec-number&gt;93&lt;/rec-number&gt;&lt;foreign-keys&gt;&lt;key app="EN" db-id="tasvra20qrdrv0e2xpqprw51fxfr0pas5wr2" timestamp="1663162249"&gt;93&lt;/key&gt;&lt;/foreign-keys&gt;&lt;ref-type name="Journal Article"&gt;17&lt;/ref-type&gt;&lt;contributors&gt;&lt;authors&gt;&lt;author&gt;Schuch, J. J. J.&lt;/author&gt;&lt;author&gt;Roest, A. M.&lt;/author&gt;&lt;author&gt;Nolen, W. A.&lt;/author&gt;&lt;author&gt;Penninx, Bwjh&lt;/author&gt;&lt;author&gt;de Jonge, P.&lt;/author&gt;&lt;/authors&gt;&lt;/contributors&gt;&lt;titles&gt;&lt;title&gt;Gender differences in major depressive disorder: Results from the Netherlands study of depression and anxiety&lt;/title&gt;&lt;secondary-title&gt;Journal of Affective Disorders&lt;/secondary-title&gt;&lt;/titles&gt;&lt;periodical&gt;&lt;full-title&gt;Journal of Affective Disorders&lt;/full-title&gt;&lt;/periodical&gt;&lt;pages&gt;156-163&lt;/pages&gt;&lt;volume&gt;156&lt;/volume&gt;&lt;dates&gt;&lt;year&gt;2014&lt;/year&gt;&lt;pub-dates&gt;&lt;date&gt;Mar&lt;/date&gt;&lt;/pub-dates&gt;&lt;/dates&gt;&lt;isbn&gt;0165-0327&lt;/isbn&gt;&lt;accession-num&gt;WOS:000330215700020&lt;/accession-num&gt;&lt;urls&gt;&lt;related-urls&gt;&lt;url&gt;&amp;lt;Go to ISI&amp;gt;://WOS:000330215700020&lt;/url&gt;&lt;/related-urls&gt;&lt;/urls&gt;&lt;electronic-resource-num&gt;10.1016/j.jad.2013.12.011&lt;/electronic-resource-num&gt;&lt;/record&gt;&lt;/Cite&gt;&lt;/EndNote&gt;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(45)</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63F15D6C"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1115 participants (364 men, 751 women, mean age 41 years)</w:t>
            </w:r>
          </w:p>
        </w:tc>
        <w:tc>
          <w:tcPr>
            <w:tcW w:w="3869" w:type="dxa"/>
            <w:tcBorders>
              <w:top w:val="single" w:sz="4" w:space="0" w:color="auto"/>
              <w:left w:val="single" w:sz="4" w:space="0" w:color="auto"/>
              <w:bottom w:val="single" w:sz="4" w:space="0" w:color="auto"/>
              <w:right w:val="single" w:sz="4" w:space="0" w:color="auto"/>
            </w:tcBorders>
          </w:tcPr>
          <w:p w14:paraId="3D99D393"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This study aims to identify gender differences in psychopathology, treatment, and public health consequences in patients with MDD.</w:t>
            </w:r>
          </w:p>
        </w:tc>
        <w:tc>
          <w:tcPr>
            <w:tcW w:w="4962" w:type="dxa"/>
            <w:tcBorders>
              <w:top w:val="single" w:sz="4" w:space="0" w:color="auto"/>
              <w:left w:val="single" w:sz="4" w:space="0" w:color="auto"/>
              <w:bottom w:val="single" w:sz="4" w:space="0" w:color="auto"/>
              <w:right w:val="single" w:sz="4" w:space="0" w:color="auto"/>
            </w:tcBorders>
          </w:tcPr>
          <w:p w14:paraId="515671FD"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Main gender differences in the clinical presentation of MDD concerned a younger age of onset, higher anxiety and lower alcohol use comorbidity and higher prevalence of atypical depression in women. These differences were accompanied by differences in health care use.</w:t>
            </w:r>
          </w:p>
        </w:tc>
      </w:tr>
      <w:tr w:rsidR="00F87005" w:rsidRPr="003B420C" w14:paraId="7055DAC3" w14:textId="77777777" w:rsidTr="001C4F97">
        <w:tc>
          <w:tcPr>
            <w:tcW w:w="653" w:type="dxa"/>
            <w:tcBorders>
              <w:top w:val="single" w:sz="4" w:space="0" w:color="auto"/>
              <w:left w:val="single" w:sz="4" w:space="0" w:color="auto"/>
              <w:bottom w:val="single" w:sz="4" w:space="0" w:color="auto"/>
              <w:right w:val="single" w:sz="4" w:space="0" w:color="auto"/>
            </w:tcBorders>
          </w:tcPr>
          <w:p w14:paraId="01EC7208"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15</w:t>
            </w:r>
          </w:p>
        </w:tc>
        <w:tc>
          <w:tcPr>
            <w:tcW w:w="1979" w:type="dxa"/>
            <w:tcBorders>
              <w:top w:val="single" w:sz="4" w:space="0" w:color="auto"/>
              <w:left w:val="single" w:sz="4" w:space="0" w:color="auto"/>
              <w:bottom w:val="single" w:sz="4" w:space="0" w:color="auto"/>
              <w:right w:val="single" w:sz="4" w:space="0" w:color="auto"/>
            </w:tcBorders>
          </w:tcPr>
          <w:p w14:paraId="66DF4896"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B. </w:t>
            </w:r>
            <w:proofErr w:type="spellStart"/>
            <w:r w:rsidRPr="003B420C">
              <w:rPr>
                <w:rFonts w:asciiTheme="majorBidi" w:hAnsiTheme="majorBidi" w:cstheme="majorBidi"/>
                <w:color w:val="231F20"/>
                <w:sz w:val="20"/>
                <w:szCs w:val="20"/>
              </w:rPr>
              <w:t>Rashidkhani</w:t>
            </w:r>
            <w:proofErr w:type="spellEnd"/>
            <w:r w:rsidRPr="003B420C">
              <w:rPr>
                <w:rFonts w:asciiTheme="majorBidi" w:hAnsiTheme="majorBidi" w:cstheme="majorBidi"/>
                <w:color w:val="231F20"/>
                <w:sz w:val="20"/>
                <w:szCs w:val="20"/>
              </w:rPr>
              <w:t xml:space="preserve"> and et al. Iran. 2013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&lt;EndNote&gt;&lt;Cite&gt;&lt;Author&gt;Rashidkhani&lt;/Author&gt;&lt;Year&gt;2013&lt;/Year&gt;&lt;RecNum&gt;105&lt;/RecNum&gt;&lt;DisplayText&gt;(46)&lt;/DisplayText&gt;&lt;record&gt;&lt;rec-number&gt;105&lt;/rec-number&gt;&lt;foreign-keys&gt;&lt;key app="EN" db-id="tasvra20qrdrv0e2xpqprw51fxfr0pas5wr2" timestamp="1663162249"&gt;105&lt;/key&gt;&lt;/foreign-keys&gt;&lt;ref-type name="Journal Article"&gt;17&lt;/ref-type&gt;&lt;contributors&gt;&lt;authors&gt;&lt;author&gt;Rashidkhani, B.&lt;/author&gt;&lt;author&gt;Gargari, B. P.&lt;/author&gt;&lt;author&gt;Ranjbar, F.&lt;/author&gt;&lt;author&gt;Zareiy, S.&lt;/author&gt;&lt;author&gt;Kargarnovin, Z.&lt;/author&gt;&lt;/authors&gt;&lt;/contributors&gt;&lt;titles&gt;&lt;title&gt;Dietary patterns and anthropometric indices among Iranian women with major depressive disorder&lt;/title&gt;&lt;secondary-title&gt;Psychiatry Research&lt;/secondary-title&gt;&lt;/titles&gt;&lt;periodical&gt;&lt;full-title&gt;Psychiatry Research&lt;/full-title&gt;&lt;/periodical&gt;&lt;pages&gt;115-120&lt;/pages&gt;&lt;volume&gt;210&lt;/volume&gt;&lt;number&gt;1&lt;/number&gt;&lt;dates&gt;&lt;year&gt;2013&lt;/year&gt;&lt;pub-dates&gt;&lt;date&gt;Nov&lt;/date&gt;&lt;/pub-dates&gt;&lt;/dates&gt;&lt;isbn&gt;0165-1781&lt;/isbn&gt;&lt;accession-num&gt;WOS:000326859400018&lt;/accession-num&gt;&lt;urls&gt;&lt;related-urls&gt;&lt;url&gt;&amp;lt;Go to ISI&amp;gt;://WOS:000326859400018&lt;/url&gt;&lt;/related-urls&gt;&lt;/urls&gt;&lt;electronic-resource-num&gt;10.1016/j.psychres.2013.05.022&lt;/electronic-resource-num&gt;&lt;/record&gt;&lt;/Cite&gt;&lt;/EndNote&gt;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(46)</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1EF09EBA"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45 women with major depression and 90 patients with no mental disorder participated.</w:t>
            </w:r>
          </w:p>
        </w:tc>
        <w:tc>
          <w:tcPr>
            <w:tcW w:w="3869" w:type="dxa"/>
            <w:tcBorders>
              <w:top w:val="single" w:sz="4" w:space="0" w:color="auto"/>
              <w:left w:val="single" w:sz="4" w:space="0" w:color="auto"/>
              <w:bottom w:val="single" w:sz="4" w:space="0" w:color="auto"/>
              <w:right w:val="single" w:sz="4" w:space="0" w:color="auto"/>
            </w:tcBorders>
          </w:tcPr>
          <w:p w14:paraId="10061632"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investigating the association of dietary patterns and anthropometric status with major depression in adult women living in Tabriz.</w:t>
            </w:r>
          </w:p>
        </w:tc>
        <w:tc>
          <w:tcPr>
            <w:tcW w:w="4962" w:type="dxa"/>
            <w:tcBorders>
              <w:top w:val="single" w:sz="4" w:space="0" w:color="auto"/>
              <w:left w:val="single" w:sz="4" w:space="0" w:color="auto"/>
              <w:bottom w:val="single" w:sz="4" w:space="0" w:color="auto"/>
              <w:right w:val="single" w:sz="4" w:space="0" w:color="auto"/>
            </w:tcBorders>
          </w:tcPr>
          <w:p w14:paraId="548E40B9"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These results suggest that the healthy dietary pattern is significantly associated with lower odds of major depression in adult women.</w:t>
            </w:r>
          </w:p>
        </w:tc>
      </w:tr>
      <w:tr w:rsidR="00F87005" w:rsidRPr="003B420C" w14:paraId="20E76BA5" w14:textId="77777777" w:rsidTr="001C4F97">
        <w:tc>
          <w:tcPr>
            <w:tcW w:w="653" w:type="dxa"/>
            <w:tcBorders>
              <w:top w:val="single" w:sz="4" w:space="0" w:color="auto"/>
              <w:left w:val="single" w:sz="4" w:space="0" w:color="auto"/>
              <w:bottom w:val="single" w:sz="4" w:space="0" w:color="auto"/>
              <w:right w:val="single" w:sz="4" w:space="0" w:color="auto"/>
            </w:tcBorders>
          </w:tcPr>
          <w:p w14:paraId="28B657B6"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16</w:t>
            </w:r>
          </w:p>
        </w:tc>
        <w:tc>
          <w:tcPr>
            <w:tcW w:w="1979" w:type="dxa"/>
            <w:tcBorders>
              <w:top w:val="single" w:sz="4" w:space="0" w:color="auto"/>
              <w:left w:val="single" w:sz="4" w:space="0" w:color="auto"/>
              <w:bottom w:val="single" w:sz="4" w:space="0" w:color="auto"/>
              <w:right w:val="single" w:sz="4" w:space="0" w:color="auto"/>
            </w:tcBorders>
          </w:tcPr>
          <w:p w14:paraId="764FB81B"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J. A. Pasco And et al. Australia.2012</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&lt;EndNote&gt;&lt;Cite&gt;&lt;Author&gt;Pasco&lt;/Author&gt;&lt;Year&gt;2012&lt;/Year&gt;&lt;RecNum&gt;120&lt;/RecNum&gt;&lt;DisplayText&gt;(47)&lt;/DisplayText&gt;&lt;record&gt;&lt;rec-number&gt;120&lt;/rec-number&gt;&lt;foreign-keys&gt;&lt;key app="EN" db-id="tasvra20qrdrv0e2xpqprw51fxfr0pas5wr2" timestamp="1663162249"&gt;120&lt;/key&gt;&lt;/foreign-keys&gt;&lt;ref-type name="Journal Article"&gt;17&lt;/ref-type&gt;&lt;contributors&gt;&lt;authors&gt;&lt;author&gt;Pasco, J. A.&lt;/author&gt;&lt;author&gt;Jacka, F. N.&lt;/author&gt;&lt;author&gt;Williams, L. J.&lt;/author&gt;&lt;author&gt;Evans-Cleverdon, M.&lt;/author&gt;&lt;author&gt;Brennan, S. L.&lt;/author&gt;&lt;author&gt;Kotowicz, M. A.&lt;/author&gt;&lt;author&gt;Nicholson, G. C.&lt;/author&gt;&lt;author&gt;Ball, M. J.&lt;/author&gt;&lt;author&gt;Berk, M.&lt;/author&gt;&lt;/authors&gt;&lt;/contributors&gt;&lt;titles&gt;&lt;title&gt;Dietary selenium and major depression: A nested case-control study&lt;/title&gt;&lt;secondary-title&gt;Complementary Therapies in Medicine&lt;/secondary-title&gt;&lt;/titles&gt;&lt;periodical&gt;&lt;full-title&gt;Complementary Therapies in Medicine&lt;/full-title&gt;&lt;/periodical&gt;&lt;pages&gt;119-123&lt;/pages&gt;&lt;volume&gt;20&lt;/volume&gt;&lt;number&gt;3&lt;/number&gt;&lt;dates&gt;&lt;year&gt;2012&lt;/year&gt;&lt;/dates&gt;&lt;work-type&gt;Article&lt;/work-type&gt;&lt;urls&gt;&lt;related-urls&gt;&lt;url&gt;https://www.scopus.com/inward/record.uri?eid=2-s2.0-84859700119&amp;amp;doi=10.1016%2fj.ctim.2011.12.008&amp;amp;partnerID=40&amp;amp;md5=926883769f71c705552b9f3fe2c2e990&lt;/url&gt;&lt;/related-urls&gt;&lt;/urls&gt;&lt;electronic-resource-num&gt;10.1016/j.ctim.2011.12.008&lt;/electronic-resource-num&gt;&lt;remote-database-name&gt;Scopus&lt;/remote-database-name&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(47)</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6B56DF96"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Eighteen women who developed de novo MDD were classified as cases; there were 298 controls.</w:t>
            </w:r>
          </w:p>
        </w:tc>
        <w:tc>
          <w:tcPr>
            <w:tcW w:w="3869" w:type="dxa"/>
            <w:tcBorders>
              <w:top w:val="single" w:sz="4" w:space="0" w:color="auto"/>
              <w:left w:val="single" w:sz="4" w:space="0" w:color="auto"/>
              <w:bottom w:val="single" w:sz="4" w:space="0" w:color="auto"/>
              <w:right w:val="single" w:sz="4" w:space="0" w:color="auto"/>
            </w:tcBorders>
          </w:tcPr>
          <w:p w14:paraId="7ECC8063"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aimed to determine if low levels of dietary selenium are associated with an increased risk for de novo major depressive disorder (MDD).</w:t>
            </w:r>
          </w:p>
        </w:tc>
        <w:tc>
          <w:tcPr>
            <w:tcW w:w="4962" w:type="dxa"/>
            <w:tcBorders>
              <w:top w:val="single" w:sz="4" w:space="0" w:color="auto"/>
              <w:left w:val="single" w:sz="4" w:space="0" w:color="auto"/>
              <w:bottom w:val="single" w:sz="4" w:space="0" w:color="auto"/>
              <w:right w:val="single" w:sz="4" w:space="0" w:color="auto"/>
            </w:tcBorders>
          </w:tcPr>
          <w:p w14:paraId="066662C2" w14:textId="77777777" w:rsidR="00F87005" w:rsidRPr="003B420C" w:rsidRDefault="00F87005" w:rsidP="001C4F97">
            <w:pPr>
              <w:spacing w:after="0" w:line="240" w:lineRule="auto"/>
              <w:jc w:val="center"/>
              <w:rPr>
                <w:rFonts w:asciiTheme="majorBidi" w:hAnsiTheme="majorBidi" w:cstheme="majorBidi"/>
                <w:color w:val="231F20"/>
                <w:sz w:val="20"/>
                <w:szCs w:val="20"/>
                <w:lang w:bidi="fa-IR"/>
              </w:rPr>
            </w:pPr>
            <w:r w:rsidRPr="003B420C">
              <w:rPr>
                <w:rFonts w:asciiTheme="majorBidi" w:hAnsiTheme="majorBidi" w:cstheme="majorBidi"/>
                <w:color w:val="231F20"/>
                <w:sz w:val="20"/>
                <w:szCs w:val="20"/>
              </w:rPr>
              <w:t>These data suggest that lower dietary selenium intakes are associated with an increased risk of subsequent de novo MDD.</w:t>
            </w:r>
          </w:p>
        </w:tc>
      </w:tr>
      <w:tr w:rsidR="00F87005" w:rsidRPr="003B420C" w14:paraId="2ACABF52" w14:textId="77777777" w:rsidTr="001C4F97">
        <w:tc>
          <w:tcPr>
            <w:tcW w:w="653" w:type="dxa"/>
            <w:tcBorders>
              <w:top w:val="single" w:sz="4" w:space="0" w:color="auto"/>
              <w:left w:val="single" w:sz="4" w:space="0" w:color="auto"/>
              <w:bottom w:val="single" w:sz="4" w:space="0" w:color="auto"/>
              <w:right w:val="single" w:sz="4" w:space="0" w:color="auto"/>
            </w:tcBorders>
          </w:tcPr>
          <w:p w14:paraId="69195123"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17</w:t>
            </w:r>
          </w:p>
        </w:tc>
        <w:tc>
          <w:tcPr>
            <w:tcW w:w="1979" w:type="dxa"/>
            <w:tcBorders>
              <w:top w:val="single" w:sz="4" w:space="0" w:color="auto"/>
              <w:left w:val="single" w:sz="4" w:space="0" w:color="auto"/>
              <w:bottom w:val="single" w:sz="4" w:space="0" w:color="auto"/>
              <w:right w:val="single" w:sz="4" w:space="0" w:color="auto"/>
            </w:tcBorders>
          </w:tcPr>
          <w:p w14:paraId="0B4A8E66"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Segoe UI" w:hAnsi="Segoe UI" w:cs="Segoe UI"/>
                <w:sz w:val="20"/>
                <w:szCs w:val="20"/>
                <w:lang w:bidi="fa-IR"/>
              </w:rPr>
              <w:t>D. H. Chae</w:t>
            </w:r>
            <w:r w:rsidRPr="003B420C">
              <w:rPr>
                <w:rFonts w:asciiTheme="majorBidi" w:hAnsiTheme="majorBidi" w:cstheme="majorBidi"/>
                <w:color w:val="231F20"/>
                <w:sz w:val="20"/>
                <w:szCs w:val="20"/>
              </w:rPr>
              <w:t xml:space="preserve"> and et al. Asian Americans. 2012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&lt;EndNote&gt;&lt;Cite&gt;&lt;Author&gt;Chae&lt;/Author&gt;&lt;Year&gt;2012&lt;/Year&gt;&lt;RecNum&gt;129&lt;/RecNum&gt;&lt;DisplayText&gt;(48)&lt;/DisplayText&gt;&lt;record&gt;&lt;rec-number&gt;129&lt;/rec-number&gt;&lt;foreign-keys&gt;&lt;key app="EN" db-id="tasvra20qrdrv0e2xpqprw51fxfr0pas5wr2" timestamp="1663162249"&gt;129&lt;/key&gt;&lt;/foreign-keys&gt;&lt;ref-type name="Journal Article"&gt;17&lt;/ref-type&gt;&lt;contributors&gt;&lt;authors&gt;&lt;author&gt;Chae, D. H.&lt;/author&gt;&lt;author&gt;Lee, S.&lt;/author&gt;&lt;author&gt;Lincoln, K. D.&lt;/author&gt;&lt;author&gt;Ihara, E. S.&lt;/author&gt;&lt;/authors&gt;&lt;/contributors&gt;&lt;titles&gt;&lt;title&gt;Discrimination, family relationships, and major depression among Asian Americans&lt;/title&gt;&lt;secondary-title&gt;Journal of Immigrant and Minority Health&lt;/secondary-title&gt;&lt;/titles&gt;&lt;periodical&gt;&lt;full-title&gt;Journal of Immigrant and Minority Health&lt;/full-title&gt;&lt;/periodical&gt;&lt;pages&gt;361-370&lt;/pages&gt;&lt;volume&gt;14&lt;/volume&gt;&lt;number&gt;3&lt;/number&gt;&lt;dates&gt;&lt;year&gt;2012&lt;/year&gt;&lt;/dates&gt;&lt;work-type&gt;Article&lt;/work-type&gt;&lt;urls&gt;&lt;related-urls&gt;&lt;url&gt;https://www.scopus.com/inward/record.uri?eid=2-s2.0-84860833633&amp;amp;doi=10.1007%2fs10903-011-9548-4&amp;amp;partnerID=40&amp;amp;md5=f335778e9ad58ffa0412ce109d7c4201&lt;/url&gt;&lt;/related-urls&gt;&lt;/urls&gt;&lt;electronic-resource-num&gt;10.1007/s10903-011-9548-4&lt;/electronic-resource-num&gt;&lt;remote-database-name&gt;Scopus&lt;/remote-database-name&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(48)</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46459AFF"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Asian American adults (N = 2095) were used to examine associations between discrimination, negative interactions with relatives, family support, and 12-month </w:t>
            </w:r>
            <w:r w:rsidRPr="003B420C">
              <w:rPr>
                <w:rFonts w:asciiTheme="majorBidi" w:hAnsiTheme="majorBidi" w:cstheme="majorBidi"/>
                <w:color w:val="231F20"/>
                <w:sz w:val="20"/>
                <w:szCs w:val="20"/>
              </w:rPr>
              <w:lastRenderedPageBreak/>
              <w:t>major depressive disorder (MDD).</w:t>
            </w:r>
          </w:p>
        </w:tc>
        <w:tc>
          <w:tcPr>
            <w:tcW w:w="3869" w:type="dxa"/>
            <w:tcBorders>
              <w:top w:val="single" w:sz="4" w:space="0" w:color="auto"/>
              <w:left w:val="single" w:sz="4" w:space="0" w:color="auto"/>
              <w:bottom w:val="single" w:sz="4" w:space="0" w:color="auto"/>
              <w:right w:val="single" w:sz="4" w:space="0" w:color="auto"/>
            </w:tcBorders>
          </w:tcPr>
          <w:p w14:paraId="77580E76"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lastRenderedPageBreak/>
              <w:t>This study examined whether discrimination and family dynamics are associated with depression in this population.</w:t>
            </w:r>
          </w:p>
        </w:tc>
        <w:tc>
          <w:tcPr>
            <w:tcW w:w="4962" w:type="dxa"/>
            <w:tcBorders>
              <w:top w:val="single" w:sz="4" w:space="0" w:color="auto"/>
              <w:left w:val="single" w:sz="4" w:space="0" w:color="auto"/>
              <w:bottom w:val="single" w:sz="4" w:space="0" w:color="auto"/>
              <w:right w:val="single" w:sz="4" w:space="0" w:color="auto"/>
            </w:tcBorders>
          </w:tcPr>
          <w:p w14:paraId="082FBF4E"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Results suggest that discrimination may have negative mental health implications, and also point to the importance of family relationships for depression among Asian Americans.</w:t>
            </w:r>
          </w:p>
        </w:tc>
      </w:tr>
      <w:tr w:rsidR="00F87005" w:rsidRPr="003B420C" w14:paraId="112142FC" w14:textId="77777777" w:rsidTr="001C4F97">
        <w:tc>
          <w:tcPr>
            <w:tcW w:w="653" w:type="dxa"/>
            <w:tcBorders>
              <w:top w:val="single" w:sz="4" w:space="0" w:color="auto"/>
              <w:left w:val="single" w:sz="4" w:space="0" w:color="auto"/>
              <w:bottom w:val="single" w:sz="4" w:space="0" w:color="auto"/>
              <w:right w:val="single" w:sz="4" w:space="0" w:color="auto"/>
            </w:tcBorders>
          </w:tcPr>
          <w:p w14:paraId="3F1A782B"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18</w:t>
            </w:r>
          </w:p>
        </w:tc>
        <w:tc>
          <w:tcPr>
            <w:tcW w:w="1979" w:type="dxa"/>
            <w:tcBorders>
              <w:top w:val="single" w:sz="4" w:space="0" w:color="auto"/>
              <w:left w:val="single" w:sz="4" w:space="0" w:color="auto"/>
              <w:bottom w:val="single" w:sz="4" w:space="0" w:color="auto"/>
              <w:right w:val="single" w:sz="4" w:space="0" w:color="auto"/>
            </w:tcBorders>
          </w:tcPr>
          <w:p w14:paraId="7580D91E"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 Bulloch and et al. Canada.</w:t>
            </w:r>
            <w:r w:rsidRPr="003B420C">
              <w:rPr>
                <w:rFonts w:asciiTheme="majorBidi" w:hAnsiTheme="majorBidi" w:cstheme="majorBidi"/>
                <w:i/>
                <w:iCs/>
                <w:color w:val="231F20"/>
                <w:sz w:val="20"/>
                <w:szCs w:val="20"/>
              </w:rPr>
              <w:t xml:space="preserve"> 2012 </w:t>
            </w:r>
            <w:r w:rsidRPr="003B420C">
              <w:rPr>
                <w:rFonts w:asciiTheme="majorBidi" w:hAnsiTheme="majorBidi" w:cstheme="majorBidi"/>
                <w:i/>
                <w:iCs/>
                <w:color w:val="231F20"/>
                <w:sz w:val="20"/>
                <w:szCs w:val="20"/>
              </w:rPr>
              <w:fldChar w:fldCharType="begin"/>
            </w:r>
            <w:r>
              <w:rPr>
                <w:rFonts w:asciiTheme="majorBidi" w:hAnsiTheme="majorBidi" w:cstheme="majorBidi"/>
                <w:i/>
                <w:iCs/>
                <w:color w:val="231F20"/>
                <w:sz w:val="20"/>
                <w:szCs w:val="20"/>
              </w:rPr>
              <w:instrText xml:space="preserve"> ADDIN EN.CITE &lt;EndNote&gt;&lt;Cite&gt;&lt;Author&gt;Bulloch&lt;/Author&gt;&lt;Year&gt;2012&lt;/Year&gt;&lt;RecNum&gt;130&lt;/RecNum&gt;&lt;DisplayText&gt;(49)&lt;/DisplayText&gt;&lt;record&gt;&lt;rec-number&gt;130&lt;/rec-number&gt;&lt;foreign-keys&gt;&lt;key app="EN" db-id="tasvra20qrdrv0e2xpqprw51fxfr0pas5wr2" timestamp="1663162249"&gt;130&lt;/key&gt;&lt;/foreign-keys&gt;&lt;ref-type name="Journal Article"&gt;17&lt;/ref-type&gt;&lt;contributors&gt;&lt;authors&gt;&lt;author&gt;Bulloch, A.&lt;/author&gt;&lt;author&gt;Lavorato, D.&lt;/author&gt;&lt;author&gt;Williams, J.&lt;/author&gt;&lt;author&gt;Patten, S.&lt;/author&gt;&lt;/authors&gt;&lt;/contributors&gt;&lt;titles&gt;&lt;title&gt;Alcohol consumption and major depression in the general population: The critical importance of dependence&lt;/title&gt;&lt;secondary-title&gt;Depression and Anxiety&lt;/secondary-title&gt;&lt;/titles&gt;&lt;periodical&gt;&lt;full-title&gt;Depression and Anxiety&lt;/full-title&gt;&lt;/periodical&gt;&lt;pages&gt;1058-1064&lt;/pages&gt;&lt;volume&gt;29&lt;/volume&gt;&lt;number&gt;12&lt;/number&gt;&lt;dates&gt;&lt;year&gt;2012&lt;/year&gt;&lt;/dates&gt;&lt;work-type&gt;Article&lt;/work-type&gt;&lt;urls&gt;&lt;related-urls&gt;&lt;url&gt;https://www.scopus.com/inward/record.uri?eid=2-s2.0-84870550508&amp;amp;doi=10.1002%2fda.22001&amp;amp;partnerID=40&amp;amp;md5=7f24922ba94f455db97fd767877d86e2&lt;/url&gt;&lt;/related-urls&gt;&lt;/urls&gt;&lt;electronic-resource-num&gt;10.1002/da.22001&lt;/electronic-resource-num&gt;&lt;remote-database-name&gt;Scopus&lt;/remote-database-name&gt;&lt;/record&gt;&lt;/Cite&gt;&lt;/EndNote&gt;</w:instrText>
            </w:r>
            <w:r w:rsidRPr="003B420C">
              <w:rPr>
                <w:rFonts w:asciiTheme="majorBidi" w:hAnsiTheme="majorBidi" w:cstheme="majorBidi"/>
                <w:i/>
                <w:iCs/>
                <w:color w:val="231F20"/>
                <w:sz w:val="20"/>
                <w:szCs w:val="20"/>
              </w:rPr>
              <w:fldChar w:fldCharType="separate"/>
            </w:r>
            <w:r>
              <w:rPr>
                <w:rFonts w:asciiTheme="majorBidi" w:hAnsiTheme="majorBidi" w:cstheme="majorBidi"/>
                <w:i/>
                <w:iCs/>
                <w:noProof/>
                <w:color w:val="231F20"/>
                <w:sz w:val="20"/>
                <w:szCs w:val="20"/>
              </w:rPr>
              <w:t>(49)</w:t>
            </w:r>
            <w:r w:rsidRPr="003B420C">
              <w:rPr>
                <w:rFonts w:asciiTheme="majorBidi" w:hAnsiTheme="majorBidi" w:cstheme="majorBidi"/>
                <w:i/>
                <w:iCs/>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6B164962"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17,276 household residents</w:t>
            </w:r>
          </w:p>
        </w:tc>
        <w:tc>
          <w:tcPr>
            <w:tcW w:w="3869" w:type="dxa"/>
            <w:tcBorders>
              <w:top w:val="single" w:sz="4" w:space="0" w:color="auto"/>
              <w:left w:val="single" w:sz="4" w:space="0" w:color="auto"/>
              <w:bottom w:val="single" w:sz="4" w:space="0" w:color="auto"/>
              <w:right w:val="single" w:sz="4" w:space="0" w:color="auto"/>
            </w:tcBorders>
          </w:tcPr>
          <w:p w14:paraId="510A2D9C"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evaluated the incidence of MDE in relation to different patterns of alcohol use, and examined the incidence of alcohol misuse in respondents with and without MDE.</w:t>
            </w:r>
          </w:p>
        </w:tc>
        <w:tc>
          <w:tcPr>
            <w:tcW w:w="4962" w:type="dxa"/>
            <w:tcBorders>
              <w:top w:val="single" w:sz="4" w:space="0" w:color="auto"/>
              <w:left w:val="single" w:sz="4" w:space="0" w:color="auto"/>
              <w:bottom w:val="single" w:sz="4" w:space="0" w:color="auto"/>
              <w:right w:val="single" w:sz="4" w:space="0" w:color="auto"/>
            </w:tcBorders>
          </w:tcPr>
          <w:p w14:paraId="0E84A100"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Of direct clinical significance is the bidirectional relationship between alcohol dependence and MDE.</w:t>
            </w:r>
          </w:p>
        </w:tc>
      </w:tr>
      <w:tr w:rsidR="00F87005" w:rsidRPr="003B420C" w14:paraId="77E10A0C" w14:textId="77777777" w:rsidTr="001C4F97">
        <w:tc>
          <w:tcPr>
            <w:tcW w:w="653" w:type="dxa"/>
            <w:tcBorders>
              <w:top w:val="single" w:sz="4" w:space="0" w:color="auto"/>
              <w:left w:val="single" w:sz="4" w:space="0" w:color="auto"/>
              <w:bottom w:val="single" w:sz="4" w:space="0" w:color="auto"/>
              <w:right w:val="single" w:sz="4" w:space="0" w:color="auto"/>
            </w:tcBorders>
          </w:tcPr>
          <w:p w14:paraId="44138A0C"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19</w:t>
            </w:r>
          </w:p>
        </w:tc>
        <w:tc>
          <w:tcPr>
            <w:tcW w:w="1979" w:type="dxa"/>
            <w:tcBorders>
              <w:top w:val="single" w:sz="4" w:space="0" w:color="auto"/>
              <w:left w:val="single" w:sz="4" w:space="0" w:color="auto"/>
              <w:bottom w:val="single" w:sz="4" w:space="0" w:color="auto"/>
              <w:right w:val="single" w:sz="4" w:space="0" w:color="auto"/>
            </w:tcBorders>
          </w:tcPr>
          <w:p w14:paraId="3CA3D9A8" w14:textId="77777777" w:rsidR="00F87005" w:rsidRPr="003B420C" w:rsidRDefault="00F87005" w:rsidP="001C4F97">
            <w:pPr>
              <w:autoSpaceDE w:val="0"/>
              <w:autoSpaceDN w:val="0"/>
              <w:adjustRightInd w:val="0"/>
              <w:spacing w:after="0" w:line="240" w:lineRule="auto"/>
              <w:jc w:val="center"/>
              <w:rPr>
                <w:rFonts w:asciiTheme="majorBidi" w:hAnsiTheme="majorBidi" w:cstheme="majorBidi"/>
                <w:color w:val="231F20"/>
                <w:sz w:val="20"/>
                <w:szCs w:val="20"/>
              </w:rPr>
            </w:pPr>
            <w:r w:rsidRPr="003B420C">
              <w:rPr>
                <w:rFonts w:ascii="Segoe UI" w:hAnsi="Segoe UI" w:cs="Segoe UI"/>
                <w:sz w:val="20"/>
                <w:szCs w:val="20"/>
                <w:lang w:bidi="fa-IR"/>
              </w:rPr>
              <w:t>M. Tao</w:t>
            </w:r>
            <w:r w:rsidRPr="003B420C">
              <w:rPr>
                <w:rFonts w:asciiTheme="majorBidi" w:hAnsiTheme="majorBidi" w:cstheme="majorBidi"/>
                <w:color w:val="231F20"/>
                <w:sz w:val="20"/>
                <w:szCs w:val="20"/>
              </w:rPr>
              <w:t xml:space="preserve"> And et al.</w:t>
            </w:r>
            <w:r w:rsidRPr="003B420C">
              <w:rPr>
                <w:sz w:val="20"/>
                <w:szCs w:val="20"/>
              </w:rPr>
              <w:t xml:space="preserve"> </w:t>
            </w:r>
            <w:r w:rsidRPr="003B420C">
              <w:rPr>
                <w:rFonts w:asciiTheme="majorBidi" w:hAnsiTheme="majorBidi" w:cstheme="majorBidi"/>
                <w:color w:val="231F20"/>
                <w:sz w:val="20"/>
                <w:szCs w:val="20"/>
              </w:rPr>
              <w:t>China. 2011</w:t>
            </w:r>
            <w:r w:rsidRPr="003B420C">
              <w:rPr>
                <w:rFonts w:asciiTheme="majorBidi" w:hAnsiTheme="majorBidi" w:cstheme="majorBidi"/>
                <w:color w:val="231F20"/>
                <w:sz w:val="20"/>
                <w:szCs w:val="20"/>
              </w:rPr>
              <w:fldChar w:fldCharType="begin">
                <w:fldData xml:space="preserve">PEVuZE5vdGU+PENpdGU+PEF1dGhvcj5UYW88L0F1dGhvcj48WWVhcj4yMDExPC9ZZWFyPjxSZWNO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=
</w:fldData>
              </w:fldChar>
            </w:r>
            <w:r>
              <w:rPr>
                <w:rFonts w:asciiTheme="majorBidi" w:hAnsiTheme="majorBidi" w:cstheme="majorBidi"/>
                <w:color w:val="231F20"/>
                <w:sz w:val="20"/>
                <w:szCs w:val="20"/>
              </w:rPr>
              <w:instrText xml:space="preserve"> ADDIN EN.CITE </w:instrText>
            </w:r>
            <w:r>
              <w:rPr>
                <w:rFonts w:asciiTheme="majorBidi" w:hAnsiTheme="majorBidi" w:cstheme="majorBidi"/>
                <w:color w:val="231F20"/>
                <w:sz w:val="20"/>
                <w:szCs w:val="20"/>
              </w:rPr>
              <w:fldChar w:fldCharType="begin">
                <w:fldData xml:space="preserve">PEVuZE5vdGU+PENpdGU+PEF1dGhvcj5UYW88L0F1dGhvcj48WWVhcj4yMDExPC9ZZWFyPjxSZWNO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=
</w:fldData>
              </w:fldChar>
            </w:r>
            <w:r>
              <w:rPr>
                <w:rFonts w:asciiTheme="majorBidi" w:hAnsiTheme="majorBidi" w:cstheme="majorBidi"/>
                <w:color w:val="231F20"/>
                <w:sz w:val="20"/>
                <w:szCs w:val="20"/>
              </w:rPr>
              <w:instrText xml:space="preserve"> ADDIN EN.CITE.DATA </w:instrText>
            </w:r>
            <w:r>
              <w:rPr>
                <w:rFonts w:asciiTheme="majorBidi" w:hAnsiTheme="majorBidi" w:cstheme="majorBidi"/>
                <w:color w:val="231F20"/>
                <w:sz w:val="20"/>
                <w:szCs w:val="20"/>
              </w:rPr>
            </w:r>
            <w:r>
              <w:rPr>
                <w:rFonts w:asciiTheme="majorBidi" w:hAnsiTheme="majorBidi" w:cstheme="majorBidi"/>
                <w:color w:val="231F20"/>
                <w:sz w:val="20"/>
                <w:szCs w:val="20"/>
              </w:rPr>
              <w:fldChar w:fldCharType="end"/>
            </w:r>
            <w:r w:rsidRPr="003B420C">
              <w:rPr>
                <w:rFonts w:asciiTheme="majorBidi" w:hAnsiTheme="majorBidi" w:cstheme="majorBidi"/>
                <w:color w:val="231F20"/>
                <w:sz w:val="20"/>
                <w:szCs w:val="20"/>
              </w:rPr>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(50)</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74E1E010"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60% of controls and 72% of cases reported at least one lifetime SLE.</w:t>
            </w:r>
          </w:p>
        </w:tc>
        <w:tc>
          <w:tcPr>
            <w:tcW w:w="3869" w:type="dxa"/>
            <w:tcBorders>
              <w:top w:val="single" w:sz="4" w:space="0" w:color="auto"/>
              <w:left w:val="single" w:sz="4" w:space="0" w:color="auto"/>
              <w:bottom w:val="single" w:sz="4" w:space="0" w:color="auto"/>
              <w:right w:val="single" w:sz="4" w:space="0" w:color="auto"/>
            </w:tcBorders>
          </w:tcPr>
          <w:p w14:paraId="185DC472"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examined 1970 Chinese women with recurrent MDD, and compared the prevalence of 16 SLEs in matched controls.</w:t>
            </w:r>
          </w:p>
        </w:tc>
        <w:tc>
          <w:tcPr>
            <w:tcW w:w="4962" w:type="dxa"/>
            <w:tcBorders>
              <w:top w:val="single" w:sz="4" w:space="0" w:color="auto"/>
              <w:left w:val="single" w:sz="4" w:space="0" w:color="auto"/>
              <w:bottom w:val="single" w:sz="4" w:space="0" w:color="auto"/>
              <w:right w:val="single" w:sz="4" w:space="0" w:color="auto"/>
            </w:tcBorders>
          </w:tcPr>
          <w:p w14:paraId="6045FBFD"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More severe stressful life events are more strongly associated with MDD. These results support the involvement of psychosocial adversity in the etiology of MDD in China.</w:t>
            </w:r>
          </w:p>
        </w:tc>
      </w:tr>
      <w:tr w:rsidR="00F87005" w:rsidRPr="003B420C" w14:paraId="509D0FE7" w14:textId="77777777" w:rsidTr="001C4F97">
        <w:tc>
          <w:tcPr>
            <w:tcW w:w="653" w:type="dxa"/>
            <w:tcBorders>
              <w:top w:val="single" w:sz="4" w:space="0" w:color="auto"/>
              <w:left w:val="single" w:sz="4" w:space="0" w:color="auto"/>
              <w:bottom w:val="single" w:sz="4" w:space="0" w:color="auto"/>
              <w:right w:val="single" w:sz="4" w:space="0" w:color="auto"/>
            </w:tcBorders>
          </w:tcPr>
          <w:p w14:paraId="0F4B7934"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20</w:t>
            </w:r>
          </w:p>
        </w:tc>
        <w:tc>
          <w:tcPr>
            <w:tcW w:w="1979" w:type="dxa"/>
            <w:tcBorders>
              <w:top w:val="single" w:sz="4" w:space="0" w:color="auto"/>
              <w:left w:val="single" w:sz="4" w:space="0" w:color="auto"/>
              <w:bottom w:val="single" w:sz="4" w:space="0" w:color="auto"/>
              <w:right w:val="single" w:sz="4" w:space="0" w:color="auto"/>
            </w:tcBorders>
          </w:tcPr>
          <w:p w14:paraId="5D7589B2"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O. S. Schwartz and et al. Australia. 2011</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&lt;EndNote&gt;&lt;Cite&gt;&lt;Author&gt;Schwartz&lt;/Author&gt;&lt;Year&gt;2011&lt;/Year&gt;&lt;RecNum&gt;135&lt;/RecNum&gt;&lt;DisplayText&gt;(51)&lt;/DisplayText&gt;&lt;record&gt;&lt;rec-number&gt;135&lt;/rec-number&gt;&lt;foreign-keys&gt;&lt;key app="EN" db-id="tasvra20qrdrv0e2xpqprw51fxfr0pas5wr2" timestamp="1663162249"&gt;135&lt;/key&gt;&lt;/foreign-keys&gt;&lt;ref-type name="Journal Article"&gt;17&lt;/ref-type&gt;&lt;contributors&gt;&lt;authors&gt;&lt;author&gt;Schwartz, O. S.&lt;/author&gt;&lt;author&gt;Dudgeon, P.&lt;/author&gt;&lt;author&gt;Sheeber, L. B.&lt;/author&gt;&lt;author&gt;Yap, M. B. H.&lt;/author&gt;&lt;author&gt;Simmons, J. G.&lt;/author&gt;&lt;author&gt;Allen, N. B.&lt;/author&gt;&lt;/authors&gt;&lt;/contributors&gt;&lt;titles&gt;&lt;title&gt;Observed maternal responses to adolescent behaviour predict the onset of major depression&lt;/title&gt;&lt;secondary-title&gt;Behaviour Research and Therapy&lt;/secondary-title&gt;&lt;/titles&gt;&lt;periodical&gt;&lt;full-title&gt;Behaviour Research and Therapy&lt;/full-title&gt;&lt;/periodical&gt;&lt;pages&gt;331-338&lt;/pages&gt;&lt;volume&gt;49&lt;/volume&gt;&lt;number&gt;5&lt;/number&gt;&lt;dates&gt;&lt;year&gt;2011&lt;/year&gt;&lt;pub-dates&gt;&lt;date&gt;May&lt;/date&gt;&lt;/pub-dates&gt;&lt;/dates&gt;&lt;isbn&gt;0005-7967&lt;/isbn&gt;&lt;accession-num&gt;WOS:000291180100004&lt;/accession-num&gt;&lt;urls&gt;&lt;related-urls&gt;&lt;url&gt;&amp;lt;Go to ISI&amp;gt;://WOS:000291180100004&lt;/url&gt;&lt;/related-urls&gt;&lt;/urls&gt;&lt;electronic-resource-num&gt;10.1016/j.brat.2011.02.008&lt;/electronic-resource-num&gt;&lt;/record&gt;&lt;/Cite&gt;&lt;/EndNote&gt;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(51)</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01304849"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159 adolescents (aged 11-13 years) with no history of MDD</w:t>
            </w:r>
          </w:p>
        </w:tc>
        <w:tc>
          <w:tcPr>
            <w:tcW w:w="3869" w:type="dxa"/>
            <w:tcBorders>
              <w:top w:val="single" w:sz="4" w:space="0" w:color="auto"/>
              <w:left w:val="single" w:sz="4" w:space="0" w:color="auto"/>
              <w:bottom w:val="single" w:sz="4" w:space="0" w:color="auto"/>
              <w:right w:val="single" w:sz="4" w:space="0" w:color="auto"/>
            </w:tcBorders>
          </w:tcPr>
          <w:p w14:paraId="3451CB19"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The aim of this study, therefore, was to </w:t>
            </w:r>
            <w:proofErr w:type="spellStart"/>
            <w:r w:rsidRPr="003B420C">
              <w:rPr>
                <w:rFonts w:asciiTheme="majorBidi" w:hAnsiTheme="majorBidi" w:cstheme="majorBidi"/>
                <w:color w:val="231F20"/>
                <w:sz w:val="20"/>
                <w:szCs w:val="20"/>
              </w:rPr>
              <w:t>indentify</w:t>
            </w:r>
            <w:proofErr w:type="spellEnd"/>
            <w:r w:rsidRPr="003B420C">
              <w:rPr>
                <w:rFonts w:asciiTheme="majorBidi" w:hAnsiTheme="majorBidi" w:cstheme="majorBidi"/>
                <w:color w:val="231F20"/>
                <w:sz w:val="20"/>
                <w:szCs w:val="20"/>
              </w:rPr>
              <w:t xml:space="preserve"> which patterns of maternal response to their children’s dysphoric and aggressive </w:t>
            </w:r>
            <w:proofErr w:type="spellStart"/>
            <w:r w:rsidRPr="003B420C">
              <w:rPr>
                <w:rFonts w:asciiTheme="majorBidi" w:hAnsiTheme="majorBidi" w:cstheme="majorBidi"/>
                <w:color w:val="231F20"/>
                <w:sz w:val="20"/>
                <w:szCs w:val="20"/>
              </w:rPr>
              <w:t>behaviour</w:t>
            </w:r>
            <w:proofErr w:type="spellEnd"/>
            <w:r w:rsidRPr="003B420C">
              <w:rPr>
                <w:rFonts w:asciiTheme="majorBidi" w:hAnsiTheme="majorBidi" w:cstheme="majorBidi"/>
                <w:color w:val="231F20"/>
                <w:sz w:val="20"/>
                <w:szCs w:val="20"/>
              </w:rPr>
              <w:t xml:space="preserve"> (i.e., either the elicitation or suppression of maternal dysphoria or aggression) were predictive of the onset of MDD.</w:t>
            </w:r>
          </w:p>
        </w:tc>
        <w:tc>
          <w:tcPr>
            <w:tcW w:w="4962" w:type="dxa"/>
            <w:tcBorders>
              <w:top w:val="single" w:sz="4" w:space="0" w:color="auto"/>
              <w:left w:val="single" w:sz="4" w:space="0" w:color="auto"/>
              <w:bottom w:val="single" w:sz="4" w:space="0" w:color="auto"/>
              <w:right w:val="single" w:sz="4" w:space="0" w:color="auto"/>
            </w:tcBorders>
          </w:tcPr>
          <w:p w14:paraId="40E948DD"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Mothers' responses to adolescents' aggressive and dysphoric </w:t>
            </w:r>
            <w:proofErr w:type="spellStart"/>
            <w:r w:rsidRPr="003B420C">
              <w:rPr>
                <w:rFonts w:asciiTheme="majorBidi" w:hAnsiTheme="majorBidi" w:cstheme="majorBidi"/>
                <w:color w:val="231F20"/>
                <w:sz w:val="20"/>
                <w:szCs w:val="20"/>
              </w:rPr>
              <w:t>behaviours</w:t>
            </w:r>
            <w:proofErr w:type="spellEnd"/>
            <w:r w:rsidRPr="003B420C">
              <w:rPr>
                <w:rFonts w:asciiTheme="majorBidi" w:hAnsiTheme="majorBidi" w:cstheme="majorBidi"/>
                <w:color w:val="231F20"/>
                <w:sz w:val="20"/>
                <w:szCs w:val="20"/>
              </w:rPr>
              <w:t xml:space="preserve"> may differentially influence the risk of MDD onset for adolescents over time.</w:t>
            </w:r>
          </w:p>
        </w:tc>
      </w:tr>
      <w:tr w:rsidR="00F87005" w:rsidRPr="003B420C" w14:paraId="4F989F2A" w14:textId="77777777" w:rsidTr="001C4F97">
        <w:tc>
          <w:tcPr>
            <w:tcW w:w="653" w:type="dxa"/>
            <w:tcBorders>
              <w:top w:val="single" w:sz="4" w:space="0" w:color="auto"/>
              <w:left w:val="single" w:sz="4" w:space="0" w:color="auto"/>
              <w:bottom w:val="single" w:sz="4" w:space="0" w:color="auto"/>
              <w:right w:val="single" w:sz="4" w:space="0" w:color="auto"/>
            </w:tcBorders>
          </w:tcPr>
          <w:p w14:paraId="3477E956"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21</w:t>
            </w:r>
          </w:p>
        </w:tc>
        <w:tc>
          <w:tcPr>
            <w:tcW w:w="1979" w:type="dxa"/>
            <w:tcBorders>
              <w:top w:val="single" w:sz="4" w:space="0" w:color="auto"/>
              <w:left w:val="single" w:sz="4" w:space="0" w:color="auto"/>
              <w:bottom w:val="single" w:sz="4" w:space="0" w:color="auto"/>
              <w:right w:val="single" w:sz="4" w:space="0" w:color="auto"/>
            </w:tcBorders>
          </w:tcPr>
          <w:p w14:paraId="773F489A"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C. S. </w:t>
            </w:r>
            <w:proofErr w:type="spellStart"/>
            <w:r w:rsidRPr="003B420C">
              <w:rPr>
                <w:rFonts w:asciiTheme="majorBidi" w:hAnsiTheme="majorBidi" w:cstheme="majorBidi"/>
                <w:color w:val="231F20"/>
                <w:sz w:val="20"/>
                <w:szCs w:val="20"/>
              </w:rPr>
              <w:t>Widom</w:t>
            </w:r>
            <w:proofErr w:type="spellEnd"/>
            <w:r w:rsidRPr="003B420C">
              <w:rPr>
                <w:rFonts w:asciiTheme="majorBidi" w:hAnsiTheme="majorBidi" w:cstheme="majorBidi"/>
                <w:color w:val="231F20"/>
                <w:sz w:val="20"/>
                <w:szCs w:val="20"/>
              </w:rPr>
              <w:t xml:space="preserve"> and et al. USA. 2007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&lt;EndNote&gt;&lt;Cite&gt;&lt;Author&gt;Widom&lt;/Author&gt;&lt;Year&gt;2007&lt;/Year&gt;&lt;RecNum&gt;175&lt;/RecNum&gt;&lt;DisplayText&gt;(52)&lt;/DisplayText&gt;&lt;record&gt;&lt;rec-number&gt;175&lt;/rec-number&gt;&lt;foreign-keys&gt;&lt;key app="EN" db-id="tasvra20qrdrv0e2xpqprw51fxfr0pas5wr2" timestamp="1663162249"&gt;175&lt;/key&gt;&lt;/foreign-keys&gt;&lt;ref-type name="Journal Article"&gt;17&lt;/ref-type&gt;&lt;contributors&gt;&lt;authors&gt;&lt;author&gt;Widom, C. S.&lt;/author&gt;&lt;author&gt;DuMont, K.&lt;/author&gt;&lt;author&gt;Czaja, S. J.&lt;/author&gt;&lt;/authors&gt;&lt;/contributors&gt;&lt;titles&gt;&lt;title&gt;A prospective investigation of major depressive disorder and comorbidity in abused and neglected children grown up&lt;/title&gt;&lt;secondary-title&gt;Archives of General Psychiatry&lt;/secondary-title&gt;&lt;/titles&gt;&lt;periodical&gt;&lt;full-title&gt;Archives of General Psychiatry&lt;/full-title&gt;&lt;/periodical&gt;&lt;pages&gt;49-56&lt;/pages&gt;&lt;volume&gt;64&lt;/volume&gt;&lt;number&gt;1&lt;/number&gt;&lt;dates&gt;&lt;year&gt;2007&lt;/year&gt;&lt;pub-dates&gt;&lt;date&gt;Jan&lt;/date&gt;&lt;/pub-dates&gt;&lt;/dates&gt;&lt;isbn&gt;0003-990X&lt;/isbn&gt;&lt;accession-num&gt;WOS:000243273200006&lt;/accession-num&gt;&lt;urls&gt;&lt;related-urls&gt;&lt;url&gt;&amp;lt;Go to ISI&amp;gt;://WOS:000243273200006&lt;/url&gt;&lt;/related-urls&gt;&lt;/urls&gt;&lt;/record&gt;&lt;/Cite&gt;&lt;/EndNote&gt;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(52)</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51D13D4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Children with substantiated cases of physical and sexual abuse and neglect (before the age of 11 years) from January 1, 1967, to December 31, 1971 (n = 676) were matched based on age, race, sex, and approximate family social class with a group of non-abused and non-neglected children (n = 520) and followed up into young adulthood (mean age, 28.7 years).</w:t>
            </w:r>
          </w:p>
        </w:tc>
        <w:tc>
          <w:tcPr>
            <w:tcW w:w="3869" w:type="dxa"/>
            <w:tcBorders>
              <w:top w:val="single" w:sz="4" w:space="0" w:color="auto"/>
              <w:left w:val="single" w:sz="4" w:space="0" w:color="auto"/>
              <w:bottom w:val="single" w:sz="4" w:space="0" w:color="auto"/>
              <w:right w:val="single" w:sz="4" w:space="0" w:color="auto"/>
            </w:tcBorders>
          </w:tcPr>
          <w:p w14:paraId="63286DAF"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To determine whether abused and neglected children were at elevated risk of major depressive disorder (MDD) and psychiatric comorbidity, compared with matched control subjects, when followed up into young adulthood.</w:t>
            </w:r>
          </w:p>
        </w:tc>
        <w:tc>
          <w:tcPr>
            <w:tcW w:w="4962" w:type="dxa"/>
            <w:tcBorders>
              <w:top w:val="single" w:sz="4" w:space="0" w:color="auto"/>
              <w:left w:val="single" w:sz="4" w:space="0" w:color="auto"/>
              <w:bottom w:val="single" w:sz="4" w:space="0" w:color="auto"/>
              <w:right w:val="single" w:sz="4" w:space="0" w:color="auto"/>
            </w:tcBorders>
          </w:tcPr>
          <w:p w14:paraId="2104C8D0"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Child abuse and neglect were associated with an increased risk for current MDD (odds ratio [OR], 1.51; 95% confidence interval [CI], 1.06-2.14; P&lt; or=.05) in young adulthood. Children who were physically abused (OR, 1.59; 95% CI, 1.00-2.52; P&lt; or =.05) or experienced multiple types of abuse (OR, 1.75; 95% CI, 1.01-3.02; P&lt; or =.05) were at increased risk of lifetime MDD, whereas neglect increased risk for current MDD (OR, 1.59; 95% CI, 1.10-2.29; P&lt;.01). Childhood sexual abuse was not associated with elevated risk of MDD. Kaplan-Meier age-of-onset curves (log-rank statistic, 4.03; </w:t>
            </w:r>
            <w:proofErr w:type="spellStart"/>
            <w:r w:rsidRPr="003B420C">
              <w:rPr>
                <w:rFonts w:asciiTheme="majorBidi" w:hAnsiTheme="majorBidi" w:cstheme="majorBidi"/>
                <w:color w:val="231F20"/>
                <w:sz w:val="20"/>
                <w:szCs w:val="20"/>
              </w:rPr>
              <w:t>df</w:t>
            </w:r>
            <w:proofErr w:type="spellEnd"/>
            <w:r w:rsidRPr="003B420C">
              <w:rPr>
                <w:rFonts w:asciiTheme="majorBidi" w:hAnsiTheme="majorBidi" w:cstheme="majorBidi"/>
                <w:color w:val="231F20"/>
                <w:sz w:val="20"/>
                <w:szCs w:val="20"/>
              </w:rPr>
              <w:t xml:space="preserve"> = 1; P=.04) showed earlier onset of MDD for abused and neglected children compared with controls. Among those with MDD, comorbidity was higher for abused and neglected individuals than for controls.</w:t>
            </w:r>
          </w:p>
        </w:tc>
      </w:tr>
      <w:tr w:rsidR="00F87005" w:rsidRPr="003B420C" w14:paraId="4FBEE9D4" w14:textId="77777777" w:rsidTr="001C4F97">
        <w:tc>
          <w:tcPr>
            <w:tcW w:w="653" w:type="dxa"/>
            <w:tcBorders>
              <w:top w:val="single" w:sz="4" w:space="0" w:color="auto"/>
              <w:left w:val="single" w:sz="4" w:space="0" w:color="auto"/>
              <w:bottom w:val="single" w:sz="4" w:space="0" w:color="auto"/>
              <w:right w:val="single" w:sz="4" w:space="0" w:color="auto"/>
            </w:tcBorders>
          </w:tcPr>
          <w:p w14:paraId="2D1EF2AA"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22</w:t>
            </w:r>
          </w:p>
        </w:tc>
        <w:tc>
          <w:tcPr>
            <w:tcW w:w="1979" w:type="dxa"/>
            <w:tcBorders>
              <w:top w:val="single" w:sz="4" w:space="0" w:color="auto"/>
              <w:left w:val="single" w:sz="4" w:space="0" w:color="auto"/>
              <w:bottom w:val="single" w:sz="4" w:space="0" w:color="auto"/>
              <w:right w:val="single" w:sz="4" w:space="0" w:color="auto"/>
            </w:tcBorders>
          </w:tcPr>
          <w:p w14:paraId="17502686"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M. van </w:t>
            </w:r>
            <w:proofErr w:type="spellStart"/>
            <w:r w:rsidRPr="003B420C">
              <w:rPr>
                <w:rFonts w:asciiTheme="majorBidi" w:hAnsiTheme="majorBidi" w:cstheme="majorBidi"/>
                <w:color w:val="231F20"/>
                <w:sz w:val="20"/>
                <w:szCs w:val="20"/>
              </w:rPr>
              <w:t>Laar</w:t>
            </w:r>
            <w:proofErr w:type="spellEnd"/>
            <w:r w:rsidRPr="003B420C">
              <w:rPr>
                <w:rFonts w:asciiTheme="majorBidi" w:hAnsiTheme="majorBidi" w:cstheme="majorBidi"/>
                <w:color w:val="231F20"/>
                <w:sz w:val="20"/>
                <w:szCs w:val="20"/>
              </w:rPr>
              <w:t xml:space="preserve"> and et al. Netherlands. 2007 </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&lt;EndNote&gt;&lt;Cite&gt;&lt;Author&gt;van Laar&lt;/Author&gt;&lt;Year&gt;2007&lt;/Year&gt;&lt;RecNum&gt;177&lt;/RecNum&gt;&lt;DisplayText&gt;(53)&lt;/DisplayText&gt;&lt;record&gt;&lt;rec-number&gt;177&lt;/rec-number&gt;&lt;foreign-keys&gt;&lt;key app="EN" db-id="tasvra20qrdrv0e2xpqprw51fxfr0pas5wr2" timestamp="1663162249"&gt;177&lt;/key&gt;&lt;/foreign-keys&gt;&lt;ref-type name="Journal Article"&gt;17&lt;/ref-type&gt;&lt;contributors&gt;&lt;authors&gt;&lt;author&gt;van Laar, M.&lt;/author&gt;&lt;author&gt;van Dorsselaer, S.&lt;/author&gt;&lt;author&gt;Monshouwer, K.&lt;/author&gt;&lt;author&gt;de Graaf, R.&lt;/author&gt;&lt;/authors&gt;&lt;/contributors&gt;&lt;titles&gt;&lt;title&gt;Does cannabis use predict the first incidence of mood and anxiety disorders in the adult population?&lt;/title&gt;&lt;secondary-title&gt;Addiction&lt;/secondary-title&gt;&lt;/titles&gt;&lt;periodical&gt;&lt;full-title&gt;Addiction&lt;/full-title&gt;&lt;/periodical&gt;&lt;pages&gt;1251-1260&lt;/pages&gt;&lt;volume&gt;102&lt;/volume&gt;&lt;number&gt;8&lt;/number&gt;&lt;dates&gt;&lt;year&gt;2007&lt;/year&gt;&lt;pub-dates&gt;&lt;date&gt;Aug&lt;/date&gt;&lt;/pub-dates&gt;&lt;/dates&gt;&lt;isbn&gt;0965-2140&lt;/isbn&gt;&lt;accession-num&gt;WOS:000247816700016&lt;/accession-num&gt;&lt;urls&gt;&lt;related-urls&gt;&lt;url&gt;&amp;lt;Go to ISI&amp;gt;://WOS:000247816700016&lt;/url&gt;&lt;/related-urls&gt;&lt;/urls&gt;&lt;electronic-resource-num&gt;10.1111/j.1360-0443.2007.01875.x&lt;/electronic-resource-num&gt;&lt;/record&gt;&lt;/Cite&gt;&lt;/EndNote&gt;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(53)</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78E2901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 xml:space="preserve">The analysis was carried out on 3881 people who had no life-time mood disorders and on 3854 people who had no </w:t>
            </w:r>
            <w:r w:rsidRPr="003B420C">
              <w:rPr>
                <w:rFonts w:asciiTheme="majorBidi" w:hAnsiTheme="majorBidi" w:cstheme="majorBidi"/>
                <w:color w:val="231F20"/>
                <w:sz w:val="20"/>
                <w:szCs w:val="20"/>
              </w:rPr>
              <w:lastRenderedPageBreak/>
              <w:t>life-time anxiety disorders at baseline.</w:t>
            </w:r>
          </w:p>
        </w:tc>
        <w:tc>
          <w:tcPr>
            <w:tcW w:w="3869" w:type="dxa"/>
            <w:tcBorders>
              <w:top w:val="single" w:sz="4" w:space="0" w:color="auto"/>
              <w:left w:val="single" w:sz="4" w:space="0" w:color="auto"/>
              <w:bottom w:val="single" w:sz="4" w:space="0" w:color="auto"/>
              <w:right w:val="single" w:sz="4" w:space="0" w:color="auto"/>
            </w:tcBorders>
          </w:tcPr>
          <w:p w14:paraId="26BE78AE"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lastRenderedPageBreak/>
              <w:t>To investigate whether cannabis use predicted the first incidence of mood and anxiety disorders in adults during a 3-year follow-up period.</w:t>
            </w:r>
          </w:p>
        </w:tc>
        <w:tc>
          <w:tcPr>
            <w:tcW w:w="4962" w:type="dxa"/>
            <w:tcBorders>
              <w:top w:val="single" w:sz="4" w:space="0" w:color="auto"/>
              <w:left w:val="single" w:sz="4" w:space="0" w:color="auto"/>
              <w:bottom w:val="single" w:sz="4" w:space="0" w:color="auto"/>
              <w:right w:val="single" w:sz="4" w:space="0" w:color="auto"/>
            </w:tcBorders>
          </w:tcPr>
          <w:p w14:paraId="7428793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any use of cannabis at baseline predicted a modest increase in the risk of a first major depression (odds ratio 1.62; 95% confidence interval 1.06-2.48)</w:t>
            </w:r>
          </w:p>
        </w:tc>
      </w:tr>
      <w:tr w:rsidR="00F87005" w:rsidRPr="003B420C" w14:paraId="186BCA84" w14:textId="77777777" w:rsidTr="001C4F97">
        <w:tc>
          <w:tcPr>
            <w:tcW w:w="653" w:type="dxa"/>
            <w:tcBorders>
              <w:top w:val="single" w:sz="4" w:space="0" w:color="auto"/>
              <w:left w:val="single" w:sz="4" w:space="0" w:color="auto"/>
              <w:bottom w:val="single" w:sz="4" w:space="0" w:color="auto"/>
              <w:right w:val="single" w:sz="4" w:space="0" w:color="auto"/>
            </w:tcBorders>
          </w:tcPr>
          <w:p w14:paraId="6A1D425B"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23</w:t>
            </w:r>
          </w:p>
        </w:tc>
        <w:tc>
          <w:tcPr>
            <w:tcW w:w="1979" w:type="dxa"/>
            <w:tcBorders>
              <w:top w:val="single" w:sz="4" w:space="0" w:color="auto"/>
              <w:left w:val="single" w:sz="4" w:space="0" w:color="auto"/>
              <w:bottom w:val="single" w:sz="4" w:space="0" w:color="auto"/>
              <w:right w:val="single" w:sz="4" w:space="0" w:color="auto"/>
            </w:tcBorders>
          </w:tcPr>
          <w:p w14:paraId="7F877CD0"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M. Melchior and et al. Denmark. 2007</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&lt;EndNote&gt;&lt;Cite&gt;&lt;Author&gt;Melchior&lt;/Author&gt;&lt;Year&gt;2007&lt;/Year&gt;&lt;RecNum&gt;180&lt;/RecNum&gt;&lt;DisplayText&gt;(54)&lt;/DisplayText&gt;&lt;record&gt;&lt;rec-number&gt;180&lt;/rec-number&gt;&lt;foreign-keys&gt;&lt;key app="EN" db-id="tasvra20qrdrv0e2xpqprw51fxfr0pas5wr2" timestamp="1663162249"&gt;180&lt;/key&gt;&lt;/foreign-keys&gt;&lt;ref-type name="Journal Article"&gt;17&lt;/ref-type&gt;&lt;contributors&gt;&lt;authors&gt;&lt;author&gt;Melchior, M.&lt;/author&gt;&lt;author&gt;Caspl, A.&lt;/author&gt;&lt;author&gt;Milne, B. J.&lt;/author&gt;&lt;author&gt;Danese, A.&lt;/author&gt;&lt;author&gt;Poulton, R.&lt;/author&gt;&lt;author&gt;Moffitt, T. E.&lt;/author&gt;&lt;/authors&gt;&lt;/contributors&gt;&lt;titles&gt;&lt;title&gt;Work stress precipitates depression and anxiety in young, working women and men&lt;/title&gt;&lt;secondary-title&gt;Psychological Medicine&lt;/secondary-title&gt;&lt;/titles&gt;&lt;periodical&gt;&lt;full-title&gt;Psychological Medicine&lt;/full-title&gt;&lt;/periodical&gt;&lt;pages&gt;1119-1129&lt;/pages&gt;&lt;volume&gt;37&lt;/volume&gt;&lt;number&gt;8&lt;/number&gt;&lt;dates&gt;&lt;year&gt;2007&lt;/year&gt;&lt;pub-dates&gt;&lt;date&gt;Aug&lt;/date&gt;&lt;/pub-dates&gt;&lt;/dates&gt;&lt;isbn&gt;0033-2917&lt;/isbn&gt;&lt;accession-num&gt;WOS:000248776500006&lt;/accession-num&gt;&lt;urls&gt;&lt;related-urls&gt;&lt;url&gt;&amp;lt;Go to ISI&amp;gt;://WOS:000248776500006&lt;/url&gt;&lt;/related-urls&gt;&lt;/urls&gt;&lt;electronic-resource-num&gt;10.1017/s0033291707000414&lt;/electronic-resource-num&gt;&lt;/record&gt;&lt;/Cite&gt;&lt;/EndNote&gt;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(54)</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0BCC3D03"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 1972-1973 longitudinal birth cohort assessed most recently in 2004-2005, at age 32 (n = 972, 96 % of 10 15 cohort members still alive).</w:t>
            </w:r>
          </w:p>
        </w:tc>
        <w:tc>
          <w:tcPr>
            <w:tcW w:w="3869" w:type="dxa"/>
            <w:tcBorders>
              <w:top w:val="single" w:sz="4" w:space="0" w:color="auto"/>
              <w:left w:val="single" w:sz="4" w:space="0" w:color="auto"/>
              <w:bottom w:val="single" w:sz="4" w:space="0" w:color="auto"/>
              <w:right w:val="single" w:sz="4" w:space="0" w:color="auto"/>
            </w:tcBorders>
          </w:tcPr>
          <w:p w14:paraId="354D62E6"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We tested the influence of work stress on diagnosed depression and anxiety in young working adults.</w:t>
            </w:r>
          </w:p>
        </w:tc>
        <w:tc>
          <w:tcPr>
            <w:tcW w:w="4962" w:type="dxa"/>
            <w:tcBorders>
              <w:top w:val="single" w:sz="4" w:space="0" w:color="auto"/>
              <w:left w:val="single" w:sz="4" w:space="0" w:color="auto"/>
              <w:bottom w:val="single" w:sz="4" w:space="0" w:color="auto"/>
              <w:right w:val="single" w:sz="4" w:space="0" w:color="auto"/>
            </w:tcBorders>
          </w:tcPr>
          <w:p w14:paraId="74D7DDFB"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Participants exposed to high psychological job demands (excessive workload, extreme time pressures) had a twofold risk of MDD or GAD compared to those with low job demands.</w:t>
            </w:r>
          </w:p>
        </w:tc>
      </w:tr>
      <w:tr w:rsidR="00F87005" w:rsidRPr="00770694" w14:paraId="43D3A1C4" w14:textId="77777777" w:rsidTr="001C4F97">
        <w:tc>
          <w:tcPr>
            <w:tcW w:w="653" w:type="dxa"/>
            <w:tcBorders>
              <w:top w:val="single" w:sz="4" w:space="0" w:color="auto"/>
              <w:left w:val="single" w:sz="4" w:space="0" w:color="auto"/>
              <w:bottom w:val="single" w:sz="4" w:space="0" w:color="auto"/>
              <w:right w:val="single" w:sz="4" w:space="0" w:color="auto"/>
            </w:tcBorders>
          </w:tcPr>
          <w:p w14:paraId="7A44E5D1" w14:textId="77777777" w:rsidR="00F87005" w:rsidRPr="003B420C" w:rsidRDefault="00F87005" w:rsidP="001C4F97">
            <w:pPr>
              <w:spacing w:after="0" w:line="240" w:lineRule="auto"/>
              <w:jc w:val="center"/>
              <w:rPr>
                <w:rFonts w:ascii="Times New Roman" w:hAnsi="Times New Roman" w:cs="Times New Roman"/>
                <w:sz w:val="20"/>
                <w:szCs w:val="20"/>
              </w:rPr>
            </w:pPr>
            <w:r w:rsidRPr="003B420C">
              <w:rPr>
                <w:rFonts w:ascii="Times New Roman" w:hAnsi="Times New Roman" w:cs="Times New Roman"/>
                <w:sz w:val="20"/>
                <w:szCs w:val="20"/>
              </w:rPr>
              <w:t>24</w:t>
            </w:r>
          </w:p>
        </w:tc>
        <w:tc>
          <w:tcPr>
            <w:tcW w:w="1979" w:type="dxa"/>
            <w:tcBorders>
              <w:top w:val="single" w:sz="4" w:space="0" w:color="auto"/>
              <w:left w:val="single" w:sz="4" w:space="0" w:color="auto"/>
              <w:bottom w:val="single" w:sz="4" w:space="0" w:color="auto"/>
              <w:right w:val="single" w:sz="4" w:space="0" w:color="auto"/>
            </w:tcBorders>
          </w:tcPr>
          <w:p w14:paraId="40318826"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R. A. Brown, and et al. USA. 1996</w:t>
            </w:r>
            <w:r w:rsidRPr="003B420C">
              <w:rPr>
                <w:rFonts w:asciiTheme="majorBidi" w:hAnsiTheme="majorBidi" w:cstheme="majorBidi"/>
                <w:color w:val="231F20"/>
                <w:sz w:val="20"/>
                <w:szCs w:val="20"/>
              </w:rPr>
              <w:fldChar w:fldCharType="begin"/>
            </w:r>
            <w:r>
              <w:rPr>
                <w:rFonts w:asciiTheme="majorBidi" w:hAnsiTheme="majorBidi" w:cstheme="majorBidi"/>
                <w:color w:val="231F20"/>
                <w:sz w:val="20"/>
                <w:szCs w:val="20"/>
              </w:rPr>
              <w:instrText xml:space="preserve"> ADDIN EN.CITE &lt;EndNote&gt;&lt;Cite&gt;&lt;Author&gt;Brown&lt;/Author&gt;&lt;Year&gt;1996&lt;/Year&gt;&lt;RecNum&gt;199&lt;/RecNum&gt;&lt;DisplayText&gt;(55)&lt;/DisplayText&gt;&lt;record&gt;&lt;rec-number&gt;199&lt;/rec-number&gt;&lt;foreign-keys&gt;&lt;key app="EN" db-id="tasvra20qrdrv0e2xpqprw51fxfr0pas5wr2" timestamp="1663162249"&gt;199&lt;/key&gt;&lt;/foreign-keys&gt;&lt;ref-type name="Journal Article"&gt;17&lt;/ref-type&gt;&lt;contributors&gt;&lt;authors&gt;&lt;author&gt;Brown, R. A.&lt;/author&gt;&lt;author&gt;Lewinsohn, P. M.&lt;/author&gt;&lt;author&gt;Seeley, J. R.&lt;/author&gt;&lt;author&gt;Wagner, E. F.&lt;/author&gt;&lt;/authors&gt;&lt;/contributors&gt;&lt;titles&gt;&lt;title&gt;Cigarette smoking, major depression, and other psychiatric disorders among adolescents&lt;/title&gt;&lt;secondary-title&gt;Journal of the American Academy of Child and Adolescent Psychiatry&lt;/secondary-title&gt;&lt;/titles&gt;&lt;periodical&gt;&lt;full-title&gt;Journal of the American Academy of Child and Adolescent Psychiatry&lt;/full-title&gt;&lt;/periodical&gt;&lt;pages&gt;1602-1610&lt;/pages&gt;&lt;volume&gt;35&lt;/volume&gt;&lt;number&gt;12&lt;/number&gt;&lt;dates&gt;&lt;year&gt;1996&lt;/year&gt;&lt;pub-dates&gt;&lt;date&gt;Dec&lt;/date&gt;&lt;/pub-dates&gt;&lt;/dates&gt;&lt;isbn&gt;0890-8567&lt;/isbn&gt;&lt;accession-num&gt;WOS:A1996VU99800011&lt;/accession-num&gt;&lt;urls&gt;&lt;related-urls&gt;&lt;url&gt;&amp;lt;Go to ISI&amp;gt;://WOS:A1996VU99800011&lt;/url&gt;&lt;/related-urls&gt;&lt;/urls&gt;&lt;electronic-resource-num&gt;10.1097/00004583-199612000-00011&lt;/electronic-resource-num&gt;&lt;/record&gt;&lt;/Cite&gt;&lt;/EndNote&gt;</w:instrText>
            </w:r>
            <w:r w:rsidRPr="003B420C">
              <w:rPr>
                <w:rFonts w:asciiTheme="majorBidi" w:hAnsiTheme="majorBidi" w:cstheme="majorBidi"/>
                <w:color w:val="231F20"/>
                <w:sz w:val="20"/>
                <w:szCs w:val="20"/>
              </w:rPr>
              <w:fldChar w:fldCharType="separate"/>
            </w:r>
            <w:r>
              <w:rPr>
                <w:rFonts w:asciiTheme="majorBidi" w:hAnsiTheme="majorBidi" w:cstheme="majorBidi"/>
                <w:noProof/>
                <w:color w:val="231F20"/>
                <w:sz w:val="20"/>
                <w:szCs w:val="20"/>
              </w:rPr>
              <w:t>(55)</w:t>
            </w:r>
            <w:r w:rsidRPr="003B420C">
              <w:rPr>
                <w:rFonts w:asciiTheme="majorBidi" w:hAnsiTheme="majorBidi" w:cstheme="majorBidi"/>
                <w:color w:val="231F20"/>
                <w:sz w:val="20"/>
                <w:szCs w:val="20"/>
              </w:rPr>
              <w:fldChar w:fldCharType="end"/>
            </w:r>
          </w:p>
        </w:tc>
        <w:tc>
          <w:tcPr>
            <w:tcW w:w="2742" w:type="dxa"/>
            <w:tcBorders>
              <w:top w:val="single" w:sz="4" w:space="0" w:color="auto"/>
              <w:left w:val="single" w:sz="4" w:space="0" w:color="auto"/>
              <w:bottom w:val="single" w:sz="4" w:space="0" w:color="auto"/>
              <w:right w:val="single" w:sz="4" w:space="0" w:color="auto"/>
            </w:tcBorders>
          </w:tcPr>
          <w:p w14:paraId="4740F225"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A representative sample of 1,709 adolescents (aged 14 through 18 years) was assessed by using semi-structured diagnostic interviews on two occasions, approximately 1 year apart.</w:t>
            </w:r>
          </w:p>
        </w:tc>
        <w:tc>
          <w:tcPr>
            <w:tcW w:w="3869" w:type="dxa"/>
            <w:tcBorders>
              <w:top w:val="single" w:sz="4" w:space="0" w:color="auto"/>
              <w:left w:val="single" w:sz="4" w:space="0" w:color="auto"/>
              <w:bottom w:val="single" w:sz="4" w:space="0" w:color="auto"/>
              <w:right w:val="single" w:sz="4" w:space="0" w:color="auto"/>
            </w:tcBorders>
          </w:tcPr>
          <w:p w14:paraId="21965534" w14:textId="77777777" w:rsidR="00F87005" w:rsidRPr="003B420C"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To examine cross-sectionally and prospectively relationships of cigarette smoking with major depressive disorder (MDD), controlling for comorbidity in a community sample of adolescents.</w:t>
            </w:r>
          </w:p>
        </w:tc>
        <w:tc>
          <w:tcPr>
            <w:tcW w:w="4962" w:type="dxa"/>
            <w:tcBorders>
              <w:top w:val="single" w:sz="4" w:space="0" w:color="auto"/>
              <w:left w:val="single" w:sz="4" w:space="0" w:color="auto"/>
              <w:bottom w:val="single" w:sz="4" w:space="0" w:color="auto"/>
              <w:right w:val="single" w:sz="4" w:space="0" w:color="auto"/>
            </w:tcBorders>
          </w:tcPr>
          <w:p w14:paraId="1F4F649D" w14:textId="77777777" w:rsidR="00F87005" w:rsidRPr="00770694" w:rsidRDefault="00F87005" w:rsidP="001C4F97">
            <w:pPr>
              <w:spacing w:after="0" w:line="240" w:lineRule="auto"/>
              <w:jc w:val="center"/>
              <w:rPr>
                <w:rFonts w:asciiTheme="majorBidi" w:hAnsiTheme="majorBidi" w:cstheme="majorBidi"/>
                <w:color w:val="231F20"/>
                <w:sz w:val="20"/>
                <w:szCs w:val="20"/>
              </w:rPr>
            </w:pPr>
            <w:r w:rsidRPr="003B420C">
              <w:rPr>
                <w:rFonts w:asciiTheme="majorBidi" w:hAnsiTheme="majorBidi" w:cstheme="majorBidi"/>
                <w:color w:val="231F20"/>
                <w:sz w:val="20"/>
                <w:szCs w:val="20"/>
              </w:rPr>
              <w:t>The results suggest important relationships between cigarette smoking and psychiatric disorders among adolescents, particularly with regard to MDD, drug abuse/dependence, and disruptive behavior disorders.</w:t>
            </w:r>
          </w:p>
        </w:tc>
      </w:tr>
    </w:tbl>
    <w:p w14:paraId="28F1C807" w14:textId="77777777" w:rsidR="00F87005" w:rsidRPr="00037558" w:rsidRDefault="00F87005" w:rsidP="00F87005">
      <w:pPr>
        <w:spacing w:line="480" w:lineRule="auto"/>
        <w:jc w:val="both"/>
        <w:rPr>
          <w:rFonts w:ascii="Times New Roman" w:hAnsi="Times New Roman" w:cs="Times New Roman"/>
          <w:sz w:val="24"/>
          <w:szCs w:val="24"/>
        </w:rPr>
      </w:pPr>
    </w:p>
    <w:p w14:paraId="5E9376A1" w14:textId="77777777" w:rsidR="00F87005" w:rsidRDefault="00F87005" w:rsidP="00F87005"/>
    <w:p w14:paraId="3BBA4B45" w14:textId="77777777" w:rsidR="008E598E" w:rsidRDefault="008E598E"/>
    <w:sectPr w:rsidR="008E598E" w:rsidSect="003B420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114994"/>
      <w:docPartObj>
        <w:docPartGallery w:val="Page Numbers (Bottom of Page)"/>
        <w:docPartUnique/>
      </w:docPartObj>
    </w:sdtPr>
    <w:sdtEndPr>
      <w:rPr>
        <w:noProof/>
      </w:rPr>
    </w:sdtEndPr>
    <w:sdtContent>
      <w:p w14:paraId="5A3AE045" w14:textId="77777777" w:rsidR="00B52E23" w:rsidRDefault="00F870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BA927B" w14:textId="77777777" w:rsidR="00B52E23" w:rsidRDefault="00F870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05"/>
    <w:rsid w:val="004053ED"/>
    <w:rsid w:val="005D6CFD"/>
    <w:rsid w:val="008E598E"/>
    <w:rsid w:val="00E50B04"/>
    <w:rsid w:val="00F870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D54C"/>
  <w15:chartTrackingRefBased/>
  <w15:docId w15:val="{87B42EBC-82E7-4D7D-89D9-C1A71199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87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medicine-and-dentistry/body-mass-inde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medicine-and-dentistry/major-depressive-episode" TargetMode="External"/><Relationship Id="rId5" Type="http://schemas.openxmlformats.org/officeDocument/2006/relationships/hyperlink" Target="https://en.wikipedia.org/wiki/Cauca_Department" TargetMode="External"/><Relationship Id="rId4"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6666</Words>
  <Characters>37736</Characters>
  <Application>Microsoft Office Word</Application>
  <DocSecurity>0</DocSecurity>
  <Lines>608</Lines>
  <Paragraphs>228</Paragraphs>
  <ScaleCrop>false</ScaleCrop>
  <Company/>
  <LinksUpToDate>false</LinksUpToDate>
  <CharactersWithSpaces>44174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GISOO alizadeh</dc:creator>
  <cp:keywords/>
  <dc:description/>
  <cp:lastModifiedBy>GISOO alizadeh</cp:lastModifiedBy>
  <cp:revision>1</cp:revision>
  <dcterms:created xsi:type="dcterms:W3CDTF">2023-02-24T14:22:00Z</dcterms:created>
  <dcterms:modified xsi:type="dcterms:W3CDTF">2023-02-24T14:22:00Z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cb22ec39-5192-47f9-9636-9be377c34fad</vt:lpwstr>
  </property>
</Properties>
</file>