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Table S1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Scoring methods of life’s simple 7 component metric</w:t>
      </w:r>
    </w:p>
    <w:tbl>
      <w:tblPr>
        <w:tblStyle w:val="4"/>
        <w:tblW w:w="1484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0"/>
        <w:gridCol w:w="1941"/>
        <w:gridCol w:w="4679"/>
        <w:gridCol w:w="364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0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Metric</w:t>
            </w:r>
          </w:p>
        </w:tc>
        <w:tc>
          <w:tcPr>
            <w:tcW w:w="1941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inadequate（0）</w:t>
            </w:r>
          </w:p>
        </w:tc>
        <w:tc>
          <w:tcPr>
            <w:tcW w:w="4679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average（1）</w:t>
            </w:r>
          </w:p>
        </w:tc>
        <w:tc>
          <w:tcPr>
            <w:tcW w:w="3640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optimal（2）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0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PA (minutes moderate/vigorous per week)</w:t>
            </w:r>
          </w:p>
        </w:tc>
        <w:tc>
          <w:tcPr>
            <w:tcW w:w="1941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&lt;1</w:t>
            </w:r>
          </w:p>
        </w:tc>
        <w:tc>
          <w:tcPr>
            <w:tcW w:w="4679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1-149 </w:t>
            </w:r>
          </w:p>
        </w:tc>
        <w:tc>
          <w:tcPr>
            <w:tcW w:w="3640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≥150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HEI-2015</w:t>
            </w:r>
          </w:p>
        </w:tc>
        <w:tc>
          <w:tcPr>
            <w:tcW w:w="194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&lt;50</w:t>
            </w:r>
          </w:p>
        </w:tc>
        <w:tc>
          <w:tcPr>
            <w:tcW w:w="4679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50-80</w:t>
            </w:r>
          </w:p>
        </w:tc>
        <w:tc>
          <w:tcPr>
            <w:tcW w:w="364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&gt;80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458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BMI (kg/m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94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≥30</w:t>
            </w:r>
          </w:p>
        </w:tc>
        <w:tc>
          <w:tcPr>
            <w:tcW w:w="4679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25-29.9</w:t>
            </w:r>
          </w:p>
        </w:tc>
        <w:tc>
          <w:tcPr>
            <w:tcW w:w="364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&lt;25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Smoking status</w:t>
            </w:r>
          </w:p>
        </w:tc>
        <w:tc>
          <w:tcPr>
            <w:tcW w:w="194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current</w:t>
            </w:r>
          </w:p>
        </w:tc>
        <w:tc>
          <w:tcPr>
            <w:tcW w:w="4679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former</w:t>
            </w:r>
          </w:p>
        </w:tc>
        <w:tc>
          <w:tcPr>
            <w:tcW w:w="364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never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TC (mg/dl)</w:t>
            </w:r>
          </w:p>
        </w:tc>
        <w:tc>
          <w:tcPr>
            <w:tcW w:w="194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≥240</w:t>
            </w:r>
          </w:p>
        </w:tc>
        <w:tc>
          <w:tcPr>
            <w:tcW w:w="4679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200-239 or &lt;200 using medication</w:t>
            </w:r>
          </w:p>
        </w:tc>
        <w:tc>
          <w:tcPr>
            <w:tcW w:w="364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&lt;200 and without medication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Mean BP (mmHg)</w:t>
            </w:r>
          </w:p>
        </w:tc>
        <w:tc>
          <w:tcPr>
            <w:tcW w:w="194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≥140/90</w:t>
            </w:r>
          </w:p>
        </w:tc>
        <w:tc>
          <w:tcPr>
            <w:tcW w:w="4679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120-139/80-89 or &lt;120/80 using medication</w:t>
            </w:r>
          </w:p>
        </w:tc>
        <w:tc>
          <w:tcPr>
            <w:tcW w:w="364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&lt;120/80 and without medication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58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HbA1c (%)</w:t>
            </w:r>
          </w:p>
        </w:tc>
        <w:tc>
          <w:tcPr>
            <w:tcW w:w="1941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&gt;6.4</w:t>
            </w:r>
          </w:p>
        </w:tc>
        <w:tc>
          <w:tcPr>
            <w:tcW w:w="4679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5.7-6.4 or &lt;5.7 using medication</w:t>
            </w:r>
          </w:p>
        </w:tc>
        <w:tc>
          <w:tcPr>
            <w:tcW w:w="364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&lt;5.7 and without medication</w:t>
            </w:r>
          </w:p>
        </w:tc>
      </w:tr>
    </w:tbl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Abbreviation: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PA: physical activity; HEI-2015: Healthy Eating Index-2015; BMI: body mass index; TC: Total cholesterol; BP: blood pressure; HbA1c: Hemoglobin A1c.</w:t>
      </w:r>
    </w:p>
    <w:p>
      <w:pPr>
        <w:rPr>
          <w:rFonts w:ascii="Times New Roman" w:hAnsi="Times New Roman" w:cs="Times New Roman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szCs w:val="24"/>
        </w:rPr>
        <w:t>Table S2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Association between univariable and peripheral neuropathy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 xml:space="preserve"> </w:t>
      </w: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>In adults from NHANES 1999-2004.</w:t>
      </w:r>
    </w:p>
    <w:tbl>
      <w:tblPr>
        <w:tblStyle w:val="4"/>
        <w:tblW w:w="6444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0"/>
        <w:gridCol w:w="636"/>
        <w:gridCol w:w="1696"/>
        <w:gridCol w:w="1012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636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OR</w:t>
            </w:r>
          </w:p>
        </w:tc>
        <w:tc>
          <w:tcPr>
            <w:tcW w:w="1696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OR(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95% CI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single" w:color="auto" w:sz="12" w:space="0"/>
              <w:bottom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Life’s Simple 7 score</w:t>
            </w:r>
          </w:p>
        </w:tc>
        <w:tc>
          <w:tcPr>
            <w:tcW w:w="636" w:type="dxa"/>
            <w:tcBorders>
              <w:top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0.87</w:t>
            </w:r>
          </w:p>
        </w:tc>
        <w:tc>
          <w:tcPr>
            <w:tcW w:w="1696" w:type="dxa"/>
            <w:tcBorders>
              <w:top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0.87(0.82,0.92)</w:t>
            </w:r>
          </w:p>
        </w:tc>
        <w:tc>
          <w:tcPr>
            <w:tcW w:w="1012" w:type="dxa"/>
            <w:tcBorders>
              <w:top w:val="single" w:color="auto" w:sz="8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Biological subscale (0 to 6) 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(0.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74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,0.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88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Behavioral subscale (0 to 8)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0.91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0.91(0.8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,0.98)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Age(years)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1.05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1.05(1.04,1.06)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Male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2.23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2.23(1.89,2.64)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Ethnicity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Mexican American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0.88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0.88(0.69,1.12)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0.27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Non-Hispanic Black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1.29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1.29(1.02,1.62)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Other Hispanic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1.21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1.21(0.67,2.19)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0.53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Other Race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0.51(0.29,0.90)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0.02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Education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College education or above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0.7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0.70(0.56,0.88)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0.003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PIR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&gt;1.3 to ≤3.5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0.86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0.86(0.66,1.12)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0.24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&gt;3.5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0.51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0.51(0.39,0.65)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Smoking status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former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1.46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1.46(1.13,1.89)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0.005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current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0.99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0.99(0.72,1.36)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0.93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Alcohol (per 10g/d)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1.00(0.97,1.04)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0.78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Diabetes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yes</w:t>
            </w:r>
          </w:p>
        </w:tc>
        <w:tc>
          <w:tcPr>
            <w:tcW w:w="63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2.53</w:t>
            </w:r>
          </w:p>
        </w:tc>
        <w:tc>
          <w:tcPr>
            <w:tcW w:w="1696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2.53(1.94,3.28)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tcBorders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636" w:type="dxa"/>
            <w:tcBorders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6" w:type="dxa"/>
            <w:tcBorders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tcBorders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yes</w:t>
            </w: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1.69</w:t>
            </w:r>
          </w:p>
        </w:tc>
        <w:tc>
          <w:tcPr>
            <w:tcW w:w="16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1.69(1.34,2.13)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&lt;0.0001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Hyperlipidemia</w:t>
            </w: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100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 xml:space="preserve">    yes</w:t>
            </w:r>
          </w:p>
        </w:tc>
        <w:tc>
          <w:tcPr>
            <w:tcW w:w="636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1.21</w:t>
            </w:r>
          </w:p>
        </w:tc>
        <w:tc>
          <w:tcPr>
            <w:tcW w:w="1696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1.21(0.89,1.64)</w:t>
            </w:r>
          </w:p>
        </w:tc>
        <w:tc>
          <w:tcPr>
            <w:tcW w:w="1012" w:type="dxa"/>
            <w:tcBorders>
              <w:top w:val="nil"/>
              <w:bottom w:val="single" w:color="auto" w:sz="12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0.21</w:t>
            </w:r>
          </w:p>
        </w:tc>
      </w:tr>
    </w:tbl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Behavioral subscale scores were calculated by summing scores of BMI, </w:t>
      </w: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HEI, smoking, and physical activity.</w:t>
      </w: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Biological subscale scores were calculated by summing scores of total cholesterols, </w:t>
      </w: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blood pressure, and HbA1c.</w:t>
      </w: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Abbreviation: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BMI: Body mass index; HEI: Healthy Eating Index; HbA1c: Hemoglobin A1c; </w:t>
      </w:r>
    </w:p>
    <w:p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PIR: Poverty income ratio; OR: odds ratio; CI: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confidence interval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NHANES, National Health </w:t>
      </w:r>
    </w:p>
    <w:p>
      <w:pPr>
        <w:widowControl/>
        <w:jc w:val="left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/>
          <w:sz w:val="24"/>
          <w:szCs w:val="24"/>
        </w:rPr>
        <w:t>and Nutrition Examination Survey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>.</w:t>
      </w:r>
    </w:p>
    <w:p>
      <w:pPr>
        <w:widowControl/>
        <w:jc w:val="left"/>
        <w:rPr>
          <w:rFonts w:ascii="Times New Roman" w:hAnsi="Times New Roman" w:eastAsia="宋体"/>
          <w:b/>
          <w:bCs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/>
          <w:b/>
          <w:bCs/>
          <w:color w:val="000000"/>
          <w:kern w:val="0"/>
          <w:sz w:val="24"/>
          <w:szCs w:val="24"/>
        </w:rPr>
        <w:t>Table</w:t>
      </w:r>
      <w:r>
        <w:rPr>
          <w:rFonts w:hint="eastAsia" w:ascii="Times New Roman" w:hAnsi="Times New Roman" w:eastAsia="宋体"/>
          <w:b/>
          <w:bCs/>
          <w:color w:val="000000"/>
          <w:kern w:val="0"/>
          <w:sz w:val="24"/>
          <w:szCs w:val="24"/>
        </w:rPr>
        <w:t xml:space="preserve"> S3.</w:t>
      </w:r>
      <w:r>
        <w:rPr>
          <w:rFonts w:ascii="Times New Roman" w:hAnsi="Times New Roman" w:eastAsia="宋体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Association between Life’s Simple 7 score and Peripheral Neuropathy</w:t>
      </w:r>
      <w:r>
        <w:rPr>
          <w:rFonts w:hint="eastAsia" w:ascii="Times New Roman" w:hAnsi="Times New Roman" w:eastAsia="宋体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 adults from NHANES </w:t>
      </w:r>
      <w:r>
        <w:rPr>
          <w:rFonts w:hint="eastAsia" w:ascii="Times New Roman" w:hAnsi="Times New Roman"/>
          <w:sz w:val="24"/>
          <w:szCs w:val="24"/>
        </w:rPr>
        <w:t>1999-2004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4"/>
        <w:tblW w:w="10773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1910"/>
        <w:gridCol w:w="1012"/>
        <w:gridCol w:w="1910"/>
        <w:gridCol w:w="1026"/>
        <w:gridCol w:w="1794"/>
        <w:gridCol w:w="104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80" w:type="dxa"/>
            <w:vMerge w:val="restart"/>
            <w:tcBorders>
              <w:top w:val="single" w:color="auto" w:sz="12" w:space="0"/>
              <w:left w:val="nil"/>
              <w:bottom w:val="nil"/>
              <w:right w:val="single" w:color="FFFFFF" w:sz="36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Variable</w:t>
            </w:r>
          </w:p>
        </w:tc>
        <w:tc>
          <w:tcPr>
            <w:tcW w:w="2922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FFFFFF" w:sz="36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Model 1</w:t>
            </w:r>
          </w:p>
        </w:tc>
        <w:tc>
          <w:tcPr>
            <w:tcW w:w="2936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FFFFFF" w:sz="36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Model 2</w:t>
            </w:r>
          </w:p>
        </w:tc>
        <w:tc>
          <w:tcPr>
            <w:tcW w:w="2835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Model 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single" w:color="auto" w:sz="12" w:space="0"/>
              <w:left w:val="nil"/>
              <w:bottom w:val="nil"/>
              <w:right w:val="single" w:color="FFFFFF" w:sz="36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OR (95%CI)</w:t>
            </w:r>
          </w:p>
        </w:tc>
        <w:tc>
          <w:tcPr>
            <w:tcW w:w="1012" w:type="dxa"/>
            <w:tcBorders>
              <w:top w:val="single" w:color="auto" w:sz="8" w:space="0"/>
              <w:left w:val="nil"/>
              <w:bottom w:val="nil"/>
              <w:right w:val="single" w:color="FFFFFF" w:sz="36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910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OR (95%CI)</w:t>
            </w:r>
          </w:p>
        </w:tc>
        <w:tc>
          <w:tcPr>
            <w:tcW w:w="1026" w:type="dxa"/>
            <w:tcBorders>
              <w:top w:val="single" w:color="auto" w:sz="8" w:space="0"/>
              <w:left w:val="nil"/>
              <w:bottom w:val="nil"/>
              <w:right w:val="single" w:color="FFFFFF" w:sz="36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794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OR (95%CI)</w:t>
            </w:r>
          </w:p>
        </w:tc>
        <w:tc>
          <w:tcPr>
            <w:tcW w:w="1041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i/>
                <w:iCs/>
                <w:color w:val="000000"/>
                <w:kern w:val="0"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Continuous LS7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0.87(0.82,0.92)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&lt;0.00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0.9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(0.85,0.95)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0.9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(0.8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1.01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Categorical LS7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Inadequate (0-7)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Reference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Average (8-10)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0.6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9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(0.5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,0.8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8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0.00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0.7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(0.5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,0.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92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82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(0.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63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,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1.06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Optimal (11-14)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0.30(0.19,0.47)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&lt;0.0001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0.44(0.27,0.71)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51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(0.29,0.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91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0.0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8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i/>
                <w:iCs/>
                <w:color w:val="000000"/>
                <w:kern w:val="0"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for trend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&lt;0.0001</w:t>
            </w:r>
          </w:p>
        </w:tc>
        <w:tc>
          <w:tcPr>
            <w:tcW w:w="191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ind w:firstLine="240" w:firstLineChars="100"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1794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0.0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21</w:t>
            </w:r>
          </w:p>
        </w:tc>
      </w:tr>
    </w:tbl>
    <w:p>
      <w:pPr>
        <w:widowControl/>
        <w:jc w:val="left"/>
        <w:rPr>
          <w:rFonts w:ascii="Times New Roman" w:hAnsi="Times New Roman" w:eastAsia="等线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Abbreviation:</w:t>
      </w: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 xml:space="preserve"> LS7, Life’s Simple 7 score; </w:t>
      </w:r>
      <w:r>
        <w:rPr>
          <w:rFonts w:ascii="Times New Roman" w:hAnsi="Times New Roman"/>
          <w:sz w:val="24"/>
          <w:szCs w:val="24"/>
        </w:rPr>
        <w:t>NHANES, National Health and Nutrition Examination Survey;</w:t>
      </w:r>
    </w:p>
    <w:p>
      <w:pPr>
        <w:widowControl/>
        <w:jc w:val="left"/>
        <w:rPr>
          <w:rFonts w:ascii="Times New Roman" w:hAnsi="Times New Roman" w:eastAsia="宋体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OR, odds ratio; CI,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confidence interval.</w:t>
      </w:r>
    </w:p>
    <w:p>
      <w:pPr>
        <w:widowControl/>
        <w:jc w:val="left"/>
        <w:rPr>
          <w:rFonts w:ascii="Times New Roman" w:hAnsi="Times New Roman" w:eastAsia="宋体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Model 1: no adjustment.</w:t>
      </w:r>
    </w:p>
    <w:p>
      <w:pPr>
        <w:widowControl/>
        <w:jc w:val="left"/>
        <w:rPr>
          <w:rFonts w:ascii="Times New Roman" w:hAnsi="Times New Roman" w:eastAsia="宋体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Model 2: adjusted for age and sex.</w:t>
      </w:r>
    </w:p>
    <w:p>
      <w:pPr>
        <w:widowControl/>
        <w:jc w:val="left"/>
        <w:rPr>
          <w:rFonts w:ascii="Times New Roman" w:hAnsi="Times New Roman" w:eastAsia="等线"/>
          <w:sz w:val="24"/>
          <w:szCs w:val="24"/>
        </w:rPr>
      </w:pP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Model 3: adjusted for age, sex, ethnicity, education, poverty income ratio, alcohol consumption</w:t>
      </w:r>
      <w:r>
        <w:rPr>
          <w:rFonts w:hint="eastAsia" w:ascii="Times New Roman" w:hAnsi="Times New Roman" w:eastAsia="宋体"/>
          <w:color w:val="000000"/>
          <w:kern w:val="0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diabetes, </w:t>
      </w:r>
    </w:p>
    <w:p>
      <w:pPr>
        <w:widowControl/>
        <w:jc w:val="left"/>
        <w:rPr>
          <w:rFonts w:ascii="Times New Roman" w:hAnsi="Times New Roman" w:eastAsia="宋体"/>
          <w:color w:val="000000"/>
          <w:kern w:val="0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hypertension, and hyperlipidemia</w:t>
      </w: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.</w:t>
      </w:r>
    </w:p>
    <w:p>
      <w:pPr>
        <w:rPr>
          <w:rFonts w:ascii="Times New Roman" w:hAnsi="Times New Roman" w:cs="Times New Roman"/>
          <w:sz w:val="24"/>
          <w:szCs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rPr>
          <w:rFonts w:ascii="Times New Roman" w:hAnsi="Times New Roman" w:eastAsia="宋体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Table S</w:t>
      </w:r>
      <w:r>
        <w:rPr>
          <w:rFonts w:hint="eastAsia"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Subgroup analysis of the association between </w:t>
      </w: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Life’s Simple 7 score and Peripheral Neuropathy</w:t>
      </w:r>
      <w:r>
        <w:rPr>
          <w:rFonts w:hint="eastAsia" w:ascii="Times New Roman" w:hAnsi="Times New Roman" w:eastAsia="宋体"/>
          <w:color w:val="000000"/>
          <w:kern w:val="0"/>
          <w:sz w:val="24"/>
          <w:szCs w:val="24"/>
        </w:rPr>
        <w:t xml:space="preserve"> </w:t>
      </w:r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adults from NHANES </w:t>
      </w:r>
      <w:r>
        <w:rPr>
          <w:rFonts w:hint="eastAsia" w:ascii="Times New Roman" w:hAnsi="Times New Roman"/>
          <w:sz w:val="24"/>
          <w:szCs w:val="24"/>
        </w:rPr>
        <w:t>1999-2004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Style w:val="4"/>
        <w:tblW w:w="9970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3"/>
        <w:gridCol w:w="1392"/>
        <w:gridCol w:w="1358"/>
        <w:gridCol w:w="1837"/>
        <w:gridCol w:w="2040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Subgroup</w:t>
            </w:r>
          </w:p>
        </w:tc>
        <w:tc>
          <w:tcPr>
            <w:tcW w:w="1392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Number</w:t>
            </w:r>
          </w:p>
        </w:tc>
        <w:tc>
          <w:tcPr>
            <w:tcW w:w="1358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Event</w:t>
            </w:r>
          </w:p>
        </w:tc>
        <w:tc>
          <w:tcPr>
            <w:tcW w:w="1837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OR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(95%CI)</w:t>
            </w:r>
          </w:p>
        </w:tc>
        <w:tc>
          <w:tcPr>
            <w:tcW w:w="2040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ind w:firstLine="240" w:firstLineChars="100"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for interaction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Age, years</w:t>
            </w:r>
          </w:p>
        </w:tc>
        <w:tc>
          <w:tcPr>
            <w:tcW w:w="1392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&lt;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2984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0.94(0.86,1.03)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≥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1650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0.97(0.88,1.06)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Sex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Female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1.00(0.90,1.11)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Male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534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480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0.91(0.84,1.00)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Education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0.94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High School education or less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2329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389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0.97(0.89,1.05)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College education or above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2305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0.92(0.84,1.02)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Ethnicity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等线"/>
                <w:kern w:val="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>0.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Non-Hispanic White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2855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421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0.94(0.88,1.01)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Non-Hispanic Black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651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1.00(0.87,1.16)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Mexican American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866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0.93(0.79,1.08)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Other Hispanic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8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0.70(0.40, 1.24)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43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Other Race</w:t>
            </w:r>
          </w:p>
        </w:tc>
        <w:tc>
          <w:tcPr>
            <w:tcW w:w="139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837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color w:val="000000"/>
                <w:kern w:val="0"/>
                <w:sz w:val="24"/>
                <w:szCs w:val="24"/>
              </w:rPr>
              <w:t>1.17(0.70, 1.96)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Times New Roman" w:hAnsi="Times New Roman" w:eastAsia="宋体"/>
          <w:color w:val="000000"/>
          <w:kern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Abbreviation: NHANES, National Health and Nutrition Examination Survey; </w:t>
      </w:r>
      <w:r>
        <w:rPr>
          <w:rFonts w:ascii="Times New Roman" w:hAnsi="Times New Roman"/>
          <w:sz w:val="24"/>
          <w:szCs w:val="24"/>
          <w:shd w:val="clear" w:color="auto" w:fill="FFFFFF"/>
        </w:rPr>
        <w:t>CI, confidence interval;</w:t>
      </w:r>
      <w:r>
        <w:rPr>
          <w:rFonts w:hint="eastAsia" w:ascii="Times New Roman" w:hAnsi="Times New Roman"/>
          <w:sz w:val="24"/>
          <w:szCs w:val="24"/>
          <w:shd w:val="clear" w:color="auto" w:fill="FFFFFF"/>
        </w:rPr>
        <w:t xml:space="preserve"> OR: </w:t>
      </w: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odds ratio</w:t>
      </w:r>
      <w:r>
        <w:rPr>
          <w:rFonts w:hint="eastAsia" w:ascii="Times New Roman" w:hAnsi="Times New Roman" w:eastAsia="宋体"/>
          <w:color w:val="000000"/>
          <w:kern w:val="0"/>
          <w:sz w:val="24"/>
          <w:szCs w:val="24"/>
        </w:rPr>
        <w:t>.</w:t>
      </w:r>
    </w:p>
    <w:p>
      <w:pPr>
        <w:widowControl/>
        <w:jc w:val="left"/>
        <w:rPr>
          <w:rFonts w:hint="eastAsia" w:ascii="Times New Roman" w:hAnsi="Times New Roman"/>
          <w:sz w:val="24"/>
          <w:szCs w:val="24"/>
        </w:rPr>
      </w:pP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 xml:space="preserve">Each stratification was adjusted for age, </w:t>
      </w:r>
      <w:r>
        <w:rPr>
          <w:rFonts w:hint="eastAsia" w:ascii="Times New Roman" w:hAnsi="Times New Roman" w:eastAsia="宋体"/>
          <w:color w:val="000000"/>
          <w:kern w:val="0"/>
          <w:sz w:val="24"/>
          <w:szCs w:val="24"/>
        </w:rPr>
        <w:t xml:space="preserve">sex, ethnicity, education, </w:t>
      </w: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>poverty income ratio, alcohol consumption</w:t>
      </w:r>
      <w:r>
        <w:rPr>
          <w:rFonts w:hint="eastAsia" w:ascii="Times New Roman" w:hAnsi="Times New Roman" w:eastAsia="宋体"/>
          <w:color w:val="000000"/>
          <w:kern w:val="0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diabetes, </w:t>
      </w:r>
    </w:p>
    <w:p>
      <w:pPr>
        <w:widowControl/>
        <w:jc w:val="left"/>
        <w:rPr>
          <w:rFonts w:ascii="Times New Roman" w:hAnsi="Times New Roman" w:eastAsia="宋体"/>
          <w:color w:val="000000"/>
          <w:kern w:val="0"/>
          <w:sz w:val="24"/>
          <w:szCs w:val="24"/>
        </w:rPr>
      </w:pPr>
      <w:bookmarkStart w:id="0" w:name="_GoBack"/>
      <w:bookmarkEnd w:id="0"/>
      <w:r>
        <w:rPr>
          <w:rFonts w:hint="eastAsia" w:ascii="Times New Roman" w:hAnsi="Times New Roman"/>
          <w:sz w:val="24"/>
          <w:szCs w:val="24"/>
        </w:rPr>
        <w:t xml:space="preserve">hypertension, and hyperlipidemia, </w:t>
      </w:r>
      <w:r>
        <w:rPr>
          <w:rFonts w:ascii="Times New Roman" w:hAnsi="Times New Roman" w:eastAsiaTheme="minorEastAsia"/>
          <w:color w:val="333333"/>
          <w:sz w:val="24"/>
          <w:szCs w:val="24"/>
          <w:shd w:val="clear" w:color="auto" w:fill="FFFFFF"/>
        </w:rPr>
        <w:t>excluding the stratification factor itself</w:t>
      </w:r>
      <w:r>
        <w:rPr>
          <w:rFonts w:ascii="Times New Roman" w:hAnsi="Times New Roman" w:eastAsia="宋体"/>
          <w:color w:val="000000"/>
          <w:kern w:val="0"/>
          <w:sz w:val="24"/>
          <w:szCs w:val="24"/>
        </w:rPr>
        <w:t xml:space="preserve">. </w:t>
      </w:r>
    </w:p>
    <w:p>
      <w:pPr>
        <w:rPr>
          <w:rFonts w:ascii="等线" w:hAnsi="等线" w:eastAsia="等线" w:cs="Times New Roman"/>
          <w:szCs w:val="21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>
      <w:pPr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g3MWJkODUyZjQxM2Y1NGU0M2E5OWZmYmRiNzY3ODgifQ=="/>
  </w:docVars>
  <w:rsids>
    <w:rsidRoot w:val="00E70D1E"/>
    <w:rsid w:val="0003677E"/>
    <w:rsid w:val="00297C6F"/>
    <w:rsid w:val="003E04A0"/>
    <w:rsid w:val="004232FF"/>
    <w:rsid w:val="00437E3E"/>
    <w:rsid w:val="0049270D"/>
    <w:rsid w:val="004C503A"/>
    <w:rsid w:val="005567BB"/>
    <w:rsid w:val="007F6004"/>
    <w:rsid w:val="0096708F"/>
    <w:rsid w:val="00CA5CE7"/>
    <w:rsid w:val="00E70D1E"/>
    <w:rsid w:val="00E9125B"/>
    <w:rsid w:val="31B7543C"/>
    <w:rsid w:val="53265FA2"/>
    <w:rsid w:val="79E3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512</Words>
  <Characters>3200</Characters>
  <Lines>300</Lines>
  <Paragraphs>234</Paragraphs>
  <TotalTime>0</TotalTime>
  <ScaleCrop>false</ScaleCrop>
  <LinksUpToDate>false</LinksUpToDate>
  <CharactersWithSpaces>3537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2023-05-07T14:05:00Z</dcterms:created>
  <dc:creator>ji qianhui</dc:creator>
  <cp:lastModifiedBy>顾玺</cp:lastModifiedBy>
  <cp:lastPrinted>2023-10-29T07:35:00Z</cp:lastPrinted>
  <dcterms:modified xsi:type="dcterms:W3CDTF">2024-06-08T09:25:41Z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da8d3f87e30beb391f72500da215219456568db48536473bd87436bc4ff67129</vt:lpwstr>
  </property>
  <property fmtid="{D5CDD505-2E9C-101B-9397-08002B2CF9AE}" pid="3" name="KSOProductBuildVer">
    <vt:lpwstr>2052-12.1.0.16120</vt:lpwstr>
  </property>
  <property fmtid="{D5CDD505-2E9C-101B-9397-08002B2CF9AE}" pid="4" name="ICV">
    <vt:lpwstr>9E83EE5085C04210BBBC67073CCAF8A2_12</vt:lpwstr>
  </property>
</Properties>
</file>