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303" w:rsidRDefault="001D5D99">
      <w:pPr>
        <w:pStyle w:val="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Search strategy</w:t>
      </w:r>
    </w:p>
    <w:p w:rsidR="00122303" w:rsidRDefault="001D5D99">
      <w:pPr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For example:</w:t>
      </w:r>
    </w:p>
    <w:p w:rsidR="00122303" w:rsidRDefault="001D5D99">
      <w:pPr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Web of Science</w:t>
      </w:r>
    </w:p>
    <w:p w:rsidR="00122303" w:rsidRDefault="00122303">
      <w:pPr>
        <w:rPr>
          <w:rFonts w:ascii="Times New Roman" w:eastAsia="Times New Roman" w:hAnsi="Times New Roman" w:cs="Times New Roman"/>
          <w:sz w:val="22"/>
        </w:rPr>
      </w:pP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6169"/>
      </w:tblGrid>
      <w:tr w:rsidR="00122303">
        <w:trPr>
          <w:trHeight w:val="482"/>
        </w:trPr>
        <w:tc>
          <w:tcPr>
            <w:tcW w:w="2127" w:type="dxa"/>
          </w:tcPr>
          <w:p w:rsidR="00122303" w:rsidRDefault="00122303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6169" w:type="dxa"/>
          </w:tcPr>
          <w:p w:rsidR="00122303" w:rsidRDefault="001D5D99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Descriptors</w:t>
            </w:r>
          </w:p>
        </w:tc>
      </w:tr>
      <w:tr w:rsidR="00122303">
        <w:trPr>
          <w:trHeight w:val="948"/>
        </w:trPr>
        <w:tc>
          <w:tcPr>
            <w:tcW w:w="2127" w:type="dxa"/>
          </w:tcPr>
          <w:p w:rsidR="00122303" w:rsidRDefault="00122303"/>
          <w:p w:rsidR="00122303" w:rsidRDefault="001D5D99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Outcome</w:t>
            </w:r>
          </w:p>
          <w:p w:rsidR="00122303" w:rsidRDefault="00122303"/>
        </w:tc>
        <w:tc>
          <w:tcPr>
            <w:tcW w:w="6169" w:type="dxa"/>
          </w:tcPr>
          <w:p w:rsidR="00122303" w:rsidRDefault="001D5D9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 w:hint="eastAsia"/>
                <w:sz w:val="22"/>
              </w:rPr>
              <w:t>(</w:t>
            </w:r>
            <w:r>
              <w:rPr>
                <w:rFonts w:ascii="Times New Roman" w:eastAsia="Times New Roman" w:hAnsi="Times New Roman" w:cs="Times New Roman"/>
                <w:sz w:val="22"/>
              </w:rPr>
              <w:t>“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d</w:t>
            </w:r>
            <w:r>
              <w:rPr>
                <w:rFonts w:ascii="Times New Roman" w:eastAsia="宋体" w:hAnsi="Times New Roman" w:cs="Times New Roman"/>
                <w:sz w:val="22"/>
              </w:rPr>
              <w:t>iabetes</w:t>
            </w:r>
            <w:r>
              <w:rPr>
                <w:rFonts w:ascii="Times New Roman" w:eastAsia="Times New Roman" w:hAnsi="Times New Roman" w:cs="Times New Roman"/>
                <w:sz w:val="22"/>
              </w:rPr>
              <w:t>”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OR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“</w:t>
            </w:r>
            <w:r>
              <w:rPr>
                <w:rFonts w:ascii="Times New Roman" w:eastAsia="宋体" w:hAnsi="Times New Roman" w:cs="Times New Roman"/>
                <w:sz w:val="22"/>
              </w:rPr>
              <w:t>blood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2"/>
              </w:rPr>
              <w:t>glucose</w:t>
            </w:r>
            <w:r>
              <w:rPr>
                <w:rFonts w:ascii="Times New Roman" w:eastAsia="Times New Roman" w:hAnsi="Times New Roman" w:cs="Times New Roman"/>
                <w:sz w:val="22"/>
              </w:rPr>
              <w:t>”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OR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</w:rPr>
              <w:t>“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T2D</w:t>
            </w:r>
            <w:r>
              <w:rPr>
                <w:rFonts w:ascii="Times New Roman" w:eastAsia="Times New Roman" w:hAnsi="Times New Roman" w:cs="Times New Roman"/>
                <w:sz w:val="22"/>
              </w:rPr>
              <w:t>” OR “</w:t>
            </w:r>
            <w:r>
              <w:rPr>
                <w:rFonts w:ascii="Times New Roman" w:eastAsia="宋体" w:hAnsi="Times New Roman" w:cs="Times New Roman"/>
                <w:sz w:val="22"/>
              </w:rPr>
              <w:t>glycemic</w:t>
            </w:r>
            <w:r>
              <w:rPr>
                <w:rFonts w:ascii="Times New Roman" w:eastAsia="Times New Roman" w:hAnsi="Times New Roman" w:cs="Times New Roman"/>
                <w:sz w:val="22"/>
              </w:rPr>
              <w:t>”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 xml:space="preserve"> OR </w:t>
            </w:r>
            <w:r>
              <w:rPr>
                <w:rFonts w:ascii="Times New Roman" w:eastAsia="Times New Roman" w:hAnsi="Times New Roman" w:cs="Times New Roman"/>
                <w:sz w:val="22"/>
              </w:rPr>
              <w:t>“diabetes mellitus”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 xml:space="preserve"> OR </w:t>
            </w:r>
            <w:r>
              <w:rPr>
                <w:rFonts w:ascii="Times New Roman" w:eastAsia="Times New Roman" w:hAnsi="Times New Roman" w:cs="Times New Roman"/>
                <w:sz w:val="22"/>
              </w:rPr>
              <w:t>“glycuresis”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 xml:space="preserve"> OR </w:t>
            </w:r>
            <w:r>
              <w:rPr>
                <w:rFonts w:ascii="Times New Roman" w:eastAsia="Times New Roman" w:hAnsi="Times New Roman" w:cs="Times New Roman"/>
                <w:sz w:val="22"/>
              </w:rPr>
              <w:t>“blood sugar”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>)</w:t>
            </w:r>
          </w:p>
        </w:tc>
      </w:tr>
      <w:tr w:rsidR="00122303">
        <w:trPr>
          <w:trHeight w:val="984"/>
        </w:trPr>
        <w:tc>
          <w:tcPr>
            <w:tcW w:w="2127" w:type="dxa"/>
          </w:tcPr>
          <w:p w:rsidR="00122303" w:rsidRDefault="00122303">
            <w:pPr>
              <w:rPr>
                <w:rFonts w:ascii="Times New Roman" w:hAnsi="Times New Roman" w:cs="Times New Roman"/>
                <w:sz w:val="22"/>
              </w:rPr>
            </w:pPr>
          </w:p>
          <w:p w:rsidR="00122303" w:rsidRDefault="001D5D99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Exposure</w:t>
            </w:r>
          </w:p>
          <w:p w:rsidR="00122303" w:rsidRDefault="00122303"/>
        </w:tc>
        <w:tc>
          <w:tcPr>
            <w:tcW w:w="6169" w:type="dxa"/>
          </w:tcPr>
          <w:p w:rsidR="00122303" w:rsidRDefault="001D5D9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 w:hint="eastAsia"/>
                <w:sz w:val="22"/>
              </w:rPr>
              <w:t>(</w:t>
            </w:r>
            <w:r>
              <w:rPr>
                <w:rFonts w:ascii="Times New Roman" w:eastAsia="Times New Roman" w:hAnsi="Times New Roman" w:cs="Times New Roman"/>
                <w:sz w:val="22"/>
              </w:rPr>
              <w:t>“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o</w:t>
            </w:r>
            <w:r>
              <w:rPr>
                <w:rFonts w:ascii="Times New Roman" w:eastAsia="宋体" w:hAnsi="Times New Roman" w:cs="Times New Roman"/>
                <w:sz w:val="22"/>
              </w:rPr>
              <w:t>live oil</w:t>
            </w:r>
            <w:r>
              <w:rPr>
                <w:rFonts w:ascii="Times New Roman" w:eastAsia="Times New Roman" w:hAnsi="Times New Roman" w:cs="Times New Roman"/>
                <w:sz w:val="22"/>
              </w:rPr>
              <w:t>”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 xml:space="preserve"> OR “</w:t>
            </w:r>
            <w:r>
              <w:rPr>
                <w:rFonts w:ascii="Times New Roman" w:eastAsia="宋体" w:hAnsi="Times New Roman" w:cs="Times New Roman"/>
                <w:sz w:val="22"/>
              </w:rPr>
              <w:t>lucca oil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>” OR “</w:t>
            </w:r>
            <w:r>
              <w:rPr>
                <w:rFonts w:ascii="Times New Roman" w:eastAsia="宋体" w:hAnsi="Times New Roman" w:cs="Times New Roman"/>
                <w:sz w:val="22"/>
              </w:rPr>
              <w:t>MUFAs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>” OR “</w:t>
            </w:r>
            <w:r>
              <w:rPr>
                <w:rFonts w:ascii="Times New Roman" w:eastAsia="Times New Roman" w:hAnsi="Times New Roman" w:cs="Times New Roman"/>
                <w:sz w:val="22"/>
              </w:rPr>
              <w:t>Florence oil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>” OR “</w:t>
            </w:r>
            <w:r>
              <w:rPr>
                <w:rFonts w:ascii="Times New Roman" w:eastAsia="Times New Roman" w:hAnsi="Times New Roman" w:cs="Times New Roman"/>
                <w:sz w:val="22"/>
              </w:rPr>
              <w:t>OO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>” OR “</w:t>
            </w:r>
            <w:r>
              <w:rPr>
                <w:rFonts w:ascii="Times New Roman" w:eastAsia="Times New Roman" w:hAnsi="Times New Roman" w:cs="Times New Roman"/>
                <w:sz w:val="22"/>
              </w:rPr>
              <w:t>EVOO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>”)</w:t>
            </w:r>
          </w:p>
        </w:tc>
      </w:tr>
      <w:tr w:rsidR="00122303">
        <w:trPr>
          <w:trHeight w:val="984"/>
        </w:trPr>
        <w:tc>
          <w:tcPr>
            <w:tcW w:w="2127" w:type="dxa"/>
          </w:tcPr>
          <w:p w:rsidR="00122303" w:rsidRDefault="00122303">
            <w:pPr>
              <w:rPr>
                <w:rFonts w:ascii="Times New Roman" w:hAnsi="Times New Roman" w:cs="Times New Roman"/>
                <w:sz w:val="22"/>
              </w:rPr>
            </w:pPr>
          </w:p>
          <w:p w:rsidR="00122303" w:rsidRDefault="001D5D99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Setting</w:t>
            </w:r>
          </w:p>
          <w:p w:rsidR="00122303" w:rsidRDefault="00122303"/>
        </w:tc>
        <w:tc>
          <w:tcPr>
            <w:tcW w:w="6169" w:type="dxa"/>
          </w:tcPr>
          <w:p w:rsidR="00122303" w:rsidRDefault="001D5D99">
            <w:pPr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 w:hint="eastAsia"/>
                <w:sz w:val="22"/>
              </w:rPr>
              <w:t>(</w:t>
            </w:r>
            <w:r>
              <w:rPr>
                <w:rFonts w:ascii="Times New Roman" w:eastAsia="Times New Roman" w:hAnsi="Times New Roman" w:cs="Times New Roman"/>
                <w:sz w:val="22"/>
              </w:rPr>
              <w:t>“randomized controlled trial”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 xml:space="preserve"> OR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“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>RCT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” 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 xml:space="preserve">OR </w:t>
            </w:r>
            <w:r>
              <w:rPr>
                <w:rFonts w:ascii="Times New Roman" w:eastAsia="Times New Roman" w:hAnsi="Times New Roman" w:cs="Times New Roman"/>
                <w:sz w:val="22"/>
              </w:rPr>
              <w:t>“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ontrolled 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>c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linical 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eastAsia="Times New Roman" w:hAnsi="Times New Roman" w:cs="Times New Roman"/>
                <w:sz w:val="22"/>
              </w:rPr>
              <w:t>rial”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 xml:space="preserve"> OR </w:t>
            </w:r>
            <w:r>
              <w:rPr>
                <w:rFonts w:ascii="Times New Roman" w:eastAsia="Times New Roman" w:hAnsi="Times New Roman" w:cs="Times New Roman"/>
                <w:sz w:val="22"/>
              </w:rPr>
              <w:t>“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>controlled trial</w:t>
            </w:r>
            <w:r>
              <w:rPr>
                <w:rFonts w:ascii="Times New Roman" w:eastAsia="Times New Roman" w:hAnsi="Times New Roman" w:cs="Times New Roman"/>
                <w:sz w:val="22"/>
              </w:rPr>
              <w:t>”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 xml:space="preserve"> OR </w:t>
            </w:r>
            <w:r>
              <w:rPr>
                <w:rFonts w:ascii="Times New Roman" w:eastAsia="Times New Roman" w:hAnsi="Times New Roman" w:cs="Times New Roman"/>
                <w:sz w:val="22"/>
              </w:rPr>
              <w:t>“Cross-over” OR “Parallel” OR “random” OR “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cohort</w:t>
            </w:r>
            <w:r>
              <w:rPr>
                <w:rFonts w:ascii="Times New Roman" w:eastAsia="Times New Roman" w:hAnsi="Times New Roman" w:cs="Times New Roman"/>
                <w:sz w:val="22"/>
              </w:rPr>
              <w:t>” OR “</w:t>
            </w:r>
            <w:r>
              <w:rPr>
                <w:rFonts w:ascii="Times New Roman" w:eastAsia="宋体" w:hAnsi="Times New Roman" w:cs="Times New Roman"/>
                <w:sz w:val="22"/>
              </w:rPr>
              <w:t>case-control</w:t>
            </w:r>
            <w:r>
              <w:rPr>
                <w:rFonts w:ascii="Times New Roman" w:eastAsia="Times New Roman" w:hAnsi="Times New Roman" w:cs="Times New Roman"/>
                <w:sz w:val="22"/>
              </w:rPr>
              <w:t>”</w:t>
            </w:r>
            <w:r>
              <w:rPr>
                <w:rFonts w:ascii="Times New Roman" w:eastAsia="Times New Roman" w:hAnsi="Times New Roman" w:cs="Times New Roman" w:hint="eastAsia"/>
                <w:sz w:val="22"/>
              </w:rPr>
              <w:t>)</w:t>
            </w:r>
          </w:p>
        </w:tc>
      </w:tr>
    </w:tbl>
    <w:p w:rsidR="00122303" w:rsidRDefault="00122303"/>
    <w:p w:rsidR="00122303" w:rsidRDefault="001D5D99">
      <w:pPr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Number of localized studies: 476 </w:t>
      </w:r>
    </w:p>
    <w:p w:rsidR="00122303" w:rsidRDefault="001D5D99">
      <w:pPr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Limits: human </w:t>
      </w:r>
    </w:p>
    <w:p w:rsidR="00122303" w:rsidRDefault="001D5D99">
      <w:pPr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Number of studies after applying limits: 271</w:t>
      </w:r>
    </w:p>
    <w:p w:rsidR="00122303" w:rsidRDefault="00122303">
      <w:pPr>
        <w:rPr>
          <w:rFonts w:ascii="Times New Roman" w:hAnsi="Times New Roman" w:cs="Times New Roman"/>
          <w:sz w:val="22"/>
        </w:rPr>
      </w:pPr>
    </w:p>
    <w:p w:rsidR="00122303" w:rsidRDefault="00122303">
      <w:pPr>
        <w:rPr>
          <w:rFonts w:ascii="Times New Roman" w:hAnsi="Times New Roman" w:cs="Times New Roman"/>
          <w:b/>
          <w:sz w:val="22"/>
        </w:rPr>
      </w:pPr>
    </w:p>
    <w:p w:rsidR="00122303" w:rsidRDefault="001D5D99">
      <w:pPr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PUBMED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6169"/>
      </w:tblGrid>
      <w:tr w:rsidR="00122303">
        <w:trPr>
          <w:trHeight w:val="520"/>
        </w:trPr>
        <w:tc>
          <w:tcPr>
            <w:tcW w:w="2127" w:type="dxa"/>
          </w:tcPr>
          <w:p w:rsidR="00122303" w:rsidRDefault="00122303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6169" w:type="dxa"/>
          </w:tcPr>
          <w:p w:rsidR="00122303" w:rsidRDefault="001D5D99">
            <w:pPr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Descriptors</w:t>
            </w:r>
          </w:p>
        </w:tc>
      </w:tr>
      <w:tr w:rsidR="00122303">
        <w:trPr>
          <w:trHeight w:val="829"/>
        </w:trPr>
        <w:tc>
          <w:tcPr>
            <w:tcW w:w="2127" w:type="dxa"/>
          </w:tcPr>
          <w:p w:rsidR="00122303" w:rsidRDefault="00122303">
            <w:pPr>
              <w:rPr>
                <w:rFonts w:ascii="Times New Roman" w:hAnsi="Times New Roman" w:cs="Times New Roman"/>
              </w:rPr>
            </w:pPr>
          </w:p>
          <w:p w:rsidR="00122303" w:rsidRDefault="001D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#1</w:t>
            </w:r>
          </w:p>
        </w:tc>
        <w:tc>
          <w:tcPr>
            <w:tcW w:w="6169" w:type="dxa"/>
          </w:tcPr>
          <w:p w:rsidR="00122303" w:rsidRDefault="001D5D99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Me(“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o</w:t>
            </w:r>
            <w:r>
              <w:rPr>
                <w:rFonts w:ascii="Times New Roman" w:eastAsia="宋体" w:hAnsi="Times New Roman" w:cs="Times New Roman"/>
                <w:sz w:val="22"/>
              </w:rPr>
              <w:t>live oil</w:t>
            </w:r>
            <w:r>
              <w:rPr>
                <w:rFonts w:ascii="Times New Roman" w:eastAsia="Times New Roman" w:hAnsi="Times New Roman" w:cs="Times New Roman"/>
                <w:sz w:val="22"/>
              </w:rPr>
              <w:t>”) OR (“</w:t>
            </w:r>
            <w:r>
              <w:rPr>
                <w:rFonts w:ascii="Times New Roman" w:eastAsia="宋体" w:hAnsi="Times New Roman" w:cs="Times New Roman"/>
                <w:sz w:val="22"/>
              </w:rPr>
              <w:t>lucca oil</w:t>
            </w:r>
            <w:r>
              <w:rPr>
                <w:rFonts w:ascii="Times New Roman" w:eastAsia="Times New Roman" w:hAnsi="Times New Roman" w:cs="Times New Roman"/>
                <w:sz w:val="22"/>
              </w:rPr>
              <w:t>”) OR (“</w:t>
            </w:r>
            <w:r>
              <w:rPr>
                <w:rFonts w:ascii="Times New Roman" w:eastAsia="宋体" w:hAnsi="Times New Roman" w:cs="Times New Roman"/>
                <w:sz w:val="22"/>
              </w:rPr>
              <w:t>MUFAs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” ) OR (“Florence oil” ) OR ( “OO” ) OR ( “EVOO” ) </w:t>
            </w:r>
          </w:p>
        </w:tc>
      </w:tr>
      <w:tr w:rsidR="00122303">
        <w:trPr>
          <w:trHeight w:val="984"/>
        </w:trPr>
        <w:tc>
          <w:tcPr>
            <w:tcW w:w="2127" w:type="dxa"/>
          </w:tcPr>
          <w:p w:rsidR="00122303" w:rsidRDefault="00122303">
            <w:pPr>
              <w:rPr>
                <w:rFonts w:ascii="Times New Roman" w:hAnsi="Times New Roman" w:cs="Times New Roman"/>
                <w:sz w:val="22"/>
              </w:rPr>
            </w:pPr>
          </w:p>
          <w:p w:rsidR="00122303" w:rsidRDefault="001D5D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#2</w:t>
            </w:r>
          </w:p>
        </w:tc>
        <w:tc>
          <w:tcPr>
            <w:tcW w:w="6169" w:type="dxa"/>
          </w:tcPr>
          <w:p w:rsidR="00122303" w:rsidRDefault="001D5D99">
            <w:pPr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Me (“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d</w:t>
            </w:r>
            <w:r>
              <w:rPr>
                <w:rFonts w:ascii="Times New Roman" w:eastAsia="宋体" w:hAnsi="Times New Roman" w:cs="Times New Roman"/>
                <w:sz w:val="22"/>
              </w:rPr>
              <w:t>iabetes</w:t>
            </w:r>
            <w:r>
              <w:rPr>
                <w:rFonts w:ascii="Times New Roman" w:eastAsia="Times New Roman" w:hAnsi="Times New Roman" w:cs="Times New Roman"/>
                <w:sz w:val="22"/>
              </w:rPr>
              <w:t>”) OR (“</w:t>
            </w:r>
            <w:r>
              <w:rPr>
                <w:rFonts w:ascii="Times New Roman" w:eastAsia="宋体" w:hAnsi="Times New Roman" w:cs="Times New Roman"/>
                <w:sz w:val="22"/>
              </w:rPr>
              <w:t>blood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2"/>
              </w:rPr>
              <w:t>glucose</w:t>
            </w:r>
            <w:r>
              <w:rPr>
                <w:rFonts w:ascii="Times New Roman" w:eastAsia="Times New Roman" w:hAnsi="Times New Roman" w:cs="Times New Roman"/>
                <w:sz w:val="22"/>
              </w:rPr>
              <w:t>”) OR ( “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T2D</w:t>
            </w:r>
            <w:r>
              <w:rPr>
                <w:rFonts w:ascii="Times New Roman" w:eastAsia="Times New Roman" w:hAnsi="Times New Roman" w:cs="Times New Roman"/>
                <w:sz w:val="22"/>
              </w:rPr>
              <w:t>”) OR (“</w:t>
            </w:r>
            <w:r>
              <w:rPr>
                <w:rFonts w:ascii="Times New Roman" w:eastAsia="宋体" w:hAnsi="Times New Roman" w:cs="Times New Roman"/>
                <w:sz w:val="22"/>
              </w:rPr>
              <w:t>glycemic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” ) OR ( “diabetes mellitus” ) OR (“glycuresis” ) OR (“blood sugar”) </w:t>
            </w:r>
          </w:p>
        </w:tc>
      </w:tr>
      <w:tr w:rsidR="00122303">
        <w:trPr>
          <w:trHeight w:val="416"/>
        </w:trPr>
        <w:tc>
          <w:tcPr>
            <w:tcW w:w="2127" w:type="dxa"/>
          </w:tcPr>
          <w:p w:rsidR="00122303" w:rsidRDefault="001D5D99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</w:rPr>
              <w:t>#3</w:t>
            </w:r>
          </w:p>
        </w:tc>
        <w:tc>
          <w:tcPr>
            <w:tcW w:w="6169" w:type="dxa"/>
          </w:tcPr>
          <w:p w:rsidR="00122303" w:rsidRDefault="001D5D99">
            <w:pPr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#4 #1 AND #2</w:t>
            </w:r>
          </w:p>
        </w:tc>
      </w:tr>
    </w:tbl>
    <w:p w:rsidR="00122303" w:rsidRDefault="00122303">
      <w:pPr>
        <w:rPr>
          <w:rFonts w:ascii="Times New Roman" w:hAnsi="Times New Roman" w:cs="Times New Roman"/>
          <w:b/>
          <w:sz w:val="22"/>
        </w:rPr>
      </w:pPr>
    </w:p>
    <w:p w:rsidR="00122303" w:rsidRDefault="001D5D99">
      <w:pPr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Number of localized studies: 1351 </w:t>
      </w:r>
    </w:p>
    <w:p w:rsidR="00122303" w:rsidRDefault="001D5D99">
      <w:pPr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Limits: human</w:t>
      </w:r>
    </w:p>
    <w:p w:rsidR="00122303" w:rsidRDefault="001D5D99">
      <w:pPr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Number of studies after applying limits: 752</w:t>
      </w:r>
    </w:p>
    <w:p w:rsidR="00122303" w:rsidRDefault="00122303">
      <w:pPr>
        <w:rPr>
          <w:rFonts w:ascii="Times New Roman" w:eastAsia="Times New Roman" w:hAnsi="Times New Roman" w:cs="Times New Roman"/>
          <w:sz w:val="22"/>
        </w:rPr>
      </w:pPr>
    </w:p>
    <w:p w:rsidR="00122303" w:rsidRDefault="00122303">
      <w:pPr>
        <w:rPr>
          <w:rFonts w:ascii="Times New Roman" w:eastAsia="Times New Roman" w:hAnsi="Times New Roman" w:cs="Times New Roman"/>
          <w:sz w:val="22"/>
        </w:rPr>
      </w:pPr>
    </w:p>
    <w:p w:rsidR="00122303" w:rsidRDefault="00122303">
      <w:pPr>
        <w:rPr>
          <w:rFonts w:ascii="Times New Roman" w:eastAsia="Times New Roman" w:hAnsi="Times New Roman" w:cs="Times New Roman"/>
          <w:sz w:val="22"/>
        </w:rPr>
      </w:pPr>
    </w:p>
    <w:p w:rsidR="00122303" w:rsidRDefault="00122303">
      <w:pPr>
        <w:rPr>
          <w:rFonts w:ascii="Times New Roman" w:eastAsia="Times New Roman" w:hAnsi="Times New Roman" w:cs="Times New Roman"/>
          <w:sz w:val="22"/>
        </w:rPr>
      </w:pPr>
    </w:p>
    <w:p w:rsidR="00122303" w:rsidRDefault="00122303">
      <w:pPr>
        <w:rPr>
          <w:rFonts w:ascii="Times New Roman" w:eastAsia="Times New Roman" w:hAnsi="Times New Roman" w:cs="Times New Roman"/>
          <w:sz w:val="22"/>
        </w:rPr>
      </w:pPr>
    </w:p>
    <w:p w:rsidR="00122303" w:rsidRDefault="00122303">
      <w:pPr>
        <w:rPr>
          <w:rFonts w:ascii="Times New Roman" w:eastAsia="Times New Roman" w:hAnsi="Times New Roman" w:cs="Times New Roman"/>
          <w:sz w:val="22"/>
        </w:rPr>
      </w:pPr>
    </w:p>
    <w:p w:rsidR="00122303" w:rsidRDefault="00122303">
      <w:pPr>
        <w:rPr>
          <w:rFonts w:ascii="Times New Roman" w:hAnsi="Times New Roman" w:cs="Times New Roman"/>
          <w:b/>
          <w:sz w:val="22"/>
        </w:rPr>
      </w:pPr>
    </w:p>
    <w:p w:rsidR="00122303" w:rsidRDefault="001D5D99">
      <w:pPr>
        <w:widowControl/>
        <w:spacing w:line="3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de-D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lang w:bidi="en-US"/>
        </w:rPr>
        <w:lastRenderedPageBreak/>
        <w:t>Table 2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lang w:bidi="en-US"/>
        </w:rPr>
        <w:t xml:space="preserve">  Quality assessment of included RCT studies based on the Cochrane guidelines</w:t>
      </w:r>
    </w:p>
    <w:tbl>
      <w:tblPr>
        <w:tblpPr w:leftFromText="180" w:rightFromText="180" w:vertAnchor="text" w:horzAnchor="page" w:tblpXSpec="center" w:tblpY="31"/>
        <w:tblOverlap w:val="never"/>
        <w:tblW w:w="970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0"/>
        <w:gridCol w:w="1090"/>
        <w:gridCol w:w="1150"/>
        <w:gridCol w:w="1220"/>
        <w:gridCol w:w="1120"/>
        <w:gridCol w:w="1070"/>
        <w:gridCol w:w="960"/>
        <w:gridCol w:w="1160"/>
      </w:tblGrid>
      <w:tr w:rsidR="00122303">
        <w:trPr>
          <w:trHeight w:val="312"/>
          <w:jc w:val="center"/>
        </w:trPr>
        <w:tc>
          <w:tcPr>
            <w:tcW w:w="19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ECE1"/>
            <w:tcMar>
              <w:top w:w="12" w:type="dxa"/>
              <w:left w:w="12" w:type="dxa"/>
              <w:right w:w="12" w:type="dxa"/>
            </w:tcMar>
            <w:vAlign w:val="center"/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Study</w:t>
            </w:r>
          </w:p>
        </w:tc>
        <w:tc>
          <w:tcPr>
            <w:tcW w:w="10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ECE1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Random 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  <w:t>equence</w:t>
            </w:r>
          </w:p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  <w:t>generation</w:t>
            </w:r>
          </w:p>
        </w:tc>
        <w:tc>
          <w:tcPr>
            <w:tcW w:w="11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ECE1"/>
            <w:tcMar>
              <w:top w:w="12" w:type="dxa"/>
              <w:left w:w="12" w:type="dxa"/>
              <w:right w:w="12" w:type="dxa"/>
            </w:tcMar>
            <w:vAlign w:val="center"/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Allocations</w:t>
            </w:r>
          </w:p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concealment</w:t>
            </w: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ECE1"/>
            <w:tcMar>
              <w:top w:w="12" w:type="dxa"/>
              <w:left w:w="12" w:type="dxa"/>
              <w:right w:w="12" w:type="dxa"/>
            </w:tcMar>
            <w:vAlign w:val="center"/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  <w:t>Blinding of participants</w:t>
            </w:r>
          </w:p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  <w:t>and personnel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ECE1"/>
            <w:tcMar>
              <w:top w:w="12" w:type="dxa"/>
              <w:left w:w="12" w:type="dxa"/>
              <w:right w:w="12" w:type="dxa"/>
            </w:tcMar>
            <w:vAlign w:val="center"/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  <w:t>Blinding of outcome assessment</w:t>
            </w:r>
          </w:p>
        </w:tc>
        <w:tc>
          <w:tcPr>
            <w:tcW w:w="10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ECE1"/>
            <w:tcMar>
              <w:top w:w="12" w:type="dxa"/>
              <w:left w:w="12" w:type="dxa"/>
              <w:right w:w="12" w:type="dxa"/>
            </w:tcMar>
            <w:vAlign w:val="center"/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Incomplete outcome data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ECE1"/>
            <w:tcMar>
              <w:top w:w="12" w:type="dxa"/>
              <w:left w:w="12" w:type="dxa"/>
              <w:right w:w="12" w:type="dxa"/>
            </w:tcMar>
            <w:vAlign w:val="center"/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  <w:t>Selective outcome reporting</w:t>
            </w:r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ECE1"/>
            <w:tcMar>
              <w:top w:w="12" w:type="dxa"/>
              <w:left w:w="12" w:type="dxa"/>
              <w:right w:w="12" w:type="dxa"/>
            </w:tcMar>
            <w:vAlign w:val="center"/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  <w:t>Other potential sources of bias</w:t>
            </w:r>
          </w:p>
        </w:tc>
      </w:tr>
      <w:tr w:rsidR="00122303">
        <w:trPr>
          <w:trHeight w:val="312"/>
          <w:jc w:val="center"/>
        </w:trPr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  <w:textDirection w:val="lrTbV"/>
          </w:tcPr>
          <w:p w:rsidR="00122303" w:rsidRDefault="001D5D99">
            <w:pPr>
              <w:widowControl/>
              <w:textAlignment w:val="center"/>
              <w:rPr>
                <w:rFonts w:ascii="Palatino Linotype" w:hAnsi="Palatino Linotype" w:cs="Times New Roman"/>
                <w:color w:val="000000"/>
                <w:sz w:val="16"/>
                <w:szCs w:val="16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sz w:val="16"/>
                <w:szCs w:val="16"/>
              </w:rPr>
              <w:t>Santos Lozano et al, 2019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</w:tr>
      <w:tr w:rsidR="00122303">
        <w:trPr>
          <w:trHeight w:val="312"/>
          <w:jc w:val="center"/>
        </w:trPr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textAlignment w:val="center"/>
              <w:rPr>
                <w:rFonts w:ascii="Palatino Linotype" w:eastAsia="Times New Roman" w:hAnsi="Palatino Linotype" w:cs="Times New Roman"/>
                <w:color w:val="000000"/>
                <w:sz w:val="16"/>
                <w:szCs w:val="16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sz w:val="16"/>
                <w:szCs w:val="16"/>
              </w:rPr>
              <w:t>Salas-Salvado et al, 2014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</w:tr>
      <w:tr w:rsidR="00122303">
        <w:trPr>
          <w:trHeight w:val="312"/>
          <w:jc w:val="center"/>
        </w:trPr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  <w:textDirection w:val="lrTbV"/>
          </w:tcPr>
          <w:p w:rsidR="00122303" w:rsidRDefault="001D5D99">
            <w:pPr>
              <w:widowControl/>
              <w:spacing w:line="340" w:lineRule="atLeas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sz w:val="16"/>
                <w:szCs w:val="16"/>
              </w:rPr>
              <w:t>Carla Assaf-Balut et al,2017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</w:tr>
      <w:tr w:rsidR="00122303">
        <w:trPr>
          <w:trHeight w:val="312"/>
          <w:jc w:val="center"/>
        </w:trPr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  <w:textDirection w:val="lrTbV"/>
          </w:tcPr>
          <w:p w:rsidR="00122303" w:rsidRDefault="001D5D99">
            <w:pPr>
              <w:widowControl/>
              <w:textAlignment w:val="center"/>
              <w:rPr>
                <w:rFonts w:ascii="Palatino Linotype" w:eastAsia="Times New Roman" w:hAnsi="Palatino Linotype" w:cs="Times New Roman"/>
                <w:color w:val="000000"/>
                <w:sz w:val="16"/>
                <w:szCs w:val="16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sz w:val="16"/>
                <w:szCs w:val="16"/>
              </w:rPr>
              <w:t>Jesús F,et al,2023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</w:tr>
      <w:tr w:rsidR="00122303">
        <w:trPr>
          <w:trHeight w:val="312"/>
          <w:jc w:val="center"/>
        </w:trPr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textAlignment w:val="center"/>
              <w:rPr>
                <w:rFonts w:ascii="Palatino Linotype" w:eastAsia="Times New Roman" w:hAnsi="Palatino Linotype" w:cs="Times New Roman"/>
                <w:color w:val="000000"/>
                <w:sz w:val="16"/>
                <w:szCs w:val="16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sz w:val="16"/>
                <w:szCs w:val="16"/>
              </w:rPr>
              <w:t>Salas-Salvadó J, et al, 2014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</w:tr>
      <w:tr w:rsidR="00122303">
        <w:trPr>
          <w:trHeight w:val="312"/>
          <w:jc w:val="center"/>
        </w:trPr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" w:type="dxa"/>
              <w:left w:w="12" w:type="dxa"/>
              <w:right w:w="12" w:type="dxa"/>
            </w:tcMar>
            <w:textDirection w:val="lrTbV"/>
          </w:tcPr>
          <w:p w:rsidR="00122303" w:rsidRDefault="001D5D99">
            <w:pPr>
              <w:widowControl/>
              <w:spacing w:line="340" w:lineRule="atLeas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sz w:val="16"/>
                <w:szCs w:val="16"/>
              </w:rPr>
              <w:t>Zhao, et al,2021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L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U</w:t>
            </w:r>
          </w:p>
        </w:tc>
      </w:tr>
    </w:tbl>
    <w:p w:rsidR="00122303" w:rsidRDefault="001D5D99">
      <w:pPr>
        <w:widowControl/>
        <w:spacing w:line="340" w:lineRule="atLeast"/>
        <w:jc w:val="lef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bidi="en-US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bidi="en-US"/>
        </w:rPr>
        <w:t>L: low risk of bias; H: high risk of bias; U: unclear risk of bias.</w:t>
      </w:r>
    </w:p>
    <w:p w:rsidR="00122303" w:rsidRPr="004C6503" w:rsidRDefault="00122303">
      <w:pPr>
        <w:widowControl/>
        <w:spacing w:line="340" w:lineRule="atLeast"/>
        <w:jc w:val="left"/>
        <w:rPr>
          <w:rFonts w:ascii="Times New Roman" w:hAnsi="Times New Roman" w:cs="Times New Roman"/>
          <w:color w:val="000000"/>
          <w:kern w:val="0"/>
          <w:sz w:val="20"/>
          <w:szCs w:val="20"/>
          <w:lang w:bidi="en-US"/>
        </w:rPr>
      </w:pPr>
    </w:p>
    <w:p w:rsidR="00122303" w:rsidRDefault="00122303">
      <w:pPr>
        <w:widowControl/>
        <w:spacing w:line="340" w:lineRule="atLeast"/>
        <w:jc w:val="left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de-DE"/>
        </w:rPr>
      </w:pPr>
    </w:p>
    <w:p w:rsidR="00122303" w:rsidRDefault="001D5D99">
      <w:pPr>
        <w:widowControl/>
        <w:spacing w:line="34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de-D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lang w:bidi="en-US"/>
        </w:rPr>
        <w:t>Table 3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lang w:bidi="en-US"/>
        </w:rPr>
        <w:t xml:space="preserve">  Quality assessment of included Cohort studies based on NOS guidelines</w:t>
      </w:r>
    </w:p>
    <w:tbl>
      <w:tblPr>
        <w:tblpPr w:leftFromText="180" w:rightFromText="180" w:vertAnchor="text" w:horzAnchor="page" w:tblpXSpec="center" w:tblpY="31"/>
        <w:tblOverlap w:val="never"/>
        <w:tblW w:w="854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2043"/>
        <w:gridCol w:w="1359"/>
        <w:gridCol w:w="981"/>
        <w:gridCol w:w="1070"/>
        <w:gridCol w:w="960"/>
      </w:tblGrid>
      <w:tr w:rsidR="00122303">
        <w:trPr>
          <w:trHeight w:val="312"/>
          <w:jc w:val="center"/>
        </w:trPr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ECE1"/>
            <w:tcMar>
              <w:top w:w="12" w:type="dxa"/>
              <w:left w:w="12" w:type="dxa"/>
              <w:right w:w="12" w:type="dxa"/>
            </w:tcMar>
            <w:vAlign w:val="center"/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Study</w:t>
            </w:r>
          </w:p>
        </w:tc>
        <w:tc>
          <w:tcPr>
            <w:tcW w:w="20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ECE1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S</w:t>
            </w:r>
            <w:r>
              <w:rPr>
                <w:rFonts w:ascii="Times New Roman" w:eastAsia="Times New Roman" w:hAnsi="Times New Roman" w:cs="Times New Roman" w:hint="eastAsia"/>
                <w:color w:val="000000"/>
                <w:sz w:val="22"/>
              </w:rPr>
              <w:t>election</w:t>
            </w:r>
          </w:p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(0-4)</w:t>
            </w:r>
          </w:p>
        </w:tc>
        <w:tc>
          <w:tcPr>
            <w:tcW w:w="13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ECE1"/>
            <w:tcMar>
              <w:top w:w="12" w:type="dxa"/>
              <w:left w:w="12" w:type="dxa"/>
              <w:right w:w="12" w:type="dxa"/>
            </w:tcMar>
            <w:vAlign w:val="center"/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C</w:t>
            </w:r>
            <w:r>
              <w:rPr>
                <w:rFonts w:ascii="Times New Roman" w:eastAsia="Times New Roman" w:hAnsi="Times New Roman" w:cs="Times New Roman" w:hint="eastAsia"/>
                <w:color w:val="000000"/>
                <w:sz w:val="22"/>
              </w:rPr>
              <w:t>omparability</w:t>
            </w:r>
          </w:p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(0-2)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ECE1"/>
            <w:tcMar>
              <w:top w:w="12" w:type="dxa"/>
              <w:left w:w="12" w:type="dxa"/>
              <w:right w:w="12" w:type="dxa"/>
            </w:tcMar>
            <w:vAlign w:val="center"/>
          </w:tcPr>
          <w:p w:rsidR="00122303" w:rsidRDefault="00122303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</w:p>
        </w:tc>
        <w:tc>
          <w:tcPr>
            <w:tcW w:w="10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ECE1"/>
            <w:tcMar>
              <w:top w:w="12" w:type="dxa"/>
              <w:left w:w="12" w:type="dxa"/>
              <w:right w:w="12" w:type="dxa"/>
            </w:tcMar>
            <w:vAlign w:val="center"/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E</w:t>
            </w:r>
            <w:r>
              <w:rPr>
                <w:rFonts w:ascii="Times New Roman" w:eastAsia="Times New Roman" w:hAnsi="Times New Roman" w:cs="Times New Roman" w:hint="eastAsia"/>
                <w:color w:val="000000"/>
                <w:sz w:val="22"/>
              </w:rPr>
              <w:t>xposure</w:t>
            </w:r>
          </w:p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(0-3)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EECE1"/>
            <w:tcMar>
              <w:top w:w="12" w:type="dxa"/>
              <w:left w:w="12" w:type="dxa"/>
              <w:right w:w="12" w:type="dxa"/>
            </w:tcMar>
            <w:vAlign w:val="center"/>
          </w:tcPr>
          <w:p w:rsidR="00122303" w:rsidRDefault="00122303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</w:p>
        </w:tc>
      </w:tr>
      <w:tr w:rsidR="00122303">
        <w:trPr>
          <w:trHeight w:val="47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  <w:textDirection w:val="lrTbV"/>
          </w:tcPr>
          <w:p w:rsidR="00122303" w:rsidRDefault="001D5D99">
            <w:pPr>
              <w:widowControl/>
              <w:textAlignment w:val="center"/>
              <w:rPr>
                <w:rFonts w:ascii="Palatino Linotype" w:hAnsi="Palatino Linotype" w:cs="Times New Roman"/>
                <w:color w:val="000000"/>
                <w:sz w:val="16"/>
                <w:szCs w:val="16"/>
                <w:lang w:bidi="en-US"/>
              </w:rPr>
            </w:pPr>
            <w:r>
              <w:rPr>
                <w:rFonts w:ascii="Palatino Linotype" w:hAnsi="Palatino Linotype" w:cs="Times New Roman"/>
                <w:color w:val="000000"/>
                <w:sz w:val="16"/>
                <w:szCs w:val="16"/>
                <w:lang w:bidi="en-US"/>
              </w:rPr>
              <w:t>Guasch Ferre et al, 2015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22303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22303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</w:p>
        </w:tc>
      </w:tr>
      <w:tr w:rsidR="00122303">
        <w:trPr>
          <w:trHeight w:val="312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textAlignment w:val="center"/>
              <w:rPr>
                <w:rFonts w:ascii="Palatino Linotype" w:eastAsia="Times New Roman" w:hAnsi="Palatino Linotype" w:cs="Times New Roman"/>
                <w:color w:val="000000"/>
                <w:sz w:val="16"/>
                <w:szCs w:val="16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sz w:val="16"/>
                <w:szCs w:val="16"/>
                <w:lang w:bidi="en-US"/>
              </w:rPr>
              <w:t>Guasch Ferre et al, 201</w:t>
            </w:r>
            <w:r>
              <w:rPr>
                <w:rFonts w:ascii="Palatino Linotype" w:eastAsia="Times New Roman" w:hAnsi="Palatino Linotype" w:cs="Times New Roman" w:hint="eastAsia"/>
                <w:color w:val="000000"/>
                <w:sz w:val="16"/>
                <w:szCs w:val="16"/>
                <w:lang w:bidi="en-US"/>
              </w:rPr>
              <w:t>8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22303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22303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</w:p>
        </w:tc>
      </w:tr>
      <w:tr w:rsidR="00122303">
        <w:trPr>
          <w:trHeight w:val="312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tcMar>
              <w:top w:w="12" w:type="dxa"/>
              <w:left w:w="12" w:type="dxa"/>
              <w:right w:w="12" w:type="dxa"/>
            </w:tcMar>
            <w:textDirection w:val="lrTbV"/>
          </w:tcPr>
          <w:p w:rsidR="00122303" w:rsidRDefault="001D5D99">
            <w:pPr>
              <w:widowControl/>
              <w:spacing w:line="340" w:lineRule="atLeast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Mari-Sanchis et al, 2011</w:t>
            </w:r>
          </w:p>
        </w:tc>
        <w:tc>
          <w:tcPr>
            <w:tcW w:w="2043" w:type="dxa"/>
            <w:tcBorders>
              <w:top w:val="nil"/>
              <w:left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2</w:t>
            </w:r>
          </w:p>
        </w:tc>
        <w:tc>
          <w:tcPr>
            <w:tcW w:w="1359" w:type="dxa"/>
            <w:tcBorders>
              <w:top w:val="nil"/>
              <w:left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22303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</w:p>
        </w:tc>
        <w:tc>
          <w:tcPr>
            <w:tcW w:w="1070" w:type="dxa"/>
            <w:tcBorders>
              <w:top w:val="nil"/>
              <w:left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22303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</w:p>
        </w:tc>
      </w:tr>
      <w:tr w:rsidR="00122303">
        <w:trPr>
          <w:trHeight w:val="312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" w:type="dxa"/>
              <w:left w:w="12" w:type="dxa"/>
              <w:right w:w="12" w:type="dxa"/>
            </w:tcMar>
            <w:textDirection w:val="lrTbV"/>
          </w:tcPr>
          <w:p w:rsidR="00122303" w:rsidRDefault="001D5D99">
            <w:pPr>
              <w:widowControl/>
              <w:textAlignment w:val="center"/>
              <w:rPr>
                <w:rFonts w:ascii="Palatino Linotype" w:eastAsia="Times New Roman" w:hAnsi="Palatino Linotype" w:cs="Times New Roman"/>
                <w:color w:val="000000"/>
                <w:sz w:val="16"/>
                <w:szCs w:val="16"/>
                <w:lang w:bidi="en-US"/>
              </w:rPr>
            </w:pPr>
            <w:r>
              <w:rPr>
                <w:rFonts w:ascii="Palatino Linotype" w:eastAsia="Times New Roman" w:hAnsi="Palatino Linotype" w:cs="Times New Roman"/>
                <w:color w:val="000000"/>
                <w:sz w:val="16"/>
                <w:szCs w:val="16"/>
                <w:lang w:bidi="en-US"/>
              </w:rPr>
              <w:t>Romaguera</w:t>
            </w:r>
            <w:r>
              <w:rPr>
                <w:rFonts w:ascii="Palatino Linotype" w:hAnsi="Palatino Linotype" w:cs="Times New Roman" w:hint="eastAsia"/>
                <w:color w:val="000000"/>
                <w:sz w:val="16"/>
                <w:szCs w:val="16"/>
                <w:lang w:bidi="en-US"/>
              </w:rPr>
              <w:t xml:space="preserve"> </w:t>
            </w:r>
            <w:r>
              <w:rPr>
                <w:rFonts w:ascii="Palatino Linotype" w:eastAsia="Times New Roman" w:hAnsi="Palatino Linotype" w:cs="Times New Roman"/>
                <w:color w:val="000000"/>
                <w:sz w:val="16"/>
                <w:szCs w:val="16"/>
                <w:lang w:bidi="en-US"/>
              </w:rPr>
              <w:t>et al, 2011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  <w:lang w:bidi="en-US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22303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D5D99">
            <w:pPr>
              <w:widowControl/>
              <w:spacing w:line="340" w:lineRule="atLeast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:lang w:bidi="en-US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2" w:type="dxa"/>
              <w:left w:w="12" w:type="dxa"/>
              <w:right w:w="12" w:type="dxa"/>
            </w:tcMar>
          </w:tcPr>
          <w:p w:rsidR="00122303" w:rsidRDefault="00122303">
            <w:pPr>
              <w:widowControl/>
              <w:spacing w:line="34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US" w:bidi="en-US"/>
              </w:rPr>
            </w:pPr>
          </w:p>
        </w:tc>
      </w:tr>
    </w:tbl>
    <w:p w:rsidR="00122303" w:rsidRDefault="00122303">
      <w:pPr>
        <w:rPr>
          <w:rFonts w:ascii="Times New Roman" w:hAnsi="Times New Roman" w:cs="Times New Roman"/>
          <w:sz w:val="22"/>
        </w:rPr>
      </w:pPr>
    </w:p>
    <w:p w:rsidR="004C6503" w:rsidRDefault="004C6503">
      <w:pPr>
        <w:rPr>
          <w:rFonts w:ascii="Times New Roman" w:hAnsi="Times New Roman" w:cs="Times New Roman"/>
          <w:sz w:val="22"/>
        </w:rPr>
      </w:pPr>
    </w:p>
    <w:p w:rsidR="004C6503" w:rsidRPr="004C6503" w:rsidRDefault="004C6503" w:rsidP="004C6503">
      <w:pPr>
        <w:rPr>
          <w:rFonts w:ascii="Times New Roman" w:hAnsi="Times New Roman" w:cs="Times New Roman"/>
          <w:bCs/>
          <w:sz w:val="22"/>
          <w:lang w:bidi="en-US"/>
        </w:rPr>
      </w:pPr>
      <w:r w:rsidRPr="004C6503">
        <w:rPr>
          <w:rFonts w:ascii="Times New Roman" w:hAnsi="Times New Roman" w:cs="Times New Roman"/>
          <w:b/>
          <w:bCs/>
          <w:sz w:val="22"/>
          <w:lang w:bidi="en-US"/>
        </w:rPr>
        <w:t xml:space="preserve">Table </w:t>
      </w:r>
      <w:r>
        <w:rPr>
          <w:rFonts w:ascii="Times New Roman" w:hAnsi="Times New Roman" w:cs="Times New Roman"/>
          <w:b/>
          <w:bCs/>
          <w:sz w:val="22"/>
          <w:lang w:bidi="en-US"/>
        </w:rPr>
        <w:t>4</w:t>
      </w:r>
      <w:r w:rsidRPr="004C6503">
        <w:rPr>
          <w:rFonts w:ascii="Times New Roman" w:hAnsi="Times New Roman" w:cs="Times New Roman"/>
          <w:b/>
          <w:bCs/>
          <w:sz w:val="22"/>
          <w:lang w:bidi="en-US"/>
        </w:rPr>
        <w:t xml:space="preserve">  </w:t>
      </w:r>
      <w:r w:rsidRPr="004C6503">
        <w:rPr>
          <w:rFonts w:ascii="Times New Roman" w:hAnsi="Times New Roman" w:cs="Times New Roman"/>
          <w:bCs/>
          <w:sz w:val="22"/>
          <w:lang w:bidi="en-US"/>
        </w:rPr>
        <w:t>Summary of findings and quality of evidence assessment using GRADE approach</w:t>
      </w:r>
    </w:p>
    <w:tbl>
      <w:tblPr>
        <w:tblStyle w:val="a7"/>
        <w:tblW w:w="9980" w:type="dxa"/>
        <w:tblInd w:w="-885" w:type="dxa"/>
        <w:tblLook w:val="04A0" w:firstRow="1" w:lastRow="0" w:firstColumn="1" w:lastColumn="0" w:noHBand="0" w:noVBand="1"/>
      </w:tblPr>
      <w:tblGrid>
        <w:gridCol w:w="828"/>
        <w:gridCol w:w="1023"/>
        <w:gridCol w:w="1188"/>
        <w:gridCol w:w="840"/>
        <w:gridCol w:w="1426"/>
        <w:gridCol w:w="1279"/>
        <w:gridCol w:w="1267"/>
        <w:gridCol w:w="1219"/>
        <w:gridCol w:w="1059"/>
      </w:tblGrid>
      <w:tr w:rsidR="004C6503" w:rsidRPr="004C6503" w:rsidTr="00A37B0E">
        <w:trPr>
          <w:cantSplit/>
          <w:trHeight w:val="615"/>
        </w:trPr>
        <w:tc>
          <w:tcPr>
            <w:tcW w:w="965" w:type="dxa"/>
            <w:vMerge w:val="restart"/>
            <w:shd w:val="clear" w:color="auto" w:fill="D9D9D9" w:themeFill="background1" w:themeFillShade="D9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 w:hint="eastAsia"/>
                <w:sz w:val="22"/>
                <w:lang w:bidi="en-US"/>
              </w:rPr>
              <w:t>S</w:t>
            </w: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tudy design</w:t>
            </w:r>
          </w:p>
        </w:tc>
        <w:tc>
          <w:tcPr>
            <w:tcW w:w="2537" w:type="dxa"/>
            <w:gridSpan w:val="2"/>
            <w:shd w:val="clear" w:color="auto" w:fill="D9D9D9" w:themeFill="background1" w:themeFillShade="D9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 w:hint="eastAsia"/>
                <w:sz w:val="22"/>
                <w:lang w:bidi="en-US"/>
              </w:rPr>
              <w:t>S</w:t>
            </w: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ummary findings</w:t>
            </w:r>
          </w:p>
        </w:tc>
        <w:tc>
          <w:tcPr>
            <w:tcW w:w="6478" w:type="dxa"/>
            <w:gridSpan w:val="6"/>
            <w:shd w:val="clear" w:color="auto" w:fill="D9D9D9" w:themeFill="background1" w:themeFillShade="D9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Quality of evidence assessment( GRADE)</w:t>
            </w:r>
          </w:p>
        </w:tc>
      </w:tr>
      <w:tr w:rsidR="004C6503" w:rsidRPr="004C6503" w:rsidTr="00A37B0E">
        <w:trPr>
          <w:cantSplit/>
          <w:trHeight w:val="555"/>
        </w:trPr>
        <w:tc>
          <w:tcPr>
            <w:tcW w:w="965" w:type="dxa"/>
            <w:vMerge/>
            <w:shd w:val="clear" w:color="auto" w:fill="D9D9D9" w:themeFill="background1" w:themeFillShade="D9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</w:p>
        </w:tc>
        <w:tc>
          <w:tcPr>
            <w:tcW w:w="1419" w:type="dxa"/>
            <w:shd w:val="clear" w:color="auto" w:fill="D9D9D9" w:themeFill="background1" w:themeFillShade="D9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 w:hint="eastAsia"/>
                <w:sz w:val="22"/>
                <w:lang w:bidi="en-US"/>
              </w:rPr>
              <w:t>N</w:t>
            </w: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o of patients</w:t>
            </w:r>
          </w:p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(meta-analysis)</w:t>
            </w:r>
          </w:p>
        </w:tc>
        <w:tc>
          <w:tcPr>
            <w:tcW w:w="1117" w:type="dxa"/>
            <w:shd w:val="clear" w:color="auto" w:fill="D9D9D9" w:themeFill="background1" w:themeFillShade="D9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RR</w:t>
            </w:r>
          </w:p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(95%CI)</w:t>
            </w:r>
          </w:p>
        </w:tc>
        <w:tc>
          <w:tcPr>
            <w:tcW w:w="790" w:type="dxa"/>
            <w:shd w:val="clear" w:color="auto" w:fill="D9D9D9" w:themeFill="background1" w:themeFillShade="D9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Risk of bias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Inconsistency</w:t>
            </w:r>
          </w:p>
        </w:tc>
        <w:tc>
          <w:tcPr>
            <w:tcW w:w="1169" w:type="dxa"/>
            <w:shd w:val="clear" w:color="auto" w:fill="D9D9D9" w:themeFill="background1" w:themeFillShade="D9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 w:hint="eastAsia"/>
                <w:sz w:val="22"/>
                <w:lang w:bidi="en-US"/>
              </w:rPr>
              <w:t>I</w:t>
            </w: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ndirectness</w:t>
            </w:r>
          </w:p>
        </w:tc>
        <w:tc>
          <w:tcPr>
            <w:tcW w:w="1151" w:type="dxa"/>
            <w:shd w:val="clear" w:color="auto" w:fill="D9D9D9" w:themeFill="background1" w:themeFillShade="D9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 w:hint="eastAsia"/>
                <w:sz w:val="22"/>
                <w:lang w:bidi="en-US"/>
              </w:rPr>
              <w:t>I</w:t>
            </w: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mprecision</w:t>
            </w:r>
          </w:p>
        </w:tc>
        <w:tc>
          <w:tcPr>
            <w:tcW w:w="1108" w:type="dxa"/>
            <w:shd w:val="clear" w:color="auto" w:fill="D9D9D9" w:themeFill="background1" w:themeFillShade="D9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Publication</w:t>
            </w:r>
          </w:p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bias</w:t>
            </w:r>
          </w:p>
        </w:tc>
        <w:tc>
          <w:tcPr>
            <w:tcW w:w="972" w:type="dxa"/>
            <w:shd w:val="clear" w:color="auto" w:fill="D9D9D9" w:themeFill="background1" w:themeFillShade="D9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Quality of evidence</w:t>
            </w:r>
          </w:p>
        </w:tc>
      </w:tr>
      <w:tr w:rsidR="004C6503" w:rsidRPr="004C6503" w:rsidTr="00A37B0E">
        <w:trPr>
          <w:cantSplit/>
          <w:trHeight w:val="1125"/>
        </w:trPr>
        <w:tc>
          <w:tcPr>
            <w:tcW w:w="965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 w:hint="eastAsia"/>
                <w:sz w:val="22"/>
                <w:lang w:bidi="en-US"/>
              </w:rPr>
              <w:t>C</w:t>
            </w: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ohort</w:t>
            </w:r>
          </w:p>
        </w:tc>
        <w:tc>
          <w:tcPr>
            <w:tcW w:w="1419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21688(4)</w:t>
            </w:r>
          </w:p>
        </w:tc>
        <w:tc>
          <w:tcPr>
            <w:tcW w:w="1117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0.87</w:t>
            </w:r>
          </w:p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(0.83,0.92)</w:t>
            </w:r>
          </w:p>
        </w:tc>
        <w:tc>
          <w:tcPr>
            <w:tcW w:w="790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Not serious</w:t>
            </w:r>
          </w:p>
        </w:tc>
        <w:tc>
          <w:tcPr>
            <w:tcW w:w="1286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Not serious</w:t>
            </w:r>
          </w:p>
        </w:tc>
        <w:tc>
          <w:tcPr>
            <w:tcW w:w="1169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Serious</w:t>
            </w:r>
          </w:p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</w:p>
        </w:tc>
        <w:tc>
          <w:tcPr>
            <w:tcW w:w="1151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Not serious</w:t>
            </w:r>
          </w:p>
        </w:tc>
        <w:tc>
          <w:tcPr>
            <w:tcW w:w="1108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Not serious</w:t>
            </w:r>
          </w:p>
        </w:tc>
        <w:tc>
          <w:tcPr>
            <w:tcW w:w="972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Moderate</w:t>
            </w:r>
          </w:p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</w:p>
        </w:tc>
      </w:tr>
      <w:tr w:rsidR="004C6503" w:rsidRPr="004C6503" w:rsidTr="00A37B0E">
        <w:trPr>
          <w:cantSplit/>
          <w:trHeight w:val="1125"/>
        </w:trPr>
        <w:tc>
          <w:tcPr>
            <w:tcW w:w="965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 w:hint="eastAsia"/>
                <w:sz w:val="22"/>
                <w:lang w:bidi="en-US"/>
              </w:rPr>
              <w:t>R</w:t>
            </w: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CT</w:t>
            </w:r>
          </w:p>
        </w:tc>
        <w:tc>
          <w:tcPr>
            <w:tcW w:w="1419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2572(6)</w:t>
            </w:r>
          </w:p>
        </w:tc>
        <w:tc>
          <w:tcPr>
            <w:tcW w:w="1117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0.78</w:t>
            </w:r>
          </w:p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(0.70,0.88)</w:t>
            </w:r>
          </w:p>
        </w:tc>
        <w:tc>
          <w:tcPr>
            <w:tcW w:w="790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Not serious</w:t>
            </w:r>
          </w:p>
        </w:tc>
        <w:tc>
          <w:tcPr>
            <w:tcW w:w="1286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Not serious</w:t>
            </w:r>
          </w:p>
        </w:tc>
        <w:tc>
          <w:tcPr>
            <w:tcW w:w="1169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Serious</w:t>
            </w:r>
          </w:p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</w:p>
        </w:tc>
        <w:tc>
          <w:tcPr>
            <w:tcW w:w="1151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Not serious</w:t>
            </w:r>
          </w:p>
        </w:tc>
        <w:tc>
          <w:tcPr>
            <w:tcW w:w="1108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Not serious</w:t>
            </w:r>
          </w:p>
        </w:tc>
        <w:tc>
          <w:tcPr>
            <w:tcW w:w="972" w:type="dxa"/>
          </w:tcPr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  <w:r w:rsidRPr="004C6503">
              <w:rPr>
                <w:rFonts w:ascii="Times New Roman" w:hAnsi="Times New Roman" w:cs="Times New Roman"/>
                <w:sz w:val="22"/>
                <w:lang w:bidi="en-US"/>
              </w:rPr>
              <w:t>Moderate</w:t>
            </w:r>
          </w:p>
          <w:p w:rsidR="004C6503" w:rsidRPr="004C6503" w:rsidRDefault="004C6503" w:rsidP="004C6503">
            <w:pPr>
              <w:rPr>
                <w:rFonts w:ascii="Times New Roman" w:hAnsi="Times New Roman" w:cs="Times New Roman"/>
                <w:sz w:val="22"/>
                <w:lang w:bidi="en-US"/>
              </w:rPr>
            </w:pPr>
          </w:p>
        </w:tc>
      </w:tr>
    </w:tbl>
    <w:p w:rsidR="004C6503" w:rsidRPr="004C6503" w:rsidRDefault="004C6503" w:rsidP="004C6503">
      <w:pPr>
        <w:rPr>
          <w:rFonts w:ascii="Times New Roman" w:hAnsi="Times New Roman" w:cs="Times New Roman"/>
          <w:sz w:val="22"/>
          <w:lang w:bidi="en-US"/>
        </w:rPr>
      </w:pPr>
    </w:p>
    <w:p w:rsidR="00122303" w:rsidRDefault="00122303">
      <w:pPr>
        <w:rPr>
          <w:rFonts w:ascii="Times New Roman" w:hAnsi="Times New Roman" w:cs="Times New Roman"/>
          <w:sz w:val="22"/>
        </w:rPr>
      </w:pPr>
    </w:p>
    <w:p w:rsidR="00122303" w:rsidRDefault="001D5D99">
      <w:r>
        <w:rPr>
          <w:noProof/>
        </w:rPr>
        <w:lastRenderedPageBreak/>
        <w:drawing>
          <wp:inline distT="0" distB="0" distL="114300" distR="114300">
            <wp:extent cx="5123815" cy="375221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23815" cy="375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303" w:rsidRDefault="00122303"/>
    <w:p w:rsidR="00976373" w:rsidRPr="00141C58" w:rsidRDefault="00141C58" w:rsidP="00141C58">
      <w:pPr>
        <w:jc w:val="center"/>
        <w:rPr>
          <w:rFonts w:ascii="Times New Roman" w:hAnsi="Times New Roman" w:cs="Times New Roman"/>
        </w:rPr>
      </w:pPr>
      <w:r w:rsidRPr="00141C58">
        <w:rPr>
          <w:rFonts w:ascii="Times New Roman" w:hAnsi="Times New Roman" w:cs="Times New Roman"/>
        </w:rPr>
        <w:t>Funnel plot of publication bias</w:t>
      </w:r>
    </w:p>
    <w:p w:rsidR="00976373" w:rsidRDefault="00976373"/>
    <w:p w:rsidR="00497014" w:rsidRDefault="00497014" w:rsidP="00497014">
      <w:pPr>
        <w:rPr>
          <w:rFonts w:ascii="Times New Roman" w:eastAsia="Times New Roman" w:hAnsi="Times New Roman" w:cs="Times New Roman"/>
          <w:b/>
          <w:sz w:val="22"/>
        </w:rPr>
      </w:pPr>
    </w:p>
    <w:p w:rsidR="00497014" w:rsidRPr="00497014" w:rsidRDefault="00497014" w:rsidP="00497014">
      <w:pPr>
        <w:rPr>
          <w:rFonts w:ascii="Times New Roman" w:hAnsi="Times New Roman" w:cs="Times New Roman"/>
          <w:b/>
          <w:sz w:val="22"/>
        </w:rPr>
      </w:pPr>
      <w:r w:rsidRPr="00497014">
        <w:rPr>
          <w:rFonts w:ascii="Times New Roman" w:eastAsia="Times New Roman" w:hAnsi="Times New Roman" w:cs="Times New Roman"/>
          <w:b/>
          <w:sz w:val="22"/>
        </w:rPr>
        <w:t xml:space="preserve">The packages </w:t>
      </w:r>
      <w:r>
        <w:rPr>
          <w:rFonts w:ascii="Times New Roman" w:eastAsia="Times New Roman" w:hAnsi="Times New Roman" w:cs="Times New Roman"/>
          <w:b/>
          <w:sz w:val="22"/>
        </w:rPr>
        <w:t>used for each type of analysis:</w:t>
      </w:r>
    </w:p>
    <w:p w:rsidR="00497014" w:rsidRPr="00497014" w:rsidRDefault="00497014" w:rsidP="00497014">
      <w:pPr>
        <w:spacing w:line="360" w:lineRule="auto"/>
        <w:ind w:firstLineChars="200" w:firstLine="440"/>
        <w:rPr>
          <w:rFonts w:ascii="Times New Roman" w:eastAsia="Times New Roman" w:hAnsi="Times New Roman" w:cs="Times New Roman"/>
          <w:bCs/>
          <w:sz w:val="22"/>
          <w:lang w:bidi="en-US"/>
        </w:rPr>
      </w:pPr>
      <w:r w:rsidRPr="00497014">
        <w:rPr>
          <w:rFonts w:ascii="Times New Roman" w:eastAsia="Times New Roman" w:hAnsi="Times New Roman" w:cs="Times New Roman"/>
          <w:bCs/>
          <w:sz w:val="22"/>
          <w:lang w:bidi="en-US"/>
        </w:rPr>
        <w:t xml:space="preserve">In STATA software, we can directly call commands(packages) to achieve various results of meta-analysis, </w:t>
      </w:r>
      <w:r w:rsidR="00B41401">
        <w:rPr>
          <w:rFonts w:ascii="Times New Roman" w:eastAsia="Times New Roman" w:hAnsi="Times New Roman" w:cs="Times New Roman"/>
          <w:bCs/>
          <w:sz w:val="22"/>
          <w:lang w:bidi="en-US"/>
        </w:rPr>
        <w:t>m</w:t>
      </w:r>
      <w:r w:rsidR="00B41401" w:rsidRPr="00B41401">
        <w:rPr>
          <w:rFonts w:ascii="Times New Roman" w:eastAsia="Times New Roman" w:hAnsi="Times New Roman" w:cs="Times New Roman"/>
          <w:bCs/>
          <w:sz w:val="22"/>
          <w:lang w:bidi="en-US"/>
        </w:rPr>
        <w:t xml:space="preserve">ain packages </w:t>
      </w:r>
      <w:r w:rsidRPr="00497014">
        <w:rPr>
          <w:rFonts w:ascii="Times New Roman" w:eastAsia="Times New Roman" w:hAnsi="Times New Roman" w:cs="Times New Roman"/>
          <w:bCs/>
          <w:sz w:val="22"/>
          <w:lang w:bidi="en-US"/>
        </w:rPr>
        <w:t>such as:</w:t>
      </w:r>
    </w:p>
    <w:p w:rsidR="00497014" w:rsidRPr="00497014" w:rsidRDefault="00497014" w:rsidP="00497014">
      <w:pPr>
        <w:spacing w:line="360" w:lineRule="auto"/>
        <w:rPr>
          <w:rFonts w:ascii="Times New Roman" w:eastAsia="Times New Roman" w:hAnsi="Times New Roman" w:cs="Times New Roman"/>
          <w:sz w:val="22"/>
          <w:lang w:bidi="en-US"/>
        </w:rPr>
      </w:pPr>
      <w:r w:rsidRPr="00497014">
        <w:rPr>
          <w:rFonts w:ascii="Times New Roman" w:eastAsia="Times New Roman" w:hAnsi="Times New Roman" w:cs="Times New Roman"/>
          <w:sz w:val="22"/>
          <w:lang w:bidi="en-US"/>
        </w:rPr>
        <w:t>Forest plot: metan a b c d, rr fixed lable(namevar=author, yearvar=year)</w:t>
      </w:r>
    </w:p>
    <w:p w:rsidR="00497014" w:rsidRPr="00497014" w:rsidRDefault="00497014" w:rsidP="00497014">
      <w:pPr>
        <w:spacing w:line="360" w:lineRule="auto"/>
        <w:rPr>
          <w:rFonts w:ascii="Times New Roman" w:eastAsia="Times New Roman" w:hAnsi="Times New Roman" w:cs="Times New Roman"/>
          <w:sz w:val="22"/>
          <w:lang w:bidi="en-US"/>
        </w:rPr>
      </w:pPr>
      <w:r w:rsidRPr="00497014">
        <w:rPr>
          <w:rFonts w:ascii="Times New Roman" w:eastAsia="Times New Roman" w:hAnsi="Times New Roman" w:cs="Times New Roman"/>
          <w:sz w:val="22"/>
          <w:lang w:bidi="en-US"/>
        </w:rPr>
        <w:t>Funnel plot: metafunnel _ES _selogES</w:t>
      </w:r>
    </w:p>
    <w:p w:rsidR="00497014" w:rsidRPr="00497014" w:rsidRDefault="00497014" w:rsidP="00497014">
      <w:pPr>
        <w:spacing w:line="360" w:lineRule="auto"/>
        <w:rPr>
          <w:rFonts w:ascii="Times New Roman" w:eastAsia="Times New Roman" w:hAnsi="Times New Roman" w:cs="Times New Roman"/>
          <w:sz w:val="22"/>
          <w:lang w:bidi="en-US"/>
        </w:rPr>
      </w:pPr>
      <w:r w:rsidRPr="00497014">
        <w:rPr>
          <w:rFonts w:ascii="Times New Roman" w:eastAsia="Times New Roman" w:hAnsi="Times New Roman" w:cs="Times New Roman"/>
          <w:sz w:val="22"/>
          <w:lang w:bidi="en-US"/>
        </w:rPr>
        <w:t>Sensitivity analysis: metaninf a b c d, lable(namevar=study) randomi rr</w:t>
      </w:r>
    </w:p>
    <w:p w:rsidR="00497014" w:rsidRPr="00497014" w:rsidRDefault="00497014" w:rsidP="00497014">
      <w:pPr>
        <w:spacing w:line="360" w:lineRule="auto"/>
        <w:rPr>
          <w:rFonts w:ascii="Times New Roman" w:eastAsia="Times New Roman" w:hAnsi="Times New Roman" w:cs="Times New Roman"/>
          <w:bCs/>
          <w:sz w:val="22"/>
          <w:lang w:bidi="en-US"/>
        </w:rPr>
      </w:pPr>
      <w:r w:rsidRPr="00497014">
        <w:rPr>
          <w:rFonts w:ascii="Times New Roman" w:eastAsia="Times New Roman" w:hAnsi="Times New Roman" w:cs="Times New Roman"/>
          <w:bCs/>
          <w:sz w:val="22"/>
          <w:lang w:bidi="en-US"/>
        </w:rPr>
        <w:t>Meta regression: metareg logES age, wsse(_selogES) bsest(reml)</w:t>
      </w:r>
    </w:p>
    <w:p w:rsidR="00497014" w:rsidRPr="00497014" w:rsidRDefault="002D51E1" w:rsidP="00497014">
      <w:pPr>
        <w:spacing w:line="360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Dose-</w:t>
      </w:r>
      <w:r w:rsidR="00497014" w:rsidRPr="00497014">
        <w:rPr>
          <w:rFonts w:ascii="Times New Roman" w:eastAsia="Times New Roman" w:hAnsi="Times New Roman" w:cs="Times New Roman"/>
          <w:sz w:val="22"/>
        </w:rPr>
        <w:t>analysis</w:t>
      </w:r>
      <w:r w:rsidR="00497014" w:rsidRPr="00497014">
        <w:rPr>
          <w:rFonts w:ascii="宋体" w:eastAsia="宋体" w:hAnsi="宋体" w:cs="宋体" w:hint="eastAsia"/>
          <w:sz w:val="22"/>
        </w:rPr>
        <w:t>：</w:t>
      </w:r>
      <w:r w:rsidR="00497014" w:rsidRPr="00497014">
        <w:rPr>
          <w:rFonts w:ascii="Times New Roman" w:eastAsia="Times New Roman" w:hAnsi="Times New Roman" w:cs="Times New Roman"/>
          <w:sz w:val="22"/>
        </w:rPr>
        <w:t>Two important software packages</w:t>
      </w:r>
      <w:r w:rsidR="00497014" w:rsidRPr="00497014">
        <w:rPr>
          <w:rFonts w:ascii="宋体" w:eastAsia="宋体" w:hAnsi="宋体" w:cs="宋体" w:hint="eastAsia"/>
          <w:sz w:val="22"/>
        </w:rPr>
        <w:t>：</w:t>
      </w:r>
      <w:r w:rsidR="00497014" w:rsidRPr="00497014">
        <w:rPr>
          <w:rFonts w:ascii="Times New Roman" w:eastAsia="Times New Roman" w:hAnsi="Times New Roman" w:cs="Times New Roman"/>
          <w:sz w:val="22"/>
        </w:rPr>
        <w:t>“vwls” and “glst”</w:t>
      </w:r>
      <w:bookmarkStart w:id="0" w:name="_GoBack"/>
      <w:bookmarkEnd w:id="0"/>
    </w:p>
    <w:p w:rsidR="00497014" w:rsidRPr="00497014" w:rsidRDefault="00497014" w:rsidP="00497014">
      <w:pPr>
        <w:spacing w:line="360" w:lineRule="auto"/>
        <w:rPr>
          <w:rFonts w:ascii="Times New Roman" w:eastAsia="Times New Roman" w:hAnsi="Times New Roman" w:cs="Times New Roman"/>
          <w:sz w:val="22"/>
        </w:rPr>
      </w:pPr>
    </w:p>
    <w:p w:rsidR="00976373" w:rsidRPr="00497014" w:rsidRDefault="00976373">
      <w:pPr>
        <w:rPr>
          <w:rFonts w:ascii="Times New Roman" w:eastAsia="Times New Roman" w:hAnsi="Times New Roman" w:cs="Times New Roman"/>
          <w:sz w:val="22"/>
        </w:rPr>
      </w:pPr>
    </w:p>
    <w:p w:rsidR="00976373" w:rsidRPr="00497014" w:rsidRDefault="00976373"/>
    <w:p w:rsidR="00976373" w:rsidRPr="00497014" w:rsidRDefault="00976373"/>
    <w:p w:rsidR="00976373" w:rsidRDefault="00976373"/>
    <w:sectPr w:rsidR="009763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373" w:rsidRDefault="00976373" w:rsidP="00976373">
      <w:r>
        <w:separator/>
      </w:r>
    </w:p>
  </w:endnote>
  <w:endnote w:type="continuationSeparator" w:id="0">
    <w:p w:rsidR="00976373" w:rsidRDefault="00976373" w:rsidP="00976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373" w:rsidRDefault="00976373" w:rsidP="00976373">
      <w:r>
        <w:separator/>
      </w:r>
    </w:p>
  </w:footnote>
  <w:footnote w:type="continuationSeparator" w:id="0">
    <w:p w:rsidR="00976373" w:rsidRDefault="00976373" w:rsidP="009763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U2Y2M2MzIzZTEzNjM1NTE5ZGE5ZmRmMmNhMWYwODgifQ=="/>
  </w:docVars>
  <w:rsids>
    <w:rsidRoot w:val="00B6396E"/>
    <w:rsid w:val="00023176"/>
    <w:rsid w:val="00026A6A"/>
    <w:rsid w:val="000603AF"/>
    <w:rsid w:val="00063468"/>
    <w:rsid w:val="0006380E"/>
    <w:rsid w:val="0009779C"/>
    <w:rsid w:val="000A68D5"/>
    <w:rsid w:val="000E5323"/>
    <w:rsid w:val="00122303"/>
    <w:rsid w:val="00134538"/>
    <w:rsid w:val="00141C58"/>
    <w:rsid w:val="001841C5"/>
    <w:rsid w:val="00184B2D"/>
    <w:rsid w:val="001D5D99"/>
    <w:rsid w:val="0020775C"/>
    <w:rsid w:val="00256CC4"/>
    <w:rsid w:val="00292E13"/>
    <w:rsid w:val="002C03AA"/>
    <w:rsid w:val="002D51E1"/>
    <w:rsid w:val="00330B40"/>
    <w:rsid w:val="003417D1"/>
    <w:rsid w:val="003606DA"/>
    <w:rsid w:val="003B685E"/>
    <w:rsid w:val="003C1591"/>
    <w:rsid w:val="00403F13"/>
    <w:rsid w:val="00417048"/>
    <w:rsid w:val="004200C3"/>
    <w:rsid w:val="004223F8"/>
    <w:rsid w:val="00450FA2"/>
    <w:rsid w:val="004806ED"/>
    <w:rsid w:val="00497014"/>
    <w:rsid w:val="004C6503"/>
    <w:rsid w:val="004F4165"/>
    <w:rsid w:val="005F077D"/>
    <w:rsid w:val="005F44FC"/>
    <w:rsid w:val="00751C23"/>
    <w:rsid w:val="007651E7"/>
    <w:rsid w:val="00774E2C"/>
    <w:rsid w:val="00797A47"/>
    <w:rsid w:val="007B69AF"/>
    <w:rsid w:val="00857A2B"/>
    <w:rsid w:val="00866C97"/>
    <w:rsid w:val="0087245F"/>
    <w:rsid w:val="008740AA"/>
    <w:rsid w:val="008D1EDB"/>
    <w:rsid w:val="008F59A3"/>
    <w:rsid w:val="00916207"/>
    <w:rsid w:val="00947838"/>
    <w:rsid w:val="00976373"/>
    <w:rsid w:val="00A414B9"/>
    <w:rsid w:val="00A73AF2"/>
    <w:rsid w:val="00A75A9D"/>
    <w:rsid w:val="00A805BC"/>
    <w:rsid w:val="00A80763"/>
    <w:rsid w:val="00B341FB"/>
    <w:rsid w:val="00B41401"/>
    <w:rsid w:val="00B622A4"/>
    <w:rsid w:val="00B6396E"/>
    <w:rsid w:val="00B66763"/>
    <w:rsid w:val="00B804DB"/>
    <w:rsid w:val="00B90418"/>
    <w:rsid w:val="00BC7830"/>
    <w:rsid w:val="00C10AAB"/>
    <w:rsid w:val="00C171D3"/>
    <w:rsid w:val="00C25440"/>
    <w:rsid w:val="00C34E9E"/>
    <w:rsid w:val="00C46AE5"/>
    <w:rsid w:val="00C476D1"/>
    <w:rsid w:val="00C50E9E"/>
    <w:rsid w:val="00C76E0F"/>
    <w:rsid w:val="00C81DAC"/>
    <w:rsid w:val="00CA5EB2"/>
    <w:rsid w:val="00CF2DC6"/>
    <w:rsid w:val="00D1769F"/>
    <w:rsid w:val="00D62D1E"/>
    <w:rsid w:val="00D753C8"/>
    <w:rsid w:val="00D864C7"/>
    <w:rsid w:val="00DC6373"/>
    <w:rsid w:val="00E421DD"/>
    <w:rsid w:val="00E60C12"/>
    <w:rsid w:val="00E70182"/>
    <w:rsid w:val="00E72A33"/>
    <w:rsid w:val="00EE0285"/>
    <w:rsid w:val="00F01975"/>
    <w:rsid w:val="00F170EA"/>
    <w:rsid w:val="00F93A94"/>
    <w:rsid w:val="00FA63F5"/>
    <w:rsid w:val="00FB29D6"/>
    <w:rsid w:val="00FB2D3C"/>
    <w:rsid w:val="085C3235"/>
    <w:rsid w:val="58ED4908"/>
    <w:rsid w:val="7320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1B534"/>
  <w15:docId w15:val="{4DC8765F-5B8E-4FA9-A02C-B9234F2D7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Haust</dc:creator>
  <cp:lastModifiedBy>Haust</cp:lastModifiedBy>
  <cp:revision>382</cp:revision>
  <dcterms:created xsi:type="dcterms:W3CDTF">2024-06-19T06:13:00Z</dcterms:created>
  <dcterms:modified xsi:type="dcterms:W3CDTF">2025-03-31T05:34:00Z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2269C57A9BAC4FB695AB00D5A29BDE51_12</vt:lpwstr>
  </property>
</Properties>
</file>