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20CBD">
      <w:pP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Supplementary Table S6</w:t>
      </w: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. 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Complete evidence table for time-restricted eating (TRE) in adults with overweight or obesity (n=39 items).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357"/>
        <w:gridCol w:w="2293"/>
        <w:gridCol w:w="1156"/>
        <w:gridCol w:w="1141"/>
        <w:gridCol w:w="1698"/>
      </w:tblGrid>
      <w:tr w14:paraId="75B8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2C876D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Item No.</w:t>
            </w:r>
          </w:p>
        </w:tc>
        <w:tc>
          <w:tcPr>
            <w:tcW w:w="1420" w:type="dxa"/>
            <w:vAlign w:val="center"/>
          </w:tcPr>
          <w:p w14:paraId="0E640A4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Thematic Domain</w:t>
            </w:r>
          </w:p>
        </w:tc>
        <w:tc>
          <w:tcPr>
            <w:tcW w:w="1420" w:type="dxa"/>
            <w:vAlign w:val="center"/>
          </w:tcPr>
          <w:p w14:paraId="5C99467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Evidence Statement / Recommendation</w:t>
            </w:r>
          </w:p>
        </w:tc>
        <w:tc>
          <w:tcPr>
            <w:tcW w:w="1420" w:type="dxa"/>
            <w:vAlign w:val="center"/>
          </w:tcPr>
          <w:p w14:paraId="69EC2C2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Source(s)</w:t>
            </w:r>
          </w:p>
        </w:tc>
        <w:tc>
          <w:tcPr>
            <w:tcW w:w="1421" w:type="dxa"/>
            <w:vAlign w:val="center"/>
          </w:tcPr>
          <w:p w14:paraId="239CE49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Level of Evidence</w:t>
            </w:r>
          </w:p>
        </w:tc>
        <w:tc>
          <w:tcPr>
            <w:tcW w:w="1421" w:type="dxa"/>
            <w:vAlign w:val="center"/>
          </w:tcPr>
          <w:p w14:paraId="0EC131F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Grade of Recommendation</w:t>
            </w:r>
          </w:p>
        </w:tc>
      </w:tr>
      <w:tr w14:paraId="0F576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99123F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</w:t>
            </w:r>
          </w:p>
        </w:tc>
        <w:tc>
          <w:tcPr>
            <w:tcW w:w="1420" w:type="dxa"/>
            <w:vAlign w:val="center"/>
          </w:tcPr>
          <w:p w14:paraId="6B28F95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Applicability</w:t>
            </w:r>
          </w:p>
        </w:tc>
        <w:tc>
          <w:tcPr>
            <w:tcW w:w="1420" w:type="dxa"/>
            <w:vAlign w:val="center"/>
          </w:tcPr>
          <w:p w14:paraId="0DFAE2E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Overweight defined as: WHO: 25 ≤ BMI &lt; 30 kg/m²; Asian/African criteria: 23 ≤ BMI &lt; 27.5 kg/m².</w:t>
            </w:r>
          </w:p>
        </w:tc>
        <w:tc>
          <w:tcPr>
            <w:tcW w:w="1420" w:type="dxa"/>
            <w:vAlign w:val="center"/>
          </w:tcPr>
          <w:p w14:paraId="34EE7EE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12E1A1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56D773C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2658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A2F96D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</w:t>
            </w:r>
          </w:p>
        </w:tc>
        <w:tc>
          <w:tcPr>
            <w:tcW w:w="1420" w:type="dxa"/>
            <w:vAlign w:val="center"/>
          </w:tcPr>
          <w:p w14:paraId="4116EC2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Applicability</w:t>
            </w:r>
          </w:p>
        </w:tc>
        <w:tc>
          <w:tcPr>
            <w:tcW w:w="1420" w:type="dxa"/>
            <w:vAlign w:val="center"/>
          </w:tcPr>
          <w:p w14:paraId="084E5A8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Obesity defined as: WHO: BMI ≥ 30 kg/m²; Asian/African criteria: BMI ≥ 27.5 kg/m².</w:t>
            </w:r>
          </w:p>
        </w:tc>
        <w:tc>
          <w:tcPr>
            <w:tcW w:w="1420" w:type="dxa"/>
            <w:vAlign w:val="center"/>
          </w:tcPr>
          <w:p w14:paraId="08DB1C3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676A76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7ABF1C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14CE1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41B215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</w:t>
            </w:r>
          </w:p>
        </w:tc>
        <w:tc>
          <w:tcPr>
            <w:tcW w:w="1420" w:type="dxa"/>
            <w:vAlign w:val="center"/>
          </w:tcPr>
          <w:p w14:paraId="398AB88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Applicability</w:t>
            </w:r>
          </w:p>
        </w:tc>
        <w:tc>
          <w:tcPr>
            <w:tcW w:w="1420" w:type="dxa"/>
            <w:vAlign w:val="center"/>
          </w:tcPr>
          <w:p w14:paraId="43FFC8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Central obesity defined as: WHO: Men ≥90 cm, Women ≥80 cm; China: Men ≥90 cm, Women ≥85 cm.</w:t>
            </w:r>
          </w:p>
        </w:tc>
        <w:tc>
          <w:tcPr>
            <w:tcW w:w="1420" w:type="dxa"/>
            <w:vAlign w:val="center"/>
          </w:tcPr>
          <w:p w14:paraId="5F246D4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73655BF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69E7840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51FA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AA56AF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E4</w:t>
            </w:r>
          </w:p>
        </w:tc>
        <w:tc>
          <w:tcPr>
            <w:tcW w:w="1420" w:type="dxa"/>
            <w:vAlign w:val="center"/>
          </w:tcPr>
          <w:p w14:paraId="2DAF938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Applicability</w:t>
            </w:r>
          </w:p>
        </w:tc>
        <w:tc>
          <w:tcPr>
            <w:tcW w:w="1420" w:type="dxa"/>
            <w:vAlign w:val="center"/>
          </w:tcPr>
          <w:p w14:paraId="722A56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Contraindication: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 TRE is not recommended for individuals with nutritional disorders, perimenopause/irregular menstruation, cardiovascular disease, or those who are pregnant/lactating/trying to conceive.</w:t>
            </w:r>
          </w:p>
        </w:tc>
        <w:tc>
          <w:tcPr>
            <w:tcW w:w="1420" w:type="dxa"/>
            <w:vAlign w:val="center"/>
          </w:tcPr>
          <w:p w14:paraId="1AEC47B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5863E6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3F92C9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029A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A3BE1C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E5</w:t>
            </w:r>
          </w:p>
        </w:tc>
        <w:tc>
          <w:tcPr>
            <w:tcW w:w="1420" w:type="dxa"/>
            <w:vAlign w:val="center"/>
          </w:tcPr>
          <w:p w14:paraId="7ACF343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5FA9EE4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Eating windows longer than 10 hours may hinder weight loss, while windows shorter than 6 hours may increase adverse effects.</w:t>
            </w:r>
          </w:p>
        </w:tc>
        <w:tc>
          <w:tcPr>
            <w:tcW w:w="1420" w:type="dxa"/>
            <w:vAlign w:val="center"/>
          </w:tcPr>
          <w:p w14:paraId="45D47CE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AD3D46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5EB19A7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0240C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396DC0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E6</w:t>
            </w:r>
          </w:p>
        </w:tc>
        <w:tc>
          <w:tcPr>
            <w:tcW w:w="1420" w:type="dxa"/>
            <w:vAlign w:val="center"/>
          </w:tcPr>
          <w:p w14:paraId="0A067EC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7AB89F7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An 8-hour eating window (e.g., 8:00-16:00) is a potentially effective strategy for weight management.</w:t>
            </w:r>
          </w:p>
        </w:tc>
        <w:tc>
          <w:tcPr>
            <w:tcW w:w="1420" w:type="dxa"/>
            <w:vAlign w:val="center"/>
          </w:tcPr>
          <w:p w14:paraId="5B64214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20F90AD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12BEDF4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44C5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B75FD6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E7</w:t>
            </w:r>
          </w:p>
        </w:tc>
        <w:tc>
          <w:tcPr>
            <w:tcW w:w="1420" w:type="dxa"/>
            <w:vAlign w:val="center"/>
          </w:tcPr>
          <w:p w14:paraId="6BBC74D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7D5CF9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Effects of TRE typically emerge after 4 weeks, become significant within 12 weeks, and optimal results may be achieved within 6 months.</w:t>
            </w:r>
          </w:p>
        </w:tc>
        <w:tc>
          <w:tcPr>
            <w:tcW w:w="1420" w:type="dxa"/>
            <w:vAlign w:val="center"/>
          </w:tcPr>
          <w:p w14:paraId="04A81C6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2DB448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504591E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</w:tr>
      <w:tr w14:paraId="2646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B3CB23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E8</w:t>
            </w:r>
          </w:p>
        </w:tc>
        <w:tc>
          <w:tcPr>
            <w:tcW w:w="1420" w:type="dxa"/>
            <w:vAlign w:val="center"/>
          </w:tcPr>
          <w:p w14:paraId="16D34DE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10B103D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For obesity with prediabetes, a weight loss target of 5-7% is recommended.</w:t>
            </w:r>
          </w:p>
        </w:tc>
        <w:tc>
          <w:tcPr>
            <w:tcW w:w="1420" w:type="dxa"/>
            <w:vAlign w:val="center"/>
          </w:tcPr>
          <w:p w14:paraId="3D55494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48B02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3688351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2899B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E5DB63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E9</w:t>
            </w:r>
          </w:p>
        </w:tc>
        <w:tc>
          <w:tcPr>
            <w:tcW w:w="1420" w:type="dxa"/>
            <w:vAlign w:val="center"/>
          </w:tcPr>
          <w:p w14:paraId="0D61FD4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16F9CD6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For obesity with diabetes, a weight loss target of 7-15% is recommended.</w:t>
            </w:r>
          </w:p>
        </w:tc>
        <w:tc>
          <w:tcPr>
            <w:tcW w:w="1420" w:type="dxa"/>
            <w:vAlign w:val="center"/>
          </w:tcPr>
          <w:p w14:paraId="17228CF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37F4DB1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0CBECDA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FF93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685D33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E10</w:t>
            </w:r>
          </w:p>
        </w:tc>
        <w:tc>
          <w:tcPr>
            <w:tcW w:w="1420" w:type="dxa"/>
            <w:vAlign w:val="center"/>
          </w:tcPr>
          <w:p w14:paraId="7198054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6BA839C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For obesity with other comorbidities, a weight loss target of 10% is recommended.</w:t>
            </w:r>
          </w:p>
        </w:tc>
        <w:tc>
          <w:tcPr>
            <w:tcW w:w="1420" w:type="dxa"/>
            <w:vAlign w:val="center"/>
          </w:tcPr>
          <w:p w14:paraId="479C43B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23D7395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63226C4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61AA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7AF6F6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E11</w:t>
            </w:r>
          </w:p>
        </w:tc>
        <w:tc>
          <w:tcPr>
            <w:tcW w:w="1420" w:type="dxa"/>
            <w:vAlign w:val="center"/>
          </w:tcPr>
          <w:p w14:paraId="795B04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040838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Effective counseling methods (e.g., motivational interviewing) help promote desired behavioral change.</w:t>
            </w:r>
          </w:p>
        </w:tc>
        <w:tc>
          <w:tcPr>
            <w:tcW w:w="1420" w:type="dxa"/>
            <w:vAlign w:val="center"/>
          </w:tcPr>
          <w:p w14:paraId="5550DFF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690D9A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19F5EAE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31B01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E95A0B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E12</w:t>
            </w:r>
          </w:p>
        </w:tc>
        <w:tc>
          <w:tcPr>
            <w:tcW w:w="1420" w:type="dxa"/>
            <w:vAlign w:val="center"/>
          </w:tcPr>
          <w:p w14:paraId="2D267B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6AA98D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Various educational methods (e.g., food diaries, nutrition apps) under professional guidance can improve cognitive skills and eating control.</w:t>
            </w:r>
          </w:p>
        </w:tc>
        <w:tc>
          <w:tcPr>
            <w:tcW w:w="1420" w:type="dxa"/>
            <w:vAlign w:val="center"/>
          </w:tcPr>
          <w:p w14:paraId="1541093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3A5EDF5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157D6F8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</w:tr>
      <w:tr w14:paraId="454E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ED0CB7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E13</w:t>
            </w:r>
          </w:p>
        </w:tc>
        <w:tc>
          <w:tcPr>
            <w:tcW w:w="1420" w:type="dxa"/>
            <w:vAlign w:val="center"/>
          </w:tcPr>
          <w:p w14:paraId="77889A3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5253855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 multidisciplinary team (doctors, nurses, dietitians) should be involved in weight management.</w:t>
            </w:r>
          </w:p>
        </w:tc>
        <w:tc>
          <w:tcPr>
            <w:tcW w:w="1420" w:type="dxa"/>
            <w:vAlign w:val="center"/>
          </w:tcPr>
          <w:p w14:paraId="2FD9536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E6237D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032B044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DC1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435E90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E14</w:t>
            </w:r>
          </w:p>
        </w:tc>
        <w:tc>
          <w:tcPr>
            <w:tcW w:w="1420" w:type="dxa"/>
            <w:vAlign w:val="center"/>
          </w:tcPr>
          <w:p w14:paraId="20AB965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1C89BC6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Support from family, friends, or partners is beneficial.</w:t>
            </w:r>
          </w:p>
        </w:tc>
        <w:tc>
          <w:tcPr>
            <w:tcW w:w="1420" w:type="dxa"/>
            <w:vAlign w:val="center"/>
          </w:tcPr>
          <w:p w14:paraId="7272762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39-40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66BBA5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2D50D42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6FA88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2F2543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E15</w:t>
            </w:r>
          </w:p>
        </w:tc>
        <w:tc>
          <w:tcPr>
            <w:tcW w:w="1420" w:type="dxa"/>
            <w:vAlign w:val="center"/>
          </w:tcPr>
          <w:p w14:paraId="3789A2B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580F8B6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Interventions can be offered in various community settings (e.g., community centers, workplaces).</w:t>
            </w:r>
          </w:p>
        </w:tc>
        <w:tc>
          <w:tcPr>
            <w:tcW w:w="1420" w:type="dxa"/>
            <w:vAlign w:val="center"/>
          </w:tcPr>
          <w:p w14:paraId="054F3CA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52DA96F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03AE08B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267F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B29B23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E16</w:t>
            </w:r>
          </w:p>
        </w:tc>
        <w:tc>
          <w:tcPr>
            <w:tcW w:w="1420" w:type="dxa"/>
            <w:vAlign w:val="center"/>
          </w:tcPr>
          <w:p w14:paraId="3C571B9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7716BA1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Face-to-face guidance (one-on-one or group sessions) is effective.</w:t>
            </w:r>
          </w:p>
        </w:tc>
        <w:tc>
          <w:tcPr>
            <w:tcW w:w="1420" w:type="dxa"/>
            <w:vAlign w:val="center"/>
          </w:tcPr>
          <w:p w14:paraId="094A856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F26D53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1F86BEC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7234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FE6C88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E17</w:t>
            </w:r>
          </w:p>
        </w:tc>
        <w:tc>
          <w:tcPr>
            <w:tcW w:w="1420" w:type="dxa"/>
            <w:vAlign w:val="center"/>
          </w:tcPr>
          <w:p w14:paraId="49A14C2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695AAF3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Remote guidance (telephone, video, electronic records) is feasible and effective.</w:t>
            </w:r>
          </w:p>
        </w:tc>
        <w:tc>
          <w:tcPr>
            <w:tcW w:w="1420" w:type="dxa"/>
            <w:vAlign w:val="center"/>
          </w:tcPr>
          <w:p w14:paraId="0AA4A36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F48D4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668C838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12A3A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82B317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E18</w:t>
            </w:r>
          </w:p>
        </w:tc>
        <w:tc>
          <w:tcPr>
            <w:tcW w:w="1420" w:type="dxa"/>
            <w:vAlign w:val="center"/>
          </w:tcPr>
          <w:p w14:paraId="0D5823F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Intervention Protocol</w:t>
            </w:r>
          </w:p>
        </w:tc>
        <w:tc>
          <w:tcPr>
            <w:tcW w:w="1420" w:type="dxa"/>
            <w:vAlign w:val="center"/>
          </w:tcPr>
          <w:p w14:paraId="6B8B1F6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Regular contact (e.g., every 3 months) and more frequent initial meetings (weekly/biweekly) support behavior change.</w:t>
            </w:r>
          </w:p>
        </w:tc>
        <w:tc>
          <w:tcPr>
            <w:tcW w:w="1420" w:type="dxa"/>
            <w:vAlign w:val="center"/>
          </w:tcPr>
          <w:p w14:paraId="6B09618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50CAC5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067A0D1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F59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5BAC8F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E19</w:t>
            </w:r>
          </w:p>
        </w:tc>
        <w:tc>
          <w:tcPr>
            <w:tcW w:w="1420" w:type="dxa"/>
            <w:vAlign w:val="center"/>
          </w:tcPr>
          <w:p w14:paraId="007613F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 &amp; Nutrition</w:t>
            </w:r>
          </w:p>
        </w:tc>
        <w:tc>
          <w:tcPr>
            <w:tcW w:w="1420" w:type="dxa"/>
            <w:vAlign w:val="center"/>
          </w:tcPr>
          <w:p w14:paraId="344BAE0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Discuss dietary options with patients.</w:t>
            </w:r>
          </w:p>
        </w:tc>
        <w:tc>
          <w:tcPr>
            <w:tcW w:w="1420" w:type="dxa"/>
            <w:vAlign w:val="center"/>
          </w:tcPr>
          <w:p w14:paraId="2F1B20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35, 38-42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28F100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5E8237E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F85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79C2E9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E20</w:t>
            </w:r>
          </w:p>
        </w:tc>
        <w:tc>
          <w:tcPr>
            <w:tcW w:w="1420" w:type="dxa"/>
            <w:vAlign w:val="center"/>
          </w:tcPr>
          <w:p w14:paraId="3508B2E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 &amp; Nutrition</w:t>
            </w:r>
          </w:p>
        </w:tc>
        <w:tc>
          <w:tcPr>
            <w:tcW w:w="1420" w:type="dxa"/>
            <w:vAlign w:val="center"/>
          </w:tcPr>
          <w:p w14:paraId="68F24BF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Dietary planning should be based on personal preferences, health status, social environment, and previous treatment.</w:t>
            </w:r>
          </w:p>
        </w:tc>
        <w:tc>
          <w:tcPr>
            <w:tcW w:w="1420" w:type="dxa"/>
            <w:vAlign w:val="center"/>
          </w:tcPr>
          <w:p w14:paraId="59E4961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616B1F0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3CD337C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52CF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0FF1F9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E21</w:t>
            </w:r>
          </w:p>
        </w:tc>
        <w:tc>
          <w:tcPr>
            <w:tcW w:w="1420" w:type="dxa"/>
            <w:vAlign w:val="center"/>
          </w:tcPr>
          <w:p w14:paraId="1C76299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 &amp; Nutrition</w:t>
            </w:r>
          </w:p>
        </w:tc>
        <w:tc>
          <w:tcPr>
            <w:tcW w:w="1420" w:type="dxa"/>
            <w:vAlign w:val="center"/>
          </w:tcPr>
          <w:p w14:paraId="1B9CC86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Combining TRE with caloric restriction can enhance weight loss effects.</w:t>
            </w:r>
          </w:p>
        </w:tc>
        <w:tc>
          <w:tcPr>
            <w:tcW w:w="1420" w:type="dxa"/>
            <w:vAlign w:val="center"/>
          </w:tcPr>
          <w:p w14:paraId="230B2C2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7233125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2575D06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5319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A25AEF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E22</w:t>
            </w:r>
          </w:p>
        </w:tc>
        <w:tc>
          <w:tcPr>
            <w:tcW w:w="1420" w:type="dxa"/>
            <w:vAlign w:val="center"/>
          </w:tcPr>
          <w:p w14:paraId="67F09BA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 &amp; Nutrition</w:t>
            </w:r>
          </w:p>
        </w:tc>
        <w:tc>
          <w:tcPr>
            <w:tcW w:w="1420" w:type="dxa"/>
            <w:vAlign w:val="center"/>
          </w:tcPr>
          <w:p w14:paraId="38CDCC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For weight loss, energy intake can be set at 85% (overweight) or 80% (obesity) of normal requirements, or reduced by 30-50%/500 kcal daily.</w:t>
            </w:r>
          </w:p>
        </w:tc>
        <w:tc>
          <w:tcPr>
            <w:tcW w:w="1420" w:type="dxa"/>
            <w:vAlign w:val="center"/>
          </w:tcPr>
          <w:p w14:paraId="15D1A6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29024D0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20EDF70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</w:tr>
      <w:tr w14:paraId="27D20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6965A1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E23</w:t>
            </w:r>
          </w:p>
        </w:tc>
        <w:tc>
          <w:tcPr>
            <w:tcW w:w="1420" w:type="dxa"/>
            <w:vAlign w:val="center"/>
          </w:tcPr>
          <w:p w14:paraId="6E04CF5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Diet &amp; Nutrition</w:t>
            </w:r>
          </w:p>
        </w:tc>
        <w:tc>
          <w:tcPr>
            <w:tcW w:w="1420" w:type="dxa"/>
            <w:vAlign w:val="center"/>
          </w:tcPr>
          <w:p w14:paraId="0A77F7A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Ensure adequate hydration (~2 L/day), consider pre/probiotics, and maintain regular bowel movements to reduce adverse events.</w:t>
            </w:r>
          </w:p>
        </w:tc>
        <w:tc>
          <w:tcPr>
            <w:tcW w:w="1420" w:type="dxa"/>
            <w:vAlign w:val="center"/>
          </w:tcPr>
          <w:p w14:paraId="1F7E915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79765E5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07046BC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0BC9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715E1D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E24</w:t>
            </w:r>
          </w:p>
        </w:tc>
        <w:tc>
          <w:tcPr>
            <w:tcW w:w="1420" w:type="dxa"/>
            <w:vAlign w:val="center"/>
          </w:tcPr>
          <w:p w14:paraId="67FD1C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1120E3D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Overweight/obesity or weight loss failure can cause psychological distress, potentially inducing anxiety or depression.</w:t>
            </w:r>
          </w:p>
        </w:tc>
        <w:tc>
          <w:tcPr>
            <w:tcW w:w="1420" w:type="dxa"/>
            <w:vAlign w:val="center"/>
          </w:tcPr>
          <w:p w14:paraId="3E1849C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9DA414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75998C3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5B335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2E09E5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E25</w:t>
            </w:r>
          </w:p>
        </w:tc>
        <w:tc>
          <w:tcPr>
            <w:tcW w:w="1420" w:type="dxa"/>
            <w:vAlign w:val="center"/>
          </w:tcPr>
          <w:p w14:paraId="0435677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523A40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Provide psychological counseling and support.</w:t>
            </w:r>
          </w:p>
        </w:tc>
        <w:tc>
          <w:tcPr>
            <w:tcW w:w="1420" w:type="dxa"/>
            <w:vAlign w:val="center"/>
          </w:tcPr>
          <w:p w14:paraId="7E3EEB1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0FCABB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2A2F67F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61B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0F2707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E26</w:t>
            </w:r>
          </w:p>
        </w:tc>
        <w:tc>
          <w:tcPr>
            <w:tcW w:w="1420" w:type="dxa"/>
            <w:vAlign w:val="center"/>
          </w:tcPr>
          <w:p w14:paraId="74042EA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0645EAC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Implement educational and regulatory measures to prevent weight stigma and discrimination.</w:t>
            </w:r>
          </w:p>
        </w:tc>
        <w:tc>
          <w:tcPr>
            <w:tcW w:w="1420" w:type="dxa"/>
            <w:vAlign w:val="center"/>
          </w:tcPr>
          <w:p w14:paraId="7C284E2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E56E4F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 b</w:t>
            </w:r>
          </w:p>
        </w:tc>
        <w:tc>
          <w:tcPr>
            <w:tcW w:w="1421" w:type="dxa"/>
            <w:vAlign w:val="center"/>
          </w:tcPr>
          <w:p w14:paraId="66E04E1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03F9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08CAF8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E27</w:t>
            </w:r>
          </w:p>
        </w:tc>
        <w:tc>
          <w:tcPr>
            <w:tcW w:w="1420" w:type="dxa"/>
            <w:vAlign w:val="center"/>
          </w:tcPr>
          <w:p w14:paraId="757B488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7689EE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Encourage patients and obtain consent before discussing obesity-related issues.</w:t>
            </w:r>
          </w:p>
        </w:tc>
        <w:tc>
          <w:tcPr>
            <w:tcW w:w="1420" w:type="dxa"/>
            <w:vAlign w:val="center"/>
          </w:tcPr>
          <w:p w14:paraId="3E94060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84F575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25EF180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2C42B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953BA1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E28</w:t>
            </w:r>
          </w:p>
        </w:tc>
        <w:tc>
          <w:tcPr>
            <w:tcW w:w="1420" w:type="dxa"/>
            <w:vAlign w:val="center"/>
          </w:tcPr>
          <w:p w14:paraId="094ED8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180E473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Initial sleep disturbances (e.g., difficulty falling asleep) may occur; sleep quality can be assessed via the Pittsburgh Sleep Quality Index.</w:t>
            </w:r>
          </w:p>
        </w:tc>
        <w:tc>
          <w:tcPr>
            <w:tcW w:w="1420" w:type="dxa"/>
            <w:vAlign w:val="center"/>
          </w:tcPr>
          <w:p w14:paraId="658AF07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61324ED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3B51367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34E9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627259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E29</w:t>
            </w:r>
          </w:p>
        </w:tc>
        <w:tc>
          <w:tcPr>
            <w:tcW w:w="1420" w:type="dxa"/>
            <w:vAlign w:val="center"/>
          </w:tcPr>
          <w:p w14:paraId="399408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5773D90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Improving sleep and stress-coping styles is beneficial.</w:t>
            </w:r>
          </w:p>
        </w:tc>
        <w:tc>
          <w:tcPr>
            <w:tcW w:w="1420" w:type="dxa"/>
            <w:vAlign w:val="center"/>
          </w:tcPr>
          <w:p w14:paraId="42944CD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23AFD59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2AF6695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70CE1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BEEAEB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E30</w:t>
            </w:r>
          </w:p>
        </w:tc>
        <w:tc>
          <w:tcPr>
            <w:tcW w:w="1420" w:type="dxa"/>
            <w:vAlign w:val="center"/>
          </w:tcPr>
          <w:p w14:paraId="61AF79D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3BE637C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Follow-up contact should be provided at least every 3 months after intervention completion.</w:t>
            </w:r>
          </w:p>
        </w:tc>
        <w:tc>
          <w:tcPr>
            <w:tcW w:w="1420" w:type="dxa"/>
            <w:vAlign w:val="center"/>
          </w:tcPr>
          <w:p w14:paraId="3A43459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514480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0019CAE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616F0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5D1A2C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E31</w:t>
            </w:r>
          </w:p>
        </w:tc>
        <w:tc>
          <w:tcPr>
            <w:tcW w:w="1420" w:type="dxa"/>
            <w:vAlign w:val="center"/>
          </w:tcPr>
          <w:p w14:paraId="45330F9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7F3453E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Follow-up can be conducted face-to-face or remotely.</w:t>
            </w:r>
          </w:p>
        </w:tc>
        <w:tc>
          <w:tcPr>
            <w:tcW w:w="1420" w:type="dxa"/>
            <w:vAlign w:val="center"/>
          </w:tcPr>
          <w:p w14:paraId="7A6D25A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67E7A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II b</w:t>
            </w:r>
          </w:p>
        </w:tc>
        <w:tc>
          <w:tcPr>
            <w:tcW w:w="1421" w:type="dxa"/>
            <w:vAlign w:val="center"/>
          </w:tcPr>
          <w:p w14:paraId="4168279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523C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01B52E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E32</w:t>
            </w:r>
          </w:p>
        </w:tc>
        <w:tc>
          <w:tcPr>
            <w:tcW w:w="1420" w:type="dxa"/>
            <w:vAlign w:val="center"/>
          </w:tcPr>
          <w:p w14:paraId="0C7A38A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Psychosocial &amp; Sleep</w:t>
            </w:r>
          </w:p>
        </w:tc>
        <w:tc>
          <w:tcPr>
            <w:tcW w:w="1420" w:type="dxa"/>
            <w:vAlign w:val="center"/>
          </w:tcPr>
          <w:p w14:paraId="0168931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Follow-up should monitor adherence (days of TRE adherence) and weight maintenance.</w:t>
            </w:r>
          </w:p>
        </w:tc>
        <w:tc>
          <w:tcPr>
            <w:tcW w:w="1420" w:type="dxa"/>
            <w:vAlign w:val="center"/>
          </w:tcPr>
          <w:p w14:paraId="272A947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7F806CF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49BB47A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0ED7D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255AB4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E33</w:t>
            </w:r>
          </w:p>
        </w:tc>
        <w:tc>
          <w:tcPr>
            <w:tcW w:w="1420" w:type="dxa"/>
            <w:vAlign w:val="center"/>
          </w:tcPr>
          <w:p w14:paraId="3472F50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Efficacy</w:t>
            </w:r>
          </w:p>
        </w:tc>
        <w:tc>
          <w:tcPr>
            <w:tcW w:w="1420" w:type="dxa"/>
            <w:vAlign w:val="center"/>
          </w:tcPr>
          <w:p w14:paraId="153B510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TRE reduces body weight and BMI.</w:t>
            </w:r>
          </w:p>
        </w:tc>
        <w:tc>
          <w:tcPr>
            <w:tcW w:w="1420" w:type="dxa"/>
            <w:vAlign w:val="center"/>
          </w:tcPr>
          <w:p w14:paraId="0CFE969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6B47AD0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6C5D545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44C4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8D4D08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E34</w:t>
            </w:r>
          </w:p>
        </w:tc>
        <w:tc>
          <w:tcPr>
            <w:tcW w:w="1420" w:type="dxa"/>
            <w:vAlign w:val="center"/>
          </w:tcPr>
          <w:p w14:paraId="0F9DD8A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Efficacy</w:t>
            </w:r>
          </w:p>
        </w:tc>
        <w:tc>
          <w:tcPr>
            <w:tcW w:w="1420" w:type="dxa"/>
            <w:vAlign w:val="center"/>
          </w:tcPr>
          <w:p w14:paraId="32E1731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TRE reduces fasting blood glucose and insulin resistance, improving metabolism.</w:t>
            </w:r>
          </w:p>
        </w:tc>
        <w:tc>
          <w:tcPr>
            <w:tcW w:w="1420" w:type="dxa"/>
            <w:vAlign w:val="center"/>
          </w:tcPr>
          <w:p w14:paraId="22E2587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544B8A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577BA48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5951F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E3CAC4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E35</w:t>
            </w:r>
          </w:p>
        </w:tc>
        <w:tc>
          <w:tcPr>
            <w:tcW w:w="1420" w:type="dxa"/>
            <w:vAlign w:val="center"/>
          </w:tcPr>
          <w:p w14:paraId="1A14815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Efficacy</w:t>
            </w:r>
          </w:p>
        </w:tc>
        <w:tc>
          <w:tcPr>
            <w:tcW w:w="1420" w:type="dxa"/>
            <w:vAlign w:val="center"/>
          </w:tcPr>
          <w:p w14:paraId="775D347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TRE reduces cardiovascular risk factors (e.g., lipids, blood pressure).</w:t>
            </w:r>
          </w:p>
        </w:tc>
        <w:tc>
          <w:tcPr>
            <w:tcW w:w="1420" w:type="dxa"/>
            <w:vAlign w:val="center"/>
          </w:tcPr>
          <w:p w14:paraId="7205A3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402C1E2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a</w:t>
            </w:r>
          </w:p>
        </w:tc>
        <w:tc>
          <w:tcPr>
            <w:tcW w:w="1421" w:type="dxa"/>
            <w:vAlign w:val="center"/>
          </w:tcPr>
          <w:p w14:paraId="7BEE5D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2C1E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133424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E36</w:t>
            </w:r>
          </w:p>
        </w:tc>
        <w:tc>
          <w:tcPr>
            <w:tcW w:w="1420" w:type="dxa"/>
            <w:vAlign w:val="center"/>
          </w:tcPr>
          <w:p w14:paraId="669E493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Efficacy</w:t>
            </w:r>
          </w:p>
        </w:tc>
        <w:tc>
          <w:tcPr>
            <w:tcW w:w="1420" w:type="dxa"/>
            <w:vAlign w:val="center"/>
          </w:tcPr>
          <w:p w14:paraId="68C569E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TRE helps reduce appetite levels and improve eating habits.</w:t>
            </w:r>
          </w:p>
        </w:tc>
        <w:tc>
          <w:tcPr>
            <w:tcW w:w="1420" w:type="dxa"/>
            <w:vAlign w:val="center"/>
          </w:tcPr>
          <w:p w14:paraId="1C38DE7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0A6D3AC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2A067FB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72B1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9E202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E37</w:t>
            </w:r>
          </w:p>
        </w:tc>
        <w:tc>
          <w:tcPr>
            <w:tcW w:w="1420" w:type="dxa"/>
            <w:vAlign w:val="center"/>
          </w:tcPr>
          <w:p w14:paraId="628B6BC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Safety</w:t>
            </w:r>
          </w:p>
        </w:tc>
        <w:tc>
          <w:tcPr>
            <w:tcW w:w="1420" w:type="dxa"/>
            <w:vAlign w:val="center"/>
          </w:tcPr>
          <w:p w14:paraId="1C4C101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Short eating windows may cause adverse reactions (e.g., dizziness, hypoglycemia, gastrointestinal discomfort).</w:t>
            </w:r>
          </w:p>
        </w:tc>
        <w:tc>
          <w:tcPr>
            <w:tcW w:w="1420" w:type="dxa"/>
            <w:vAlign w:val="center"/>
          </w:tcPr>
          <w:p w14:paraId="217F6A4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1636D3A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7E8BF89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3A352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A928FF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E38</w:t>
            </w:r>
          </w:p>
        </w:tc>
        <w:tc>
          <w:tcPr>
            <w:tcW w:w="1420" w:type="dxa"/>
            <w:vAlign w:val="center"/>
          </w:tcPr>
          <w:p w14:paraId="7D97BC0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Safety</w:t>
            </w:r>
          </w:p>
        </w:tc>
        <w:tc>
          <w:tcPr>
            <w:tcW w:w="1420" w:type="dxa"/>
            <w:vAlign w:val="center"/>
          </w:tcPr>
          <w:p w14:paraId="3D3DBE8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TRE may pose risks of hunger, decreased sleep quality, and unbalanced nutrient intake.</w:t>
            </w:r>
          </w:p>
        </w:tc>
        <w:tc>
          <w:tcPr>
            <w:tcW w:w="1420" w:type="dxa"/>
            <w:vAlign w:val="center"/>
          </w:tcPr>
          <w:p w14:paraId="08FC4D2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771DAE0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75B1404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  <w:tr w14:paraId="5D4EB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B805ED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E39</w:t>
            </w:r>
          </w:p>
        </w:tc>
        <w:tc>
          <w:tcPr>
            <w:tcW w:w="1420" w:type="dxa"/>
            <w:vAlign w:val="center"/>
          </w:tcPr>
          <w:p w14:paraId="122D77F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Safety</w:t>
            </w:r>
          </w:p>
        </w:tc>
        <w:tc>
          <w:tcPr>
            <w:tcW w:w="1420" w:type="dxa"/>
            <w:vAlign w:val="center"/>
          </w:tcPr>
          <w:p w14:paraId="7BAA988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Patients can adhere well to the TRE program with proper guidance and supervision.</w:t>
            </w:r>
          </w:p>
        </w:tc>
        <w:tc>
          <w:tcPr>
            <w:tcW w:w="1420" w:type="dxa"/>
            <w:vAlign w:val="center"/>
          </w:tcPr>
          <w:p w14:paraId="7442377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  <w:bookmarkStart w:id="0" w:name="_GoBack"/>
            <w:bookmarkEnd w:id="0"/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421" w:type="dxa"/>
            <w:vAlign w:val="center"/>
          </w:tcPr>
          <w:p w14:paraId="387D0D4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I c</w:t>
            </w:r>
          </w:p>
        </w:tc>
        <w:tc>
          <w:tcPr>
            <w:tcW w:w="1421" w:type="dxa"/>
            <w:vAlign w:val="center"/>
          </w:tcPr>
          <w:p w14:paraId="70F3F28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</w:tr>
    </w:tbl>
    <w:p w14:paraId="13A95CDA">
      <w:pP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276C3"/>
    <w:rsid w:val="3A28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836</Words>
  <Characters>4437</Characters>
  <Lines>0</Lines>
  <Paragraphs>0</Paragraphs>
  <TotalTime>13</TotalTime>
  <ScaleCrop>false</ScaleCrop>
  <LinksUpToDate>false</LinksUpToDate>
  <CharactersWithSpaces>5032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2025-12-14T13:09:00Z</dcterms:created>
  <dc:creator>13420</dc:creator>
  <cp:lastModifiedBy>四郎的嬛嬛</cp:lastModifiedBy>
  <dcterms:modified xsi:type="dcterms:W3CDTF">2025-12-15T16:31:25Z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eyJoZGlkIjoiZjNiMzIwMDM3NGUwY2Q0MmVjYjRjMjJiZjJiNTg5N2UiLCJ1c2VySWQiOiIzMTAwMTU1ODMifQ==</vt:lpwstr>
  </property>
  <property fmtid="{D5CDD505-2E9C-101B-9397-08002B2CF9AE}" pid="4" name="ICV">
    <vt:lpwstr>1B6C377A192D4586BB4B9F85560B33B5_12</vt:lpwstr>
  </property>
</Properties>
</file>