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923DF">
      <w:pPr>
        <w:spacing w:line="480" w:lineRule="auto"/>
      </w:pPr>
      <w:r>
        <w:rPr>
          <w:rFonts w:ascii="Times New Roman" w:hAnsi="Times New Roman"/>
          <w:b/>
          <w:sz w:val="32"/>
        </w:rPr>
        <w:t>Supplementary Material</w:t>
      </w:r>
    </w:p>
    <w:p w14:paraId="32DF6F44">
      <w:pPr>
        <w:spacing w:line="480" w:lineRule="auto"/>
        <w:rPr>
          <w:i w:val="0"/>
          <w:iCs/>
          <w:sz w:val="24"/>
          <w:szCs w:val="24"/>
        </w:rPr>
      </w:pPr>
      <w:r>
        <w:rPr>
          <w:rFonts w:ascii="Times New Roman" w:hAnsi="Times New Roman" w:eastAsia="Times New Roman"/>
          <w:b w:val="0"/>
          <w:i w:val="0"/>
          <w:sz w:val="24"/>
        </w:rPr>
        <w:t>Association Between Triglyceride-Glucose Index, Triglyceride-Glucose-Body Mass Index and Cardiometabolic Multimorbidity: The Mediating Role of Leukocytes Among Chinese Middle-Aged and Older Adults—A Nationwide Prospective Cohort Study</w:t>
      </w:r>
    </w:p>
    <w:p w14:paraId="22147736">
      <w:pPr>
        <w:widowControl w:val="0"/>
        <w:spacing w:line="480" w:lineRule="auto" w:after="0"/>
        <w:jc w:val="both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eastAsia="zh-CN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eastAsia="zh-CN"/>
        </w:rPr>
        <w:t>Supplementary Table S1. Baseline characteristics of participants stratified by TyG-BMI quartiles</w:t>
      </w:r>
    </w:p>
    <w:tbl>
      <w:tblPr>
        <w:tblStyle w:val="3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2"/>
        <w:gridCol w:w="1852"/>
        <w:gridCol w:w="1852"/>
        <w:gridCol w:w="1852"/>
        <w:gridCol w:w="1852"/>
        <w:gridCol w:w="1852"/>
        <w:gridCol w:w="1852"/>
        <w:gridCol w:w="1852"/>
      </w:tblGrid>
      <w:tr w14:paraId="58BBD3E1">
        <w:tc>
          <w:tcPr>
            <w:tcW w:w="1852" w:type="dxa"/>
            <w:tcBorders>
              <w:top w:val="single" w:color="000000" w:sz="12" w:space="0"/>
              <w:bottom w:val="single" w:color="000000" w:sz="6" w:space="0"/>
            </w:tcBorders>
          </w:tcPr>
          <w:p w14:paraId="7EF8834C">
            <w:pPr>
              <w:spacing w:before="20" w:after="20"/>
              <w:jc w:val="left"/>
            </w:pPr>
            <w:r>
              <w:rPr>
                <w:rFonts w:ascii="Times New Roman" w:hAnsi="Times New Roman"/>
                <w:b/>
                <w:sz w:val="15"/>
              </w:rPr>
              <w:t>Characteristic</w:t>
            </w:r>
          </w:p>
        </w:tc>
        <w:tc>
          <w:tcPr>
            <w:tcW w:w="1852" w:type="dxa"/>
            <w:tcBorders>
              <w:top w:val="single" w:color="000000" w:sz="12" w:space="0"/>
              <w:bottom w:val="single" w:color="000000" w:sz="6" w:space="0"/>
            </w:tcBorders>
          </w:tcPr>
          <w:p w14:paraId="60034F6C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Overall</w:t>
            </w:r>
          </w:p>
        </w:tc>
        <w:tc>
          <w:tcPr>
            <w:tcW w:w="1852" w:type="dxa"/>
            <w:tcBorders>
              <w:top w:val="single" w:color="000000" w:sz="12" w:space="0"/>
              <w:bottom w:val="single" w:color="000000" w:sz="6" w:space="0"/>
            </w:tcBorders>
          </w:tcPr>
          <w:p w14:paraId="6E60E27C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Q1 (n=1933)</w:t>
            </w:r>
          </w:p>
        </w:tc>
        <w:tc>
          <w:tcPr>
            <w:tcW w:w="1852" w:type="dxa"/>
            <w:tcBorders>
              <w:top w:val="single" w:color="000000" w:sz="12" w:space="0"/>
              <w:bottom w:val="single" w:color="000000" w:sz="6" w:space="0"/>
            </w:tcBorders>
          </w:tcPr>
          <w:p w14:paraId="007BF924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Q2 (n=1932)</w:t>
            </w:r>
          </w:p>
        </w:tc>
        <w:tc>
          <w:tcPr>
            <w:tcW w:w="1852" w:type="dxa"/>
            <w:tcBorders>
              <w:top w:val="single" w:color="000000" w:sz="12" w:space="0"/>
              <w:bottom w:val="single" w:color="000000" w:sz="6" w:space="0"/>
            </w:tcBorders>
          </w:tcPr>
          <w:p w14:paraId="2B8CFE4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Q3 (n=1933)</w:t>
            </w:r>
          </w:p>
        </w:tc>
        <w:tc>
          <w:tcPr>
            <w:tcW w:w="1852" w:type="dxa"/>
            <w:tcBorders>
              <w:top w:val="single" w:color="000000" w:sz="12" w:space="0"/>
              <w:bottom w:val="single" w:color="000000" w:sz="6" w:space="0"/>
            </w:tcBorders>
          </w:tcPr>
          <w:p w14:paraId="4CCE0C94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Q4 (n=1933)</w:t>
            </w:r>
          </w:p>
        </w:tc>
        <w:tc>
          <w:tcPr>
            <w:tcW w:w="1852" w:type="dxa"/>
            <w:tcBorders>
              <w:top w:val="single" w:color="000000" w:sz="12" w:space="0"/>
              <w:bottom w:val="single" w:color="000000" w:sz="6" w:space="0"/>
            </w:tcBorders>
          </w:tcPr>
          <w:p w14:paraId="224BA4E4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P value</w:t>
            </w:r>
          </w:p>
        </w:tc>
        <w:tc>
          <w:tcPr>
            <w:tcW w:w="1852" w:type="dxa"/>
            <w:tcBorders>
              <w:top w:val="single" w:color="000000" w:sz="12" w:space="0"/>
              <w:bottom w:val="single" w:color="000000" w:sz="6" w:space="0"/>
            </w:tcBorders>
          </w:tcPr>
          <w:p w14:paraId="61839473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P trend</w:t>
            </w:r>
          </w:p>
        </w:tc>
      </w:tr>
      <w:tr w14:paraId="13C58E35">
        <w:tc>
          <w:tcPr>
            <w:tcW w:w="1852" w:type="dxa"/>
          </w:tcPr>
          <w:p w14:paraId="12A4C18C">
            <w:pPr>
              <w:spacing w:before="20" w:after="20"/>
              <w:jc w:val="left"/>
            </w:pPr>
            <w:bookmarkStart w:id="0" w:name="_GoBack" w:colFirst="1" w:colLast="2"/>
            <w:r>
              <w:rPr>
                <w:rFonts w:ascii="Times New Roman" w:hAnsi="Times New Roman"/>
                <w:sz w:val="15"/>
              </w:rPr>
              <w:t>Age, years</w:t>
            </w:r>
          </w:p>
        </w:tc>
        <w:tc>
          <w:tcPr>
            <w:tcW w:w="1852" w:type="dxa"/>
          </w:tcPr>
          <w:p w14:paraId="3BAFE265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58.00 (51.00-65.00)</w:t>
            </w:r>
          </w:p>
        </w:tc>
        <w:tc>
          <w:tcPr>
            <w:tcW w:w="1852" w:type="dxa"/>
          </w:tcPr>
          <w:p w14:paraId="4899CD47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60.00 (54.00-69.00)</w:t>
            </w:r>
          </w:p>
        </w:tc>
        <w:tc>
          <w:tcPr>
            <w:tcW w:w="1852" w:type="dxa"/>
          </w:tcPr>
          <w:p w14:paraId="0E956D10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58.00 (51.00-65.00)</w:t>
            </w:r>
          </w:p>
        </w:tc>
        <w:tc>
          <w:tcPr>
            <w:tcW w:w="1852" w:type="dxa"/>
          </w:tcPr>
          <w:p w14:paraId="0A82F02C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57.00 (50.00-63.00)</w:t>
            </w:r>
          </w:p>
        </w:tc>
        <w:tc>
          <w:tcPr>
            <w:tcW w:w="1852" w:type="dxa"/>
          </w:tcPr>
          <w:p w14:paraId="64E6F537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56.00 (49.00-63.00)</w:t>
            </w:r>
          </w:p>
        </w:tc>
        <w:tc>
          <w:tcPr>
            <w:tcW w:w="1852" w:type="dxa"/>
          </w:tcPr>
          <w:p w14:paraId="655631CB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 w14:paraId="6398C027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  <w:tr w14:paraId="119A69B6">
        <w:tc>
          <w:tcPr>
            <w:tcW w:w="1852" w:type="dxa"/>
          </w:tcPr>
          <w:p w14:paraId="2ECE544A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Waist, cm</w:t>
            </w:r>
          </w:p>
        </w:tc>
        <w:tc>
          <w:tcPr>
            <w:tcW w:w="1852" w:type="dxa"/>
          </w:tcPr>
          <w:p w14:paraId="6BBE329D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84.00 (77.00-91.00)</w:t>
            </w:r>
          </w:p>
        </w:tc>
        <w:tc>
          <w:tcPr>
            <w:tcW w:w="1852" w:type="dxa"/>
          </w:tcPr>
          <w:p w14:paraId="3E247BAD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75.10 (71.00-79.00)</w:t>
            </w:r>
          </w:p>
        </w:tc>
        <w:tc>
          <w:tcPr>
            <w:tcW w:w="1852" w:type="dxa"/>
          </w:tcPr>
          <w:p w14:paraId="3619862A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81.00 (77.00-85.00)</w:t>
            </w:r>
          </w:p>
        </w:tc>
        <w:tc>
          <w:tcPr>
            <w:tcW w:w="1852" w:type="dxa"/>
          </w:tcPr>
          <w:p w14:paraId="6E9C9B4E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87.00 (82.40-91.00)</w:t>
            </w:r>
          </w:p>
        </w:tc>
        <w:tc>
          <w:tcPr>
            <w:tcW w:w="1852" w:type="dxa"/>
          </w:tcPr>
          <w:p w14:paraId="0085A3B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94.30 (89.20-99.60)</w:t>
            </w:r>
          </w:p>
        </w:tc>
        <w:tc>
          <w:tcPr>
            <w:tcW w:w="1852" w:type="dxa"/>
          </w:tcPr>
          <w:p w14:paraId="460BCE70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 w14:paraId="2532D8C9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  <w:tr w14:paraId="50072870">
        <w:tc>
          <w:tcPr>
            <w:tcW w:w="1852" w:type="dxa"/>
          </w:tcPr>
          <w:p w14:paraId="4337ADD5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WBC, 10⁹/L</w:t>
            </w:r>
          </w:p>
        </w:tc>
        <w:tc>
          <w:tcPr>
            <w:tcW w:w="1852" w:type="dxa"/>
          </w:tcPr>
          <w:p w14:paraId="10A35AE1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5.90 (5.00-7.20)</w:t>
            </w:r>
          </w:p>
        </w:tc>
        <w:tc>
          <w:tcPr>
            <w:tcW w:w="1852" w:type="dxa"/>
          </w:tcPr>
          <w:p w14:paraId="090D7571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5.80 (4.80-7.00)</w:t>
            </w:r>
          </w:p>
        </w:tc>
        <w:tc>
          <w:tcPr>
            <w:tcW w:w="1852" w:type="dxa"/>
          </w:tcPr>
          <w:p w14:paraId="09A494C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5.80 (4.90-7.10)</w:t>
            </w:r>
          </w:p>
        </w:tc>
        <w:tc>
          <w:tcPr>
            <w:tcW w:w="1852" w:type="dxa"/>
          </w:tcPr>
          <w:p w14:paraId="7CD4C7D1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5.90 (5.00-7.20)</w:t>
            </w:r>
          </w:p>
        </w:tc>
        <w:tc>
          <w:tcPr>
            <w:tcW w:w="1852" w:type="dxa"/>
          </w:tcPr>
          <w:p w14:paraId="514FB1FD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6.20 (5.20-7.40)</w:t>
            </w:r>
          </w:p>
        </w:tc>
        <w:tc>
          <w:tcPr>
            <w:tcW w:w="1852" w:type="dxa"/>
          </w:tcPr>
          <w:p w14:paraId="1D597942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 w14:paraId="03527CDD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  <w:tr w14:paraId="28686992">
        <w:tc>
          <w:tcPr>
            <w:tcW w:w="1852" w:type="dxa"/>
          </w:tcPr>
          <w:p w14:paraId="39832F4E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HGB, g/L</w:t>
            </w:r>
          </w:p>
        </w:tc>
        <w:tc>
          <w:tcPr>
            <w:tcW w:w="1852" w:type="dxa"/>
          </w:tcPr>
          <w:p w14:paraId="3C633597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14.10 (13.00-15.40)</w:t>
            </w:r>
          </w:p>
        </w:tc>
        <w:tc>
          <w:tcPr>
            <w:tcW w:w="1852" w:type="dxa"/>
          </w:tcPr>
          <w:p w14:paraId="0D9FC4BF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13.90 (12.70-15.00)</w:t>
            </w:r>
          </w:p>
        </w:tc>
        <w:tc>
          <w:tcPr>
            <w:tcW w:w="1852" w:type="dxa"/>
          </w:tcPr>
          <w:p w14:paraId="5F094313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14.10 (12.90-15.40)</w:t>
            </w:r>
          </w:p>
        </w:tc>
        <w:tc>
          <w:tcPr>
            <w:tcW w:w="1852" w:type="dxa"/>
          </w:tcPr>
          <w:p w14:paraId="7BC106DD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14.20 (13.00-15.50)</w:t>
            </w:r>
          </w:p>
        </w:tc>
        <w:tc>
          <w:tcPr>
            <w:tcW w:w="1852" w:type="dxa"/>
          </w:tcPr>
          <w:p w14:paraId="52632C4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14.50 (13.40-15.80)</w:t>
            </w:r>
          </w:p>
        </w:tc>
        <w:tc>
          <w:tcPr>
            <w:tcW w:w="1852" w:type="dxa"/>
          </w:tcPr>
          <w:p w14:paraId="656CC969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 w14:paraId="7DF39D4B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  <w:tr w14:paraId="0A428FC0">
        <w:tc>
          <w:tcPr>
            <w:tcW w:w="1852" w:type="dxa"/>
          </w:tcPr>
          <w:p w14:paraId="4DD404DC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PLT, 10⁹/L</w:t>
            </w:r>
          </w:p>
        </w:tc>
        <w:tc>
          <w:tcPr>
            <w:tcW w:w="1852" w:type="dxa"/>
          </w:tcPr>
          <w:p w14:paraId="0E3DF5BB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206.00 (163.00-254.00)</w:t>
            </w:r>
          </w:p>
        </w:tc>
        <w:tc>
          <w:tcPr>
            <w:tcW w:w="1852" w:type="dxa"/>
          </w:tcPr>
          <w:p w14:paraId="148E26DB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205.00 (161.00-251.00)</w:t>
            </w:r>
          </w:p>
        </w:tc>
        <w:tc>
          <w:tcPr>
            <w:tcW w:w="1852" w:type="dxa"/>
          </w:tcPr>
          <w:p w14:paraId="2F5EE932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205.00 (163.00-252.00)</w:t>
            </w:r>
          </w:p>
        </w:tc>
        <w:tc>
          <w:tcPr>
            <w:tcW w:w="1852" w:type="dxa"/>
          </w:tcPr>
          <w:p w14:paraId="26CE91D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205.00 (161.00-252.00)</w:t>
            </w:r>
          </w:p>
        </w:tc>
        <w:tc>
          <w:tcPr>
            <w:tcW w:w="1852" w:type="dxa"/>
          </w:tcPr>
          <w:p w14:paraId="179F8318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212.00 (167.00-262.00)</w:t>
            </w:r>
          </w:p>
        </w:tc>
        <w:tc>
          <w:tcPr>
            <w:tcW w:w="1852" w:type="dxa"/>
          </w:tcPr>
          <w:p w14:paraId="51F2D423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 w14:paraId="50106FA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  <w:tr w14:paraId="3BB50B93">
        <w:tc>
          <w:tcPr>
            <w:tcW w:w="1852" w:type="dxa"/>
          </w:tcPr>
          <w:p w14:paraId="5F3498BE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BUN, mg/dL</w:t>
            </w:r>
          </w:p>
        </w:tc>
        <w:tc>
          <w:tcPr>
            <w:tcW w:w="1852" w:type="dxa"/>
          </w:tcPr>
          <w:p w14:paraId="3546EBD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15.13 (12.52-18.18)</w:t>
            </w:r>
          </w:p>
        </w:tc>
        <w:tc>
          <w:tcPr>
            <w:tcW w:w="1852" w:type="dxa"/>
          </w:tcPr>
          <w:p w14:paraId="47588D9B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15.80 (13.00-18.99)</w:t>
            </w:r>
          </w:p>
        </w:tc>
        <w:tc>
          <w:tcPr>
            <w:tcW w:w="1852" w:type="dxa"/>
          </w:tcPr>
          <w:p w14:paraId="139EC968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15.04 (12.44-18.18)</w:t>
            </w:r>
          </w:p>
        </w:tc>
        <w:tc>
          <w:tcPr>
            <w:tcW w:w="1852" w:type="dxa"/>
          </w:tcPr>
          <w:p w14:paraId="478FF59F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14.90 (12.46-17.95)</w:t>
            </w:r>
          </w:p>
        </w:tc>
        <w:tc>
          <w:tcPr>
            <w:tcW w:w="1852" w:type="dxa"/>
          </w:tcPr>
          <w:p w14:paraId="1DE0FD18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14.79 (12.30-17.59)</w:t>
            </w:r>
          </w:p>
        </w:tc>
        <w:tc>
          <w:tcPr>
            <w:tcW w:w="1852" w:type="dxa"/>
          </w:tcPr>
          <w:p w14:paraId="4297D1CF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 w14:paraId="7DCF8130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  <w:bookmarkEnd w:id="0"/>
      <w:tr w14:paraId="37D06388">
        <w:tc>
          <w:tcPr>
            <w:tcW w:w="1852" w:type="dxa"/>
          </w:tcPr>
          <w:p w14:paraId="1C655628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Crea, mg/dL</w:t>
            </w:r>
          </w:p>
        </w:tc>
        <w:tc>
          <w:tcPr>
            <w:tcW w:w="1852" w:type="dxa"/>
          </w:tcPr>
          <w:p w14:paraId="175D2D3C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0.76 (0.64-0.88)</w:t>
            </w:r>
          </w:p>
        </w:tc>
        <w:tc>
          <w:tcPr>
            <w:tcW w:w="1852" w:type="dxa"/>
          </w:tcPr>
          <w:p w14:paraId="4B2D3889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0.76 (0.66-0.88)</w:t>
            </w:r>
          </w:p>
        </w:tc>
        <w:tc>
          <w:tcPr>
            <w:tcW w:w="1852" w:type="dxa"/>
          </w:tcPr>
          <w:p w14:paraId="456FB06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0.75 (0.64-0.87)</w:t>
            </w:r>
          </w:p>
        </w:tc>
        <w:tc>
          <w:tcPr>
            <w:tcW w:w="1852" w:type="dxa"/>
          </w:tcPr>
          <w:p w14:paraId="2DB21A68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0.76 (0.64-0.88)</w:t>
            </w:r>
          </w:p>
        </w:tc>
        <w:tc>
          <w:tcPr>
            <w:tcW w:w="1852" w:type="dxa"/>
          </w:tcPr>
          <w:p w14:paraId="4EB9A382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0.75 (0.64-0.88)</w:t>
            </w:r>
          </w:p>
        </w:tc>
        <w:tc>
          <w:tcPr>
            <w:tcW w:w="1852" w:type="dxa"/>
          </w:tcPr>
          <w:p w14:paraId="659E8B15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0.399</w:t>
            </w:r>
          </w:p>
        </w:tc>
        <w:tc>
          <w:tcPr>
            <w:tcW w:w="1852" w:type="dxa"/>
          </w:tcPr>
          <w:p w14:paraId="45D81A8D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0.260</w:t>
            </w:r>
          </w:p>
        </w:tc>
      </w:tr>
      <w:tr w14:paraId="305BBD36">
        <w:tc>
          <w:tcPr>
            <w:tcW w:w="1852" w:type="dxa"/>
          </w:tcPr>
          <w:p w14:paraId="239BA4BC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CysC, mg/L</w:t>
            </w:r>
          </w:p>
        </w:tc>
        <w:tc>
          <w:tcPr>
            <w:tcW w:w="1852" w:type="dxa"/>
          </w:tcPr>
          <w:p w14:paraId="072B2B1E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0.90 (0.88-1.07)</w:t>
            </w:r>
          </w:p>
        </w:tc>
        <w:tc>
          <w:tcPr>
            <w:tcW w:w="1852" w:type="dxa"/>
          </w:tcPr>
          <w:p w14:paraId="5DB2C749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0.97 (0.88-1.14)</w:t>
            </w:r>
          </w:p>
        </w:tc>
        <w:tc>
          <w:tcPr>
            <w:tcW w:w="1852" w:type="dxa"/>
          </w:tcPr>
          <w:p w14:paraId="76C9CB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0.91 (0.88-1.06)</w:t>
            </w:r>
          </w:p>
        </w:tc>
        <w:tc>
          <w:tcPr>
            <w:tcW w:w="1852" w:type="dxa"/>
          </w:tcPr>
          <w:p w14:paraId="36A51790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0.88 (0.88-1.04)</w:t>
            </w:r>
          </w:p>
        </w:tc>
        <w:tc>
          <w:tcPr>
            <w:tcW w:w="1852" w:type="dxa"/>
          </w:tcPr>
          <w:p w14:paraId="29FE40F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0.88 (0.86-1.02)</w:t>
            </w:r>
          </w:p>
        </w:tc>
        <w:tc>
          <w:tcPr>
            <w:tcW w:w="1852" w:type="dxa"/>
          </w:tcPr>
          <w:p w14:paraId="2C450CD7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 w14:paraId="3939D44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  <w:tr w14:paraId="4ADFCCC1">
        <w:tc>
          <w:tcPr>
            <w:tcW w:w="1852" w:type="dxa"/>
          </w:tcPr>
          <w:p w14:paraId="1F1CEF8A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eGFR, ml/min/1.73m²</w:t>
            </w:r>
          </w:p>
        </w:tc>
        <w:tc>
          <w:tcPr>
            <w:tcW w:w="1852" w:type="dxa"/>
          </w:tcPr>
          <w:p w14:paraId="5CD1101B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89.27 (77.73-97.94)</w:t>
            </w:r>
          </w:p>
        </w:tc>
        <w:tc>
          <w:tcPr>
            <w:tcW w:w="1852" w:type="dxa"/>
          </w:tcPr>
          <w:p w14:paraId="30F80ED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86.35 (73.46-96.07)</w:t>
            </w:r>
          </w:p>
        </w:tc>
        <w:tc>
          <w:tcPr>
            <w:tcW w:w="1852" w:type="dxa"/>
          </w:tcPr>
          <w:p w14:paraId="1A4AE12D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89.15 (77.91-97.54)</w:t>
            </w:r>
          </w:p>
        </w:tc>
        <w:tc>
          <w:tcPr>
            <w:tcW w:w="1852" w:type="dxa"/>
          </w:tcPr>
          <w:p w14:paraId="11F76F41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90.53 (79.32-98.41)</w:t>
            </w:r>
          </w:p>
        </w:tc>
        <w:tc>
          <w:tcPr>
            <w:tcW w:w="1852" w:type="dxa"/>
          </w:tcPr>
          <w:p w14:paraId="757EF3FC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90.69 (79.95-99.55)</w:t>
            </w:r>
          </w:p>
        </w:tc>
        <w:tc>
          <w:tcPr>
            <w:tcW w:w="1852" w:type="dxa"/>
          </w:tcPr>
          <w:p w14:paraId="714816EF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 w14:paraId="3B41EBAE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  <w:tr w14:paraId="4A39A0CE">
        <w:tc>
          <w:tcPr>
            <w:tcW w:w="1852" w:type="dxa"/>
          </w:tcPr>
          <w:p w14:paraId="2EF27358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UA, mg/dL</w:t>
            </w:r>
          </w:p>
        </w:tc>
        <w:tc>
          <w:tcPr>
            <w:tcW w:w="1852" w:type="dxa"/>
          </w:tcPr>
          <w:p w14:paraId="59B72880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4.28 (3.56-5.13)</w:t>
            </w:r>
          </w:p>
        </w:tc>
        <w:tc>
          <w:tcPr>
            <w:tcW w:w="1852" w:type="dxa"/>
          </w:tcPr>
          <w:p w14:paraId="3754C603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4.14 (3.44-4.97)</w:t>
            </w:r>
          </w:p>
        </w:tc>
        <w:tc>
          <w:tcPr>
            <w:tcW w:w="1852" w:type="dxa"/>
          </w:tcPr>
          <w:p w14:paraId="186668AC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4.10 (3.45-4.95)</w:t>
            </w:r>
          </w:p>
        </w:tc>
        <w:tc>
          <w:tcPr>
            <w:tcW w:w="1852" w:type="dxa"/>
          </w:tcPr>
          <w:p w14:paraId="372D5FC9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4.34 (3.65-5.18)</w:t>
            </w:r>
          </w:p>
        </w:tc>
        <w:tc>
          <w:tcPr>
            <w:tcW w:w="1852" w:type="dxa"/>
          </w:tcPr>
          <w:p w14:paraId="5223FA4F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4.53 (3.75-5.39)</w:t>
            </w:r>
          </w:p>
        </w:tc>
        <w:tc>
          <w:tcPr>
            <w:tcW w:w="1852" w:type="dxa"/>
          </w:tcPr>
          <w:p w14:paraId="1501DBC3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 w14:paraId="3836064D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  <w:tr w14:paraId="418A1E0F">
        <w:tc>
          <w:tcPr>
            <w:tcW w:w="1852" w:type="dxa"/>
          </w:tcPr>
          <w:p w14:paraId="2C13DA10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TC, mg/dL</w:t>
            </w:r>
          </w:p>
        </w:tc>
        <w:tc>
          <w:tcPr>
            <w:tcW w:w="1852" w:type="dxa"/>
          </w:tcPr>
          <w:p w14:paraId="53569578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189.82 (166.62-214.56)</w:t>
            </w:r>
          </w:p>
        </w:tc>
        <w:tc>
          <w:tcPr>
            <w:tcW w:w="1852" w:type="dxa"/>
          </w:tcPr>
          <w:p w14:paraId="5EFA82F2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181.32 (159.28-204.12)</w:t>
            </w:r>
          </w:p>
        </w:tc>
        <w:tc>
          <w:tcPr>
            <w:tcW w:w="1852" w:type="dxa"/>
          </w:tcPr>
          <w:p w14:paraId="7315D239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186.34 (163.15-210.70)</w:t>
            </w:r>
          </w:p>
        </w:tc>
        <w:tc>
          <w:tcPr>
            <w:tcW w:w="1852" w:type="dxa"/>
          </w:tcPr>
          <w:p w14:paraId="3F7E4DD7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192.53 (169.33-217.27)</w:t>
            </w:r>
          </w:p>
        </w:tc>
        <w:tc>
          <w:tcPr>
            <w:tcW w:w="1852" w:type="dxa"/>
          </w:tcPr>
          <w:p w14:paraId="43FB5F87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197.94 (173.97-226.16)</w:t>
            </w:r>
          </w:p>
        </w:tc>
        <w:tc>
          <w:tcPr>
            <w:tcW w:w="1852" w:type="dxa"/>
          </w:tcPr>
          <w:p w14:paraId="3DB9CB7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 w14:paraId="686B9551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  <w:tr w14:paraId="6E0CABF7">
        <w:tc>
          <w:tcPr>
            <w:tcW w:w="1852" w:type="dxa"/>
          </w:tcPr>
          <w:p w14:paraId="4F1750FC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HDL-C, mg/dL</w:t>
            </w:r>
          </w:p>
        </w:tc>
        <w:tc>
          <w:tcPr>
            <w:tcW w:w="1852" w:type="dxa"/>
          </w:tcPr>
          <w:p w14:paraId="6EABDB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50.26 (40.98-60.70)</w:t>
            </w:r>
          </w:p>
        </w:tc>
        <w:tc>
          <w:tcPr>
            <w:tcW w:w="1852" w:type="dxa"/>
          </w:tcPr>
          <w:p w14:paraId="3A0BF1F3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58.38 (49.10-68.81)</w:t>
            </w:r>
          </w:p>
        </w:tc>
        <w:tc>
          <w:tcPr>
            <w:tcW w:w="1852" w:type="dxa"/>
          </w:tcPr>
          <w:p w14:paraId="5DFFF7DF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53.35 (45.23-63.02)</w:t>
            </w:r>
          </w:p>
        </w:tc>
        <w:tc>
          <w:tcPr>
            <w:tcW w:w="1852" w:type="dxa"/>
          </w:tcPr>
          <w:p w14:paraId="7DBF73C3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48.33 (40.21-57.22)</w:t>
            </w:r>
          </w:p>
        </w:tc>
        <w:tc>
          <w:tcPr>
            <w:tcW w:w="1852" w:type="dxa"/>
          </w:tcPr>
          <w:p w14:paraId="21301167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41.75 (34.79-49.10)</w:t>
            </w:r>
          </w:p>
        </w:tc>
        <w:tc>
          <w:tcPr>
            <w:tcW w:w="1852" w:type="dxa"/>
          </w:tcPr>
          <w:p w14:paraId="7DA8655A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 w14:paraId="3599586D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  <w:tr w14:paraId="5AA6A627">
        <w:tc>
          <w:tcPr>
            <w:tcW w:w="1852" w:type="dxa"/>
          </w:tcPr>
          <w:p w14:paraId="360349FE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LDL-C, mg/dL</w:t>
            </w:r>
          </w:p>
        </w:tc>
        <w:tc>
          <w:tcPr>
            <w:tcW w:w="1852" w:type="dxa"/>
          </w:tcPr>
          <w:p w14:paraId="6BE21D1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113.66 (92.78-136.47)</w:t>
            </w:r>
          </w:p>
        </w:tc>
        <w:tc>
          <w:tcPr>
            <w:tcW w:w="1852" w:type="dxa"/>
          </w:tcPr>
          <w:p w14:paraId="1356747B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106.70 (88.14-127.19)</w:t>
            </w:r>
          </w:p>
        </w:tc>
        <w:tc>
          <w:tcPr>
            <w:tcW w:w="1852" w:type="dxa"/>
          </w:tcPr>
          <w:p w14:paraId="2E801818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113.27 (93.17-134.15)</w:t>
            </w:r>
          </w:p>
        </w:tc>
        <w:tc>
          <w:tcPr>
            <w:tcW w:w="1852" w:type="dxa"/>
          </w:tcPr>
          <w:p w14:paraId="1111FC25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117.91 (97.81-141.11)</w:t>
            </w:r>
          </w:p>
        </w:tc>
        <w:tc>
          <w:tcPr>
            <w:tcW w:w="1852" w:type="dxa"/>
          </w:tcPr>
          <w:p w14:paraId="0BCB825D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117.14 (93.56-143.04)</w:t>
            </w:r>
          </w:p>
        </w:tc>
        <w:tc>
          <w:tcPr>
            <w:tcW w:w="1852" w:type="dxa"/>
          </w:tcPr>
          <w:p w14:paraId="7BF81DC0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 w14:paraId="7B465BA5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  <w:tr w14:paraId="651EF773">
        <w:tc>
          <w:tcPr>
            <w:tcW w:w="1852" w:type="dxa"/>
          </w:tcPr>
          <w:p w14:paraId="05DD2EB1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  <w:lang w:val="en-US" w:eastAsia="zh-CN"/>
              </w:rPr>
              <w:t>hs-CRP</w:t>
            </w:r>
            <w:r>
              <w:rPr>
                <w:rFonts w:ascii="Times New Roman" w:hAnsi="Times New Roman"/>
                <w:sz w:val="15"/>
              </w:rPr>
              <w:t>, mg/L</w:t>
            </w:r>
          </w:p>
        </w:tc>
        <w:tc>
          <w:tcPr>
            <w:tcW w:w="1852" w:type="dxa"/>
          </w:tcPr>
          <w:p w14:paraId="491AC26D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0.98 (0.53-2.08)</w:t>
            </w:r>
          </w:p>
        </w:tc>
        <w:tc>
          <w:tcPr>
            <w:tcW w:w="1852" w:type="dxa"/>
          </w:tcPr>
          <w:p w14:paraId="74D3E5D9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0.77 (0.44-1.83)</w:t>
            </w:r>
          </w:p>
        </w:tc>
        <w:tc>
          <w:tcPr>
            <w:tcW w:w="1852" w:type="dxa"/>
          </w:tcPr>
          <w:p w14:paraId="6A2F09F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0.80 (0.47-1.72)</w:t>
            </w:r>
          </w:p>
        </w:tc>
        <w:tc>
          <w:tcPr>
            <w:tcW w:w="1852" w:type="dxa"/>
          </w:tcPr>
          <w:p w14:paraId="7FB83D0C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1.01 (0.55-2.03)</w:t>
            </w:r>
          </w:p>
        </w:tc>
        <w:tc>
          <w:tcPr>
            <w:tcW w:w="1852" w:type="dxa"/>
          </w:tcPr>
          <w:p w14:paraId="5A387522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1.34 (0.75-2.57)</w:t>
            </w:r>
          </w:p>
        </w:tc>
        <w:tc>
          <w:tcPr>
            <w:tcW w:w="1852" w:type="dxa"/>
          </w:tcPr>
          <w:p w14:paraId="39F0DA6A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 w14:paraId="4A7E04CD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  <w:tr w14:paraId="796F1DF1">
        <w:tc>
          <w:tcPr>
            <w:tcW w:w="1852" w:type="dxa"/>
          </w:tcPr>
          <w:p w14:paraId="10B0CCC2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HbA1c, %</w:t>
            </w:r>
          </w:p>
        </w:tc>
        <w:tc>
          <w:tcPr>
            <w:tcW w:w="1852" w:type="dxa"/>
          </w:tcPr>
          <w:p w14:paraId="7DF5364F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5.10 (4.90-5.40)</w:t>
            </w:r>
          </w:p>
        </w:tc>
        <w:tc>
          <w:tcPr>
            <w:tcW w:w="1852" w:type="dxa"/>
          </w:tcPr>
          <w:p w14:paraId="7EEDBC58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5.10 (4.80-5.30)</w:t>
            </w:r>
          </w:p>
        </w:tc>
        <w:tc>
          <w:tcPr>
            <w:tcW w:w="1852" w:type="dxa"/>
          </w:tcPr>
          <w:p w14:paraId="579D205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5.10 (4.80-5.30)</w:t>
            </w:r>
          </w:p>
        </w:tc>
        <w:tc>
          <w:tcPr>
            <w:tcW w:w="1852" w:type="dxa"/>
          </w:tcPr>
          <w:p w14:paraId="02E743AA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5.10 (4.80-5.40)</w:t>
            </w:r>
          </w:p>
        </w:tc>
        <w:tc>
          <w:tcPr>
            <w:tcW w:w="1852" w:type="dxa"/>
          </w:tcPr>
          <w:p w14:paraId="18C969B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5.20 (4.90-5.50)</w:t>
            </w:r>
          </w:p>
        </w:tc>
        <w:tc>
          <w:tcPr>
            <w:tcW w:w="1852" w:type="dxa"/>
          </w:tcPr>
          <w:p w14:paraId="7440A58B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 w14:paraId="25E8B9A5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  <w:tr w14:paraId="4A188D3E">
        <w:tc>
          <w:tcPr>
            <w:tcW w:w="1852" w:type="dxa"/>
          </w:tcPr>
          <w:p w14:paraId="57949FEB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Male, n (%)</w:t>
            </w:r>
          </w:p>
        </w:tc>
        <w:tc>
          <w:tcPr>
            <w:tcW w:w="1852" w:type="dxa"/>
          </w:tcPr>
          <w:p w14:paraId="6852EAD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3618 (46.8)</w:t>
            </w:r>
          </w:p>
        </w:tc>
        <w:tc>
          <w:tcPr>
            <w:tcW w:w="1852" w:type="dxa"/>
          </w:tcPr>
          <w:p w14:paraId="291C1E7B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1106 (57.2)</w:t>
            </w:r>
          </w:p>
        </w:tc>
        <w:tc>
          <w:tcPr>
            <w:tcW w:w="1852" w:type="dxa"/>
          </w:tcPr>
          <w:p w14:paraId="78239E68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942 (48.8)</w:t>
            </w:r>
          </w:p>
        </w:tc>
        <w:tc>
          <w:tcPr>
            <w:tcW w:w="1852" w:type="dxa"/>
          </w:tcPr>
          <w:p w14:paraId="59CBC08F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843 (43.6)</w:t>
            </w:r>
          </w:p>
        </w:tc>
        <w:tc>
          <w:tcPr>
            <w:tcW w:w="1852" w:type="dxa"/>
          </w:tcPr>
          <w:p w14:paraId="787DC1B3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727 (37.6)</w:t>
            </w:r>
          </w:p>
        </w:tc>
        <w:tc>
          <w:tcPr>
            <w:tcW w:w="1852" w:type="dxa"/>
          </w:tcPr>
          <w:p w14:paraId="39B4570D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 w14:paraId="5C0FA932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  <w:tr w14:paraId="46D3CF7D">
        <w:tc>
          <w:tcPr>
            <w:tcW w:w="1852" w:type="dxa"/>
          </w:tcPr>
          <w:p w14:paraId="3E0AEA7F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Urban, n (%)</w:t>
            </w:r>
          </w:p>
        </w:tc>
        <w:tc>
          <w:tcPr>
            <w:tcW w:w="1852" w:type="dxa"/>
          </w:tcPr>
          <w:p w14:paraId="5DE95F4D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2585 (33.4)</w:t>
            </w:r>
          </w:p>
        </w:tc>
        <w:tc>
          <w:tcPr>
            <w:tcW w:w="1852" w:type="dxa"/>
          </w:tcPr>
          <w:p w14:paraId="6F08B795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475 (24.6)</w:t>
            </w:r>
          </w:p>
        </w:tc>
        <w:tc>
          <w:tcPr>
            <w:tcW w:w="1852" w:type="dxa"/>
          </w:tcPr>
          <w:p w14:paraId="7B66DA3C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591 (30.6)</w:t>
            </w:r>
          </w:p>
        </w:tc>
        <w:tc>
          <w:tcPr>
            <w:tcW w:w="1852" w:type="dxa"/>
          </w:tcPr>
          <w:p w14:paraId="404D25CA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695 (36.0)</w:t>
            </w:r>
          </w:p>
        </w:tc>
        <w:tc>
          <w:tcPr>
            <w:tcW w:w="1852" w:type="dxa"/>
          </w:tcPr>
          <w:p w14:paraId="57274778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824 (42.6)</w:t>
            </w:r>
          </w:p>
        </w:tc>
        <w:tc>
          <w:tcPr>
            <w:tcW w:w="1852" w:type="dxa"/>
          </w:tcPr>
          <w:p w14:paraId="592FCAA3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 w14:paraId="3594916E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  <w:tr w14:paraId="60FC4468">
        <w:tc>
          <w:tcPr>
            <w:tcW w:w="1852" w:type="dxa"/>
          </w:tcPr>
          <w:p w14:paraId="17CC69B0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Smoker, n (%)</w:t>
            </w:r>
          </w:p>
        </w:tc>
        <w:tc>
          <w:tcPr>
            <w:tcW w:w="1852" w:type="dxa"/>
          </w:tcPr>
          <w:p w14:paraId="2B3D1192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3041 (39.3)</w:t>
            </w:r>
          </w:p>
        </w:tc>
        <w:tc>
          <w:tcPr>
            <w:tcW w:w="1852" w:type="dxa"/>
          </w:tcPr>
          <w:p w14:paraId="1B268A5F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976 (50.5)</w:t>
            </w:r>
          </w:p>
        </w:tc>
        <w:tc>
          <w:tcPr>
            <w:tcW w:w="1852" w:type="dxa"/>
          </w:tcPr>
          <w:p w14:paraId="5411D54E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784 (40.6)</w:t>
            </w:r>
          </w:p>
        </w:tc>
        <w:tc>
          <w:tcPr>
            <w:tcW w:w="1852" w:type="dxa"/>
          </w:tcPr>
          <w:p w14:paraId="3846883C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703 (36.4)</w:t>
            </w:r>
          </w:p>
        </w:tc>
        <w:tc>
          <w:tcPr>
            <w:tcW w:w="1852" w:type="dxa"/>
          </w:tcPr>
          <w:p w14:paraId="58D9CDF1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578 (29.9)</w:t>
            </w:r>
          </w:p>
        </w:tc>
        <w:tc>
          <w:tcPr>
            <w:tcW w:w="1852" w:type="dxa"/>
          </w:tcPr>
          <w:p w14:paraId="44A1DA85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 w14:paraId="6C1DD1DB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  <w:tr w14:paraId="64DE5685">
        <w:tc>
          <w:tcPr>
            <w:tcW w:w="1852" w:type="dxa"/>
          </w:tcPr>
          <w:p w14:paraId="7D74A6DF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Drinker, n (%)</w:t>
            </w:r>
          </w:p>
        </w:tc>
        <w:tc>
          <w:tcPr>
            <w:tcW w:w="1852" w:type="dxa"/>
          </w:tcPr>
          <w:p w14:paraId="4532A885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3221 (41.7)</w:t>
            </w:r>
          </w:p>
        </w:tc>
        <w:tc>
          <w:tcPr>
            <w:tcW w:w="1852" w:type="dxa"/>
          </w:tcPr>
          <w:p w14:paraId="2ACC7053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873 (45.2)</w:t>
            </w:r>
          </w:p>
        </w:tc>
        <w:tc>
          <w:tcPr>
            <w:tcW w:w="1852" w:type="dxa"/>
          </w:tcPr>
          <w:p w14:paraId="43E3913E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827 (42.8)</w:t>
            </w:r>
          </w:p>
        </w:tc>
        <w:tc>
          <w:tcPr>
            <w:tcW w:w="1852" w:type="dxa"/>
          </w:tcPr>
          <w:p w14:paraId="61A8BF7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806 (41.7)</w:t>
            </w:r>
          </w:p>
        </w:tc>
        <w:tc>
          <w:tcPr>
            <w:tcW w:w="1852" w:type="dxa"/>
          </w:tcPr>
          <w:p w14:paraId="271E3B6D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715 (37.0)</w:t>
            </w:r>
          </w:p>
        </w:tc>
        <w:tc>
          <w:tcPr>
            <w:tcW w:w="1852" w:type="dxa"/>
          </w:tcPr>
          <w:p w14:paraId="35AA1A40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 w14:paraId="0C090F6B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  <w:tr>
        <w:tc>
          <w:tcPr>
            <w:tcW w:w="1852" w:type="dxa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Marital status, n (%)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—</w:t>
            </w:r>
          </w:p>
        </w:tc>
      </w:tr>
      <w:tr>
        <w:tc>
          <w:tcPr>
            <w:tcW w:w="1852" w:type="dxa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Married/cohabiting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6819 (88.2)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1642 (84.9)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1680 (87.0)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1720 (89.0)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1777 (91.9)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</w:tr>
      <w:tr>
        <w:tc>
          <w:tcPr>
            <w:tcW w:w="1852" w:type="dxa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Widowed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774 (10.0)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232 (12.0)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215 (11.1)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184 (9.5)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143 (7.4)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</w:tr>
      <w:tr>
        <w:tc>
          <w:tcPr>
            <w:tcW w:w="1852" w:type="dxa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Other unmarried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138 (1.8)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59 (3.1)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37 (1.9)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29 (1.5)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13 (0.7)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</w:tr>
      <w:tr>
        <w:tc>
          <w:tcPr>
            <w:tcW w:w="1852" w:type="dxa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Education, n (%)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—</w:t>
            </w:r>
          </w:p>
        </w:tc>
      </w:tr>
      <w:tr>
        <w:tc>
          <w:tcPr>
            <w:tcW w:w="1852" w:type="dxa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Below primary school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3791 (49.0)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1081 (55.9)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941 (48.7)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915 (47.3)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854 (44.2)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</w:tr>
      <w:tr>
        <w:tc>
          <w:tcPr>
            <w:tcW w:w="1852" w:type="dxa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Primary school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1674 (21.7)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411 (21.3)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438 (22.7)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416 (21.5)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409 (21.2)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</w:tr>
      <w:tr>
        <w:tc>
          <w:tcPr>
            <w:tcW w:w="1852" w:type="dxa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Middle school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1538 (19.9)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308 (15.9)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381 (19.7)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394 (20.4)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455 (23.5)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</w:tr>
      <w:tr>
        <w:tc>
          <w:tcPr>
            <w:tcW w:w="1852" w:type="dxa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High school or above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728 (9.4)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133 (6.9)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172 (8.9)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208 (10.8)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215 (11.1)</w:t>
            </w: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  <w:tc>
          <w:tcPr>
            <w:tcW w:w="1852" w:type="dxa"/>
          </w:tcPr>
          <w:p>
            <w:pPr>
              <w:spacing w:before="20" w:after="20"/>
              <w:jc w:val="center"/>
            </w:pPr>
          </w:p>
        </w:tc>
      </w:tr>
      <w:tr w14:paraId="2726E2E0">
        <w:tc>
          <w:tcPr>
            <w:tcW w:w="1852" w:type="dxa"/>
          </w:tcPr>
          <w:p w14:paraId="070FD887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Hypertension, n (%)</w:t>
            </w:r>
          </w:p>
        </w:tc>
        <w:tc>
          <w:tcPr>
            <w:tcW w:w="1852" w:type="dxa"/>
          </w:tcPr>
          <w:p w14:paraId="20BA7A18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2880 (37.3)</w:t>
            </w:r>
          </w:p>
        </w:tc>
        <w:tc>
          <w:tcPr>
            <w:tcW w:w="1852" w:type="dxa"/>
          </w:tcPr>
          <w:p w14:paraId="0214A6DE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513 (26.5)</w:t>
            </w:r>
          </w:p>
        </w:tc>
        <w:tc>
          <w:tcPr>
            <w:tcW w:w="1852" w:type="dxa"/>
          </w:tcPr>
          <w:p w14:paraId="55751308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602 (31.2)</w:t>
            </w:r>
          </w:p>
        </w:tc>
        <w:tc>
          <w:tcPr>
            <w:tcW w:w="1852" w:type="dxa"/>
          </w:tcPr>
          <w:p w14:paraId="2E5E4523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771 (39.9)</w:t>
            </w:r>
          </w:p>
        </w:tc>
        <w:tc>
          <w:tcPr>
            <w:tcW w:w="1852" w:type="dxa"/>
          </w:tcPr>
          <w:p w14:paraId="4E9EAF15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994 (51.4)</w:t>
            </w:r>
          </w:p>
        </w:tc>
        <w:tc>
          <w:tcPr>
            <w:tcW w:w="1852" w:type="dxa"/>
          </w:tcPr>
          <w:p w14:paraId="6ECA0F3A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 w14:paraId="52E5DF1C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  <w:tr w14:paraId="35514F76">
        <w:tc>
          <w:tcPr>
            <w:tcW w:w="1852" w:type="dxa"/>
          </w:tcPr>
          <w:p w14:paraId="1C3AAE08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Cancer, n (%)</w:t>
            </w:r>
          </w:p>
        </w:tc>
        <w:tc>
          <w:tcPr>
            <w:tcW w:w="1852" w:type="dxa"/>
          </w:tcPr>
          <w:p w14:paraId="13B57A22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59 (0.8)</w:t>
            </w:r>
          </w:p>
        </w:tc>
        <w:tc>
          <w:tcPr>
            <w:tcW w:w="1852" w:type="dxa"/>
          </w:tcPr>
          <w:p w14:paraId="6068652F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15 (0.8)</w:t>
            </w:r>
          </w:p>
        </w:tc>
        <w:tc>
          <w:tcPr>
            <w:tcW w:w="1852" w:type="dxa"/>
          </w:tcPr>
          <w:p w14:paraId="33FE5668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12 (0.6)</w:t>
            </w:r>
          </w:p>
        </w:tc>
        <w:tc>
          <w:tcPr>
            <w:tcW w:w="1852" w:type="dxa"/>
          </w:tcPr>
          <w:p w14:paraId="0CD2982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16 (0.8)</w:t>
            </w:r>
          </w:p>
        </w:tc>
        <w:tc>
          <w:tcPr>
            <w:tcW w:w="1852" w:type="dxa"/>
          </w:tcPr>
          <w:p w14:paraId="4ECE9611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16 (0.8)</w:t>
            </w:r>
          </w:p>
        </w:tc>
        <w:tc>
          <w:tcPr>
            <w:tcW w:w="1852" w:type="dxa"/>
          </w:tcPr>
          <w:p w14:paraId="7816C1A2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0.866</w:t>
            </w:r>
          </w:p>
        </w:tc>
        <w:tc>
          <w:tcPr>
            <w:tcW w:w="1852" w:type="dxa"/>
          </w:tcPr>
          <w:p w14:paraId="60E179F1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0.683</w:t>
            </w:r>
          </w:p>
        </w:tc>
      </w:tr>
      <w:tr w14:paraId="528E3BB3">
        <w:tc>
          <w:tcPr>
            <w:tcW w:w="1852" w:type="dxa"/>
          </w:tcPr>
          <w:p w14:paraId="19D1D259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Chronic lung disease, n (%)</w:t>
            </w:r>
          </w:p>
        </w:tc>
        <w:tc>
          <w:tcPr>
            <w:tcW w:w="1852" w:type="dxa"/>
          </w:tcPr>
          <w:p w14:paraId="5F26A58F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687 (8.9)</w:t>
            </w:r>
          </w:p>
        </w:tc>
        <w:tc>
          <w:tcPr>
            <w:tcW w:w="1852" w:type="dxa"/>
          </w:tcPr>
          <w:p w14:paraId="5ABB3C3A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243 (12.6)</w:t>
            </w:r>
          </w:p>
        </w:tc>
        <w:tc>
          <w:tcPr>
            <w:tcW w:w="1852" w:type="dxa"/>
          </w:tcPr>
          <w:p w14:paraId="2C8EA25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172 (8.9)</w:t>
            </w:r>
          </w:p>
        </w:tc>
        <w:tc>
          <w:tcPr>
            <w:tcW w:w="1852" w:type="dxa"/>
          </w:tcPr>
          <w:p w14:paraId="332F2852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135 (7.0)</w:t>
            </w:r>
          </w:p>
        </w:tc>
        <w:tc>
          <w:tcPr>
            <w:tcW w:w="1852" w:type="dxa"/>
          </w:tcPr>
          <w:p w14:paraId="649E8CCC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137 (7.1)</w:t>
            </w:r>
          </w:p>
        </w:tc>
        <w:tc>
          <w:tcPr>
            <w:tcW w:w="1852" w:type="dxa"/>
          </w:tcPr>
          <w:p w14:paraId="691BDCFB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 w14:paraId="48DB48A1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  <w:tr w14:paraId="32ACF78D">
        <w:tc>
          <w:tcPr>
            <w:tcW w:w="1852" w:type="dxa"/>
          </w:tcPr>
          <w:p w14:paraId="0156C825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Dyslipidemia, n (%)</w:t>
            </w:r>
          </w:p>
        </w:tc>
        <w:tc>
          <w:tcPr>
            <w:tcW w:w="1852" w:type="dxa"/>
          </w:tcPr>
          <w:p w14:paraId="41A9399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506 (6.5)</w:t>
            </w:r>
          </w:p>
        </w:tc>
        <w:tc>
          <w:tcPr>
            <w:tcW w:w="1852" w:type="dxa"/>
          </w:tcPr>
          <w:p w14:paraId="477C4C88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47 (2.4)</w:t>
            </w:r>
          </w:p>
        </w:tc>
        <w:tc>
          <w:tcPr>
            <w:tcW w:w="1852" w:type="dxa"/>
          </w:tcPr>
          <w:p w14:paraId="23CC0C17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78 (4.0)</w:t>
            </w:r>
          </w:p>
        </w:tc>
        <w:tc>
          <w:tcPr>
            <w:tcW w:w="1852" w:type="dxa"/>
          </w:tcPr>
          <w:p w14:paraId="05D56700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130 (6.7)</w:t>
            </w:r>
          </w:p>
        </w:tc>
        <w:tc>
          <w:tcPr>
            <w:tcW w:w="1852" w:type="dxa"/>
          </w:tcPr>
          <w:p w14:paraId="2FDBB9F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251 (13.0)</w:t>
            </w:r>
          </w:p>
        </w:tc>
        <w:tc>
          <w:tcPr>
            <w:tcW w:w="1852" w:type="dxa"/>
          </w:tcPr>
          <w:p w14:paraId="62A86AF1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</w:tcPr>
          <w:p w14:paraId="1144BFA8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  <w:tr w14:paraId="61B8F4FA">
        <w:tc>
          <w:tcPr>
            <w:tcW w:w="1852" w:type="dxa"/>
          </w:tcPr>
          <w:p w14:paraId="01B7AD07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Chronic kidney disease, n (%)</w:t>
            </w:r>
          </w:p>
        </w:tc>
        <w:tc>
          <w:tcPr>
            <w:tcW w:w="1852" w:type="dxa"/>
          </w:tcPr>
          <w:p w14:paraId="2CBD9F49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362 (4.7)</w:t>
            </w:r>
          </w:p>
        </w:tc>
        <w:tc>
          <w:tcPr>
            <w:tcW w:w="1852" w:type="dxa"/>
          </w:tcPr>
          <w:p w14:paraId="5A484960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101 (5.2)</w:t>
            </w:r>
          </w:p>
        </w:tc>
        <w:tc>
          <w:tcPr>
            <w:tcW w:w="1852" w:type="dxa"/>
          </w:tcPr>
          <w:p w14:paraId="71B17A2D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90 (4.7)</w:t>
            </w:r>
          </w:p>
        </w:tc>
        <w:tc>
          <w:tcPr>
            <w:tcW w:w="1852" w:type="dxa"/>
          </w:tcPr>
          <w:p w14:paraId="0055EA0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86 (4.4)</w:t>
            </w:r>
          </w:p>
        </w:tc>
        <w:tc>
          <w:tcPr>
            <w:tcW w:w="1852" w:type="dxa"/>
          </w:tcPr>
          <w:p w14:paraId="372E81F3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85 (4.4)</w:t>
            </w:r>
          </w:p>
        </w:tc>
        <w:tc>
          <w:tcPr>
            <w:tcW w:w="1852" w:type="dxa"/>
          </w:tcPr>
          <w:p w14:paraId="51CB24E0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0.601</w:t>
            </w:r>
          </w:p>
        </w:tc>
        <w:tc>
          <w:tcPr>
            <w:tcW w:w="1852" w:type="dxa"/>
          </w:tcPr>
          <w:p w14:paraId="27AFE6DE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0.210</w:t>
            </w:r>
          </w:p>
        </w:tc>
      </w:tr>
      <w:tr w14:paraId="654B03E5">
        <w:tc>
          <w:tcPr>
            <w:tcW w:w="1852" w:type="dxa"/>
            <w:tcBorders>
              <w:bottom w:val="single" w:color="000000" w:sz="12" w:space="0"/>
            </w:tcBorders>
          </w:tcPr>
          <w:p w14:paraId="6539E485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5"/>
              </w:rPr>
              <w:t>CMM, n (%)</w:t>
            </w:r>
          </w:p>
        </w:tc>
        <w:tc>
          <w:tcPr>
            <w:tcW w:w="1852" w:type="dxa"/>
            <w:tcBorders>
              <w:bottom w:val="single" w:color="000000" w:sz="12" w:space="0"/>
            </w:tcBorders>
          </w:tcPr>
          <w:p w14:paraId="0CD63C7B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497 (6.4)</w:t>
            </w:r>
          </w:p>
        </w:tc>
        <w:tc>
          <w:tcPr>
            <w:tcW w:w="1852" w:type="dxa"/>
            <w:tcBorders>
              <w:bottom w:val="single" w:color="000000" w:sz="12" w:space="0"/>
            </w:tcBorders>
          </w:tcPr>
          <w:p w14:paraId="494D7343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64 (3.3)</w:t>
            </w:r>
          </w:p>
        </w:tc>
        <w:tc>
          <w:tcPr>
            <w:tcW w:w="1852" w:type="dxa"/>
            <w:tcBorders>
              <w:bottom w:val="single" w:color="000000" w:sz="12" w:space="0"/>
            </w:tcBorders>
          </w:tcPr>
          <w:p w14:paraId="61F12613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80 (4.1)</w:t>
            </w:r>
          </w:p>
        </w:tc>
        <w:tc>
          <w:tcPr>
            <w:tcW w:w="1852" w:type="dxa"/>
            <w:tcBorders>
              <w:bottom w:val="single" w:color="000000" w:sz="12" w:space="0"/>
            </w:tcBorders>
          </w:tcPr>
          <w:p w14:paraId="6705C07B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132 (6.8)</w:t>
            </w:r>
          </w:p>
        </w:tc>
        <w:tc>
          <w:tcPr>
            <w:tcW w:w="1852" w:type="dxa"/>
            <w:tcBorders>
              <w:bottom w:val="single" w:color="000000" w:sz="12" w:space="0"/>
            </w:tcBorders>
          </w:tcPr>
          <w:p w14:paraId="220E4247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221 (11.4)</w:t>
            </w:r>
          </w:p>
        </w:tc>
        <w:tc>
          <w:tcPr>
            <w:tcW w:w="1852" w:type="dxa"/>
            <w:tcBorders>
              <w:bottom w:val="single" w:color="000000" w:sz="12" w:space="0"/>
            </w:tcBorders>
          </w:tcPr>
          <w:p w14:paraId="0DCAA2A3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  <w:tc>
          <w:tcPr>
            <w:tcW w:w="1852" w:type="dxa"/>
            <w:tcBorders>
              <w:bottom w:val="single" w:color="000000" w:sz="12" w:space="0"/>
            </w:tcBorders>
          </w:tcPr>
          <w:p w14:paraId="350A2892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5"/>
              </w:rPr>
              <w:t>&lt;0.001</w:t>
            </w:r>
          </w:p>
        </w:tc>
      </w:tr>
    </w:tbl>
    <w:p w14:paraId="7C650FD3">
      <w:pPr>
        <w:widowControl w:val="0"/>
        <w:spacing w:line="480" w:lineRule="auto" w:after="0"/>
        <w:jc w:val="both"/>
        <w:rPr>
          <w:rFonts w:ascii="Times New Roman" w:hAnsi="Times New Roman" w:eastAsia="宋体" w:cstheme="minorEastAsia"/>
          <w:b/>
          <w:bCs/>
          <w:kern w:val="0"/>
          <w:sz w:val="22"/>
          <w:shd w:val="clear" w:color="auto" w:fill="FFFFFF"/>
          <w:lang w:eastAsia="zh-CN" w:bidi="ar"/>
        </w:rPr>
      </w:pPr>
      <w:r>
        <w:rPr>
          <w:rFonts w:ascii="Times New Roman" w:hAnsi="Times New Roman" w:eastAsia="宋体" w:cstheme="minorEastAsia"/>
          <w:b/>
          <w:bCs/>
          <w:kern w:val="0"/>
          <w:sz w:val="22"/>
          <w:shd w:val="clear" w:color="auto" w:fill="FFFFFF"/>
          <w:lang w:eastAsia="zh-CN" w:bidi="ar"/>
        </w:rPr>
        <w:t xml:space="preserve">Continuous variables, median (Q1–Q3); categorical variables, n (%). P values from the Kruskal–Wallis test (continuous) or the chi-square test (categorical); P for trend from the Jonckheere–Terpstra test (continuous) or the Cochran–Armitage test (categorical). BMI is omitted because it is a component of TyG-BMI. WBC, white blood cell count; HGB, </w:t>
      </w:r>
      <w:r>
        <w:rPr>
          <w:rFonts w:hint="eastAsia" w:ascii="Times New Roman" w:hAnsi="Times New Roman" w:eastAsia="宋体" w:cstheme="minorEastAsia"/>
          <w:b/>
          <w:bCs/>
          <w:kern w:val="0"/>
          <w:sz w:val="22"/>
          <w:shd w:val="clear" w:color="auto" w:fill="FFFFFF"/>
          <w:lang w:eastAsia="zh-CN" w:bidi="ar"/>
        </w:rPr>
        <w:t>hemoglobin‌</w:t>
      </w:r>
      <w:r>
        <w:rPr>
          <w:rFonts w:ascii="Times New Roman" w:hAnsi="Times New Roman" w:eastAsia="宋体" w:cstheme="minorEastAsia"/>
          <w:b/>
          <w:bCs/>
          <w:kern w:val="0"/>
          <w:sz w:val="22"/>
          <w:shd w:val="clear" w:color="auto" w:fill="FFFFFF"/>
          <w:lang w:eastAsia="zh-CN" w:bidi="ar"/>
        </w:rPr>
        <w:t xml:space="preserve">; PLT, platelet count; BUN, blood urea nitrogen; Crea, creatinine; CysC, cystatin C; eGFR, estimated glomerular filtration rate; UA, uric acid; TC, total cholesterol; HDL-C/LDL-C, high-/low-density lipoprotein cholesterol; CRP, C-reactive protein; HbA1c, glycated </w:t>
      </w:r>
      <w:r>
        <w:rPr>
          <w:rFonts w:hint="eastAsia" w:ascii="Times New Roman" w:hAnsi="Times New Roman" w:eastAsia="宋体" w:cstheme="minorEastAsia"/>
          <w:b/>
          <w:bCs/>
          <w:kern w:val="0"/>
          <w:sz w:val="22"/>
          <w:shd w:val="clear" w:color="auto" w:fill="FFFFFF"/>
          <w:lang w:eastAsia="zh-CN" w:bidi="ar"/>
        </w:rPr>
        <w:t>hemoglobin‌</w:t>
      </w:r>
      <w:r>
        <w:rPr>
          <w:rFonts w:ascii="Times New Roman" w:hAnsi="Times New Roman" w:eastAsia="宋体" w:cstheme="minorEastAsia"/>
          <w:b/>
          <w:bCs/>
          <w:kern w:val="0"/>
          <w:sz w:val="22"/>
          <w:shd w:val="clear" w:color="auto" w:fill="FFFFFF"/>
          <w:lang w:eastAsia="zh-CN" w:bidi="ar"/>
        </w:rPr>
        <w:t>.</w:t>
      </w:r>
    </w:p>
    <w:p w14:paraId="630DFF43">
      <w:pPr>
        <w:spacing w:line="480" w:lineRule="auto"/>
      </w:pPr>
      <w:r>
        <w:br w:type="page"/>
      </w:r>
    </w:p>
    <w:p w14:paraId="7209C6DD">
      <w:pPr>
        <w:widowControl w:val="0"/>
        <w:spacing w:line="480" w:lineRule="auto" w:after="0"/>
        <w:jc w:val="both"/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eastAsia="zh-CN"/>
        </w:rPr>
        <w:t>Supplementary Table S2. Test of the proportional hazards assumption (scaled Schoenfeld residuals).</w:t>
      </w:r>
    </w:p>
    <w:tbl>
      <w:tblPr>
        <w:tblStyle w:val="3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4"/>
        <w:gridCol w:w="2964"/>
        <w:gridCol w:w="2964"/>
        <w:gridCol w:w="2964"/>
        <w:gridCol w:w="2964"/>
      </w:tblGrid>
      <w:tr w14:paraId="7FD0F8F9">
        <w:tc>
          <w:tcPr>
            <w:tcW w:w="2964" w:type="dxa"/>
            <w:tcBorders>
              <w:top w:val="single" w:color="000000" w:sz="12" w:space="0"/>
              <w:bottom w:val="single" w:color="000000" w:sz="6" w:space="0"/>
            </w:tcBorders>
          </w:tcPr>
          <w:p w14:paraId="3BBE9816">
            <w:pPr>
              <w:spacing w:before="20" w:after="20"/>
              <w:jc w:val="left"/>
            </w:pPr>
            <w:r>
              <w:rPr>
                <w:rFonts w:ascii="Times New Roman" w:hAnsi="Times New Roman"/>
                <w:b/>
                <w:sz w:val="16"/>
              </w:rPr>
              <w:t>Variable</w:t>
            </w:r>
          </w:p>
        </w:tc>
        <w:tc>
          <w:tcPr>
            <w:tcW w:w="2964" w:type="dxa"/>
            <w:tcBorders>
              <w:top w:val="single" w:color="000000" w:sz="12" w:space="0"/>
              <w:bottom w:val="single" w:color="000000" w:sz="6" w:space="0"/>
            </w:tcBorders>
          </w:tcPr>
          <w:p w14:paraId="61B55393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χ² (TyG model)</w:t>
            </w:r>
          </w:p>
        </w:tc>
        <w:tc>
          <w:tcPr>
            <w:tcW w:w="2964" w:type="dxa"/>
            <w:tcBorders>
              <w:top w:val="single" w:color="000000" w:sz="12" w:space="0"/>
              <w:bottom w:val="single" w:color="000000" w:sz="6" w:space="0"/>
            </w:tcBorders>
          </w:tcPr>
          <w:p w14:paraId="2422196B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P</w:t>
            </w:r>
          </w:p>
        </w:tc>
        <w:tc>
          <w:tcPr>
            <w:tcW w:w="2964" w:type="dxa"/>
            <w:tcBorders>
              <w:top w:val="single" w:color="000000" w:sz="12" w:space="0"/>
              <w:bottom w:val="single" w:color="000000" w:sz="6" w:space="0"/>
            </w:tcBorders>
          </w:tcPr>
          <w:p w14:paraId="37D61875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χ² (TyG-BMI model)</w:t>
            </w:r>
          </w:p>
        </w:tc>
        <w:tc>
          <w:tcPr>
            <w:tcW w:w="2964" w:type="dxa"/>
            <w:tcBorders>
              <w:top w:val="single" w:color="000000" w:sz="12" w:space="0"/>
              <w:bottom w:val="single" w:color="000000" w:sz="6" w:space="0"/>
            </w:tcBorders>
          </w:tcPr>
          <w:p w14:paraId="303758B3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P</w:t>
            </w:r>
          </w:p>
        </w:tc>
      </w:tr>
      <w:tr w14:paraId="1A3831EA">
        <w:tc>
          <w:tcPr>
            <w:tcW w:w="2964" w:type="dxa"/>
          </w:tcPr>
          <w:p w14:paraId="070BF2CB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6"/>
              </w:rPr>
              <w:t>Primary index (TyG or TyG-BMI)</w:t>
            </w:r>
          </w:p>
        </w:tc>
        <w:tc>
          <w:tcPr>
            <w:tcW w:w="2964" w:type="dxa"/>
          </w:tcPr>
          <w:p w14:paraId="6F29FCA8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0.10</w:t>
            </w:r>
          </w:p>
        </w:tc>
        <w:tc>
          <w:tcPr>
            <w:tcW w:w="2964" w:type="dxa"/>
          </w:tcPr>
          <w:p w14:paraId="3A150C0F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0.755</w:t>
            </w:r>
          </w:p>
        </w:tc>
        <w:tc>
          <w:tcPr>
            <w:tcW w:w="2964" w:type="dxa"/>
          </w:tcPr>
          <w:p w14:paraId="1272AAB1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0.14</w:t>
            </w:r>
          </w:p>
        </w:tc>
        <w:tc>
          <w:tcPr>
            <w:tcW w:w="2964" w:type="dxa"/>
          </w:tcPr>
          <w:p w14:paraId="6EDD28FC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0.713</w:t>
            </w:r>
          </w:p>
        </w:tc>
      </w:tr>
      <w:tr w14:paraId="3AD25A17">
        <w:tc>
          <w:tcPr>
            <w:tcW w:w="2964" w:type="dxa"/>
          </w:tcPr>
          <w:p w14:paraId="659C4A3C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6"/>
              </w:rPr>
              <w:t>Age</w:t>
            </w:r>
          </w:p>
        </w:tc>
        <w:tc>
          <w:tcPr>
            <w:tcW w:w="2964" w:type="dxa"/>
          </w:tcPr>
          <w:p w14:paraId="417C9B6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2.69</w:t>
            </w:r>
          </w:p>
        </w:tc>
        <w:tc>
          <w:tcPr>
            <w:tcW w:w="2964" w:type="dxa"/>
          </w:tcPr>
          <w:p w14:paraId="777CD043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0.101</w:t>
            </w:r>
          </w:p>
        </w:tc>
        <w:tc>
          <w:tcPr>
            <w:tcW w:w="2964" w:type="dxa"/>
          </w:tcPr>
          <w:p w14:paraId="62545AA0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2.74</w:t>
            </w:r>
          </w:p>
        </w:tc>
        <w:tc>
          <w:tcPr>
            <w:tcW w:w="2964" w:type="dxa"/>
          </w:tcPr>
          <w:p w14:paraId="2E6BE8BC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0.098</w:t>
            </w:r>
          </w:p>
        </w:tc>
      </w:tr>
      <w:tr w14:paraId="14D033D0">
        <w:tc>
          <w:tcPr>
            <w:tcW w:w="2964" w:type="dxa"/>
          </w:tcPr>
          <w:p w14:paraId="15754523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6"/>
              </w:rPr>
              <w:t>Sex</w:t>
            </w:r>
          </w:p>
        </w:tc>
        <w:tc>
          <w:tcPr>
            <w:tcW w:w="2964" w:type="dxa"/>
          </w:tcPr>
          <w:p w14:paraId="69FE5B0D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0.00</w:t>
            </w:r>
          </w:p>
        </w:tc>
        <w:tc>
          <w:tcPr>
            <w:tcW w:w="2964" w:type="dxa"/>
          </w:tcPr>
          <w:p w14:paraId="43D3AA7F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0.951</w:t>
            </w:r>
          </w:p>
        </w:tc>
        <w:tc>
          <w:tcPr>
            <w:tcW w:w="2964" w:type="dxa"/>
          </w:tcPr>
          <w:p w14:paraId="4B75FCD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0.01</w:t>
            </w:r>
          </w:p>
        </w:tc>
        <w:tc>
          <w:tcPr>
            <w:tcW w:w="2964" w:type="dxa"/>
          </w:tcPr>
          <w:p w14:paraId="732F1D45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0.937</w:t>
            </w:r>
          </w:p>
        </w:tc>
      </w:tr>
      <w:tr w14:paraId="55D2270B">
        <w:tc>
          <w:tcPr>
            <w:tcW w:w="2964" w:type="dxa"/>
          </w:tcPr>
          <w:p w14:paraId="55D3ADB6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6"/>
              </w:rPr>
              <w:t>Education</w:t>
            </w:r>
          </w:p>
        </w:tc>
        <w:tc>
          <w:tcPr>
            <w:tcW w:w="2964" w:type="dxa"/>
          </w:tcPr>
          <w:p w14:paraId="528A4652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1.77</w:t>
            </w:r>
          </w:p>
        </w:tc>
        <w:tc>
          <w:tcPr>
            <w:tcW w:w="2964" w:type="dxa"/>
          </w:tcPr>
          <w:p w14:paraId="77B59C63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0.621</w:t>
            </w:r>
          </w:p>
        </w:tc>
        <w:tc>
          <w:tcPr>
            <w:tcW w:w="2964" w:type="dxa"/>
          </w:tcPr>
          <w:p w14:paraId="49BC7E99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1.75</w:t>
            </w:r>
          </w:p>
        </w:tc>
        <w:tc>
          <w:tcPr>
            <w:tcW w:w="2964" w:type="dxa"/>
          </w:tcPr>
          <w:p w14:paraId="6938B79F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0.625</w:t>
            </w:r>
          </w:p>
        </w:tc>
      </w:tr>
      <w:tr w14:paraId="482A9995">
        <w:tc>
          <w:tcPr>
            <w:tcW w:w="2964" w:type="dxa"/>
          </w:tcPr>
          <w:p w14:paraId="6365FC18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6"/>
              </w:rPr>
              <w:t>Marital status</w:t>
            </w:r>
          </w:p>
        </w:tc>
        <w:tc>
          <w:tcPr>
            <w:tcW w:w="2964" w:type="dxa"/>
          </w:tcPr>
          <w:p w14:paraId="47185D57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0.72</w:t>
            </w:r>
          </w:p>
        </w:tc>
        <w:tc>
          <w:tcPr>
            <w:tcW w:w="2964" w:type="dxa"/>
          </w:tcPr>
          <w:p w14:paraId="72FC3F2E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0.699</w:t>
            </w:r>
          </w:p>
        </w:tc>
        <w:tc>
          <w:tcPr>
            <w:tcW w:w="2964" w:type="dxa"/>
          </w:tcPr>
          <w:p w14:paraId="0623F2A7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0.74</w:t>
            </w:r>
          </w:p>
        </w:tc>
        <w:tc>
          <w:tcPr>
            <w:tcW w:w="2964" w:type="dxa"/>
          </w:tcPr>
          <w:p w14:paraId="68DF78B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0.691</w:t>
            </w:r>
          </w:p>
        </w:tc>
      </w:tr>
      <w:tr w14:paraId="780729B4">
        <w:tc>
          <w:tcPr>
            <w:tcW w:w="2964" w:type="dxa"/>
          </w:tcPr>
          <w:p w14:paraId="289C958A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6"/>
              </w:rPr>
              <w:t>Residence</w:t>
            </w:r>
          </w:p>
        </w:tc>
        <w:tc>
          <w:tcPr>
            <w:tcW w:w="2964" w:type="dxa"/>
          </w:tcPr>
          <w:p w14:paraId="601BC6CF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0.18</w:t>
            </w:r>
          </w:p>
        </w:tc>
        <w:tc>
          <w:tcPr>
            <w:tcW w:w="2964" w:type="dxa"/>
          </w:tcPr>
          <w:p w14:paraId="1FD50E20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0.673</w:t>
            </w:r>
          </w:p>
        </w:tc>
        <w:tc>
          <w:tcPr>
            <w:tcW w:w="2964" w:type="dxa"/>
          </w:tcPr>
          <w:p w14:paraId="0829A1B3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0.18</w:t>
            </w:r>
          </w:p>
        </w:tc>
        <w:tc>
          <w:tcPr>
            <w:tcW w:w="2964" w:type="dxa"/>
          </w:tcPr>
          <w:p w14:paraId="4D34156F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0.670</w:t>
            </w:r>
          </w:p>
        </w:tc>
      </w:tr>
      <w:tr w14:paraId="58502BEF">
        <w:tc>
          <w:tcPr>
            <w:tcW w:w="2964" w:type="dxa"/>
          </w:tcPr>
          <w:p w14:paraId="31A337F8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6"/>
              </w:rPr>
              <w:t>Smoking</w:t>
            </w:r>
          </w:p>
        </w:tc>
        <w:tc>
          <w:tcPr>
            <w:tcW w:w="2964" w:type="dxa"/>
          </w:tcPr>
          <w:p w14:paraId="1F9B6348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4.19</w:t>
            </w:r>
          </w:p>
        </w:tc>
        <w:tc>
          <w:tcPr>
            <w:tcW w:w="2964" w:type="dxa"/>
          </w:tcPr>
          <w:p w14:paraId="42B0F4CF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0.041</w:t>
            </w:r>
          </w:p>
        </w:tc>
        <w:tc>
          <w:tcPr>
            <w:tcW w:w="2964" w:type="dxa"/>
          </w:tcPr>
          <w:p w14:paraId="27A13569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4.24</w:t>
            </w:r>
          </w:p>
        </w:tc>
        <w:tc>
          <w:tcPr>
            <w:tcW w:w="2964" w:type="dxa"/>
          </w:tcPr>
          <w:p w14:paraId="10A2120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0.039</w:t>
            </w:r>
          </w:p>
        </w:tc>
      </w:tr>
      <w:tr w14:paraId="55BC9953">
        <w:tc>
          <w:tcPr>
            <w:tcW w:w="2964" w:type="dxa"/>
          </w:tcPr>
          <w:p w14:paraId="5A7CED18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6"/>
              </w:rPr>
              <w:t>Alcohol consumption</w:t>
            </w:r>
          </w:p>
        </w:tc>
        <w:tc>
          <w:tcPr>
            <w:tcW w:w="2964" w:type="dxa"/>
          </w:tcPr>
          <w:p w14:paraId="64072B9D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1.83</w:t>
            </w:r>
          </w:p>
        </w:tc>
        <w:tc>
          <w:tcPr>
            <w:tcW w:w="2964" w:type="dxa"/>
          </w:tcPr>
          <w:p w14:paraId="0665A229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0.176</w:t>
            </w:r>
          </w:p>
        </w:tc>
        <w:tc>
          <w:tcPr>
            <w:tcW w:w="2964" w:type="dxa"/>
          </w:tcPr>
          <w:p w14:paraId="5922DC78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1.89</w:t>
            </w:r>
          </w:p>
        </w:tc>
        <w:tc>
          <w:tcPr>
            <w:tcW w:w="2964" w:type="dxa"/>
          </w:tcPr>
          <w:p w14:paraId="65662983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0.169</w:t>
            </w:r>
          </w:p>
        </w:tc>
      </w:tr>
      <w:tr w14:paraId="55F72C33">
        <w:tc>
          <w:tcPr>
            <w:tcW w:w="2964" w:type="dxa"/>
          </w:tcPr>
          <w:p w14:paraId="68DFD069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6"/>
              </w:rPr>
              <w:t>eGFR</w:t>
            </w:r>
          </w:p>
        </w:tc>
        <w:tc>
          <w:tcPr>
            <w:tcW w:w="2964" w:type="dxa"/>
          </w:tcPr>
          <w:p w14:paraId="4620FD79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1.14</w:t>
            </w:r>
          </w:p>
        </w:tc>
        <w:tc>
          <w:tcPr>
            <w:tcW w:w="2964" w:type="dxa"/>
          </w:tcPr>
          <w:p w14:paraId="1ADB156F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0.286</w:t>
            </w:r>
          </w:p>
        </w:tc>
        <w:tc>
          <w:tcPr>
            <w:tcW w:w="2964" w:type="dxa"/>
          </w:tcPr>
          <w:p w14:paraId="3EB43692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1.13</w:t>
            </w:r>
          </w:p>
        </w:tc>
        <w:tc>
          <w:tcPr>
            <w:tcW w:w="2964" w:type="dxa"/>
          </w:tcPr>
          <w:p w14:paraId="5B71ED21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0.288</w:t>
            </w:r>
          </w:p>
        </w:tc>
      </w:tr>
      <w:tr w14:paraId="0CE74DB1">
        <w:tc>
          <w:tcPr>
            <w:tcW w:w="2964" w:type="dxa"/>
          </w:tcPr>
          <w:p w14:paraId="2D909702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6"/>
              </w:rPr>
              <w:t>Hypertension</w:t>
            </w:r>
          </w:p>
        </w:tc>
        <w:tc>
          <w:tcPr>
            <w:tcW w:w="2964" w:type="dxa"/>
          </w:tcPr>
          <w:p w14:paraId="699A7BDC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5.71</w:t>
            </w:r>
          </w:p>
        </w:tc>
        <w:tc>
          <w:tcPr>
            <w:tcW w:w="2964" w:type="dxa"/>
          </w:tcPr>
          <w:p w14:paraId="252DC018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0.017</w:t>
            </w:r>
          </w:p>
        </w:tc>
        <w:tc>
          <w:tcPr>
            <w:tcW w:w="2964" w:type="dxa"/>
          </w:tcPr>
          <w:p w14:paraId="2844ACDA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5.61</w:t>
            </w:r>
          </w:p>
        </w:tc>
        <w:tc>
          <w:tcPr>
            <w:tcW w:w="2964" w:type="dxa"/>
          </w:tcPr>
          <w:p w14:paraId="1DF70A4B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0.018</w:t>
            </w:r>
          </w:p>
        </w:tc>
      </w:tr>
      <w:tr w14:paraId="3EA9D09D">
        <w:tc>
          <w:tcPr>
            <w:tcW w:w="2964" w:type="dxa"/>
            <w:tcBorders>
              <w:bottom w:val="single" w:color="000000" w:sz="12" w:space="0"/>
            </w:tcBorders>
          </w:tcPr>
          <w:p w14:paraId="1299C16E"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6"/>
              </w:rPr>
              <w:t>GLOBAL</w:t>
            </w:r>
          </w:p>
        </w:tc>
        <w:tc>
          <w:tcPr>
            <w:tcW w:w="2964" w:type="dxa"/>
            <w:tcBorders>
              <w:bottom w:val="single" w:color="000000" w:sz="12" w:space="0"/>
            </w:tcBorders>
          </w:tcPr>
          <w:p w14:paraId="7D46404A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19.83</w:t>
            </w:r>
          </w:p>
        </w:tc>
        <w:tc>
          <w:tcPr>
            <w:tcW w:w="2964" w:type="dxa"/>
            <w:tcBorders>
              <w:bottom w:val="single" w:color="000000" w:sz="12" w:space="0"/>
            </w:tcBorders>
          </w:tcPr>
          <w:p w14:paraId="25E5ECC8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0.099</w:t>
            </w:r>
          </w:p>
        </w:tc>
        <w:tc>
          <w:tcPr>
            <w:tcW w:w="2964" w:type="dxa"/>
            <w:tcBorders>
              <w:bottom w:val="single" w:color="000000" w:sz="12" w:space="0"/>
            </w:tcBorders>
          </w:tcPr>
          <w:p w14:paraId="458F5277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19.52</w:t>
            </w:r>
          </w:p>
        </w:tc>
        <w:tc>
          <w:tcPr>
            <w:tcW w:w="2964" w:type="dxa"/>
            <w:tcBorders>
              <w:bottom w:val="single" w:color="000000" w:sz="12" w:space="0"/>
            </w:tcBorders>
          </w:tcPr>
          <w:p w14:paraId="402E0440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0.108</w:t>
            </w:r>
          </w:p>
        </w:tc>
      </w:tr>
    </w:tbl>
    <w:p w14:paraId="52F69A89">
      <w:pPr>
        <w:widowControl w:val="0"/>
        <w:spacing w:line="480" w:lineRule="auto" w:after="0"/>
        <w:jc w:val="both"/>
        <w:rPr>
          <w:rFonts w:ascii="Times New Roman" w:hAnsi="Times New Roman" w:eastAsia="宋体" w:cstheme="minorEastAsia"/>
          <w:b/>
          <w:bCs/>
          <w:kern w:val="0"/>
          <w:sz w:val="22"/>
          <w:shd w:val="clear" w:color="auto" w:fill="FFFFFF"/>
          <w:lang w:eastAsia="zh-CN" w:bidi="ar"/>
        </w:rPr>
      </w:pPr>
      <w:r>
        <w:rPr>
          <w:rFonts w:ascii="Times New Roman" w:hAnsi="Times New Roman" w:eastAsia="宋体" w:cstheme="minorEastAsia"/>
          <w:b/>
          <w:bCs/>
          <w:kern w:val="0"/>
          <w:sz w:val="22"/>
          <w:shd w:val="clear" w:color="auto" w:fill="FFFFFF"/>
          <w:lang w:eastAsia="zh-CN" w:bidi="ar"/>
        </w:rPr>
        <w:t>Values are the chi-square statistic and P value from the test of the scaled Schoenfeld residuals (cox.zph) for the two fully adjusted models. The primary index row refers to TyG in the TyG model and to TyG-BMI in the TyG-BMI model. A non-significant P value indicates that the proportional hazards assumption is met. Both primary exposures and the global tests were non-significant; the modest individual departures for smoking and hypertension did not materially affect the exposure estimates.</w:t>
      </w:r>
    </w:p>
    <w:p>
      <w:pPr>
        <w:spacing w:line="480" w:lineRule="auto" w:after="0"/>
      </w:pPr>
    </w:p>
    <w:p>
      <w:pPr>
        <w:pageBreakBefore/>
        <w:widowControl w:val="0"/>
        <w:spacing w:line="480" w:lineRule="auto" w:after="0"/>
        <w:jc w:val="both"/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eastAsia="zh-CN"/>
        </w:rPr>
        <w:t xml:space="preserve">Supplementary Table S3. Mediation of the associations of TyG and TyG-BMI with CMM by high-sensitivity C-reactive protein.</w:t>
      </w:r>
    </w:p>
    <w:tbl>
      <w:tblPr>
        <w:tblStyle w:val="3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3120"/>
        <w:gridCol w:w="1920"/>
      </w:tblGrid>
      <w:tr>
        <w:tc>
          <w:tcPr>
            <w:tcW w:w="4320" w:type="dxa"/>
            <w:tcBorders>
              <w:top w:val="single" w:color="000000" w:sz="12" w:space="0"/>
              <w:bottom w:val="single" w:color="000000" w:sz="6" w:space="0"/>
            </w:tcBorders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/>
                <w:b/>
                <w:sz w:val="16"/>
              </w:rPr>
              <w:t xml:space="preserve">Effect</w:t>
            </w:r>
          </w:p>
        </w:tc>
        <w:tc>
          <w:tcPr>
            <w:tcW w:w="3120" w:type="dxa"/>
            <w:tcBorders>
              <w:top w:val="single" w:color="000000" w:sz="12" w:space="0"/>
              <w:bottom w:val="single" w:color="000000" w:sz="6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 xml:space="preserve">Estimate (95% CI)</w:t>
            </w:r>
          </w:p>
        </w:tc>
        <w:tc>
          <w:tcPr>
            <w:tcW w:w="1920" w:type="dxa"/>
            <w:tcBorders>
              <w:top w:val="single" w:color="000000" w:sz="12" w:space="0"/>
              <w:bottom w:val="single" w:color="000000" w:sz="6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 xml:space="preserve">P value</w:t>
            </w:r>
          </w:p>
        </w:tc>
      </w:tr>
      <w:tr>
        <w:tc>
          <w:tcPr>
            <w:tcW w:w="4320" w:type="dxa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/>
                <w:b/>
                <w:sz w:val="16"/>
              </w:rPr>
              <w:t xml:space="preserve">TyG → CMM</w:t>
            </w:r>
          </w:p>
        </w:tc>
        <w:tc>
          <w:tcPr>
            <w:tcW w:w="3120" w:type="dxa"/>
          </w:tcPr>
          <w:p>
            <w:pPr>
              <w:spacing w:before="20" w:after="20"/>
              <w:jc w:val="center"/>
            </w:pPr>
          </w:p>
        </w:tc>
        <w:tc>
          <w:tcPr>
            <w:tcW w:w="1920" w:type="dxa"/>
          </w:tcPr>
          <w:p>
            <w:pPr>
              <w:spacing w:before="20" w:after="20"/>
              <w:jc w:val="center"/>
            </w:pPr>
          </w:p>
        </w:tc>
      </w:tr>
      <w:tr>
        <w:tc>
          <w:tcPr>
            <w:tcW w:w="4320" w:type="dxa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6"/>
              </w:rPr>
              <w:t xml:space="preserve">Total effect</w:t>
            </w:r>
          </w:p>
        </w:tc>
        <w:tc>
          <w:tcPr>
            <w:tcW w:w="3120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1.832 (1.600–2.116)</w:t>
            </w:r>
          </w:p>
        </w:tc>
        <w:tc>
          <w:tcPr>
            <w:tcW w:w="1920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&lt;0.001</w:t>
            </w:r>
          </w:p>
        </w:tc>
      </w:tr>
      <w:tr>
        <w:tc>
          <w:tcPr>
            <w:tcW w:w="4320" w:type="dxa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6"/>
              </w:rPr>
              <w:t xml:space="preserve">Natural direct effect</w:t>
            </w:r>
          </w:p>
        </w:tc>
        <w:tc>
          <w:tcPr>
            <w:tcW w:w="3120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1.833 (1.602–2.118)</w:t>
            </w:r>
          </w:p>
        </w:tc>
        <w:tc>
          <w:tcPr>
            <w:tcW w:w="1920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&lt;0.001</w:t>
            </w:r>
          </w:p>
        </w:tc>
      </w:tr>
      <w:tr>
        <w:tc>
          <w:tcPr>
            <w:tcW w:w="4320" w:type="dxa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6"/>
              </w:rPr>
              <w:t xml:space="preserve">Natural indirect effect (via hs-CRP)</w:t>
            </w:r>
          </w:p>
        </w:tc>
        <w:tc>
          <w:tcPr>
            <w:tcW w:w="3120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0.999 (0.996–1.002)</w:t>
            </w:r>
          </w:p>
        </w:tc>
        <w:tc>
          <w:tcPr>
            <w:tcW w:w="1920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0.586</w:t>
            </w:r>
          </w:p>
        </w:tc>
      </w:tr>
      <w:tr>
        <w:tc>
          <w:tcPr>
            <w:tcW w:w="4320" w:type="dxa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6"/>
              </w:rPr>
              <w:t xml:space="preserve">Proportion mediated</w:t>
            </w:r>
          </w:p>
        </w:tc>
        <w:tc>
          <w:tcPr>
            <w:tcW w:w="3120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-0.1% (-0.9% to 0.4%)</w:t>
            </w:r>
          </w:p>
        </w:tc>
        <w:tc>
          <w:tcPr>
            <w:tcW w:w="1920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0.586</w:t>
            </w:r>
          </w:p>
        </w:tc>
      </w:tr>
      <w:tr>
        <w:tc>
          <w:tcPr>
            <w:tcW w:w="4320" w:type="dxa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/>
                <w:b/>
                <w:sz w:val="16"/>
              </w:rPr>
              <w:t xml:space="preserve">TyG-BMI → CMM</w:t>
            </w:r>
          </w:p>
        </w:tc>
        <w:tc>
          <w:tcPr>
            <w:tcW w:w="3120" w:type="dxa"/>
          </w:tcPr>
          <w:p>
            <w:pPr>
              <w:spacing w:before="20" w:after="20"/>
              <w:jc w:val="center"/>
            </w:pPr>
          </w:p>
        </w:tc>
        <w:tc>
          <w:tcPr>
            <w:tcW w:w="1920" w:type="dxa"/>
          </w:tcPr>
          <w:p>
            <w:pPr>
              <w:spacing w:before="20" w:after="20"/>
              <w:jc w:val="center"/>
            </w:pPr>
          </w:p>
        </w:tc>
      </w:tr>
      <w:tr>
        <w:tc>
          <w:tcPr>
            <w:tcW w:w="4320" w:type="dxa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6"/>
              </w:rPr>
              <w:t xml:space="preserve">Total effect</w:t>
            </w:r>
          </w:p>
        </w:tc>
        <w:tc>
          <w:tcPr>
            <w:tcW w:w="3120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1.469 (1.372–1.579)</w:t>
            </w:r>
          </w:p>
        </w:tc>
        <w:tc>
          <w:tcPr>
            <w:tcW w:w="1920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&lt;0.001</w:t>
            </w:r>
          </w:p>
        </w:tc>
      </w:tr>
      <w:tr>
        <w:tc>
          <w:tcPr>
            <w:tcW w:w="4320" w:type="dxa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6"/>
              </w:rPr>
              <w:t xml:space="preserve">Natural direct effect</w:t>
            </w:r>
          </w:p>
        </w:tc>
        <w:tc>
          <w:tcPr>
            <w:tcW w:w="3120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1.468 (1.371–1.576)</w:t>
            </w:r>
          </w:p>
        </w:tc>
        <w:tc>
          <w:tcPr>
            <w:tcW w:w="1920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&lt;0.001</w:t>
            </w:r>
          </w:p>
        </w:tc>
      </w:tr>
      <w:tr>
        <w:tc>
          <w:tcPr>
            <w:tcW w:w="4320" w:type="dxa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6"/>
              </w:rPr>
              <w:t xml:space="preserve">Natural indirect effect (via hs-CRP)</w:t>
            </w:r>
          </w:p>
        </w:tc>
        <w:tc>
          <w:tcPr>
            <w:tcW w:w="3120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1.000 (0.999–1.002)</w:t>
            </w:r>
          </w:p>
        </w:tc>
        <w:tc>
          <w:tcPr>
            <w:tcW w:w="1920" w:type="dxa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0.512</w:t>
            </w:r>
          </w:p>
        </w:tc>
      </w:tr>
      <w:tr>
        <w:tc>
          <w:tcPr>
            <w:tcW w:w="4320" w:type="dxa"/>
            <w:tcBorders>
              <w:bottom w:val="single" w:color="000000" w:sz="12" w:space="0"/>
            </w:tcBorders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/>
                <w:sz w:val="16"/>
              </w:rPr>
              <w:t xml:space="preserve">Proportion mediated</w:t>
            </w:r>
          </w:p>
        </w:tc>
        <w:tc>
          <w:tcPr>
            <w:tcW w:w="3120" w:type="dxa"/>
            <w:tcBorders>
              <w:bottom w:val="single" w:color="000000" w:sz="12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0.1% (-0.3% to 0.6%)</w:t>
            </w:r>
          </w:p>
        </w:tc>
        <w:tc>
          <w:tcPr>
            <w:tcW w:w="1920" w:type="dxa"/>
            <w:tcBorders>
              <w:bottom w:val="single" w:color="000000" w:sz="12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0.512</w:t>
            </w:r>
          </w:p>
        </w:tc>
      </w:tr>
    </w:tbl>
    <w:p>
      <w:pPr>
        <w:widowControl w:val="0"/>
        <w:spacing w:line="480" w:lineRule="auto" w:after="0"/>
        <w:jc w:val="both"/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  <w:lang w:eastAsia="zh-CN"/>
        </w:rPr>
        <w:t xml:space="preserve">Effects are hazard ratios from a regression-based causal mediation analysis (CMAverse), adjusted for age, sex, education, marital status, residence, smoking, alcohol consumption, eGFR, and hypertension. The natural indirect (mediated) effect via high-sensitivity C-reactive protein was non-significant, indicating no evidence of mediation. CI, confidence interval; HR, hazard ratio.</w:t>
      </w:r>
    </w:p>
    <w:p>
      <w:r>
        <w:br w:type="page"/>
      </w:r>
    </w:p>
    <w:p>
      <w:pPr>
        <w:widowControl w:val="0"/>
        <w:spacing w:line="480" w:lineRule="auto" w:after="0"/>
        <w:jc w:val="both"/>
      </w:pPr>
      <w:r>
        <w:rPr>
          <w:rFonts w:ascii="Times New Roman" w:hAnsi="Times New Roman" w:eastAsia="Times New Roman"/>
          <w:b/>
          <w:sz w:val="22"/>
        </w:rPr>
        <w:t>Supplementary Table S4. Baseline characteristics of the final analytic cohort and participants excluded during baseline missing-data screening.</w:t>
      </w:r>
    </w:p>
    <w:tbl>
      <w:tblPr>
        <w:tblW w:type="auto" w:w="0"/>
        <w:tblLayout w:type="autofit"/>
        <w:tblLook w:firstColumn="1" w:firstRow="1" w:lastColumn="0" w:lastRow="0" w:noHBand="0" w:noVBand="1" w:val="04A0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4"/>
        <w:gridCol w:w="2964"/>
        <w:gridCol w:w="2964"/>
        <w:gridCol w:w="2964"/>
        <w:gridCol w:w="2964"/>
      </w:tblGrid>
      <w:tr>
        <w:trPr>
          <w:cantSplit/>
        </w:trPr>
        <w:tc>
          <w:tcPr>
            <w:tcW w:type="dxa" w:w="2964"/>
            <w:tcBorders>
              <w:top w:val="single" w:color="000000" w:sz="12" w:space="0"/>
              <w:bottom w:val="single" w:color="000000" w:sz="6" w:space="0"/>
            </w:tcBorders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Characteristic</w:t>
            </w:r>
          </w:p>
        </w:tc>
        <w:tc>
          <w:tcPr>
            <w:tcW w:type="dxa" w:w="2964"/>
            <w:tcBorders>
              <w:top w:val="single" w:color="000000" w:sz="12" w:space="0"/>
              <w:bottom w:val="single" w:color="000000" w:sz="6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Included</w:t>
              <w:br/>
              <w:t>(n=7,731)</w:t>
            </w:r>
          </w:p>
        </w:tc>
        <w:tc>
          <w:tcPr>
            <w:tcW w:type="dxa" w:w="2964"/>
            <w:tcBorders>
              <w:top w:val="single" w:color="000000" w:sz="12" w:space="0"/>
              <w:bottom w:val="single" w:color="000000" w:sz="6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Excluded for missing data</w:t>
              <w:br/>
              <w:t>(n=6,296)</w:t>
            </w:r>
          </w:p>
        </w:tc>
        <w:tc>
          <w:tcPr>
            <w:tcW w:type="dxa" w:w="2964"/>
            <w:tcBorders>
              <w:top w:val="single" w:color="000000" w:sz="12" w:space="0"/>
              <w:bottom w:val="single" w:color="000000" w:sz="6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Missing, n</w:t>
              <w:br/>
              <w:t>(included/excluded)</w:t>
            </w:r>
          </w:p>
        </w:tc>
        <w:tc>
          <w:tcPr>
            <w:tcW w:type="dxa" w:w="2964"/>
            <w:tcBorders>
              <w:top w:val="single" w:color="000000" w:sz="12" w:space="0"/>
              <w:bottom w:val="single" w:color="000000" w:sz="6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Absolute SMD</w:t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Age, years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58.70 ± 9.69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57.69 ± 10.52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29/67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0.100</w:t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Male, n (%)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3618 (46.8%)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3262 (51.8%)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0/2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0.101</w:t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Rural residence, n (%)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5146 (66.6%)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3504 (55.7%)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0/0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0.225</w:t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Married, n (%)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6819 (88.2%)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5520 (87.7%)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0/3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0.015</w:t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Smoking history, n (%)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3041 (39.3%)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2592 (41.2%)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1/12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0.039</w:t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Drinking history, n (%)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3221 (41.7%)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2685 (42.8%)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0/16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0.022</w:t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Self-reported hypertension, n (%)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1630 (21.2%)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1165 (18.6%)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26/27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0.064</w:t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 xml:space="preserve">    Below primary school, n (%)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3787 (49.0%)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2596 (41.4%)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4/18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0.154</w:t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 xml:space="preserve">    Primary school, n (%)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1674 (21.7%)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1260 (20.1%)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4/18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0.039</w:t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 xml:space="preserve">    Middle school, n (%)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1538 (19.9%)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1406 (22.4%)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4/18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0.061</w:t>
            </w:r>
          </w:p>
        </w:tc>
      </w:tr>
      <w:tr>
        <w:trPr>
          <w:cantSplit/>
        </w:trPr>
        <w:tc>
          <w:tcPr>
            <w:tcW w:type="dxa" w:w="2964"/>
            <w:tcBorders>
              <w:bottom w:val="single" w:color="000000" w:sz="12" w:space="0"/>
            </w:tcBorders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 xml:space="preserve">    High school or above, n (%)</w:t>
            </w:r>
          </w:p>
        </w:tc>
        <w:tc>
          <w:tcPr>
            <w:tcW w:type="dxa" w:w="2964"/>
            <w:tcBorders>
              <w:bottom w:val="single" w:color="000000" w:sz="12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728 (9.4%)</w:t>
            </w:r>
          </w:p>
        </w:tc>
        <w:tc>
          <w:tcPr>
            <w:tcW w:type="dxa" w:w="2964"/>
            <w:tcBorders>
              <w:bottom w:val="single" w:color="000000" w:sz="12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1016 (16.2%)</w:t>
            </w:r>
          </w:p>
        </w:tc>
        <w:tc>
          <w:tcPr>
            <w:tcW w:type="dxa" w:w="2964"/>
            <w:tcBorders>
              <w:bottom w:val="single" w:color="000000" w:sz="12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4/18</w:t>
            </w:r>
          </w:p>
        </w:tc>
        <w:tc>
          <w:tcPr>
            <w:tcW w:type="dxa" w:w="2964"/>
            <w:tcBorders>
              <w:bottom w:val="single" w:color="000000" w:sz="12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0.203</w:t>
            </w:r>
          </w:p>
        </w:tc>
      </w:tr>
    </w:tbl>
    <w:p>
      <w:pPr>
        <w:widowControl w:val="0"/>
        <w:spacing w:line="480" w:lineRule="auto" w:after="0"/>
        <w:jc w:val="both"/>
      </w:pPr>
      <w:r>
        <w:rPr>
          <w:rFonts w:ascii="Times New Roman" w:hAnsi="Times New Roman" w:eastAsia="Times New Roman"/>
          <w:sz w:val="16"/>
        </w:rPr>
        <w:t>Values are mean ± SD or n (%). The excluded group comprises participants removed during the baseline missing-data screening step after baseline disease screening. The missing-data screen required non-missing height, weight, waist circumference, blood glucose, total cholesterol, triglycerides, HDL-C, and C-reactive protein. Absolute standardized mean differences (SMDs) are reported descriptively; values around or above 0.10 indicate potentially meaningful imbalance. Missing counts refer to raw Wave 1 variables used in this comparison.</w:t>
      </w:r>
    </w:p>
    <w:p>
      <w:r>
        <w:br w:type="page"/>
      </w:r>
    </w:p>
    <w:p>
      <w:pPr>
        <w:widowControl w:val="0"/>
        <w:spacing w:line="480" w:lineRule="auto" w:after="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Supplementary Table S5. Sensitivity analysis excluding participants who met available broader diabetes criteria at baseline.</w:t>
      </w:r>
    </w:p>
    <w:tbl>
      <w:tblPr>
        <w:tblW w:type="auto" w:w="0"/>
        <w:tblLayout w:type="autofit"/>
        <w:tblLook w:firstColumn="1" w:firstRow="1" w:lastColumn="0" w:lastRow="0" w:noHBand="0" w:noVBand="1" w:val="04A0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4"/>
        <w:gridCol w:w="2964"/>
        <w:gridCol w:w="2964"/>
        <w:gridCol w:w="2964"/>
        <w:gridCol w:w="2964"/>
      </w:tblGrid>
      <w:tr>
        <w:trPr>
          <w:cantSplit/>
        </w:trPr>
        <w:tc>
          <w:tcPr>
            <w:tcW w:type="dxa" w:w="2964"/>
            <w:tcBorders>
              <w:top w:val="single" w:color="000000" w:sz="12" w:space="0"/>
              <w:bottom w:val="single" w:color="000000" w:sz="6" w:space="0"/>
            </w:tcBorders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Exposure</w:t>
            </w:r>
          </w:p>
        </w:tc>
        <w:tc>
          <w:tcPr>
            <w:tcW w:type="dxa" w:w="2964"/>
            <w:tcBorders>
              <w:top w:val="single" w:color="000000" w:sz="12" w:space="0"/>
              <w:bottom w:val="single" w:color="000000" w:sz="6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Category</w:t>
            </w:r>
          </w:p>
        </w:tc>
        <w:tc>
          <w:tcPr>
            <w:tcW w:type="dxa" w:w="2964"/>
            <w:tcBorders>
              <w:top w:val="single" w:color="000000" w:sz="12" w:space="0"/>
              <w:bottom w:val="single" w:color="000000" w:sz="6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Adjusted HR (95% CI)</w:t>
            </w:r>
          </w:p>
        </w:tc>
        <w:tc>
          <w:tcPr>
            <w:tcW w:type="dxa" w:w="2964"/>
            <w:tcBorders>
              <w:top w:val="single" w:color="000000" w:sz="12" w:space="0"/>
              <w:bottom w:val="single" w:color="000000" w:sz="6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P value</w:t>
            </w:r>
          </w:p>
        </w:tc>
        <w:tc>
          <w:tcPr>
            <w:tcW w:type="dxa" w:w="2964"/>
            <w:tcBorders>
              <w:top w:val="single" w:color="000000" w:sz="12" w:space="0"/>
              <w:bottom w:val="single" w:color="000000" w:sz="6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P for trend</w:t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TyG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Per 1 unit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1.58 (1.33-1.87)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&lt;0.001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—</w:t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TyG quartiles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Q1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Reference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—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Q2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1.41 (1.02-1.95)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0.040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Q3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1.96 (1.44-2.67)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&lt;0.001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Q4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2.10 (1.53-2.87)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&lt;0.001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TyG-BMI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Per 1 SD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1.41 (1.29-1.53)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&lt;0.001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—</w:t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TyG-BMI quartiles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Q1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Reference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—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Q2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1.27 (0.89-1.80)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0.191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Q3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2.04 (1.47-2.83)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&lt;0.001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cantSplit/>
        </w:trPr>
        <w:tc>
          <w:tcPr>
            <w:tcW w:type="dxa" w:w="2964"/>
            <w:tcBorders>
              <w:bottom w:val="single" w:color="000000" w:sz="12" w:space="0"/>
            </w:tcBorders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2964"/>
            <w:tcBorders>
              <w:bottom w:val="single" w:color="000000" w:sz="12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Q4</w:t>
            </w:r>
          </w:p>
        </w:tc>
        <w:tc>
          <w:tcPr>
            <w:tcW w:type="dxa" w:w="2964"/>
            <w:tcBorders>
              <w:bottom w:val="single" w:color="000000" w:sz="12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3.06 (2.21-4.22)</w:t>
            </w:r>
          </w:p>
        </w:tc>
        <w:tc>
          <w:tcPr>
            <w:tcW w:type="dxa" w:w="2964"/>
            <w:tcBorders>
              <w:bottom w:val="single" w:color="000000" w:sz="12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&lt;0.001</w:t>
            </w:r>
          </w:p>
        </w:tc>
        <w:tc>
          <w:tcPr>
            <w:tcW w:type="dxa" w:w="2964"/>
            <w:tcBorders>
              <w:bottom w:val="single" w:color="000000" w:sz="12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</w:tr>
    </w:tbl>
    <w:p>
      <w:pPr>
        <w:widowControl w:val="0"/>
        <w:spacing w:line="480" w:lineRule="auto" w:after="0"/>
        <w:jc w:val="both"/>
      </w:pPr>
      <w:r>
        <w:rPr>
          <w:rFonts w:ascii="Times New Roman" w:hAnsi="Times New Roman" w:eastAsia="Times New Roman"/>
          <w:b w:val="0"/>
          <w:i w:val="0"/>
          <w:sz w:val="18"/>
        </w:rPr>
        <w:t>The analysis included 7,003 participants and 389 incident CMM events after excluding participants with self-reported diabetes, fasting blood glucose ≥126 mg/dL, non-fasting blood glucose ≥200 mg/dL, or HbA1c ≥6.5% at baseline. Models were adjusted for age, sex, education, marital status, residence, smoking, alcohol consumption, eGFR, and hypertension. The original cohort quartile cut-points were retained. Complete baseline information on glucose-lowering medication use was not available; therefore, this analysis is described as using available broader baseline diabetes criteria. CI, confidence interval; HR, hazard ratio.</w:t>
      </w:r>
    </w:p>
    <w:p>
      <w:r>
        <w:br w:type="page"/>
      </w:r>
    </w:p>
    <w:p>
      <w:pPr>
        <w:widowControl w:val="0"/>
        <w:spacing w:line="480" w:lineRule="auto" w:after="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Supplementary Table S6. Two-year landmark sensitivity analysis of the associations of TyG and TyG-BMI with incident CMM.</w:t>
      </w:r>
    </w:p>
    <w:tbl>
      <w:tblPr>
        <w:tblW w:type="auto" w:w="0"/>
        <w:tblLayout w:type="autofit"/>
        <w:tblLook w:firstColumn="1" w:firstRow="1" w:lastColumn="0" w:lastRow="0" w:noHBand="0" w:noVBand="1" w:val="04A0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4"/>
        <w:gridCol w:w="2964"/>
        <w:gridCol w:w="2964"/>
        <w:gridCol w:w="2964"/>
        <w:gridCol w:w="2964"/>
      </w:tblGrid>
      <w:tr>
        <w:trPr>
          <w:cantSplit/>
        </w:trPr>
        <w:tc>
          <w:tcPr>
            <w:tcW w:type="dxa" w:w="2964"/>
            <w:tcBorders>
              <w:top w:val="single" w:color="000000" w:sz="12" w:space="0"/>
              <w:bottom w:val="single" w:color="000000" w:sz="6" w:space="0"/>
            </w:tcBorders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Exposure</w:t>
            </w:r>
          </w:p>
        </w:tc>
        <w:tc>
          <w:tcPr>
            <w:tcW w:type="dxa" w:w="2964"/>
            <w:tcBorders>
              <w:top w:val="single" w:color="000000" w:sz="12" w:space="0"/>
              <w:bottom w:val="single" w:color="000000" w:sz="6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Category</w:t>
            </w:r>
          </w:p>
        </w:tc>
        <w:tc>
          <w:tcPr>
            <w:tcW w:type="dxa" w:w="2964"/>
            <w:tcBorders>
              <w:top w:val="single" w:color="000000" w:sz="12" w:space="0"/>
              <w:bottom w:val="single" w:color="000000" w:sz="6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Adjusted HR (95% CI)</w:t>
            </w:r>
          </w:p>
        </w:tc>
        <w:tc>
          <w:tcPr>
            <w:tcW w:type="dxa" w:w="2964"/>
            <w:tcBorders>
              <w:top w:val="single" w:color="000000" w:sz="12" w:space="0"/>
              <w:bottom w:val="single" w:color="000000" w:sz="6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P value</w:t>
            </w:r>
          </w:p>
        </w:tc>
        <w:tc>
          <w:tcPr>
            <w:tcW w:type="dxa" w:w="2964"/>
            <w:tcBorders>
              <w:top w:val="single" w:color="000000" w:sz="12" w:space="0"/>
              <w:bottom w:val="single" w:color="000000" w:sz="6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P for trend</w:t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TyG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Per 1 unit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1.59 (1.41-1.80)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&lt;0.001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—</w:t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TyG quartiles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Q1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Reference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—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Q2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1.44 (1.04-1.98)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0.027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Q3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2.01 (1.49-2.71)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&lt;0.001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Q4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2.54 (1.90-3.40)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&lt;0.001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TyG-BMI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Per 1 SD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1.47 (1.36-1.58)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&lt;0.001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—</w:t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TyG-BMI quartiles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Q1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Reference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—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Q2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1.24 (0.88-1.74)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0.211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cantSplit/>
        </w:trPr>
        <w:tc>
          <w:tcPr>
            <w:tcW w:type="dxa" w:w="2964"/>
            <w:tcBorders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Q3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2.05 (1.50-2.79)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&lt;0.001</w:t>
            </w:r>
          </w:p>
        </w:tc>
        <w:tc>
          <w:tcPr>
            <w:tcW w:type="dxa" w:w="2964"/>
            <w:tcBorders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cantSplit/>
        </w:trPr>
        <w:tc>
          <w:tcPr>
            <w:tcW w:type="dxa" w:w="2964"/>
            <w:tcBorders>
              <w:bottom w:val="single" w:color="000000" w:sz="12" w:space="0"/>
            </w:tcBorders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2964"/>
            <w:tcBorders>
              <w:bottom w:val="single" w:color="000000" w:sz="12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Q4</w:t>
            </w:r>
          </w:p>
        </w:tc>
        <w:tc>
          <w:tcPr>
            <w:tcW w:type="dxa" w:w="2964"/>
            <w:tcBorders>
              <w:bottom w:val="single" w:color="000000" w:sz="12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3.34 (2.47-4.50)</w:t>
            </w:r>
          </w:p>
        </w:tc>
        <w:tc>
          <w:tcPr>
            <w:tcW w:type="dxa" w:w="2964"/>
            <w:tcBorders>
              <w:bottom w:val="single" w:color="000000" w:sz="12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&lt;0.001</w:t>
            </w:r>
          </w:p>
        </w:tc>
        <w:tc>
          <w:tcPr>
            <w:tcW w:type="dxa" w:w="2964"/>
            <w:tcBorders>
              <w:bottom w:val="single" w:color="000000" w:sz="12" w:space="0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</w:tr>
    </w:tbl>
    <w:p>
      <w:pPr>
        <w:widowControl w:val="0"/>
        <w:spacing w:line="480" w:lineRule="auto" w:after="0"/>
        <w:jc w:val="both"/>
      </w:pPr>
      <w:r>
        <w:rPr>
          <w:rFonts w:ascii="Times New Roman" w:hAnsi="Times New Roman" w:eastAsia="Times New Roman"/>
          <w:b w:val="0"/>
          <w:i w:val="0"/>
          <w:sz w:val="18"/>
        </w:rPr>
        <w:t>Nineteen participants who developed CMM within the first 2 years were excluded. The landmark analysis included 7,712 participants and 478 incident CMM events, with follow-up re-originated at year 2. Models were adjusted for age, sex, education, marital status, residence, smoking, alcohol consumption, eGFR, and hypertension. The original cohort quartile cut-points were retained. CI, confidence interval; HR, hazard ratio.</w:t>
      </w:r>
    </w:p>
    <w:p>
      <w:pPr>
        <w:spacing w:line="480" w:lineRule="auto" w:after="0"/>
      </w:pPr>
    </w:p>
    <w:p w14:paraId="3ED1193D">
      <w:pPr>
        <w:spacing w:line="480" w:lineRule="auto"/>
      </w:pPr>
      <w:r>
        <w:br w:type="page"/>
      </w:r>
    </w:p>
    <w:p w14:paraId="349F17E2">
      <w:pPr>
        <w:widowControl w:val="0"/>
        <w:spacing w:line="480" w:lineRule="auto" w:after="0"/>
        <w:jc w:val="both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eastAsia="zh-CN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eastAsia="zh-CN"/>
        </w:rPr>
        <w:t>Supplementary Figure S1. Restricted cubic spline of the dose–response relationship with CMM.</w:t>
      </w:r>
    </w:p>
    <w:p w14:paraId="1F90ADA4">
      <w:pPr>
        <w:widowControl w:val="0"/>
        <w:spacing w:line="480" w:lineRule="auto" w:after="0"/>
        <w:jc w:val="center"/>
        <w:rPr>
          <w:rFonts w:ascii="Times New Roman" w:hAnsi="Times New Roman" w:eastAsia="宋体" w:cstheme="minorEastAsia"/>
          <w:b/>
          <w:bCs/>
          <w:kern w:val="0"/>
          <w:sz w:val="22"/>
          <w:shd w:val="clear" w:color="auto" w:fill="FFFFFF"/>
          <w:lang w:eastAsia="zh-CN" w:bidi="ar"/>
        </w:rPr>
      </w:pPr>
      <w:r>
        <w:rPr>
          <w:rFonts w:ascii="Times New Roman" w:hAnsi="Times New Roman" w:eastAsia="宋体" w:cstheme="minorEastAsia"/>
          <w:b/>
          <w:bCs/>
          <w:kern w:val="0"/>
          <w:sz w:val="22"/>
          <w:shd w:val="clear" w:color="auto" w:fill="FFFFFF"/>
          <w:lang w:eastAsia="zh-CN" w:bidi="ar"/>
        </w:rPr>
        <w:drawing>
          <wp:inline distT="0" distB="0" distL="114300" distR="114300">
            <wp:extent cx="4297680" cy="3636645"/>
            <wp:effectExtent l="0" t="0" r="20320" b="209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3636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56213">
      <w:pPr>
        <w:widowControl w:val="0"/>
        <w:spacing w:line="480" w:lineRule="auto" w:after="0"/>
        <w:jc w:val="both"/>
        <w:rPr>
          <w:rFonts w:ascii="Times New Roman" w:hAnsi="Times New Roman" w:eastAsia="宋体" w:cstheme="minorEastAsia"/>
          <w:b/>
          <w:bCs/>
          <w:kern w:val="0"/>
          <w:sz w:val="22"/>
          <w:shd w:val="clear" w:color="auto" w:fill="FFFFFF"/>
          <w:lang w:eastAsia="zh-CN" w:bidi="ar"/>
        </w:rPr>
      </w:pPr>
      <w:r>
        <w:rPr>
          <w:rFonts w:ascii="Times New Roman" w:hAnsi="Times New Roman" w:eastAsia="Times New Roman"/>
          <w:b/>
          <w:i w:val="0"/>
          <w:sz w:val="22"/>
        </w:rPr>
        <w:t>(A) TyG index (P for nonlinearity = 0.017). Basic model, age, sex, education, marital status, residence, smoking, alcohol, eGFR and hypertension. Hazard ratios are referenced to the median, and shaded areas denote 95% confidence intervals.</w:t>
      </w:r>
    </w:p>
    <w:p w14:paraId="71B868F5">
      <w:pPr>
        <w:spacing w:line="480" w:lineRule="auto"/>
        <w:jc w:val="center"/>
      </w:pPr>
      <w:r>
        <w:drawing>
          <wp:inline distT="0" distB="0" distL="114300" distR="114300">
            <wp:extent cx="4297680" cy="3636645"/>
            <wp:effectExtent l="0" t="0" r="20320" b="209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3636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5DB65">
      <w:pPr>
        <w:widowControl w:val="0"/>
        <w:spacing w:line="480" w:lineRule="auto" w:after="0"/>
        <w:jc w:val="both"/>
        <w:rPr>
          <w:rFonts w:ascii="Times New Roman" w:hAnsi="Times New Roman" w:eastAsia="宋体" w:cstheme="minorEastAsia"/>
          <w:b/>
          <w:bCs/>
          <w:kern w:val="0"/>
          <w:sz w:val="22"/>
          <w:shd w:val="clear" w:color="auto" w:fill="FFFFFF"/>
          <w:lang w:eastAsia="zh-CN" w:bidi="ar"/>
        </w:rPr>
      </w:pPr>
      <w:r>
        <w:rPr>
          <w:rFonts w:ascii="Times New Roman" w:hAnsi="Times New Roman" w:eastAsia="Times New Roman"/>
          <w:b/>
          <w:i w:val="0"/>
          <w:sz w:val="22"/>
        </w:rPr>
        <w:t>(B) TyG-BMI index (P for nonlinearity &lt; 0.01). Basic model, age, sex, education, marital status, residence, smoking, alcohol, eGFR and hypertension. Hazard ratios are referenced to the median, and shaded areas denote 95% confidence intervals.</w:t>
      </w:r>
    </w:p>
    <w:p w14:paraId="5C3EBD64">
      <w:pPr>
        <w:spacing w:line="480" w:lineRule="auto"/>
      </w:pPr>
      <w:r>
        <w:br w:type="page"/>
      </w:r>
    </w:p>
    <w:p w14:paraId="44BC4935">
      <w:pPr>
        <w:widowControl w:val="0"/>
        <w:spacing w:line="480" w:lineRule="auto" w:after="0"/>
        <w:jc w:val="both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eastAsia="zh-CN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eastAsia="zh-CN"/>
        </w:rPr>
        <w:t>Supplementary Figure S2. Scaled Schoenfeld residuals for the proportional hazards assessment.</w:t>
      </w:r>
    </w:p>
    <w:p w14:paraId="73887557">
      <w:pPr>
        <w:spacing w:line="480" w:lineRule="auto"/>
        <w:jc w:val="center"/>
      </w:pPr>
      <w:r>
        <w:drawing>
          <wp:inline distT="0" distB="0" distL="114300" distR="114300">
            <wp:extent cx="7863840" cy="3822065"/>
            <wp:effectExtent l="0" t="0" r="10160" b="133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63840" cy="382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57779">
      <w:pPr>
        <w:widowControl w:val="0"/>
        <w:spacing w:line="480" w:lineRule="auto" w:after="0"/>
        <w:jc w:val="both"/>
        <w:rPr>
          <w:rFonts w:ascii="Times New Roman" w:hAnsi="Times New Roman" w:eastAsia="宋体" w:cstheme="minorEastAsia"/>
          <w:b/>
          <w:bCs/>
          <w:kern w:val="0"/>
          <w:sz w:val="22"/>
          <w:shd w:val="clear" w:color="auto" w:fill="FFFFFF"/>
          <w:lang w:eastAsia="zh-CN" w:bidi="ar"/>
        </w:rPr>
      </w:pPr>
      <w:r>
        <w:rPr>
          <w:rFonts w:ascii="Times New Roman" w:hAnsi="Times New Roman" w:eastAsia="Times New Roman"/>
          <w:b/>
          <w:i w:val="0"/>
          <w:sz w:val="22"/>
        </w:rPr>
        <w:t>Scaled Schoenfeld residuals over follow-up time for TyG-BMI (left) and TyG (right) from the fully adjusted models. The red curve is a locally weighted smoother; an approximately flat curve around zero is consistent with proportional hazards (TyG-BMI, P = 0.71; TyG, P = 0.76). Events cluster at the biennial CHARLS assessment waves.</w:t>
      </w:r>
    </w:p>
    <w:sectPr>
      <w:footerReference w:type="default" r:id="rId11"/>
      <w:pgSz w:w="16834" w:h="11909" w:orient="landscape"/>
      <w:pgMar w:top="1008" w:right="1008" w:bottom="1008" w:left="100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p>
    <w:pPr>
      <w:jc w:val="center"/>
      <w:rPr>
        <w:rFonts w:ascii="Times New Roman" w:hAnsi="Times New Roman" w:cs="Times New Roman"/>
        <w:sz w:val="22"/>
      </w:rPr>
    </w:pPr>
    <w:r>
      <w:rPr>
        <w:rFonts w:ascii="Times New Roman" w:hAnsi="Times New Roman" w:cs="Times New Roman"/>
        <w:sz w:val="22"/>
      </w:rPr>
      <w:fldChar w:fldCharType="begin"/>
    </w:r>
    <w:r>
      <w:rPr>
        <w:rFonts w:ascii="Times New Roman" w:hAnsi="Times New Roman" w:cs="Times New Roman"/>
        <w:sz w:val="22"/>
      </w:rPr>
      <w:instrText xml:space="preserve"> PAGE </w:instrText>
    </w:r>
    <w:r>
      <w:rPr>
        <w:rFonts w:ascii="Times New Roman" w:hAnsi="Times New Roman" w:cs="Times New Roman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AFD0F0D"/>
    <w:rsid w:val="2FB7143A"/>
    <w:rsid w:val="2FFF921E"/>
    <w:rsid w:val="3BB76650"/>
    <w:rsid w:val="3BEF795E"/>
    <w:rsid w:val="3F2FE709"/>
    <w:rsid w:val="3FD60BB7"/>
    <w:rsid w:val="3FF61E54"/>
    <w:rsid w:val="4F6E38F8"/>
    <w:rsid w:val="66D70A0F"/>
    <w:rsid w:val="67FE715B"/>
    <w:rsid w:val="6D759CE3"/>
    <w:rsid w:val="6DF34654"/>
    <w:rsid w:val="71FFB9D1"/>
    <w:rsid w:val="73DD37F7"/>
    <w:rsid w:val="77759662"/>
    <w:rsid w:val="77F56B1C"/>
    <w:rsid w:val="79FFD4FA"/>
    <w:rsid w:val="7BFB4954"/>
    <w:rsid w:val="7BFFE583"/>
    <w:rsid w:val="7F3FB6EC"/>
    <w:rsid w:val="7F6E1B5C"/>
    <w:rsid w:val="7F9B3EA2"/>
    <w:rsid w:val="7FEA3D1D"/>
    <w:rsid w:val="7FFF0492"/>
    <w:rsid w:val="9EFDDDB9"/>
    <w:rsid w:val="A79D51CA"/>
    <w:rsid w:val="B9E7A74D"/>
    <w:rsid w:val="BA6FDBA7"/>
    <w:rsid w:val="BDB766A4"/>
    <w:rsid w:val="BEFFD568"/>
    <w:rsid w:val="BFE9273F"/>
    <w:rsid w:val="BFED7171"/>
    <w:rsid w:val="C7EBE963"/>
    <w:rsid w:val="CEBCBCEA"/>
    <w:rsid w:val="CFEF6AEB"/>
    <w:rsid w:val="D57BD48E"/>
    <w:rsid w:val="D7FD4567"/>
    <w:rsid w:val="DBAFEC21"/>
    <w:rsid w:val="DEFB2988"/>
    <w:rsid w:val="DEFB8150"/>
    <w:rsid w:val="E1EFF232"/>
    <w:rsid w:val="EF7FFB37"/>
    <w:rsid w:val="F2A572EA"/>
    <w:rsid w:val="F7DBA51C"/>
    <w:rsid w:val="F7E71164"/>
    <w:rsid w:val="F7FC01CA"/>
    <w:rsid w:val="F7FF4E8E"/>
    <w:rsid w:val="FADF1232"/>
    <w:rsid w:val="FB6BF985"/>
    <w:rsid w:val="FD3FCD2A"/>
    <w:rsid w:val="FEEDB68F"/>
    <w:rsid w:val="FF5F41D8"/>
    <w:rsid w:val="FF7BA66E"/>
    <w:rsid w:val="FF7F1E24"/>
    <w:rsid w:val="FFAB0AD6"/>
    <w:rsid w:val="FFDE0FD1"/>
    <w:rsid w:val="FFDF71C0"/>
    <w:rsid w:val="FFE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7</TotalTime>
  <ScaleCrop>false</ScaleCrop>
  <LinksUpToDate>false</LinksUpToDate>
  <CharactersWithSpaces>0</CharactersWithSpaces>
  <Application>WPS Office_6.13.2.8918_F1E327BC-269C-435d-A152-05C5408002CA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2013-12-25T15:15:00Z</dcterms:created>
  <dc:creator>python-docx</dc:creator>
  <dc:description>generated by python-docx</dc:description>
  <cp:lastModifiedBy>听白</cp:lastModifiedBy>
  <dcterms:modified xsi:type="dcterms:W3CDTF">2026-06-27T22:26:14Z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2052-6.13.2.8918</vt:lpwstr>
  </property>
  <property fmtid="{D5CDD505-2E9C-101B-9397-08002B2CF9AE}" pid="3" name="ICV">
    <vt:lpwstr>6E51E5A73D2FFE8686DD3F6A2E549871_43</vt:lpwstr>
  </property>
</Properties>
</file>