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30"/>
          <w:szCs w:val="30"/>
        </w:rPr>
      </w:pPr>
      <w:r>
        <w:rPr>
          <w:rFonts w:ascii="Times New Roman" w:hAnsi="Times New Roman" w:cs="Times New Roman"/>
          <w:sz w:val="30"/>
          <w:szCs w:val="30"/>
        </w:rPr>
        <w:t>Appendix</w:t>
      </w:r>
    </w:p>
    <w:p>
      <w:pPr>
        <w:rPr>
          <w:rFonts w:ascii="Times New Roman" w:hAnsi="Times New Roman" w:cs="Times New Roman"/>
          <w:szCs w:val="21"/>
        </w:rPr>
      </w:pPr>
      <w:r>
        <w:rPr>
          <w:rFonts w:ascii="Times New Roman" w:hAnsi="Times New Roman" w:cs="Times New Roman"/>
          <w:szCs w:val="21"/>
        </w:rPr>
        <w:t>Guidelines for interpreting mutations in ACMG related genes (partial content)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pPr>
              <w:rPr>
                <w:rFonts w:ascii="Times New Roman" w:hAnsi="Times New Roman" w:cs="Times New Roman"/>
                <w:b/>
                <w:bCs/>
                <w:sz w:val="18"/>
                <w:szCs w:val="18"/>
              </w:rPr>
            </w:pPr>
            <w:r>
              <w:rPr>
                <w:rFonts w:ascii="Times New Roman" w:hAnsi="Times New Roman" w:cs="Times New Roman"/>
                <w:b/>
                <w:bCs/>
                <w:sz w:val="18"/>
                <w:szCs w:val="18"/>
              </w:rPr>
              <w:t>Pathogenic Mutation Site Grading Criteria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jc w:val="center"/>
              <w:rPr>
                <w:rFonts w:ascii="Times New Roman" w:hAnsi="Times New Roman" w:cs="Times New Roman"/>
                <w:sz w:val="18"/>
                <w:szCs w:val="18"/>
              </w:rPr>
            </w:pPr>
            <w:r>
              <w:rPr>
                <w:rFonts w:ascii="Times New Roman" w:hAnsi="Times New Roman" w:cs="Times New Roman"/>
                <w:b/>
                <w:bCs/>
                <w:color w:val="000000"/>
                <w:sz w:val="18"/>
                <w:szCs w:val="18"/>
              </w:rPr>
              <w:t>Very strong</w:t>
            </w:r>
          </w:p>
        </w:tc>
        <w:tc>
          <w:tcPr>
            <w:tcW w:w="4148" w:type="dxa"/>
          </w:tcPr>
          <w:p>
            <w:pPr>
              <w:rPr>
                <w:rFonts w:ascii="Times New Roman" w:hAnsi="Times New Roman" w:cs="Times New Roman"/>
                <w:sz w:val="18"/>
                <w:szCs w:val="18"/>
              </w:rPr>
            </w:pPr>
            <w:r>
              <w:rPr>
                <w:rFonts w:ascii="Times New Roman" w:hAnsi="Times New Roman" w:cs="Times New Roman"/>
                <w:b/>
                <w:bCs/>
                <w:sz w:val="18"/>
                <w:szCs w:val="18"/>
              </w:rPr>
              <w:t>PVS1</w:t>
            </w:r>
            <w:r>
              <w:rPr>
                <w:rFonts w:ascii="Times New Roman" w:hAnsi="Times New Roman" w:cs="Times New Roman"/>
                <w:sz w:val="18"/>
                <w:szCs w:val="18"/>
              </w:rPr>
              <w:t xml:space="preserve"> is a malignant mutation site (null variant) on a known pathogenic gene in LOF (loss of function) (nonsense mutation, frameshift mutation, classical splice site ± 1 and 2 mutations, start codon change, loss of one or more exons).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jc w:val="center"/>
              <w:rPr>
                <w:rFonts w:ascii="Times New Roman" w:hAnsi="Times New Roman" w:cs="Times New Roman"/>
                <w:sz w:val="18"/>
                <w:szCs w:val="18"/>
              </w:rPr>
            </w:pPr>
            <w:r>
              <w:rPr>
                <w:rFonts w:ascii="Times New Roman" w:hAnsi="Times New Roman" w:cs="Times New Roman"/>
                <w:b/>
                <w:bCs/>
                <w:color w:val="000000"/>
                <w:sz w:val="18"/>
                <w:szCs w:val="18"/>
              </w:rPr>
              <w:t>Strong</w:t>
            </w:r>
          </w:p>
        </w:tc>
        <w:tc>
          <w:tcPr>
            <w:tcW w:w="4148" w:type="dxa"/>
          </w:tcPr>
          <w:p>
            <w:pPr>
              <w:rPr>
                <w:rFonts w:ascii="Times New Roman" w:hAnsi="Times New Roman" w:cs="Times New Roman"/>
                <w:sz w:val="18"/>
                <w:szCs w:val="18"/>
              </w:rPr>
            </w:pPr>
            <w:r>
              <w:rPr>
                <w:rFonts w:ascii="Times New Roman" w:hAnsi="Times New Roman" w:cs="Times New Roman"/>
                <w:b/>
                <w:bCs/>
                <w:sz w:val="18"/>
                <w:szCs w:val="18"/>
              </w:rPr>
              <w:t>PS1</w:t>
            </w:r>
            <w:r>
              <w:rPr>
                <w:rFonts w:ascii="Times New Roman" w:hAnsi="Times New Roman" w:cs="Times New Roman"/>
                <w:sz w:val="18"/>
                <w:szCs w:val="18"/>
              </w:rPr>
              <w:t xml:space="preserve"> has the same amino acid changes as the previously identified pathogenic variant.</w:t>
            </w:r>
          </w:p>
          <w:p>
            <w:pPr>
              <w:rPr>
                <w:rFonts w:ascii="Times New Roman" w:hAnsi="Times New Roman" w:cs="Times New Roman"/>
                <w:sz w:val="18"/>
                <w:szCs w:val="18"/>
              </w:rPr>
            </w:pPr>
            <w:r>
              <w:rPr>
                <w:rFonts w:ascii="Times New Roman" w:hAnsi="Times New Roman" w:cs="Times New Roman"/>
                <w:sz w:val="18"/>
                <w:szCs w:val="18"/>
              </w:rPr>
              <w:t>For example, changes in G&gt;C or G&gt;T within the same codon can lead to Val → Leu</w:t>
            </w:r>
          </w:p>
          <w:p>
            <w:pPr>
              <w:rPr>
                <w:rFonts w:ascii="Times New Roman" w:hAnsi="Times New Roman" w:cs="Times New Roman"/>
                <w:sz w:val="18"/>
                <w:szCs w:val="18"/>
              </w:rPr>
            </w:pPr>
            <w:r>
              <w:rPr>
                <w:rFonts w:ascii="Times New Roman" w:hAnsi="Times New Roman" w:cs="Times New Roman"/>
                <w:sz w:val="18"/>
                <w:szCs w:val="18"/>
              </w:rPr>
              <w:t>Attention: Compared to changes in amino acid/protein levels, it is more important to pay attention to mutations that affect splicing.</w:t>
            </w:r>
          </w:p>
          <w:p>
            <w:pPr>
              <w:rPr>
                <w:rFonts w:ascii="Times New Roman" w:hAnsi="Times New Roman" w:cs="Times New Roman"/>
                <w:sz w:val="18"/>
                <w:szCs w:val="18"/>
              </w:rPr>
            </w:pPr>
            <w:r>
              <w:rPr>
                <w:rFonts w:ascii="Times New Roman" w:hAnsi="Times New Roman" w:cs="Times New Roman"/>
                <w:b/>
                <w:bCs/>
                <w:sz w:val="18"/>
                <w:szCs w:val="18"/>
              </w:rPr>
              <w:t>PS2</w:t>
            </w:r>
            <w:r>
              <w:rPr>
                <w:rFonts w:ascii="Times New Roman" w:hAnsi="Times New Roman" w:cs="Times New Roman"/>
                <w:sz w:val="18"/>
                <w:szCs w:val="18"/>
              </w:rPr>
              <w:t>: Novel mutations carried by patients without a family history (verified by parents).</w:t>
            </w:r>
          </w:p>
          <w:p>
            <w:pPr>
              <w:rPr>
                <w:rFonts w:ascii="Times New Roman" w:hAnsi="Times New Roman" w:cs="Times New Roman"/>
                <w:sz w:val="18"/>
                <w:szCs w:val="18"/>
              </w:rPr>
            </w:pPr>
            <w:r>
              <w:rPr>
                <w:rFonts w:ascii="Times New Roman" w:hAnsi="Times New Roman" w:cs="Times New Roman"/>
                <w:sz w:val="18"/>
                <w:szCs w:val="18"/>
              </w:rPr>
              <w:t>Note: Parental verification alone is not enough. Attention should also be paid to errors in egg donation, surrogacy, and embryo transfer.</w:t>
            </w:r>
          </w:p>
          <w:p>
            <w:pPr>
              <w:rPr>
                <w:rFonts w:ascii="Times New Roman" w:hAnsi="Times New Roman" w:cs="Times New Roman"/>
                <w:sz w:val="18"/>
                <w:szCs w:val="18"/>
              </w:rPr>
            </w:pPr>
            <w:r>
              <w:rPr>
                <w:rFonts w:ascii="Times New Roman" w:hAnsi="Times New Roman" w:cs="Times New Roman"/>
                <w:b/>
                <w:bCs/>
                <w:sz w:val="18"/>
                <w:szCs w:val="18"/>
              </w:rPr>
              <w:t>PS3</w:t>
            </w:r>
            <w:r>
              <w:rPr>
                <w:rFonts w:ascii="Times New Roman" w:hAnsi="Times New Roman" w:cs="Times New Roman"/>
                <w:sz w:val="18"/>
                <w:szCs w:val="18"/>
              </w:rPr>
              <w:t>: In vivo and in vitro functional experiments have identified mutations that can lead to impaired gene function.</w:t>
            </w:r>
          </w:p>
          <w:p>
            <w:pPr>
              <w:rPr>
                <w:rFonts w:ascii="Times New Roman" w:hAnsi="Times New Roman" w:cs="Times New Roman"/>
                <w:sz w:val="18"/>
                <w:szCs w:val="18"/>
              </w:rPr>
            </w:pPr>
            <w:r>
              <w:rPr>
                <w:rFonts w:ascii="Times New Roman" w:hAnsi="Times New Roman" w:cs="Times New Roman"/>
                <w:sz w:val="18"/>
                <w:szCs w:val="18"/>
              </w:rPr>
              <w:t>Note: Functional experiments need to be validated as effective, with repeatability and stability.</w:t>
            </w:r>
          </w:p>
          <w:p>
            <w:pPr>
              <w:rPr>
                <w:rFonts w:ascii="Times New Roman" w:hAnsi="Times New Roman" w:cs="Times New Roman"/>
                <w:sz w:val="18"/>
                <w:szCs w:val="18"/>
              </w:rPr>
            </w:pPr>
            <w:r>
              <w:rPr>
                <w:rFonts w:ascii="Times New Roman" w:hAnsi="Times New Roman" w:cs="Times New Roman"/>
                <w:b/>
                <w:bCs/>
                <w:sz w:val="18"/>
                <w:szCs w:val="18"/>
              </w:rPr>
              <w:t>PS4</w:t>
            </w:r>
            <w:r>
              <w:rPr>
                <w:rFonts w:ascii="Times New Roman" w:hAnsi="Times New Roman" w:cs="Times New Roman"/>
                <w:sz w:val="18"/>
                <w:szCs w:val="18"/>
              </w:rPr>
              <w:t>: The frequency of mutations occurring in the affected population is significantly higher than that in the control population.</w:t>
            </w:r>
          </w:p>
          <w:p>
            <w:pPr>
              <w:rPr>
                <w:rFonts w:ascii="Times New Roman" w:hAnsi="Times New Roman" w:cs="Times New Roman"/>
                <w:sz w:val="18"/>
                <w:szCs w:val="18"/>
              </w:rPr>
            </w:pPr>
            <w:r>
              <w:rPr>
                <w:rFonts w:ascii="Times New Roman" w:hAnsi="Times New Roman" w:cs="Times New Roman"/>
                <w:sz w:val="18"/>
                <w:szCs w:val="18"/>
              </w:rPr>
              <w:t>Note 1: Relative risk value or OR value can be selected for evaluation. It is recommended that sites with OR greater than 5.0 and confidence interval not including 1.0 be included in this item.</w:t>
            </w:r>
          </w:p>
          <w:p>
            <w:pPr>
              <w:rPr>
                <w:rFonts w:ascii="Times New Roman" w:hAnsi="Times New Roman" w:cs="Times New Roman"/>
                <w:sz w:val="18"/>
                <w:szCs w:val="18"/>
              </w:rPr>
            </w:pPr>
            <w:r>
              <w:rPr>
                <w:rFonts w:ascii="Times New Roman" w:hAnsi="Times New Roman" w:cs="Times New Roman"/>
                <w:sz w:val="18"/>
                <w:szCs w:val="18"/>
              </w:rPr>
              <w:t>Note 2: Extremely rare variants may not have statistical significance in case-control studies, and this variant is prioritized in multiple patients with the same phenotype and not observed in the control group, which can serve as moderate level evidence.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jc w:val="center"/>
              <w:rPr>
                <w:rFonts w:ascii="Times New Roman" w:hAnsi="Times New Roman" w:cs="Times New Roman"/>
                <w:sz w:val="18"/>
                <w:szCs w:val="18"/>
              </w:rPr>
            </w:pPr>
            <w:r>
              <w:rPr>
                <w:rFonts w:ascii="Times New Roman" w:hAnsi="Times New Roman" w:cs="Times New Roman"/>
                <w:b/>
                <w:bCs/>
                <w:color w:val="000000"/>
                <w:sz w:val="18"/>
                <w:szCs w:val="18"/>
              </w:rPr>
              <w:t>Moderate</w:t>
            </w:r>
          </w:p>
        </w:tc>
        <w:tc>
          <w:tcPr>
            <w:tcW w:w="4148" w:type="dxa"/>
          </w:tcPr>
          <w:p>
            <w:pPr>
              <w:rPr>
                <w:rFonts w:ascii="Times New Roman" w:hAnsi="Times New Roman" w:cs="Times New Roman"/>
                <w:sz w:val="18"/>
                <w:szCs w:val="18"/>
              </w:rPr>
            </w:pPr>
            <w:r>
              <w:rPr>
                <w:rFonts w:ascii="Times New Roman" w:hAnsi="Times New Roman" w:cs="Times New Roman"/>
                <w:b/>
                <w:bCs/>
                <w:sz w:val="18"/>
                <w:szCs w:val="18"/>
              </w:rPr>
              <w:t>PM1</w:t>
            </w:r>
            <w:r>
              <w:rPr>
                <w:rFonts w:ascii="Times New Roman" w:hAnsi="Times New Roman" w:cs="Times New Roman"/>
                <w:sz w:val="18"/>
                <w:szCs w:val="18"/>
              </w:rPr>
              <w:t>: Non benign mutation sites located at mutation hotspots and/or critical and established functional domains (such as enzyme activity sites).</w:t>
            </w:r>
          </w:p>
          <w:p>
            <w:pPr>
              <w:rPr>
                <w:rFonts w:ascii="Times New Roman" w:hAnsi="Times New Roman" w:cs="Times New Roman"/>
                <w:sz w:val="18"/>
                <w:szCs w:val="18"/>
              </w:rPr>
            </w:pPr>
            <w:r>
              <w:rPr>
                <w:rFonts w:ascii="Times New Roman" w:hAnsi="Times New Roman" w:cs="Times New Roman"/>
                <w:b/>
                <w:bCs/>
                <w:sz w:val="18"/>
                <w:szCs w:val="18"/>
              </w:rPr>
              <w:t>PM2</w:t>
            </w:r>
            <w:r>
              <w:rPr>
                <w:rFonts w:ascii="Times New Roman" w:hAnsi="Times New Roman" w:cs="Times New Roman"/>
                <w:sz w:val="18"/>
                <w:szCs w:val="18"/>
              </w:rPr>
              <w:t>: Mutations (or extremely low frequency loci in recessive genetic diseases) not found in the normal control population in ESP databases, thousand</w:t>
            </w:r>
            <w:r>
              <w:rPr>
                <w:rFonts w:hint="eastAsia" w:ascii="Times New Roman" w:hAnsi="Times New Roman" w:cs="Times New Roman"/>
                <w:sz w:val="18"/>
                <w:szCs w:val="18"/>
                <w:lang w:val="en-US" w:eastAsia="zh-CN"/>
              </w:rPr>
              <w:t>-</w:t>
            </w:r>
            <w:r>
              <w:rPr>
                <w:rFonts w:ascii="Times New Roman" w:hAnsi="Times New Roman" w:cs="Times New Roman"/>
                <w:sz w:val="18"/>
                <w:szCs w:val="18"/>
              </w:rPr>
              <w:t>person databases, and EAC databases.</w:t>
            </w:r>
          </w:p>
          <w:p>
            <w:pPr>
              <w:rPr>
                <w:rFonts w:ascii="Times New Roman" w:hAnsi="Times New Roman" w:cs="Times New Roman"/>
                <w:sz w:val="18"/>
                <w:szCs w:val="18"/>
              </w:rPr>
            </w:pPr>
            <w:r>
              <w:rPr>
                <w:rFonts w:ascii="Times New Roman" w:hAnsi="Times New Roman" w:cs="Times New Roman"/>
                <w:sz w:val="18"/>
                <w:szCs w:val="18"/>
              </w:rPr>
              <w:t>Attention: The quality of insertion/deletion population data obtained from high-throughput sequencing is poor.</w:t>
            </w:r>
          </w:p>
          <w:p>
            <w:pPr>
              <w:rPr>
                <w:rFonts w:ascii="Times New Roman" w:hAnsi="Times New Roman" w:cs="Times New Roman"/>
                <w:sz w:val="18"/>
                <w:szCs w:val="18"/>
              </w:rPr>
            </w:pPr>
            <w:r>
              <w:rPr>
                <w:rFonts w:ascii="Times New Roman" w:hAnsi="Times New Roman" w:cs="Times New Roman"/>
                <w:b/>
                <w:bCs/>
                <w:sz w:val="18"/>
                <w:szCs w:val="18"/>
              </w:rPr>
              <w:t>PM3</w:t>
            </w:r>
            <w:r>
              <w:rPr>
                <w:rFonts w:ascii="Times New Roman" w:hAnsi="Times New Roman" w:cs="Times New Roman"/>
                <w:sz w:val="18"/>
                <w:szCs w:val="18"/>
              </w:rPr>
              <w:t>: For recessive genetic diseases, multiple heterozygous pathogenic mutation sites are detected.</w:t>
            </w:r>
          </w:p>
          <w:p>
            <w:pPr>
              <w:rPr>
                <w:rFonts w:ascii="Times New Roman" w:hAnsi="Times New Roman" w:cs="Times New Roman"/>
                <w:sz w:val="18"/>
                <w:szCs w:val="18"/>
              </w:rPr>
            </w:pPr>
            <w:r>
              <w:rPr>
                <w:rFonts w:ascii="Times New Roman" w:hAnsi="Times New Roman" w:cs="Times New Roman"/>
                <w:sz w:val="18"/>
                <w:szCs w:val="18"/>
              </w:rPr>
              <w:t>Note: This situation must be verified by the patient's parents or descendants.</w:t>
            </w:r>
          </w:p>
          <w:p>
            <w:pPr>
              <w:rPr>
                <w:rFonts w:ascii="Times New Roman" w:hAnsi="Times New Roman" w:cs="Times New Roman"/>
                <w:sz w:val="18"/>
                <w:szCs w:val="18"/>
              </w:rPr>
            </w:pPr>
            <w:r>
              <w:rPr>
                <w:rFonts w:ascii="Times New Roman" w:hAnsi="Times New Roman" w:cs="Times New Roman"/>
                <w:b/>
                <w:bCs/>
                <w:sz w:val="18"/>
                <w:szCs w:val="18"/>
              </w:rPr>
              <w:t>PM4</w:t>
            </w:r>
            <w:r>
              <w:rPr>
                <w:rFonts w:ascii="Times New Roman" w:hAnsi="Times New Roman" w:cs="Times New Roman"/>
                <w:sz w:val="18"/>
                <w:szCs w:val="18"/>
              </w:rPr>
              <w:t>: Changes in protein length caused by loss of insertion/deletion or termination codons within non</w:t>
            </w:r>
            <w:r>
              <w:rPr>
                <w:rFonts w:hint="eastAsia" w:ascii="Times New Roman" w:hAnsi="Times New Roman" w:cs="Times New Roman"/>
                <w:sz w:val="18"/>
                <w:szCs w:val="18"/>
                <w:lang w:val="en-US" w:eastAsia="zh-CN"/>
              </w:rPr>
              <w:t>-</w:t>
            </w:r>
            <w:r>
              <w:rPr>
                <w:rFonts w:ascii="Times New Roman" w:hAnsi="Times New Roman" w:cs="Times New Roman"/>
                <w:sz w:val="18"/>
                <w:szCs w:val="18"/>
              </w:rPr>
              <w:t xml:space="preserve"> repeating regions.</w:t>
            </w:r>
          </w:p>
          <w:p>
            <w:pPr>
              <w:rPr>
                <w:rFonts w:ascii="Times New Roman" w:hAnsi="Times New Roman" w:cs="Times New Roman"/>
                <w:sz w:val="18"/>
                <w:szCs w:val="18"/>
              </w:rPr>
            </w:pPr>
            <w:r>
              <w:rPr>
                <w:rFonts w:ascii="Times New Roman" w:hAnsi="Times New Roman" w:cs="Times New Roman"/>
                <w:b/>
                <w:bCs/>
                <w:sz w:val="18"/>
                <w:szCs w:val="18"/>
              </w:rPr>
              <w:t>PM5</w:t>
            </w:r>
            <w:r>
              <w:rPr>
                <w:rFonts w:ascii="Times New Roman" w:hAnsi="Times New Roman" w:cs="Times New Roman"/>
                <w:sz w:val="18"/>
                <w:szCs w:val="18"/>
              </w:rPr>
              <w:t>: Newly discovered different missense mutations on amino acid residues previously identified as pathogenic for missense mutations.</w:t>
            </w:r>
          </w:p>
          <w:p>
            <w:pPr>
              <w:rPr>
                <w:rFonts w:ascii="Times New Roman" w:hAnsi="Times New Roman" w:cs="Times New Roman"/>
                <w:sz w:val="18"/>
                <w:szCs w:val="18"/>
              </w:rPr>
            </w:pPr>
            <w:r>
              <w:rPr>
                <w:rFonts w:ascii="Times New Roman" w:hAnsi="Times New Roman" w:cs="Times New Roman"/>
                <w:sz w:val="18"/>
                <w:szCs w:val="18"/>
              </w:rPr>
              <w:t>For example, Arg156His has been reported as a pathogenic mutation, and now you have discovered Arg156Cys.</w:t>
            </w:r>
          </w:p>
          <w:p>
            <w:pPr>
              <w:rPr>
                <w:rFonts w:ascii="Times New Roman" w:hAnsi="Times New Roman" w:cs="Times New Roman"/>
                <w:sz w:val="18"/>
                <w:szCs w:val="18"/>
              </w:rPr>
            </w:pPr>
            <w:r>
              <w:rPr>
                <w:rFonts w:ascii="Times New Roman" w:hAnsi="Times New Roman" w:cs="Times New Roman"/>
                <w:sz w:val="18"/>
                <w:szCs w:val="18"/>
              </w:rPr>
              <w:t>Attention: Compared to changes in amino acid/protein levels, it is more important to pay attention to mutations that affect splicing.</w:t>
            </w:r>
          </w:p>
          <w:p>
            <w:pPr>
              <w:rPr>
                <w:rFonts w:ascii="Times New Roman" w:hAnsi="Times New Roman" w:cs="Times New Roman"/>
                <w:sz w:val="18"/>
                <w:szCs w:val="18"/>
              </w:rPr>
            </w:pPr>
            <w:r>
              <w:rPr>
                <w:rFonts w:ascii="Times New Roman" w:hAnsi="Times New Roman" w:cs="Times New Roman"/>
                <w:b/>
                <w:bCs/>
                <w:sz w:val="18"/>
                <w:szCs w:val="18"/>
              </w:rPr>
              <w:t>PM6</w:t>
            </w:r>
            <w:r>
              <w:rPr>
                <w:rFonts w:ascii="Times New Roman" w:hAnsi="Times New Roman" w:cs="Times New Roman"/>
                <w:sz w:val="18"/>
                <w:szCs w:val="18"/>
              </w:rPr>
              <w:t>: New emerging variants without parental sample validation.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sz w:val="18"/>
                <w:szCs w:val="18"/>
              </w:rPr>
            </w:pPr>
            <w:r>
              <w:rPr>
                <w:rFonts w:ascii="Times New Roman" w:hAnsi="Times New Roman" w:cs="Times New Roman"/>
                <w:b/>
                <w:bCs/>
                <w:color w:val="000000"/>
                <w:sz w:val="18"/>
                <w:szCs w:val="18"/>
              </w:rPr>
              <w:t>Supporting</w:t>
            </w:r>
          </w:p>
        </w:tc>
        <w:tc>
          <w:tcPr>
            <w:tcW w:w="4148" w:type="dxa"/>
          </w:tcPr>
          <w:p>
            <w:pPr>
              <w:rPr>
                <w:rFonts w:ascii="Times New Roman" w:hAnsi="Times New Roman" w:cs="Times New Roman"/>
                <w:sz w:val="18"/>
                <w:szCs w:val="18"/>
              </w:rPr>
            </w:pPr>
            <w:r>
              <w:rPr>
                <w:rFonts w:ascii="Times New Roman" w:hAnsi="Times New Roman" w:cs="Times New Roman"/>
                <w:b/>
                <w:bCs/>
                <w:sz w:val="18"/>
                <w:szCs w:val="18"/>
              </w:rPr>
              <w:t>PP1</w:t>
            </w:r>
            <w:r>
              <w:rPr>
                <w:rFonts w:ascii="Times New Roman" w:hAnsi="Times New Roman" w:cs="Times New Roman"/>
                <w:sz w:val="18"/>
                <w:szCs w:val="18"/>
              </w:rPr>
              <w:t>: Mutation and disease are co-segregating in the family line (the variant is detected in multiple patients in the family line).</w:t>
            </w:r>
          </w:p>
          <w:p>
            <w:pPr>
              <w:rPr>
                <w:rFonts w:ascii="Times New Roman" w:hAnsi="Times New Roman" w:cs="Times New Roman"/>
                <w:sz w:val="18"/>
                <w:szCs w:val="18"/>
              </w:rPr>
            </w:pPr>
            <w:r>
              <w:rPr>
                <w:rFonts w:ascii="Times New Roman" w:hAnsi="Times New Roman" w:cs="Times New Roman"/>
                <w:sz w:val="18"/>
                <w:szCs w:val="18"/>
              </w:rPr>
              <w:t>Note: As more segregation data become available, they can be used as stronger evidence.</w:t>
            </w:r>
          </w:p>
          <w:p>
            <w:pPr>
              <w:rPr>
                <w:rFonts w:ascii="Times New Roman" w:hAnsi="Times New Roman" w:cs="Times New Roman"/>
                <w:sz w:val="18"/>
                <w:szCs w:val="18"/>
              </w:rPr>
            </w:pPr>
            <w:r>
              <w:rPr>
                <w:rFonts w:ascii="Times New Roman" w:hAnsi="Times New Roman" w:cs="Times New Roman"/>
                <w:b/>
                <w:bCs/>
                <w:sz w:val="18"/>
                <w:szCs w:val="18"/>
              </w:rPr>
              <w:t>PP2</w:t>
            </w:r>
            <w:r>
              <w:rPr>
                <w:rFonts w:ascii="Times New Roman" w:hAnsi="Times New Roman" w:cs="Times New Roman"/>
                <w:sz w:val="18"/>
                <w:szCs w:val="18"/>
              </w:rPr>
              <w:t>: Novel missense mutations in genes with a low rate of benign missense mutation sites and a common mechanism of disease.</w:t>
            </w:r>
          </w:p>
          <w:p>
            <w:pPr>
              <w:rPr>
                <w:rFonts w:ascii="Times New Roman" w:hAnsi="Times New Roman" w:cs="Times New Roman"/>
                <w:sz w:val="18"/>
                <w:szCs w:val="18"/>
              </w:rPr>
            </w:pPr>
            <w:r>
              <w:rPr>
                <w:rFonts w:ascii="Times New Roman" w:hAnsi="Times New Roman" w:cs="Times New Roman"/>
                <w:sz w:val="18"/>
                <w:szCs w:val="18"/>
              </w:rPr>
              <w:t xml:space="preserve">Caveat: High-throughput sequencing yields insertion/deletion </w:t>
            </w:r>
            <w:r>
              <w:rPr>
                <w:rFonts w:hint="eastAsia" w:ascii="Times New Roman" w:hAnsi="Times New Roman" w:cs="Times New Roman"/>
                <w:sz w:val="18"/>
                <w:szCs w:val="18"/>
                <w:lang w:val="en-US" w:eastAsia="zh-CN"/>
              </w:rPr>
              <w:t xml:space="preserve">of </w:t>
            </w:r>
            <w:r>
              <w:rPr>
                <w:rFonts w:ascii="Times New Roman" w:hAnsi="Times New Roman" w:cs="Times New Roman"/>
                <w:sz w:val="18"/>
                <w:szCs w:val="18"/>
              </w:rPr>
              <w:t>population data of poor quality.</w:t>
            </w:r>
          </w:p>
          <w:p>
            <w:pPr>
              <w:rPr>
                <w:rFonts w:ascii="Times New Roman" w:hAnsi="Times New Roman" w:cs="Times New Roman"/>
                <w:sz w:val="18"/>
                <w:szCs w:val="18"/>
              </w:rPr>
            </w:pPr>
            <w:r>
              <w:rPr>
                <w:rFonts w:ascii="Times New Roman" w:hAnsi="Times New Roman" w:cs="Times New Roman"/>
                <w:b/>
                <w:bCs/>
                <w:sz w:val="18"/>
                <w:szCs w:val="18"/>
              </w:rPr>
              <w:t>PP3</w:t>
            </w:r>
            <w:r>
              <w:rPr>
                <w:rFonts w:ascii="Times New Roman" w:hAnsi="Times New Roman" w:cs="Times New Roman"/>
                <w:sz w:val="18"/>
                <w:szCs w:val="18"/>
              </w:rPr>
              <w:t>: Multilineage computational evidence supporting deleterious effects on genes or gene products (conservation prediction, evolutionary prediction, splice site effects, etc.).</w:t>
            </w:r>
          </w:p>
          <w:p>
            <w:pPr>
              <w:rPr>
                <w:rFonts w:ascii="Times New Roman" w:hAnsi="Times New Roman" w:cs="Times New Roman"/>
                <w:sz w:val="18"/>
                <w:szCs w:val="18"/>
              </w:rPr>
            </w:pPr>
            <w:r>
              <w:rPr>
                <w:rFonts w:ascii="Times New Roman" w:hAnsi="Times New Roman" w:cs="Times New Roman"/>
                <w:sz w:val="18"/>
                <w:szCs w:val="18"/>
              </w:rPr>
              <w:t>Note: Because many bioinformatics algorithms use the same or very similar inputs for prediction, each algorithm should not be considered an independent standard. PP3 can only be used once in the evaluation of any mutation site.</w:t>
            </w:r>
          </w:p>
          <w:p>
            <w:pPr>
              <w:rPr>
                <w:rFonts w:ascii="Times New Roman" w:hAnsi="Times New Roman" w:cs="Times New Roman"/>
                <w:sz w:val="18"/>
                <w:szCs w:val="18"/>
              </w:rPr>
            </w:pPr>
            <w:r>
              <w:rPr>
                <w:rFonts w:ascii="Times New Roman" w:hAnsi="Times New Roman" w:cs="Times New Roman"/>
                <w:b/>
                <w:bCs/>
                <w:sz w:val="18"/>
                <w:szCs w:val="18"/>
              </w:rPr>
              <w:t>PP4</w:t>
            </w:r>
            <w:r>
              <w:rPr>
                <w:rFonts w:ascii="Times New Roman" w:hAnsi="Times New Roman" w:cs="Times New Roman"/>
                <w:sz w:val="18"/>
                <w:szCs w:val="18"/>
              </w:rPr>
              <w:t>: For a monogenic genetic disorder, the phenotype or family history of the variant carrier is highly compatible.</w:t>
            </w:r>
          </w:p>
          <w:p>
            <w:pPr>
              <w:rPr>
                <w:rFonts w:ascii="Times New Roman" w:hAnsi="Times New Roman" w:cs="Times New Roman"/>
                <w:sz w:val="18"/>
                <w:szCs w:val="18"/>
              </w:rPr>
            </w:pPr>
            <w:r>
              <w:rPr>
                <w:rFonts w:ascii="Times New Roman" w:hAnsi="Times New Roman" w:cs="Times New Roman"/>
                <w:b/>
                <w:bCs/>
                <w:sz w:val="18"/>
                <w:szCs w:val="18"/>
              </w:rPr>
              <w:t>PP5</w:t>
            </w:r>
            <w:r>
              <w:rPr>
                <w:rFonts w:ascii="Times New Roman" w:hAnsi="Times New Roman" w:cs="Times New Roman"/>
                <w:sz w:val="18"/>
                <w:szCs w:val="18"/>
              </w:rPr>
              <w:t>: There are reports from reliable sources that the variant is pathogenic, but the evidence is not yet sufficient to support a</w:t>
            </w:r>
            <w:r>
              <w:rPr>
                <w:rFonts w:hint="eastAsia" w:ascii="Times New Roman" w:hAnsi="Times New Roman" w:cs="Times New Roman"/>
                <w:sz w:val="18"/>
                <w:szCs w:val="18"/>
                <w:lang w:val="en-US" w:eastAsia="zh-CN"/>
              </w:rPr>
              <w:t>n</w:t>
            </w:r>
            <w:r>
              <w:rPr>
                <w:rFonts w:ascii="Times New Roman" w:hAnsi="Times New Roman" w:cs="Times New Roman"/>
                <w:sz w:val="18"/>
                <w:szCs w:val="18"/>
              </w:rPr>
              <w:t xml:space="preserve"> independent laboratory evaluation.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pPr>
              <w:rPr>
                <w:rFonts w:ascii="Times New Roman" w:hAnsi="Times New Roman" w:cs="Times New Roman"/>
                <w:b/>
                <w:bCs/>
                <w:sz w:val="18"/>
                <w:szCs w:val="18"/>
              </w:rPr>
            </w:pPr>
            <w:r>
              <w:rPr>
                <w:rFonts w:ascii="Times New Roman" w:hAnsi="Times New Roman" w:cs="Times New Roman"/>
                <w:b/>
                <w:bCs/>
                <w:sz w:val="18"/>
                <w:szCs w:val="18"/>
              </w:rPr>
              <w:t>Benign Mutation Site Grading Criteria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jc w:val="center"/>
              <w:rPr>
                <w:rFonts w:ascii="Times New Roman" w:hAnsi="Times New Roman" w:cs="Times New Roman"/>
                <w:sz w:val="18"/>
                <w:szCs w:val="18"/>
              </w:rPr>
            </w:pPr>
            <w:r>
              <w:rPr>
                <w:rFonts w:ascii="Times New Roman" w:hAnsi="Times New Roman" w:cs="Times New Roman"/>
                <w:b/>
                <w:bCs/>
                <w:color w:val="000000"/>
                <w:sz w:val="18"/>
                <w:szCs w:val="18"/>
              </w:rPr>
              <w:t>Stand-alone</w:t>
            </w:r>
          </w:p>
        </w:tc>
        <w:tc>
          <w:tcPr>
            <w:tcW w:w="4148" w:type="dxa"/>
          </w:tcPr>
          <w:p>
            <w:pPr>
              <w:rPr>
                <w:rFonts w:ascii="Times New Roman" w:hAnsi="Times New Roman" w:cs="Times New Roman"/>
                <w:sz w:val="18"/>
                <w:szCs w:val="18"/>
              </w:rPr>
            </w:pPr>
            <w:r>
              <w:rPr>
                <w:rFonts w:ascii="Times New Roman" w:hAnsi="Times New Roman" w:cs="Times New Roman"/>
                <w:b/>
                <w:bCs/>
                <w:sz w:val="18"/>
                <w:szCs w:val="18"/>
              </w:rPr>
              <w:t>BA1</w:t>
            </w:r>
            <w:r>
              <w:rPr>
                <w:rFonts w:ascii="Times New Roman" w:hAnsi="Times New Roman" w:cs="Times New Roman"/>
                <w:sz w:val="18"/>
                <w:szCs w:val="18"/>
              </w:rPr>
              <w:t>: Variants with allele frequencies &gt;5% in the ESP database, Thousands database, and EAC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jc w:val="center"/>
              <w:rPr>
                <w:rFonts w:ascii="Times New Roman" w:hAnsi="Times New Roman" w:cs="Times New Roman"/>
                <w:sz w:val="18"/>
                <w:szCs w:val="18"/>
              </w:rPr>
            </w:pPr>
            <w:r>
              <w:rPr>
                <w:rFonts w:ascii="Times New Roman" w:hAnsi="Times New Roman" w:cs="Times New Roman"/>
                <w:b/>
                <w:bCs/>
                <w:color w:val="000000"/>
                <w:sz w:val="18"/>
                <w:szCs w:val="18"/>
              </w:rPr>
              <w:t>Strong</w:t>
            </w:r>
          </w:p>
        </w:tc>
        <w:tc>
          <w:tcPr>
            <w:tcW w:w="4148" w:type="dxa"/>
          </w:tcPr>
          <w:p>
            <w:pPr>
              <w:rPr>
                <w:rFonts w:ascii="Times New Roman" w:hAnsi="Times New Roman" w:cs="Times New Roman"/>
                <w:sz w:val="18"/>
                <w:szCs w:val="18"/>
              </w:rPr>
            </w:pPr>
            <w:r>
              <w:rPr>
                <w:rFonts w:ascii="Times New Roman" w:hAnsi="Times New Roman" w:cs="Times New Roman"/>
                <w:b/>
                <w:bCs/>
                <w:sz w:val="18"/>
                <w:szCs w:val="18"/>
              </w:rPr>
              <w:t>BS1</w:t>
            </w:r>
            <w:r>
              <w:rPr>
                <w:rFonts w:ascii="Times New Roman" w:hAnsi="Times New Roman" w:cs="Times New Roman"/>
                <w:sz w:val="18"/>
                <w:szCs w:val="18"/>
              </w:rPr>
              <w:t>: Population carrier (Allele frequency) is greater than disease incidence.</w:t>
            </w:r>
          </w:p>
          <w:p>
            <w:pPr>
              <w:rPr>
                <w:rFonts w:ascii="Times New Roman" w:hAnsi="Times New Roman" w:cs="Times New Roman"/>
                <w:sz w:val="18"/>
                <w:szCs w:val="18"/>
              </w:rPr>
            </w:pPr>
            <w:r>
              <w:rPr>
                <w:rFonts w:ascii="Times New Roman" w:hAnsi="Times New Roman" w:cs="Times New Roman"/>
                <w:b/>
                <w:bCs/>
                <w:sz w:val="18"/>
                <w:szCs w:val="18"/>
              </w:rPr>
              <w:t>BS2</w:t>
            </w:r>
            <w:r>
              <w:rPr>
                <w:rFonts w:ascii="Times New Roman" w:hAnsi="Times New Roman" w:cs="Times New Roman"/>
                <w:sz w:val="18"/>
                <w:szCs w:val="18"/>
              </w:rPr>
              <w:t>: For a disease that is fully penetrance at an early stage, the variant is found in healthy adults (pure for recessive diseases, heterozygous for dominant diseases, or X-linked hemizygous).</w:t>
            </w:r>
          </w:p>
          <w:p>
            <w:pPr>
              <w:rPr>
                <w:rFonts w:ascii="Times New Roman" w:hAnsi="Times New Roman" w:cs="Times New Roman"/>
                <w:sz w:val="18"/>
                <w:szCs w:val="18"/>
              </w:rPr>
            </w:pPr>
            <w:r>
              <w:rPr>
                <w:rFonts w:ascii="Times New Roman" w:hAnsi="Times New Roman" w:cs="Times New Roman"/>
                <w:b/>
                <w:bCs/>
                <w:sz w:val="18"/>
                <w:szCs w:val="18"/>
              </w:rPr>
              <w:t>BS3</w:t>
            </w:r>
            <w:r>
              <w:rPr>
                <w:rFonts w:ascii="Times New Roman" w:hAnsi="Times New Roman" w:cs="Times New Roman"/>
                <w:sz w:val="18"/>
                <w:szCs w:val="18"/>
              </w:rPr>
              <w:t>: Variations confirmed to have no effect on protein function and splicing in both in vitro and in vivo experiments.</w:t>
            </w:r>
          </w:p>
          <w:p>
            <w:pPr>
              <w:rPr>
                <w:rFonts w:ascii="Times New Roman" w:hAnsi="Times New Roman" w:cs="Times New Roman"/>
                <w:sz w:val="18"/>
                <w:szCs w:val="18"/>
              </w:rPr>
            </w:pPr>
            <w:r>
              <w:rPr>
                <w:rFonts w:ascii="Times New Roman" w:hAnsi="Times New Roman" w:cs="Times New Roman"/>
                <w:b/>
                <w:bCs/>
                <w:sz w:val="18"/>
                <w:szCs w:val="18"/>
              </w:rPr>
              <w:t>BS4</w:t>
            </w:r>
            <w:r>
              <w:rPr>
                <w:rFonts w:ascii="Times New Roman" w:hAnsi="Times New Roman" w:cs="Times New Roman"/>
                <w:sz w:val="18"/>
                <w:szCs w:val="18"/>
              </w:rPr>
              <w:t>: Lack of co-segregation among family members.</w:t>
            </w:r>
          </w:p>
          <w:p>
            <w:pPr>
              <w:rPr>
                <w:rFonts w:ascii="Times New Roman" w:hAnsi="Times New Roman" w:cs="Times New Roman"/>
                <w:sz w:val="18"/>
                <w:szCs w:val="18"/>
              </w:rPr>
            </w:pPr>
            <w:r>
              <w:rPr>
                <w:rFonts w:ascii="Times New Roman" w:hAnsi="Times New Roman" w:cs="Times New Roman"/>
                <w:sz w:val="18"/>
                <w:szCs w:val="18"/>
              </w:rPr>
              <w:t>Attention: This section needs to consider complex diseases and penetrance issues.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jc w:val="center"/>
              <w:rPr>
                <w:rFonts w:ascii="Times New Roman" w:hAnsi="Times New Roman" w:cs="Times New Roman"/>
                <w:sz w:val="18"/>
                <w:szCs w:val="18"/>
              </w:rPr>
            </w:pPr>
            <w:r>
              <w:rPr>
                <w:rFonts w:ascii="Times New Roman" w:hAnsi="Times New Roman" w:cs="Times New Roman"/>
                <w:b/>
                <w:bCs/>
                <w:color w:val="000000"/>
                <w:sz w:val="18"/>
                <w:szCs w:val="18"/>
              </w:rPr>
              <w:t>Supporting</w:t>
            </w:r>
          </w:p>
        </w:tc>
        <w:tc>
          <w:tcPr>
            <w:tcW w:w="4148" w:type="dxa"/>
          </w:tcPr>
          <w:p>
            <w:pPr>
              <w:rPr>
                <w:rFonts w:ascii="Times New Roman" w:hAnsi="Times New Roman" w:cs="Times New Roman"/>
                <w:sz w:val="18"/>
                <w:szCs w:val="18"/>
              </w:rPr>
            </w:pPr>
            <w:r>
              <w:rPr>
                <w:rFonts w:ascii="Times New Roman" w:hAnsi="Times New Roman" w:cs="Times New Roman"/>
                <w:b/>
                <w:bCs/>
                <w:sz w:val="18"/>
                <w:szCs w:val="18"/>
              </w:rPr>
              <w:t>BP1</w:t>
            </w:r>
            <w:r>
              <w:rPr>
                <w:rFonts w:ascii="Times New Roman" w:hAnsi="Times New Roman" w:cs="Times New Roman"/>
                <w:sz w:val="18"/>
                <w:szCs w:val="18"/>
              </w:rPr>
              <w:t>: A disease is known to be caused by a truncated variant of a gene found in the gene of a missense variant.</w:t>
            </w:r>
          </w:p>
          <w:p>
            <w:pPr>
              <w:rPr>
                <w:rFonts w:ascii="Times New Roman" w:hAnsi="Times New Roman" w:cs="Times New Roman"/>
                <w:sz w:val="18"/>
                <w:szCs w:val="18"/>
              </w:rPr>
            </w:pPr>
            <w:r>
              <w:rPr>
                <w:rFonts w:ascii="Times New Roman" w:hAnsi="Times New Roman" w:cs="Times New Roman"/>
                <w:b/>
                <w:bCs/>
                <w:sz w:val="18"/>
                <w:szCs w:val="18"/>
              </w:rPr>
              <w:t>BP2</w:t>
            </w:r>
            <w:r>
              <w:rPr>
                <w:rFonts w:ascii="Times New Roman" w:hAnsi="Times New Roman" w:cs="Times New Roman"/>
                <w:sz w:val="18"/>
                <w:szCs w:val="18"/>
              </w:rPr>
              <w:t xml:space="preserve">: For a fully penetrance dominantly inherited gene/disease, compound heterozygous disease-causing mutation loci are detected; Or, for any pattern of inheritance, a disease-causing mutation site </w:t>
            </w:r>
            <w:r>
              <w:rPr>
                <w:rFonts w:hint="eastAsia" w:ascii="Times New Roman" w:hAnsi="Times New Roman" w:cs="Times New Roman"/>
                <w:sz w:val="18"/>
                <w:szCs w:val="18"/>
                <w:lang w:val="en-US" w:eastAsia="zh-CN"/>
              </w:rPr>
              <w:t xml:space="preserve">is </w:t>
            </w:r>
            <w:r>
              <w:rPr>
                <w:rFonts w:ascii="Times New Roman" w:hAnsi="Times New Roman" w:cs="Times New Roman"/>
                <w:sz w:val="18"/>
                <w:szCs w:val="18"/>
              </w:rPr>
              <w:t>detected on the same chromosome.</w:t>
            </w:r>
          </w:p>
          <w:p>
            <w:pPr>
              <w:rPr>
                <w:rFonts w:ascii="Times New Roman" w:hAnsi="Times New Roman" w:cs="Times New Roman"/>
                <w:sz w:val="18"/>
                <w:szCs w:val="18"/>
              </w:rPr>
            </w:pPr>
            <w:r>
              <w:rPr>
                <w:rFonts w:ascii="Times New Roman" w:hAnsi="Times New Roman" w:cs="Times New Roman"/>
                <w:b/>
                <w:bCs/>
                <w:sz w:val="18"/>
                <w:szCs w:val="18"/>
              </w:rPr>
              <w:t>BP3</w:t>
            </w:r>
            <w:r>
              <w:rPr>
                <w:rFonts w:ascii="Times New Roman" w:hAnsi="Times New Roman" w:cs="Times New Roman"/>
                <w:sz w:val="18"/>
                <w:szCs w:val="18"/>
              </w:rPr>
              <w:t>: In-frame deletions/insertions on repeat regions of unknown defined function.</w:t>
            </w:r>
          </w:p>
          <w:p>
            <w:pPr>
              <w:rPr>
                <w:rFonts w:ascii="Times New Roman" w:hAnsi="Times New Roman" w:cs="Times New Roman"/>
                <w:sz w:val="18"/>
                <w:szCs w:val="18"/>
              </w:rPr>
            </w:pPr>
            <w:r>
              <w:rPr>
                <w:rFonts w:ascii="Times New Roman" w:hAnsi="Times New Roman" w:cs="Times New Roman"/>
                <w:b/>
                <w:bCs/>
                <w:sz w:val="18"/>
                <w:szCs w:val="18"/>
              </w:rPr>
              <w:t>BP4</w:t>
            </w:r>
            <w:r>
              <w:rPr>
                <w:rFonts w:ascii="Times New Roman" w:hAnsi="Times New Roman" w:cs="Times New Roman"/>
                <w:sz w:val="18"/>
                <w:szCs w:val="18"/>
              </w:rPr>
              <w:t>: Multilineage computational evidence showing no effect on genes or gene products (Conservative predictions, evolutionary predictions, splice site effects, etc.).</w:t>
            </w:r>
          </w:p>
          <w:p>
            <w:pPr>
              <w:rPr>
                <w:rFonts w:ascii="Times New Roman" w:hAnsi="Times New Roman" w:cs="Times New Roman"/>
                <w:sz w:val="18"/>
                <w:szCs w:val="18"/>
              </w:rPr>
            </w:pPr>
            <w:r>
              <w:rPr>
                <w:rFonts w:ascii="Times New Roman" w:hAnsi="Times New Roman" w:cs="Times New Roman"/>
                <w:sz w:val="18"/>
                <w:szCs w:val="18"/>
              </w:rPr>
              <w:t>Note: Because many bioinformatics algorithms use the same or very similar entries for prediction, each algorithm cannot be treated as an independent standard. BP4 can only be used once in the evaluation of any one mutation site.</w:t>
            </w:r>
          </w:p>
          <w:p>
            <w:pPr>
              <w:rPr>
                <w:rFonts w:ascii="Times New Roman" w:hAnsi="Times New Roman" w:cs="Times New Roman"/>
                <w:sz w:val="18"/>
                <w:szCs w:val="18"/>
              </w:rPr>
            </w:pPr>
            <w:r>
              <w:rPr>
                <w:rFonts w:ascii="Times New Roman" w:hAnsi="Times New Roman" w:cs="Times New Roman"/>
                <w:b/>
                <w:bCs/>
                <w:sz w:val="18"/>
                <w:szCs w:val="18"/>
              </w:rPr>
              <w:t>BP5</w:t>
            </w:r>
            <w:r>
              <w:rPr>
                <w:rFonts w:ascii="Times New Roman" w:hAnsi="Times New Roman" w:cs="Times New Roman"/>
                <w:sz w:val="18"/>
                <w:szCs w:val="18"/>
              </w:rPr>
              <w:t>: The variant found has an alternative molecular basis in disease.</w:t>
            </w:r>
          </w:p>
          <w:p>
            <w:pPr>
              <w:rPr>
                <w:rFonts w:ascii="Times New Roman" w:hAnsi="Times New Roman" w:cs="Times New Roman"/>
                <w:sz w:val="18"/>
                <w:szCs w:val="18"/>
              </w:rPr>
            </w:pPr>
            <w:r>
              <w:rPr>
                <w:rFonts w:ascii="Times New Roman" w:hAnsi="Times New Roman" w:cs="Times New Roman"/>
                <w:b/>
                <w:bCs/>
                <w:sz w:val="18"/>
                <w:szCs w:val="18"/>
              </w:rPr>
              <w:t>BP6</w:t>
            </w:r>
            <w:r>
              <w:rPr>
                <w:rFonts w:ascii="Times New Roman" w:hAnsi="Times New Roman" w:cs="Times New Roman"/>
                <w:sz w:val="18"/>
                <w:szCs w:val="18"/>
              </w:rPr>
              <w:t>: A report from a reliable source considers the variant to be benign, but the evidence is not yet sufficient to support a laboratory</w:t>
            </w:r>
            <w:r>
              <w:rPr>
                <w:rFonts w:hint="eastAsia" w:ascii="Times New Roman" w:hAnsi="Times New Roman" w:cs="Times New Roman"/>
                <w:sz w:val="18"/>
                <w:szCs w:val="18"/>
                <w:lang w:val="en-US" w:eastAsia="zh-CN"/>
              </w:rPr>
              <w:t>-</w:t>
            </w:r>
            <w:bookmarkStart w:id="0" w:name="_GoBack"/>
            <w:bookmarkEnd w:id="0"/>
            <w:r>
              <w:rPr>
                <w:rFonts w:ascii="Times New Roman" w:hAnsi="Times New Roman" w:cs="Times New Roman"/>
                <w:sz w:val="18"/>
                <w:szCs w:val="18"/>
              </w:rPr>
              <w:t>independent assessment.</w:t>
            </w:r>
          </w:p>
          <w:p>
            <w:pPr>
              <w:rPr>
                <w:rFonts w:ascii="Times New Roman" w:hAnsi="Times New Roman" w:cs="Times New Roman"/>
                <w:sz w:val="18"/>
                <w:szCs w:val="18"/>
              </w:rPr>
            </w:pPr>
            <w:r>
              <w:rPr>
                <w:rFonts w:ascii="Times New Roman" w:hAnsi="Times New Roman" w:cs="Times New Roman"/>
                <w:b/>
                <w:bCs/>
                <w:sz w:val="18"/>
                <w:szCs w:val="18"/>
              </w:rPr>
              <w:t>BP7</w:t>
            </w:r>
            <w:r>
              <w:rPr>
                <w:rFonts w:ascii="Times New Roman" w:hAnsi="Times New Roman" w:cs="Times New Roman"/>
                <w:sz w:val="18"/>
                <w:szCs w:val="18"/>
              </w:rPr>
              <w:t>: The variant is synonymous and predicted not to affect splicing, and the corresponding nucleotide is not highly conserved.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Times New Roman" w:hAnsi="Times New Roman" w:cs="Times New Roman"/>
                <w:b/>
                <w:bCs/>
                <w:sz w:val="18"/>
                <w:szCs w:val="18"/>
              </w:rPr>
            </w:pPr>
            <w:r>
              <w:rPr>
                <w:rFonts w:ascii="Times New Roman" w:hAnsi="Times New Roman" w:cs="Times New Roman"/>
                <w:b/>
                <w:bCs/>
                <w:sz w:val="18"/>
                <w:szCs w:val="18"/>
              </w:rPr>
              <w:t>Pathogenicity classification</w:t>
            </w:r>
          </w:p>
        </w:tc>
        <w:tc>
          <w:tcPr>
            <w:tcW w:w="4148" w:type="dxa"/>
          </w:tcPr>
          <w:p>
            <w:pPr>
              <w:jc w:val="center"/>
              <w:rPr>
                <w:rFonts w:ascii="Times New Roman" w:hAnsi="Times New Roman" w:cs="Times New Roman"/>
                <w:b/>
                <w:bCs/>
                <w:sz w:val="18"/>
                <w:szCs w:val="18"/>
              </w:rPr>
            </w:pPr>
            <w:r>
              <w:rPr>
                <w:rFonts w:ascii="Times New Roman" w:hAnsi="Times New Roman" w:cs="Times New Roman"/>
                <w:b/>
                <w:bCs/>
                <w:sz w:val="18"/>
                <w:szCs w:val="18"/>
              </w:rPr>
              <w:t>prerequisite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jc w:val="center"/>
              <w:rPr>
                <w:rFonts w:ascii="Times New Roman" w:hAnsi="Times New Roman" w:cs="Times New Roman"/>
                <w:sz w:val="18"/>
                <w:szCs w:val="18"/>
              </w:rPr>
            </w:pPr>
            <w:r>
              <w:rPr>
                <w:rFonts w:ascii="Times New Roman" w:hAnsi="Times New Roman" w:cs="Times New Roman"/>
                <w:b/>
                <w:bCs/>
                <w:color w:val="000000"/>
                <w:sz w:val="18"/>
                <w:szCs w:val="18"/>
              </w:rPr>
              <w:t>Pathogenic</w:t>
            </w:r>
          </w:p>
        </w:tc>
        <w:tc>
          <w:tcPr>
            <w:tcW w:w="4148" w:type="dxa"/>
          </w:tcPr>
          <w:p>
            <w:pPr>
              <w:rPr>
                <w:rFonts w:ascii="Times New Roman" w:hAnsi="Times New Roman" w:cs="Times New Roman"/>
                <w:sz w:val="18"/>
                <w:szCs w:val="18"/>
              </w:rPr>
            </w:pPr>
            <w:r>
              <w:rPr>
                <w:rFonts w:ascii="Times New Roman" w:hAnsi="Times New Roman" w:cs="Times New Roman"/>
                <w:sz w:val="18"/>
                <w:szCs w:val="18"/>
              </w:rPr>
              <w:t>(1) 1 very strong (PVS1) and</w:t>
            </w:r>
          </w:p>
          <w:p>
            <w:pPr>
              <w:ind w:firstLine="180" w:firstLineChars="100"/>
              <w:rPr>
                <w:rFonts w:ascii="Times New Roman" w:hAnsi="Times New Roman" w:cs="Times New Roman"/>
                <w:sz w:val="18"/>
                <w:szCs w:val="18"/>
              </w:rPr>
            </w:pPr>
            <w:r>
              <w:rPr>
                <w:rFonts w:ascii="Times New Roman" w:hAnsi="Times New Roman" w:cs="Times New Roman"/>
                <w:sz w:val="18"/>
                <w:szCs w:val="18"/>
              </w:rPr>
              <w:t>(a) ≥1 strong (PS1-PS4) or</w:t>
            </w:r>
          </w:p>
          <w:p>
            <w:pPr>
              <w:ind w:firstLine="180" w:firstLineChars="100"/>
              <w:rPr>
                <w:rFonts w:ascii="Times New Roman" w:hAnsi="Times New Roman" w:cs="Times New Roman"/>
                <w:sz w:val="18"/>
                <w:szCs w:val="18"/>
              </w:rPr>
            </w:pPr>
            <w:r>
              <w:rPr>
                <w:rFonts w:ascii="Times New Roman" w:hAnsi="Times New Roman" w:cs="Times New Roman"/>
                <w:sz w:val="18"/>
                <w:szCs w:val="18"/>
              </w:rPr>
              <w:t>(b) ≥2 moderate (PM1-PM6) or</w:t>
            </w:r>
          </w:p>
          <w:p>
            <w:pPr>
              <w:ind w:firstLine="180" w:firstLineChars="100"/>
              <w:rPr>
                <w:rFonts w:ascii="Times New Roman" w:hAnsi="Times New Roman" w:cs="Times New Roman"/>
                <w:sz w:val="18"/>
                <w:szCs w:val="18"/>
              </w:rPr>
            </w:pPr>
            <w:r>
              <w:rPr>
                <w:rFonts w:ascii="Times New Roman" w:hAnsi="Times New Roman" w:cs="Times New Roman"/>
                <w:sz w:val="18"/>
                <w:szCs w:val="18"/>
              </w:rPr>
              <w:t>(c) 1 moderate (PM1-PM6) and 1 supporting (PP1-PP5) or</w:t>
            </w:r>
          </w:p>
          <w:p>
            <w:pPr>
              <w:ind w:firstLine="180" w:firstLineChars="100"/>
              <w:rPr>
                <w:rFonts w:ascii="Times New Roman" w:hAnsi="Times New Roman" w:cs="Times New Roman"/>
                <w:sz w:val="18"/>
                <w:szCs w:val="18"/>
              </w:rPr>
            </w:pPr>
            <w:r>
              <w:rPr>
                <w:rFonts w:ascii="Times New Roman" w:hAnsi="Times New Roman" w:cs="Times New Roman"/>
                <w:sz w:val="18"/>
                <w:szCs w:val="18"/>
              </w:rPr>
              <w:t>(d) ≥2 supporting (PP1-PP5)</w:t>
            </w:r>
          </w:p>
          <w:p>
            <w:pPr>
              <w:rPr>
                <w:rFonts w:ascii="Times New Roman" w:hAnsi="Times New Roman" w:cs="Times New Roman"/>
                <w:sz w:val="18"/>
                <w:szCs w:val="18"/>
              </w:rPr>
            </w:pPr>
            <w:r>
              <w:rPr>
                <w:rFonts w:ascii="Times New Roman" w:hAnsi="Times New Roman" w:cs="Times New Roman"/>
                <w:sz w:val="18"/>
                <w:szCs w:val="18"/>
              </w:rPr>
              <w:t>(2) ≥2 strong (PS1-PS4) or</w:t>
            </w:r>
          </w:p>
          <w:p>
            <w:pPr>
              <w:rPr>
                <w:rFonts w:ascii="Times New Roman" w:hAnsi="Times New Roman" w:cs="Times New Roman"/>
                <w:sz w:val="18"/>
                <w:szCs w:val="18"/>
              </w:rPr>
            </w:pPr>
            <w:r>
              <w:rPr>
                <w:rFonts w:ascii="Times New Roman" w:hAnsi="Times New Roman" w:cs="Times New Roman"/>
                <w:sz w:val="18"/>
                <w:szCs w:val="18"/>
              </w:rPr>
              <w:t>(3) 1 strong (PS1) and</w:t>
            </w:r>
          </w:p>
          <w:p>
            <w:pPr>
              <w:ind w:firstLine="180" w:firstLineChars="100"/>
              <w:rPr>
                <w:rFonts w:ascii="Times New Roman" w:hAnsi="Times New Roman" w:cs="Times New Roman"/>
                <w:sz w:val="18"/>
                <w:szCs w:val="18"/>
              </w:rPr>
            </w:pPr>
            <w:r>
              <w:rPr>
                <w:rFonts w:ascii="Times New Roman" w:hAnsi="Times New Roman" w:cs="Times New Roman"/>
                <w:sz w:val="18"/>
                <w:szCs w:val="18"/>
              </w:rPr>
              <w:t>(a) ≥3 moderate (PM1-PM6) or</w:t>
            </w:r>
          </w:p>
          <w:p>
            <w:pPr>
              <w:ind w:firstLine="180" w:firstLineChars="100"/>
              <w:rPr>
                <w:rFonts w:ascii="Times New Roman" w:hAnsi="Times New Roman" w:cs="Times New Roman"/>
                <w:sz w:val="18"/>
                <w:szCs w:val="18"/>
              </w:rPr>
            </w:pPr>
            <w:r>
              <w:rPr>
                <w:rFonts w:ascii="Times New Roman" w:hAnsi="Times New Roman" w:cs="Times New Roman"/>
                <w:sz w:val="18"/>
                <w:szCs w:val="18"/>
              </w:rPr>
              <w:t>(b) 2 moderate (PM1-PM6) and ≥2 supporting (PP1-PP5) or</w:t>
            </w:r>
          </w:p>
          <w:p>
            <w:pPr>
              <w:ind w:firstLine="180" w:firstLineChars="100"/>
              <w:rPr>
                <w:rFonts w:ascii="Times New Roman" w:hAnsi="Times New Roman" w:cs="Times New Roman"/>
                <w:sz w:val="18"/>
                <w:szCs w:val="18"/>
              </w:rPr>
            </w:pPr>
            <w:r>
              <w:rPr>
                <w:rFonts w:ascii="Times New Roman" w:hAnsi="Times New Roman" w:cs="Times New Roman"/>
                <w:sz w:val="18"/>
                <w:szCs w:val="18"/>
              </w:rPr>
              <w:t>(c) 1 moderate (PM1-PM6) and ≥4 supporting (PP1-PP5)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widowControl/>
              <w:jc w:val="center"/>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Likely pathogenic</w:t>
            </w:r>
          </w:p>
        </w:tc>
        <w:tc>
          <w:tcPr>
            <w:tcW w:w="4148" w:type="dxa"/>
          </w:tcPr>
          <w:p>
            <w:pPr>
              <w:rPr>
                <w:rFonts w:ascii="Times New Roman" w:hAnsi="Times New Roman" w:cs="Times New Roman"/>
                <w:sz w:val="18"/>
                <w:szCs w:val="18"/>
              </w:rPr>
            </w:pPr>
            <w:r>
              <w:rPr>
                <w:rFonts w:ascii="Times New Roman" w:hAnsi="Times New Roman" w:cs="Times New Roman"/>
                <w:sz w:val="18"/>
                <w:szCs w:val="18"/>
              </w:rPr>
              <w:t>(1) 1 very strong (PVS1) and 1 moderate (PM1-PM6) or</w:t>
            </w:r>
          </w:p>
          <w:p>
            <w:pPr>
              <w:rPr>
                <w:rFonts w:ascii="Times New Roman" w:hAnsi="Times New Roman" w:cs="Times New Roman"/>
                <w:sz w:val="18"/>
                <w:szCs w:val="18"/>
              </w:rPr>
            </w:pPr>
            <w:r>
              <w:rPr>
                <w:rFonts w:ascii="Times New Roman" w:hAnsi="Times New Roman" w:cs="Times New Roman"/>
                <w:sz w:val="18"/>
                <w:szCs w:val="18"/>
              </w:rPr>
              <w:t>(2) 1 strong (PS1-PS4) and 1-2 moderate (PM1-PM6) or</w:t>
            </w:r>
          </w:p>
          <w:p>
            <w:pPr>
              <w:rPr>
                <w:rFonts w:ascii="Times New Roman" w:hAnsi="Times New Roman" w:cs="Times New Roman"/>
                <w:sz w:val="18"/>
                <w:szCs w:val="18"/>
              </w:rPr>
            </w:pPr>
            <w:r>
              <w:rPr>
                <w:rFonts w:ascii="Times New Roman" w:hAnsi="Times New Roman" w:cs="Times New Roman"/>
                <w:sz w:val="18"/>
                <w:szCs w:val="18"/>
              </w:rPr>
              <w:t>(3) 1 strong (PS1-PS4) and ≥2 supporting (PP1-PP5) or</w:t>
            </w:r>
          </w:p>
          <w:p>
            <w:pPr>
              <w:rPr>
                <w:rFonts w:ascii="Times New Roman" w:hAnsi="Times New Roman" w:cs="Times New Roman"/>
                <w:sz w:val="18"/>
                <w:szCs w:val="18"/>
              </w:rPr>
            </w:pPr>
            <w:r>
              <w:rPr>
                <w:rFonts w:ascii="Times New Roman" w:hAnsi="Times New Roman" w:cs="Times New Roman"/>
                <w:sz w:val="18"/>
                <w:szCs w:val="18"/>
              </w:rPr>
              <w:t>(4) ≥3 moderate (PM1-PM6) or</w:t>
            </w:r>
          </w:p>
          <w:p>
            <w:pPr>
              <w:rPr>
                <w:rFonts w:ascii="Times New Roman" w:hAnsi="Times New Roman" w:cs="Times New Roman"/>
                <w:sz w:val="18"/>
                <w:szCs w:val="18"/>
              </w:rPr>
            </w:pPr>
            <w:r>
              <w:rPr>
                <w:rFonts w:ascii="Times New Roman" w:hAnsi="Times New Roman" w:cs="Times New Roman"/>
                <w:sz w:val="18"/>
                <w:szCs w:val="18"/>
              </w:rPr>
              <w:t>(5) 2 moderate (PM1-PM6) and ≥2 supporting (PP1-PP5) or</w:t>
            </w:r>
          </w:p>
          <w:p>
            <w:pPr>
              <w:rPr>
                <w:rFonts w:ascii="Times New Roman" w:hAnsi="Times New Roman" w:cs="Times New Roman"/>
                <w:sz w:val="18"/>
                <w:szCs w:val="18"/>
              </w:rPr>
            </w:pPr>
            <w:r>
              <w:rPr>
                <w:rFonts w:ascii="Times New Roman" w:hAnsi="Times New Roman" w:cs="Times New Roman"/>
                <w:sz w:val="18"/>
                <w:szCs w:val="18"/>
              </w:rPr>
              <w:t>(6) 1 moderate (PM1-PM6) and ≥4 supporting (PP1-PP5)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jc w:val="center"/>
              <w:rPr>
                <w:rFonts w:ascii="Times New Roman" w:hAnsi="Times New Roman" w:cs="Times New Roman"/>
                <w:sz w:val="18"/>
                <w:szCs w:val="18"/>
              </w:rPr>
            </w:pPr>
            <w:r>
              <w:rPr>
                <w:rFonts w:ascii="Times New Roman" w:hAnsi="Times New Roman" w:cs="Times New Roman"/>
                <w:b/>
                <w:bCs/>
                <w:color w:val="000000"/>
                <w:sz w:val="18"/>
                <w:szCs w:val="18"/>
              </w:rPr>
              <w:t>Benign</w:t>
            </w:r>
          </w:p>
        </w:tc>
        <w:tc>
          <w:tcPr>
            <w:tcW w:w="4148" w:type="dxa"/>
          </w:tcPr>
          <w:p>
            <w:pPr>
              <w:rPr>
                <w:rFonts w:ascii="Times New Roman" w:hAnsi="Times New Roman" w:cs="Times New Roman"/>
                <w:sz w:val="18"/>
                <w:szCs w:val="18"/>
              </w:rPr>
            </w:pPr>
            <w:r>
              <w:rPr>
                <w:rFonts w:ascii="Times New Roman" w:hAnsi="Times New Roman" w:cs="Times New Roman"/>
                <w:sz w:val="18"/>
                <w:szCs w:val="18"/>
              </w:rPr>
              <w:t>(1) 1 Stand-alone (BA1) or</w:t>
            </w:r>
          </w:p>
          <w:p>
            <w:pPr>
              <w:rPr>
                <w:rFonts w:ascii="Times New Roman" w:hAnsi="Times New Roman" w:cs="Times New Roman"/>
                <w:sz w:val="18"/>
                <w:szCs w:val="18"/>
              </w:rPr>
            </w:pPr>
            <w:r>
              <w:rPr>
                <w:rFonts w:ascii="Times New Roman" w:hAnsi="Times New Roman" w:cs="Times New Roman"/>
                <w:sz w:val="18"/>
                <w:szCs w:val="18"/>
              </w:rPr>
              <w:t>(2) ≥2 strong (BS1-BS4)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jc w:val="center"/>
              <w:rPr>
                <w:rFonts w:ascii="Times New Roman" w:hAnsi="Times New Roman" w:cs="Times New Roman"/>
                <w:sz w:val="18"/>
                <w:szCs w:val="18"/>
              </w:rPr>
            </w:pPr>
            <w:r>
              <w:rPr>
                <w:rFonts w:ascii="Times New Roman" w:hAnsi="Times New Roman" w:cs="Times New Roman"/>
                <w:b/>
                <w:bCs/>
                <w:color w:val="000000"/>
                <w:sz w:val="18"/>
                <w:szCs w:val="18"/>
              </w:rPr>
              <w:t>Likely benign</w:t>
            </w:r>
          </w:p>
        </w:tc>
        <w:tc>
          <w:tcPr>
            <w:tcW w:w="4148" w:type="dxa"/>
          </w:tcPr>
          <w:p>
            <w:pPr>
              <w:rPr>
                <w:rFonts w:ascii="Times New Roman" w:hAnsi="Times New Roman" w:cs="Times New Roman"/>
                <w:sz w:val="18"/>
                <w:szCs w:val="18"/>
              </w:rPr>
            </w:pPr>
            <w:r>
              <w:rPr>
                <w:rFonts w:ascii="Times New Roman" w:hAnsi="Times New Roman" w:cs="Times New Roman"/>
                <w:sz w:val="18"/>
                <w:szCs w:val="18"/>
              </w:rPr>
              <w:t>(1) 1 strong (BS1-BS4) and 1 supporting (BP1-BP7) or</w:t>
            </w:r>
          </w:p>
          <w:p>
            <w:pPr>
              <w:rPr>
                <w:rFonts w:ascii="Times New Roman" w:hAnsi="Times New Roman" w:cs="Times New Roman"/>
                <w:sz w:val="18"/>
                <w:szCs w:val="18"/>
              </w:rPr>
            </w:pPr>
            <w:r>
              <w:rPr>
                <w:rFonts w:ascii="Times New Roman" w:hAnsi="Times New Roman" w:cs="Times New Roman"/>
                <w:sz w:val="18"/>
                <w:szCs w:val="18"/>
              </w:rPr>
              <w:t>(2) ≥2 supporting (BP1-BP7)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widowControl/>
              <w:jc w:val="center"/>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Uncertain significance</w:t>
            </w:r>
          </w:p>
        </w:tc>
        <w:tc>
          <w:tcPr>
            <w:tcW w:w="4148" w:type="dxa"/>
          </w:tcPr>
          <w:p>
            <w:pPr>
              <w:rPr>
                <w:rFonts w:ascii="Times New Roman" w:hAnsi="Times New Roman" w:cs="Times New Roman"/>
                <w:sz w:val="18"/>
                <w:szCs w:val="18"/>
              </w:rPr>
            </w:pPr>
            <w:r>
              <w:rPr>
                <w:rFonts w:ascii="Times New Roman" w:hAnsi="Times New Roman" w:cs="Times New Roman"/>
                <w:sz w:val="18"/>
                <w:szCs w:val="18"/>
              </w:rPr>
              <w:t>(1) Failure to meet the above criteria or</w:t>
            </w:r>
          </w:p>
          <w:p>
            <w:pPr>
              <w:rPr>
                <w:rFonts w:ascii="Times New Roman" w:hAnsi="Times New Roman" w:cs="Times New Roman"/>
                <w:sz w:val="18"/>
                <w:szCs w:val="18"/>
              </w:rPr>
            </w:pPr>
            <w:r>
              <w:rPr>
                <w:rFonts w:ascii="Times New Roman" w:hAnsi="Times New Roman" w:cs="Times New Roman"/>
                <w:sz w:val="18"/>
                <w:szCs w:val="18"/>
              </w:rPr>
              <w:t>(2) Conflicting criteria for benign and pathogenicity</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5ZmYxMjM4OTEwMmQxZDNlMjUwODAyYjRmZDFhNGEifQ=="/>
  </w:docVars>
  <w:rsids>
    <w:rsidRoot w:val="00951619"/>
    <w:rsid w:val="000B47CC"/>
    <w:rsid w:val="000F3431"/>
    <w:rsid w:val="00122473"/>
    <w:rsid w:val="00133AC5"/>
    <w:rsid w:val="00153563"/>
    <w:rsid w:val="00230492"/>
    <w:rsid w:val="00354B1F"/>
    <w:rsid w:val="003E112D"/>
    <w:rsid w:val="004511B4"/>
    <w:rsid w:val="004678A8"/>
    <w:rsid w:val="004B7682"/>
    <w:rsid w:val="005C6F7B"/>
    <w:rsid w:val="006A3921"/>
    <w:rsid w:val="006C0854"/>
    <w:rsid w:val="006E594B"/>
    <w:rsid w:val="00716CDA"/>
    <w:rsid w:val="00721123"/>
    <w:rsid w:val="00744351"/>
    <w:rsid w:val="00760001"/>
    <w:rsid w:val="00762D9C"/>
    <w:rsid w:val="00902B80"/>
    <w:rsid w:val="00951619"/>
    <w:rsid w:val="00A75FC2"/>
    <w:rsid w:val="00B83EB5"/>
    <w:rsid w:val="00BF2AD3"/>
    <w:rsid w:val="00CB38E7"/>
    <w:rsid w:val="00CE53AE"/>
    <w:rsid w:val="00D425BC"/>
    <w:rsid w:val="00D86B51"/>
    <w:rsid w:val="00D94965"/>
    <w:rsid w:val="00E004A0"/>
    <w:rsid w:val="00E90EA5"/>
    <w:rsid w:val="00F520F8"/>
    <w:rsid w:val="00FC1E3B"/>
    <w:rsid w:val="00FF6A55"/>
    <w:rsid w:val="04CF28E8"/>
    <w:rsid w:val="170D11CC"/>
    <w:rsid w:val="1FAD2A59"/>
    <w:rsid w:val="392E6561"/>
    <w:rsid w:val="3A456558"/>
    <w:rsid w:val="4665558C"/>
    <w:rsid w:val="70925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DBFCB-0F3F-44B6-A6DB-01F0D3BB94F7}">
  <ds:schemaRefs/>
</ds:datastoreItem>
</file>

<file path=docProps/app.xml><?xml version="1.0" encoding="utf-8"?>
<Properties xmlns="http://schemas.openxmlformats.org/officeDocument/2006/extended-properties" xmlns:vt="http://schemas.openxmlformats.org/officeDocument/2006/docPropsVTypes">
  <Template>Normal</Template>
  <Pages>4</Pages>
  <Words>1029</Words>
  <Characters>5868</Characters>
  <Lines>48</Lines>
  <Paragraphs>13</Paragraphs>
  <TotalTime>88</TotalTime>
  <ScaleCrop>false</ScaleCrop>
  <LinksUpToDate>false</LinksUpToDate>
  <CharactersWithSpaces>6884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2023-12-05T09:53:00Z</dcterms:created>
  <dc:creator>cyj102243@163.com</dc:creator>
  <cp:lastModifiedBy>WPS_1672895185</cp:lastModifiedBy>
  <dcterms:modified xsi:type="dcterms:W3CDTF">2023-12-14T09:42:59Z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D5D232F8C2F5418EA9F04113891F1ABF_12</vt:lpwstr>
  </property>
</Properties>
</file>