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1"/>
          <w:szCs w:val="21"/>
          <w:lang w:val="en-US" w:eastAsia="zh-CN"/>
        </w:rPr>
        <w:t xml:space="preserve">Supplementary Material </w:t>
      </w:r>
      <w:r>
        <w:rPr>
          <w:rFonts w:hint="eastAsia" w:ascii="Times New Roman Bold" w:hAnsi="Times New Roman Bold" w:cs="Times New Roman Bold"/>
          <w:b/>
          <w:bCs/>
          <w:sz w:val="21"/>
          <w:szCs w:val="21"/>
          <w:lang w:val="en-US" w:eastAsia="zh-CN"/>
        </w:rPr>
        <w:t>1</w:t>
      </w:r>
      <w:r>
        <w:rPr>
          <w:rFonts w:hint="default" w:ascii="Times New Roman Bold" w:hAnsi="Times New Roman Bold" w:cs="Times New Roman Bold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 Plasmid information constructed in this experiment.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67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104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Primer sequence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6" w:hRule="atLeast"/>
        </w:trPr>
        <w:tc>
          <w:tcPr>
            <w:tcW w:w="10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NR2F1-WT-F</w:t>
            </w:r>
          </w:p>
        </w:tc>
        <w:tc>
          <w:tcPr>
            <w:tcW w:w="39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AAGGATGACGATGACAAGCTT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ATGGCAATGGTAGTTAGCAGCTG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6" w:hRule="atLeast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NR2F1-WT-R</w:t>
            </w:r>
          </w:p>
        </w:tc>
        <w:tc>
          <w:tcPr>
            <w:tcW w:w="3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TGCTGGATATCTGCAGAATTC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CTAGGAGCACTGGATGGACATGT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6" w:hRule="atLeast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NR2F1-MUT-F</w:t>
            </w:r>
          </w:p>
        </w:tc>
        <w:tc>
          <w:tcPr>
            <w:tcW w:w="3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AAGGATGACGATGACAAGCTT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ATGGCAATGGTAGTTAGCAGCTG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6" w:hRule="atLeast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NR2F1-MUT-R</w:t>
            </w:r>
          </w:p>
        </w:tc>
        <w:tc>
          <w:tcPr>
            <w:tcW w:w="3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TGCTGGATATCTGCAGAATTC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CTAGGAGCACTGGATGGACATGT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6" w:hRule="atLeast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NR2F1-MUT-T-R</w:t>
            </w:r>
          </w:p>
        </w:tc>
        <w:tc>
          <w:tcPr>
            <w:tcW w:w="3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CCTCtTGCCCACTTTGAGGCACTTCTTGAGGC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6" w:hRule="atLeast"/>
        </w:trPr>
        <w:tc>
          <w:tcPr>
            <w:tcW w:w="104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NR2F1-MUT-T-F</w:t>
            </w:r>
          </w:p>
        </w:tc>
        <w:tc>
          <w:tcPr>
            <w:tcW w:w="395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7F8F8"/>
                <w:lang w:val="en-US" w:eastAsia="zh-CN" w:bidi="ar"/>
              </w:rPr>
              <w:t>TCAAAGTGGGCAAGAGGCGGGAAGCGGTTCAG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eastAsia="宋体" w:cs="Times New Roman Regular"/>
          <w:b/>
          <w:sz w:val="21"/>
          <w:szCs w:val="21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 Regular" w:hAnsi="Times New Roman Regular" w:cs="Times New Roman Regular"/>
          <w:sz w:val="21"/>
          <w:szCs w:val="21"/>
        </w:rPr>
      </w:pPr>
      <w:r>
        <w:drawing>
          <wp:inline distT="0" distB="0" distL="114300" distR="114300">
            <wp:extent cx="2382520" cy="2167255"/>
            <wp:effectExtent l="0" t="0" r="5080" b="171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67000" cy="2244090"/>
            <wp:effectExtent l="0" t="0" r="0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Figure. Cloning vector: pECMV-3×FLAG-N; Cloning sites: HindIII/EcoRI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(On the left is an empty plasmid).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</w:rPr>
        <w:drawing>
          <wp:inline distT="0" distB="0" distL="114300" distR="114300">
            <wp:extent cx="5269230" cy="2143760"/>
            <wp:effectExtent l="0" t="0" r="13970" b="152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Figure. Result of the plasmid Sanger sequencing.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Supplementary Material 2.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 Sequencing data filtering strategy and related parameters in this study.</w:t>
      </w:r>
      <w:r>
        <w:rPr>
          <w:rFonts w:hint="default" w:ascii="Times New Roman Regular" w:hAnsi="Times New Roman Regular" w:cs="Times New Roman Regular"/>
          <w:sz w:val="21"/>
          <w:szCs w:val="21"/>
        </w:rPr>
        <w:drawing>
          <wp:inline distT="0" distB="0" distL="114300" distR="114300">
            <wp:extent cx="5266690" cy="2117725"/>
            <wp:effectExtent l="0" t="0" r="16510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Figure. Funnel diagram of variation data filtering strategy.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 xml:space="preserve">Supplementary Material </w:t>
      </w:r>
      <w:r>
        <w:rPr>
          <w:rFonts w:hint="eastAsia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3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NR2F1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 gene variants associated with BBSOAS as reported in the literatures.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919"/>
        <w:gridCol w:w="2064"/>
        <w:gridCol w:w="918"/>
        <w:gridCol w:w="1203"/>
        <w:gridCol w:w="6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0" w:hRule="atLeast"/>
        </w:trPr>
        <w:tc>
          <w:tcPr>
            <w:tcW w:w="81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</w:t>
            </w:r>
          </w:p>
        </w:tc>
        <w:tc>
          <w:tcPr>
            <w:tcW w:w="291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DNA variant (NM_005654.4)</w:t>
            </w:r>
          </w:p>
        </w:tc>
        <w:tc>
          <w:tcPr>
            <w:tcW w:w="206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Amino acid variant</w:t>
            </w:r>
          </w:p>
        </w:tc>
        <w:tc>
          <w:tcPr>
            <w:tcW w:w="9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Domain</w:t>
            </w:r>
          </w:p>
        </w:tc>
        <w:tc>
          <w:tcPr>
            <w:tcW w:w="120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Inheritance</w:t>
            </w:r>
          </w:p>
        </w:tc>
        <w:tc>
          <w:tcPr>
            <w:tcW w:w="60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91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c.339C&gt;A</w:t>
            </w:r>
          </w:p>
        </w:tc>
        <w:tc>
          <w:tcPr>
            <w:tcW w:w="20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p.Ser113Arg</w:t>
            </w:r>
          </w:p>
        </w:tc>
        <w:tc>
          <w:tcPr>
            <w:tcW w:w="91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c.344G&gt;C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p.Arg115Pro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c.755T&gt;C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p.Leu252Pro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c.335G&gt;A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p.Arg112Lys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c.403C&gt;A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p.Arg135Ser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c.425G&gt;T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p.Arg142Leu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c.2T&gt;G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c.328_330del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p.Phe110del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c.382T&gt;C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p.Cys128Arg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c.2T&gt;G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c.463G&gt;A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p.Ala155*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c.436T&gt;C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p.Cys146Arg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c.413G&gt;A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p.Cys138Tyr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c.1103G&gt;A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p.Gly368Asp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c.291delC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p.His79Hisfs*22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c.103_113delinCGCCGCCGC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p.Gly35Argfs*361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c.2_4delinTGG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c.1115T&gt;C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p.Leu372Pro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[3]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c.257G&gt;T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p.Cys86Phe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[3]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c.403C&gt;T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p.Arg135Cys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[4]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c.286A&gt;G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p.Lys96Glu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c.513C&gt;G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p.Tyr171*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[6]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c.425G&gt;A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p.Arg142His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c.2T&gt;C; p.M1?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c.729_730delinsCT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p.Gln244*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c.115G&gt;T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p.Glu39*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c.292T&gt;C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p.Tyr98His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c.967_968delAA; p.Ly 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p.Lys323Serfs*73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c.1080del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p.Asn362Thrfs*33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[8]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c.82C&gt;T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p.Gln28*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[9]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c.253G&gt;T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p.Glu85*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[10]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c.313G&gt;A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p.Gly105Ser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c.313G&gt;A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p.Gly105Ser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c.256T&gt;C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p.Cys86Arg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c.262 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p.Val88Met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c.284G&gt;T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p.Gly95Val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c.290A&gt;C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p.His97Pro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c.293A&gt;G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p.Tyr98Cys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c.311A&gt;G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p.Glu104Gly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c.323G&gt;T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p.Ser108Ile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c.365G&gt;C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p.Cys122Ser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c.417A&gt;T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p.Gln139His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c.1A&gt;G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c.380dupA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p.Asn127Lysfs*270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c.1117C&gt;T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p.Arg373*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c.931G&gt;C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p.Ala311Pro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c.954G&gt;C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p.Glu318Asp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c.1217T&gt;C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p.Met406*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c.602C &gt; 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p.Ser201*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[13]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c.2T&gt;C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p.Met1?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[14]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c.4delG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p.Ala2Glnfs*3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c.51_69dup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p.Asn24Glyfs*379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c.91_93dupCGC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p.Arg31dup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c.115G&gt;T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p.Glu39*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"javascript:;" \o "javascript:;" </w:instrTex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  <w:t>c.290A&gt;C</w: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p.His97Pro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"javascript:;" \o "javascript:;" </w:instrTex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  <w:t>c.353T&gt;G</w: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p.Leu118*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c.359dupA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p.Tyr120*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c.366C&gt;G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p.Cys122Trp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"javascript:;" \o "javascript:;" </w:instrTex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  <w:t>c.463G&gt;A</w: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p.Ala155Thr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c.513G&gt;C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p.Tyr171*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c.599C&gt;G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p.Thr200Arg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c.698G&gt;A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p.Trp233*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c.1024G&gt;A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p.Glu342Lys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c.1036_1047del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p.Glu346_Gln349del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"javascript:;" \o "javascript:;" </w:instrTex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  <w:t>c.1115T&gt;C</w:t>
            </w: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p.Leu372Pro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c.1118_1123del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p.Arg373_Leu374del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c.1183G&gt;A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p.Gly395Ser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c.1198G&gt;T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p.Glu400*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c.437G&gt;A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p.Cys146Tyr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[16]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AdvOT569473da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AdvOT569473da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c.257-258delinsTT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p.Cys86Phe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AdvOT569473da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AdvOT569473da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c.403C &gt; 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p.Arg135Gly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AdvOT569473da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AdvOT569473da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c.383G &gt; 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p.Cys128Tyr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c.1065C&gt;G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p.Tyr355*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LBD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mosaicism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[18]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c.169C&gt;T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p.Gln57*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mosaicism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[19]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~2.85Mb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~0.83Mb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~0.9Mb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~5.0Mb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~0.2Mb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~0.9Mb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~1.2Mb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~7.94Mb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[3]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~2.33Mb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~0.93Mb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[12]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~599kb deletion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[15]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8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29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~0.582Mb deletion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Germline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微软雅黑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[20]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Abbreviations: DBD, </w:t>
      </w:r>
      <w:r>
        <w:rPr>
          <w:rFonts w:hint="default" w:ascii="Times New Roman Regular" w:hAnsi="Times New Roman Regular" w:cs="Times New Roman Regular"/>
          <w:sz w:val="21"/>
          <w:szCs w:val="21"/>
        </w:rPr>
        <w:t>DNA-binding domain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LBD, </w:t>
      </w:r>
      <w:r>
        <w:rPr>
          <w:rFonts w:hint="default" w:ascii="Times New Roman Regular" w:hAnsi="Times New Roman Regular" w:cs="Times New Roman Regular"/>
          <w:sz w:val="21"/>
          <w:szCs w:val="21"/>
        </w:rPr>
        <w:t>ligand-binding domain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References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Bosch DG, Boonstra FN, Gonzaga-Jauregui C, et al. NR2F1 mutations cause optic atrophy with intellectual disability.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Am J Hum Genet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2014;94(2):303-9.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Chen CA, Bosch DG, Cho MT, et al. The expanding clinical phenotype of Bosch-Boonstra-Schaaf optic atrophy syndrome: 20 new cases and possible genotype-phenotype correlations.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 xml:space="preserve"> Genet Med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2016;18(11):1143-1150.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Kaiwar C, Zimmermann MT, Ferber MJ, et al. Novel NR2F1 variants likely disrupt DNA binding: molecular modeling in two cases, review of published cases, genotype-phenotype correlation, and phenotypic expansion of the Bosch-Boonstra-Schaaf optic atrophy syndrome.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Cold Spring Harb Mol Case Stud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2017;3(6):a002162.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Hino-Fukuyo N, Kikuchi A, Yokoyama H, et al. Long-term outcome of a 26-year-old woman with West syndrome and an nuclear receptor subfamily 2 group F member 1 gene (NR2F1) mutation.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Seizure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2017;50:144-146.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Martín-Hernández E, Rodríguez-García ME, Chen CA, et al. Mitochondrial involvement in a Bosch-Boonstra-Schaaf optic atrophy syndrome patient with a novel de novo NR2F1 gene mutation.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J Hum Genet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2018;63(4):525-528.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Park SE, Lee JS, Lee ST, et al. Targeted panel sequencing identifies a novel NR2F1 mutations in a patient with Bosch-Boonstra-Schaaf optic atrophy syndrome.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Ophthalmic Genet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2019;40(4):359-361.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Bertacchi M, Romano AL, Loubat A, et al. NR2F1 regulates regional progenitor dynamics in the mouse neocortex and cortical gyrification in BBSOAS patients.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EMBO J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2020;39(13):e104163.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Walsh S, Gösswein SS, Rump A, et al. Novel dominant-negative NR2F1 frameshift mutation and a phenotypic expansion of the Bosch-Boonstra-Schaaf optic atrophy syndrome.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Eur J Med Genet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2020;63(10):104019.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Bojanek EK, Mosconi MW, Guter S, et al. Clinical and neurocognitive issues associated with Bosch-Boonstra-Schaaf optic atrophy syndrome: A case study.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Am J Med Genet A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2020;182(1):213-218.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Hobbs MM, Wolters WC, Rayapati AO. Bosch-Boonstra-Schaaf Optic Atrophy Syndrome Presenting as New-Onset Psychosis in a 32-Year-Old Man: A Case Report and Literature Review.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J Psychiatr Pract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2020;26(1):58-62.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Mio C, Fogolari F, Pezzoli L, et al. Missense NR2F1 variant in monozygotic twins affected with the Bosch-Boonstra-Schaaf optic atrophy syndrome.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Mol Genet Genomic Med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2020;8(7):e1278.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Rech ME, McCarthy JM, Chen CA, et al. Phenotypic expansion of Bosch-Boonstra-Schaaf optic atrophy syndrome and further evidence for genotype-phenotype correlations.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Am J Med Genet A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2020;182(6):1426-1437.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Zou W, Cheng L, Lu S, et al. A de novo nonsense mutation in the N-terminal of ligand-binding domain of NR2F1 gene provoked a milder phenotype of BBSOAS.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Ophthalmic Genet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2020;41(1):88-89.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Gazdagh G, Mawby R, Self JE, et al. A severe case of Bosch-Boonstra-Schaaf optic atrophy syndrome with a novel description of coloboma and septo-optic dysplasia, owing to a start codon variant in the NR2F1 gene.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Am J Med Genet A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2022;188(3):900-906.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Jurkute N, Bertacchi M, Arno G, et al. Pathogenic NR2F1 variants cause a developmental ocular phenotype recapitulated in a mutant mouse model.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Brain Commun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2021;3(3):fcab162.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Kocaaga A, Yimenicioglu S, Gürsoy HH. Novel NR2F1 variant identified by whole-exome sequencing in a patient with Bosch-Boonstra-Schaaf optic atrophy syndrome.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Indian J Ophthalmol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2022;70(7):2762-2764.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Liang Y, Wan L, Liu X, et al. Infantile epileptic spasm syndrome as a new NR2F1 gene phenotype.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Int J Dev Neurosci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2024;84(1):75-83.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van Renterghem V, Vilain C, Devriendt K, et al. Two siblings with Bosch-Boonstra-Schaaf optic atrophy syndrome due to parental gonadal mosaicism.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Eur J Med Genet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2023;66(4):104729.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Hrvatin N, Pereza N, Čaljkušić-Mance T, et al. Second Case of Gonadal Mosaicism and a Novel Nonsense NR2F1 Gene Variant as the Cause of Bosch-Boonstra-Schaaf Optic Atrophy Syndrome.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Clin Genet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. 2024;106(6):786-787.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Al-Kateb H, Shimony JS, Vineyard M, et al. NR2F1 haploinsufficiency is associated with optic atrophy, dysmorphism and global developmental delay. </w:t>
      </w:r>
      <w:r>
        <w:rPr>
          <w:rFonts w:hint="default" w:ascii="Times New Roman Regular" w:hAnsi="Times New Roman Regular" w:cs="Times New Roman Regular"/>
          <w:i/>
          <w:iCs/>
          <w:sz w:val="21"/>
          <w:szCs w:val="21"/>
          <w:lang w:val="en-US" w:eastAsia="zh-CN"/>
        </w:rPr>
        <w:t>Am J Med Genet A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. 2013;161A(2):377-81.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dvOT569473d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6B5540"/>
    <w:multiLevelType w:val="singleLevel"/>
    <w:tmpl w:val="6E6B554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8531C"/>
    <w:rsid w:val="1FBF60AD"/>
    <w:rsid w:val="267914B3"/>
    <w:rsid w:val="333EEE8C"/>
    <w:rsid w:val="33BB12DC"/>
    <w:rsid w:val="33FFCE12"/>
    <w:rsid w:val="39CE4F7B"/>
    <w:rsid w:val="39FB1373"/>
    <w:rsid w:val="3B571FE2"/>
    <w:rsid w:val="3F7D1378"/>
    <w:rsid w:val="3FBD639A"/>
    <w:rsid w:val="3FFB3C27"/>
    <w:rsid w:val="3FFEC2E0"/>
    <w:rsid w:val="497EE855"/>
    <w:rsid w:val="4CDFC99B"/>
    <w:rsid w:val="4E7F5BDA"/>
    <w:rsid w:val="55BF8286"/>
    <w:rsid w:val="5C433E15"/>
    <w:rsid w:val="5DA8531C"/>
    <w:rsid w:val="5ED70212"/>
    <w:rsid w:val="5EE5D290"/>
    <w:rsid w:val="5EFE8C46"/>
    <w:rsid w:val="5F331E35"/>
    <w:rsid w:val="5FEF2EC0"/>
    <w:rsid w:val="5FF7F8E0"/>
    <w:rsid w:val="659BA031"/>
    <w:rsid w:val="67FD15E4"/>
    <w:rsid w:val="6ABB54F8"/>
    <w:rsid w:val="6AFBA16A"/>
    <w:rsid w:val="6FFBF76C"/>
    <w:rsid w:val="738FE7B2"/>
    <w:rsid w:val="749819A6"/>
    <w:rsid w:val="74D7E6D0"/>
    <w:rsid w:val="75F3D033"/>
    <w:rsid w:val="75F708EA"/>
    <w:rsid w:val="777758CE"/>
    <w:rsid w:val="77E564F8"/>
    <w:rsid w:val="787D1DB1"/>
    <w:rsid w:val="79FE1AF2"/>
    <w:rsid w:val="7A3DE5B6"/>
    <w:rsid w:val="7BEFDF77"/>
    <w:rsid w:val="7C6DB645"/>
    <w:rsid w:val="7DE78882"/>
    <w:rsid w:val="7DF7FC2D"/>
    <w:rsid w:val="7EBF7118"/>
    <w:rsid w:val="7EE783AD"/>
    <w:rsid w:val="7EFBFA3F"/>
    <w:rsid w:val="7EFF6EB6"/>
    <w:rsid w:val="7F4BAF90"/>
    <w:rsid w:val="7F751CCD"/>
    <w:rsid w:val="7F7785EB"/>
    <w:rsid w:val="7F7EED74"/>
    <w:rsid w:val="7FA9CF4B"/>
    <w:rsid w:val="7FAED234"/>
    <w:rsid w:val="7FF78665"/>
    <w:rsid w:val="7FFBB4BB"/>
    <w:rsid w:val="7FFD1642"/>
    <w:rsid w:val="7FFDE957"/>
    <w:rsid w:val="7FFF2376"/>
    <w:rsid w:val="7FFFC32F"/>
    <w:rsid w:val="93F82175"/>
    <w:rsid w:val="9BBD7073"/>
    <w:rsid w:val="9F7F91AF"/>
    <w:rsid w:val="9F7FBCAF"/>
    <w:rsid w:val="9FEA8C6E"/>
    <w:rsid w:val="A8FCC6E0"/>
    <w:rsid w:val="AF4D99C2"/>
    <w:rsid w:val="B6F7A87C"/>
    <w:rsid w:val="BE7F6CE2"/>
    <w:rsid w:val="BE7F8CEF"/>
    <w:rsid w:val="BF7C9C94"/>
    <w:rsid w:val="BF9FEBE3"/>
    <w:rsid w:val="BFDDA768"/>
    <w:rsid w:val="BFDFF92C"/>
    <w:rsid w:val="BFF7E57A"/>
    <w:rsid w:val="BFFF224C"/>
    <w:rsid w:val="D6BF3077"/>
    <w:rsid w:val="D7FB4E96"/>
    <w:rsid w:val="D9D368D2"/>
    <w:rsid w:val="DBD1B26E"/>
    <w:rsid w:val="DCDEDDEC"/>
    <w:rsid w:val="DCDFCA46"/>
    <w:rsid w:val="DF5CC5D7"/>
    <w:rsid w:val="DFDA60A8"/>
    <w:rsid w:val="DFE7EB48"/>
    <w:rsid w:val="DFEC6A9A"/>
    <w:rsid w:val="DFFBCD37"/>
    <w:rsid w:val="DFFF2B44"/>
    <w:rsid w:val="E4DF28BE"/>
    <w:rsid w:val="EEDF6BDD"/>
    <w:rsid w:val="EEF78F7D"/>
    <w:rsid w:val="F2756C25"/>
    <w:rsid w:val="F3F14A15"/>
    <w:rsid w:val="F74F6129"/>
    <w:rsid w:val="F977B32B"/>
    <w:rsid w:val="F9F75CA7"/>
    <w:rsid w:val="FA5F8AE7"/>
    <w:rsid w:val="FBAF3833"/>
    <w:rsid w:val="FBDBEEE7"/>
    <w:rsid w:val="FBDC21E6"/>
    <w:rsid w:val="FBEF8C5B"/>
    <w:rsid w:val="FE6B57C2"/>
    <w:rsid w:val="FEA3A245"/>
    <w:rsid w:val="FEBBDFBC"/>
    <w:rsid w:val="FEDF8A2C"/>
    <w:rsid w:val="FEF394AF"/>
    <w:rsid w:val="FF3D8BF6"/>
    <w:rsid w:val="FF6E8F48"/>
    <w:rsid w:val="FF8BAE7A"/>
    <w:rsid w:val="FFC5C6BD"/>
    <w:rsid w:val="FFEFA4AA"/>
    <w:rsid w:val="FFEFB763"/>
    <w:rsid w:val="FFF101C0"/>
    <w:rsid w:val="FFFC9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31"/>
    <w:basedOn w:val="4"/>
    <w:qFormat/>
    <w:uiPriority w:val="0"/>
    <w:rPr>
      <w:rFonts w:hint="default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7">
    <w:name w:val="font21"/>
    <w:basedOn w:val="4"/>
    <w:qFormat/>
    <w:uiPriority w:val="0"/>
    <w:rPr>
      <w:rFonts w:hint="default" w:ascii="微软雅黑" w:hAnsi="微软雅黑" w:eastAsia="微软雅黑" w:cs="微软雅黑"/>
      <w:color w:val="231F20"/>
      <w:sz w:val="16"/>
      <w:szCs w:val="16"/>
      <w:u w:val="none"/>
    </w:rPr>
  </w:style>
  <w:style w:type="character" w:customStyle="1" w:styleId="8">
    <w:name w:val="font71"/>
    <w:basedOn w:val="4"/>
    <w:qFormat/>
    <w:uiPriority w:val="0"/>
    <w:rPr>
      <w:rFonts w:ascii="Arial" w:hAnsi="Arial" w:cs="Arial"/>
      <w:color w:val="231F2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2025-02-06T18:21:00Z</dcterms:created>
  <dc:creator>author3</dc:creator>
  <cp:lastModifiedBy>author3</cp:lastModifiedBy>
  <dcterms:modified xsi:type="dcterms:W3CDTF">2025-02-10T12:16:23Z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5375967FEA59295243CBA26735151023_41</vt:lpwstr>
  </property>
</Properties>
</file>