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F127BC">
      <w:pPr>
        <w:rPr>
          <w:rFonts w:eastAsia="Times New Roman"/>
          <w:b/>
          <w:sz w:val="20"/>
          <w:szCs w:val="20"/>
          <w:lang w:eastAsia="en-GB"/>
        </w:rPr>
      </w:pPr>
      <w:r>
        <w:rPr>
          <w:rFonts w:eastAsia="Times New Roman"/>
          <w:b/>
          <w:sz w:val="20"/>
          <w:szCs w:val="20"/>
          <w:lang w:eastAsia="en-GB"/>
        </w:rPr>
        <w:t>STROBE-MR checklist of recommended items to address in reports of Mendelian randomization studies</w:t>
      </w:r>
      <w:r>
        <w:rPr>
          <w:rFonts w:eastAsia="Times New Roman"/>
          <w:b/>
          <w:sz w:val="20"/>
          <w:szCs w:val="20"/>
          <w:lang w:eastAsia="en-GB"/>
        </w:rPr>
        <w:fldChar w:fldCharType="begin" w:fldLock="1"/>
      </w:r>
      <w:r>
        <w:rPr>
          <w:rFonts w:eastAsia="Times New Roman"/>
          <w:b/>
          <w:sz w:val="20"/>
          <w:szCs w:val="20"/>
          <w:lang w:eastAsia="en-GB"/>
        </w:rPr>
        <w:instrText xml:space="preserve">ADDIN CSL_CITATION {"citationItems":[{"id":"ITEM-1","itemData":{"author":[{"dropping-particle":"","family":"Skrivankova","given":"V W","non-dropping-particle":"","parse-names":false,"suffix":""},{"dropping-particle":"","family":"Richmond","given":"R C","non-dropping-particle":"","parse-names":false,"suffix":""},{"dropping-particle":"","family":"Woolf","given":"B A R","non-dropping-particle":"","parse-names":false,"suffix":""},{"dropping-particle":"","family":"Yarmolinsky","given":"J","non-dropping-particle":"","parse-names":false,"suffix":""},{"dropping-particle":"","family":"Davies","given":"N M","non-dropping-particle":"","parse-names":false,"suffix":""},{"dropping-particle":"","family":"Swanson","given":"S A","non-dropping-particle":"","parse-names":false,"suffix":""},{"dropping-particle":"","family":"VanderWeele","given":"T J","non-dropping-particle":"","parse-names":false,"suffix":""},{"dropping-particle":"","family":"Higgins","given":"J P H","non-dropping-particle":"","parse-names":false,"suffix":""},{"dropping-particle":"","family":"Timpson","given":"N J","non-dropping-particle":"","parse-names":false,"suffix":""},{"dropping-particle":"","family":"Dimou","given":"N","non-dropping-particle":"","parse-names":false,"suffix":""},{"dropping-particle":"","family":"Langenberg","given":"C","non-dropping-particle":"","parse-names":false,"suffix":""},{"dropping-particle":"","family":"Loder","given":"E W","non-dropping-particle":"","parse-names":false,"suffix":""},{"dropping-particle":"","family":"Golub","given":"R","non-dropping-particle":"","parse-names":false,"suffix":""},{"dropping-particle":"","family":"Gallo","given":"V","non-dropping-particle":"","parse-names":false,"suffix":""},{"dropping-particle":"","family":"Tybjaerg-Hansen","given":"A","non-dropping-particle":"","parse-names":false,"suffix":""},{"dropping-particle":"","family":"Davey Smith","given":"G","non-dropping-particle":"","parse-names":false,"suffix":""},{"dropping-particle":"","family":"Egger","given":"M","non-dropping-particle":"","parse-names":false,"suffix":""},{"dropping-particle":"","family":"Richards","given":"J B","non-dropping-particle":"","parse-names":false,"suffix":""}],"container-title":"JAMA","id":"ITEM-1","issued":{"date-parts":[["2021"]]},"page":"under review","title":"Strengthening the Reporting of Observational Studies in Epidemiology using Mendelian Randomization (STROBE-MR) Statement","type":"article-journal"},"uris":["http://www.mendeley.com/documents/?uuid=29dd9aa2-14fd-450b-83fb-4c6b74b75061"]}],"mendeley":{"formattedCitation":"&lt;sup&gt;1&lt;/sup&gt;","plainTextFormattedCitation":"1"},"properties":{"noteIndex":0},"schema":"https://github.com/citation-style-language/schema/raw/master/csl-citation.json"}</w:instrText>
      </w:r>
      <w:r>
        <w:rPr>
          <w:rFonts w:eastAsia="Times New Roman"/>
          <w:b/>
          <w:sz w:val="20"/>
          <w:szCs w:val="20"/>
          <w:lang w:eastAsia="en-GB"/>
        </w:rPr>
        <w:fldChar w:fldCharType="separate"/>
      </w:r>
      <w:r>
        <w:rPr>
          <w:rFonts w:eastAsia="Times New Roman"/>
          <w:sz w:val="20"/>
          <w:szCs w:val="20"/>
          <w:vertAlign w:val="superscript"/>
          <w:lang w:eastAsia="en-GB"/>
        </w:rPr>
        <w:t>1</w:t>
      </w:r>
      <w:r>
        <w:rPr>
          <w:rFonts w:eastAsia="Times New Roman"/>
          <w:b/>
          <w:sz w:val="20"/>
          <w:szCs w:val="20"/>
          <w:lang w:eastAsia="en-GB"/>
        </w:rPr>
        <w:fldChar w:fldCharType="end"/>
      </w:r>
      <w:r>
        <w:rPr>
          <w:rFonts w:eastAsia="Times New Roman"/>
          <w:b/>
          <w:sz w:val="20"/>
          <w:szCs w:val="20"/>
          <w:lang w:eastAsia="en-GB"/>
        </w:rPr>
        <w:t xml:space="preserve"> </w:t>
      </w:r>
      <w:r>
        <w:rPr>
          <w:rFonts w:eastAsia="Times New Roman"/>
          <w:b/>
          <w:sz w:val="20"/>
          <w:szCs w:val="20"/>
          <w:lang w:eastAsia="en-GB"/>
        </w:rPr>
        <w:fldChar w:fldCharType="begin" w:fldLock="1"/>
      </w:r>
      <w:r>
        <w:rPr>
          <w:rFonts w:eastAsia="Times New Roman"/>
          <w:b/>
          <w:sz w:val="20"/>
          <w:szCs w:val="20"/>
          <w:lang w:eastAsia="en-GB"/>
        </w:rPr>
        <w:instrText xml:space="preserve">ADDIN CSL_CITATION {"citationItems":[{"id":"ITEM-1","itemData":{"author":[{"dropping-particle":"","family":"Skrivankova","given":"Veronika W","non-dropping-particle":"","parse-names":false,"suffix":""},{"dropping-particle":"","family":"Richmond","given":"Rebecca C","non-dropping-particle":"","parse-names":false,"suffix":""},{"dropping-particle":"","family":"Woolf","given":"Benjamin A R","non-dropping-particle":"","parse-names":false,"suffix":""},{"dropping-particle":"","family":"Davies","given":"Neil M","non-dropping-particle":"","parse-names":false,"suffix":""},{"dropping-particle":"","family":"Swanson","given":"Sonja A","non-dropping-particle":"","parse-names":false,"suffix":""},{"dropping-particle":"","family":"VanderWeele","given":"Tyler J","non-dropping-particle":"","parse-names":false,"suffix":""},{"dropping-particle":"","family":"Timpson","given":"Nicholas J","non-dropping-particle":"","parse-names":false,"suffix":""},{"dropping-particle":"","family":"Higgins","given":"Julian P T","non-dropping-particle":"","parse-names":false,"suffix":""},{"dropping-particle":"","family":"Dimou","given":"Niki","non-dropping-particle":"","parse-names":false,"suffix":""},{"dropping-particle":"","family":"Langenberg","given":"Claudia","non-dropping-particle":"","parse-names":false,"suffix":""},{"dropping-particle":"","family":"Loder","given":"Elizabeth W","non-dropping-particle":"","parse-names":false,"suffix":""},{"dropping-particle":"","family":"Golub","given":"Robert M","non-dropping-particle":"","parse-names":false,"suffix":""},{"dropping-particle":"","family":"Egger","given":"Mathias","non-dropping-particle":"","parse-names":false,"suffix":""},{"dropping-particle":"","family":"Davey Smith","given":"George","non-dropping-particle":"","parse-names":false,"suffix":""},{"dropping-particle":"","family":"Richards","given":"J Brent","non-dropping-particle":"","parse-names":false,"suffix":""}],"container-title":"BMJ","id":"ITEM-1","issued":{"date-parts":[["2021"]]},"title":"Strengthening the Reporting of Observational Studies in Epidemiology using Mendelian Randomisation (STROBE-MR): Explanation and Elaboration","type":"article-journal","volume":"375:n2233"},"uris":["http://www.mendeley.com/documents/?uuid=af64eb33-5308-4d72-bd7e-6fe0d8fe3570"]}],"mendeley":{"formattedCitation":"&lt;sup&gt;2&lt;/sup&gt;","plainTextFormattedCitation":"2","previouslyFormattedCitation":"&lt;sup&gt;1&lt;/sup&gt;"},"properties":{"noteIndex":0},"schema":"https://github.com/citation-style-language/schema/raw/master/csl-citation.json"}</w:instrText>
      </w:r>
      <w:r>
        <w:rPr>
          <w:rFonts w:eastAsia="Times New Roman"/>
          <w:b/>
          <w:sz w:val="20"/>
          <w:szCs w:val="20"/>
          <w:lang w:eastAsia="en-GB"/>
        </w:rPr>
        <w:fldChar w:fldCharType="separate"/>
      </w:r>
      <w:r>
        <w:rPr>
          <w:rFonts w:eastAsia="Times New Roman"/>
          <w:sz w:val="20"/>
          <w:szCs w:val="20"/>
          <w:vertAlign w:val="superscript"/>
          <w:lang w:eastAsia="en-GB"/>
        </w:rPr>
        <w:t>2</w:t>
      </w:r>
      <w:r>
        <w:rPr>
          <w:rFonts w:eastAsia="Times New Roman"/>
          <w:b/>
          <w:sz w:val="20"/>
          <w:szCs w:val="20"/>
          <w:lang w:eastAsia="en-GB"/>
        </w:rPr>
        <w:fldChar w:fldCharType="end"/>
      </w:r>
      <w:r>
        <w:rPr>
          <w:rFonts w:eastAsia="Times New Roman"/>
          <w:b/>
          <w:sz w:val="20"/>
          <w:szCs w:val="20"/>
          <w:lang w:eastAsia="en-GB"/>
        </w:rPr>
        <w:t> </w:t>
      </w:r>
    </w:p>
    <w:p w14:paraId="5FBE2412">
      <w:pPr>
        <w:rPr>
          <w:rFonts w:eastAsia="Times New Roman"/>
          <w:b/>
          <w:sz w:val="20"/>
          <w:szCs w:val="20"/>
          <w:lang w:eastAsia="en-GB"/>
        </w:rPr>
      </w:pPr>
    </w:p>
    <w:tbl>
      <w:tblPr>
        <w:tblStyle w:val="4"/>
        <w:tblW w:w="14490" w:type="dxa"/>
        <w:tblInd w:w="0" w:type="dxa"/>
        <w:tblLayout w:type="autofit"/>
        <w:tblCellMar>
          <w:top w:w="0" w:type="dxa"/>
          <w:left w:w="108" w:type="dxa"/>
          <w:bottom w:w="0" w:type="dxa"/>
          <w:right w:w="108" w:type="dxa"/>
        </w:tblCellMar>
      </w:tblPr>
      <w:tblGrid>
        <w:gridCol w:w="587"/>
        <w:gridCol w:w="1822"/>
        <w:gridCol w:w="7036"/>
        <w:gridCol w:w="727"/>
        <w:gridCol w:w="4318"/>
      </w:tblGrid>
      <w:tr w14:paraId="29B69C89">
        <w:tblPrEx>
          <w:tblCellMar>
            <w:top w:w="0" w:type="dxa"/>
            <w:left w:w="108" w:type="dxa"/>
            <w:bottom w:w="0" w:type="dxa"/>
            <w:right w:w="108" w:type="dxa"/>
          </w:tblCellMar>
        </w:tblPrEx>
        <w:tc>
          <w:tcPr>
            <w:tcW w:w="587" w:type="dxa"/>
            <w:tcBorders>
              <w:top w:val="single" w:color="auto" w:sz="4" w:space="0"/>
              <w:bottom w:val="single" w:color="7F7F7F" w:sz="6" w:space="0"/>
            </w:tcBorders>
            <w:shd w:val="clear" w:color="auto" w:fill="auto"/>
          </w:tcPr>
          <w:p w14:paraId="5D8DBF9B">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Item No.</w:t>
            </w:r>
          </w:p>
        </w:tc>
        <w:tc>
          <w:tcPr>
            <w:tcW w:w="1822" w:type="dxa"/>
            <w:tcBorders>
              <w:top w:val="single" w:color="auto" w:sz="4" w:space="0"/>
              <w:bottom w:val="single" w:color="7F7F7F" w:sz="6" w:space="0"/>
            </w:tcBorders>
            <w:shd w:val="clear" w:color="auto" w:fill="auto"/>
          </w:tcPr>
          <w:p w14:paraId="230BB12E">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Section</w:t>
            </w:r>
          </w:p>
        </w:tc>
        <w:tc>
          <w:tcPr>
            <w:tcW w:w="7041" w:type="dxa"/>
            <w:tcBorders>
              <w:top w:val="single" w:color="auto" w:sz="4" w:space="0"/>
              <w:bottom w:val="single" w:color="7F7F7F" w:sz="6" w:space="0"/>
            </w:tcBorders>
            <w:shd w:val="clear" w:color="auto" w:fill="auto"/>
          </w:tcPr>
          <w:p w14:paraId="0FD296B2">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 xml:space="preserve">Checklist item </w:t>
            </w:r>
          </w:p>
        </w:tc>
        <w:tc>
          <w:tcPr>
            <w:tcW w:w="720" w:type="dxa"/>
            <w:tcBorders>
              <w:top w:val="single" w:color="auto" w:sz="4" w:space="0"/>
              <w:bottom w:val="single" w:color="7F7F7F" w:sz="6" w:space="0"/>
            </w:tcBorders>
          </w:tcPr>
          <w:p w14:paraId="138F0651">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Page No.</w:t>
            </w:r>
          </w:p>
        </w:tc>
        <w:tc>
          <w:tcPr>
            <w:tcW w:w="4320" w:type="dxa"/>
            <w:tcBorders>
              <w:top w:val="single" w:color="auto" w:sz="4" w:space="0"/>
              <w:bottom w:val="single" w:color="7F7F7F" w:sz="6" w:space="0"/>
            </w:tcBorders>
          </w:tcPr>
          <w:p w14:paraId="6EAEF8A4">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Relevant text from manuscript</w:t>
            </w:r>
          </w:p>
        </w:tc>
      </w:tr>
      <w:tr w14:paraId="79D0C8F7">
        <w:tblPrEx>
          <w:tblCellMar>
            <w:top w:w="0" w:type="dxa"/>
            <w:left w:w="108" w:type="dxa"/>
            <w:bottom w:w="0" w:type="dxa"/>
            <w:right w:w="108" w:type="dxa"/>
          </w:tblCellMar>
        </w:tblPrEx>
        <w:tc>
          <w:tcPr>
            <w:tcW w:w="587" w:type="dxa"/>
            <w:tcBorders>
              <w:top w:val="single" w:color="7F7F7F" w:sz="6" w:space="0"/>
              <w:bottom w:val="single" w:color="7F7F7F" w:sz="6" w:space="0"/>
            </w:tcBorders>
            <w:shd w:val="clear" w:color="auto" w:fill="EEEEEE"/>
          </w:tcPr>
          <w:p w14:paraId="4F6F1033">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w:t>
            </w:r>
          </w:p>
        </w:tc>
        <w:tc>
          <w:tcPr>
            <w:tcW w:w="1822" w:type="dxa"/>
            <w:tcBorders>
              <w:top w:val="single" w:color="7F7F7F" w:sz="6" w:space="0"/>
              <w:bottom w:val="single" w:color="7F7F7F" w:sz="6" w:space="0"/>
            </w:tcBorders>
            <w:shd w:val="clear" w:color="auto" w:fill="EEEEEE"/>
          </w:tcPr>
          <w:p w14:paraId="70E92359">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TITLE and ABSTRACT</w:t>
            </w:r>
          </w:p>
        </w:tc>
        <w:tc>
          <w:tcPr>
            <w:tcW w:w="7041" w:type="dxa"/>
            <w:tcBorders>
              <w:top w:val="single" w:color="7F7F7F" w:sz="6" w:space="0"/>
              <w:bottom w:val="single" w:color="7F7F7F" w:sz="6" w:space="0"/>
            </w:tcBorders>
            <w:shd w:val="clear" w:color="auto" w:fill="EEEEEE"/>
          </w:tcPr>
          <w:p w14:paraId="227C0FEA">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Indicate Mendelian randomization (MR) as the study’s design in the title and/or the abstract if that is a main purpose of the study</w:t>
            </w:r>
          </w:p>
        </w:tc>
        <w:tc>
          <w:tcPr>
            <w:tcW w:w="720" w:type="dxa"/>
            <w:tcBorders>
              <w:top w:val="single" w:color="7F7F7F" w:sz="6" w:space="0"/>
              <w:bottom w:val="single" w:color="7F7F7F" w:sz="6" w:space="0"/>
            </w:tcBorders>
            <w:shd w:val="clear" w:color="auto" w:fill="EEEEEE"/>
          </w:tcPr>
          <w:p w14:paraId="77B922F3">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1-2</w:t>
            </w:r>
          </w:p>
        </w:tc>
        <w:tc>
          <w:tcPr>
            <w:tcW w:w="4320" w:type="dxa"/>
            <w:tcBorders>
              <w:top w:val="single" w:color="7F7F7F" w:sz="6" w:space="0"/>
              <w:bottom w:val="single" w:color="7F7F7F" w:sz="6" w:space="0"/>
            </w:tcBorders>
            <w:shd w:val="clear" w:color="auto" w:fill="EEEEEE"/>
          </w:tcPr>
          <w:p w14:paraId="4D8E5B00">
            <w:pPr>
              <w:keepNext w:val="0"/>
              <w:keepLines w:val="0"/>
              <w:pageBreakBefore w:val="0"/>
              <w:kinsoku/>
              <w:wordWrap/>
              <w:overflowPunct/>
              <w:topLinePunct w:val="0"/>
              <w:autoSpaceDE/>
              <w:autoSpaceDN/>
              <w:bidi w:val="0"/>
              <w:adjustRightInd w:val="0"/>
              <w:snapToGrid w:val="0"/>
              <w:spacing w:line="480" w:lineRule="auto"/>
              <w:textAlignment w:val="auto"/>
              <w:rPr>
                <w:rFonts w:ascii="Times New Roman" w:hAnsi="Times New Roman" w:eastAsia="Cambria" w:cs="Times New Roman"/>
                <w:b/>
                <w:bCs/>
                <w:color w:val="212121"/>
                <w:sz w:val="28"/>
                <w:szCs w:val="28"/>
                <w:shd w:val="clear" w:color="auto" w:fill="FFFFFF"/>
              </w:rPr>
            </w:pPr>
            <w:r>
              <w:rPr>
                <w:rFonts w:hint="eastAsia" w:eastAsia="宋体"/>
                <w:sz w:val="18"/>
                <w:szCs w:val="18"/>
                <w:lang w:val="en-US" w:eastAsia="zh-CN"/>
              </w:rPr>
              <w:t xml:space="preserve">Title: </w:t>
            </w:r>
            <w:r>
              <w:rPr>
                <w:rFonts w:hint="eastAsia" w:ascii="Arial" w:hAnsi="Arial" w:eastAsia="宋体" w:cs="Arial"/>
                <w:sz w:val="18"/>
                <w:szCs w:val="18"/>
                <w:lang w:val="en-US" w:eastAsia="zh-CN"/>
              </w:rPr>
              <w:t>The blood metabolite butyrylcarnitine predicts the risk of tumorigenesis risk and promotes the development of head and neck cancer</w:t>
            </w:r>
          </w:p>
          <w:p w14:paraId="634352C6">
            <w:pPr>
              <w:spacing w:before="96" w:beforeLines="40" w:after="96" w:afterLines="40" w:line="24" w:lineRule="atLeast"/>
              <w:rPr>
                <w:rFonts w:hint="default" w:eastAsia="宋体"/>
                <w:sz w:val="18"/>
                <w:szCs w:val="18"/>
                <w:lang w:val="en-US" w:eastAsia="zh-CN"/>
              </w:rPr>
            </w:pPr>
            <w:r>
              <w:rPr>
                <w:rFonts w:hint="eastAsia" w:ascii="Arial" w:hAnsi="Arial" w:eastAsia="宋体" w:cs="Arial"/>
                <w:sz w:val="18"/>
                <w:szCs w:val="18"/>
                <w:lang w:val="en-US" w:eastAsia="zh-CN"/>
              </w:rPr>
              <w:t>Abstract: Methods</w:t>
            </w:r>
          </w:p>
        </w:tc>
      </w:tr>
      <w:tr w14:paraId="6C472B4D">
        <w:tblPrEx>
          <w:tblCellMar>
            <w:top w:w="0" w:type="dxa"/>
            <w:left w:w="108" w:type="dxa"/>
            <w:bottom w:w="0" w:type="dxa"/>
            <w:right w:w="108" w:type="dxa"/>
          </w:tblCellMar>
        </w:tblPrEx>
        <w:tc>
          <w:tcPr>
            <w:tcW w:w="587" w:type="dxa"/>
            <w:tcBorders>
              <w:top w:val="single" w:color="7F7F7F" w:sz="6" w:space="0"/>
            </w:tcBorders>
            <w:shd w:val="clear" w:color="auto" w:fill="auto"/>
          </w:tcPr>
          <w:p w14:paraId="5AF4D399">
            <w:pPr>
              <w:spacing w:before="96" w:beforeLines="40" w:after="96" w:afterLines="40" w:line="24" w:lineRule="atLeast"/>
              <w:rPr>
                <w:rFonts w:eastAsia="Times New Roman"/>
                <w:b/>
                <w:bCs/>
                <w:sz w:val="18"/>
                <w:szCs w:val="18"/>
                <w:lang w:val="en-GB" w:eastAsia="en-GB"/>
              </w:rPr>
            </w:pPr>
          </w:p>
        </w:tc>
        <w:tc>
          <w:tcPr>
            <w:tcW w:w="1822" w:type="dxa"/>
            <w:tcBorders>
              <w:top w:val="single" w:color="7F7F7F" w:sz="6" w:space="0"/>
            </w:tcBorders>
            <w:shd w:val="clear" w:color="auto" w:fill="auto"/>
          </w:tcPr>
          <w:p w14:paraId="7BE531DC">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INTRODUCTION</w:t>
            </w:r>
          </w:p>
        </w:tc>
        <w:tc>
          <w:tcPr>
            <w:tcW w:w="7041" w:type="dxa"/>
            <w:tcBorders>
              <w:top w:val="single" w:color="7F7F7F" w:sz="6" w:space="0"/>
            </w:tcBorders>
            <w:shd w:val="clear" w:color="auto" w:fill="auto"/>
          </w:tcPr>
          <w:p w14:paraId="715F52F6">
            <w:pPr>
              <w:spacing w:before="96" w:beforeLines="40" w:after="96" w:afterLines="40" w:line="24" w:lineRule="atLeast"/>
              <w:rPr>
                <w:rFonts w:eastAsia="Cambria"/>
                <w:sz w:val="18"/>
                <w:szCs w:val="18"/>
                <w:lang w:val="en-GB" w:eastAsia="en-US"/>
              </w:rPr>
            </w:pPr>
          </w:p>
        </w:tc>
        <w:tc>
          <w:tcPr>
            <w:tcW w:w="720" w:type="dxa"/>
            <w:tcBorders>
              <w:top w:val="single" w:color="7F7F7F" w:sz="6" w:space="0"/>
            </w:tcBorders>
          </w:tcPr>
          <w:p w14:paraId="43CE33C8">
            <w:pPr>
              <w:spacing w:before="96" w:beforeLines="40" w:after="96" w:afterLines="40" w:line="24" w:lineRule="atLeast"/>
              <w:rPr>
                <w:rFonts w:eastAsia="Cambria"/>
                <w:sz w:val="18"/>
                <w:szCs w:val="18"/>
                <w:lang w:val="en-GB" w:eastAsia="en-US"/>
              </w:rPr>
            </w:pPr>
          </w:p>
        </w:tc>
        <w:tc>
          <w:tcPr>
            <w:tcW w:w="4320" w:type="dxa"/>
            <w:tcBorders>
              <w:top w:val="single" w:color="7F7F7F" w:sz="6" w:space="0"/>
            </w:tcBorders>
          </w:tcPr>
          <w:p w14:paraId="1D35285C">
            <w:pPr>
              <w:spacing w:before="96" w:beforeLines="40" w:after="96" w:afterLines="40" w:line="24" w:lineRule="atLeast"/>
              <w:rPr>
                <w:rFonts w:eastAsia="Cambria"/>
                <w:sz w:val="18"/>
                <w:szCs w:val="18"/>
                <w:lang w:val="en-GB" w:eastAsia="en-US"/>
              </w:rPr>
            </w:pPr>
          </w:p>
        </w:tc>
      </w:tr>
      <w:tr w14:paraId="35676820">
        <w:tblPrEx>
          <w:tblCellMar>
            <w:top w:w="0" w:type="dxa"/>
            <w:left w:w="108" w:type="dxa"/>
            <w:bottom w:w="0" w:type="dxa"/>
            <w:right w:w="108" w:type="dxa"/>
          </w:tblCellMar>
        </w:tblPrEx>
        <w:tc>
          <w:tcPr>
            <w:tcW w:w="587" w:type="dxa"/>
            <w:shd w:val="clear" w:color="auto" w:fill="EEEEEE"/>
          </w:tcPr>
          <w:p w14:paraId="6E3F4198">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2</w:t>
            </w:r>
          </w:p>
        </w:tc>
        <w:tc>
          <w:tcPr>
            <w:tcW w:w="1822" w:type="dxa"/>
            <w:shd w:val="clear" w:color="auto" w:fill="EEEEEE"/>
          </w:tcPr>
          <w:p w14:paraId="36EDE74C">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Background</w:t>
            </w:r>
          </w:p>
        </w:tc>
        <w:tc>
          <w:tcPr>
            <w:tcW w:w="7041" w:type="dxa"/>
            <w:shd w:val="clear" w:color="auto" w:fill="EEEEEE"/>
          </w:tcPr>
          <w:p w14:paraId="1B037A7F">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Explain the scientific background and rationale for the reported study. What is the exposure? Is a potential causal relationship between exposure and outcome plausible? Justify why MR is a helpful method to address the study question</w:t>
            </w:r>
          </w:p>
        </w:tc>
        <w:tc>
          <w:tcPr>
            <w:tcW w:w="720" w:type="dxa"/>
            <w:shd w:val="clear" w:color="auto" w:fill="EEEEEE"/>
          </w:tcPr>
          <w:p w14:paraId="5EE488E2">
            <w:pPr>
              <w:spacing w:before="96" w:beforeLines="40" w:after="96" w:afterLines="40" w:line="24" w:lineRule="atLeast"/>
              <w:rPr>
                <w:rFonts w:hint="default" w:ascii="Arial" w:hAnsi="Arial" w:eastAsia="Times New Roman" w:cs="Arial"/>
                <w:sz w:val="18"/>
                <w:szCs w:val="18"/>
                <w:lang w:val="en-US" w:eastAsia="zh-CN"/>
              </w:rPr>
            </w:pPr>
            <w:r>
              <w:rPr>
                <w:rFonts w:hint="eastAsia" w:ascii="Arial" w:hAnsi="Arial" w:eastAsia="Times New Roman" w:cs="Arial"/>
                <w:sz w:val="18"/>
                <w:szCs w:val="18"/>
                <w:lang w:val="en-US" w:eastAsia="zh-CN"/>
              </w:rPr>
              <w:t>3-4</w:t>
            </w:r>
          </w:p>
        </w:tc>
        <w:tc>
          <w:tcPr>
            <w:tcW w:w="4320" w:type="dxa"/>
            <w:shd w:val="clear" w:color="auto" w:fill="EEEEEE"/>
          </w:tcPr>
          <w:p w14:paraId="30FB43F1">
            <w:pPr>
              <w:spacing w:before="96" w:beforeLines="40" w:after="96" w:afterLines="40" w:line="24" w:lineRule="atLeast"/>
              <w:rPr>
                <w:rFonts w:hint="eastAsia" w:ascii="Arial" w:hAnsi="Arial" w:eastAsia="Times New Roman" w:cs="Arial"/>
                <w:sz w:val="18"/>
                <w:szCs w:val="18"/>
                <w:lang w:val="en-GB" w:eastAsia="en-GB"/>
              </w:rPr>
            </w:pPr>
            <w:r>
              <w:rPr>
                <w:rFonts w:hint="eastAsia" w:ascii="Arial" w:hAnsi="Arial" w:eastAsia="Times New Roman" w:cs="Arial"/>
                <w:sz w:val="18"/>
                <w:szCs w:val="18"/>
                <w:lang w:val="en-GB" w:eastAsia="en-GB"/>
              </w:rPr>
              <w:t xml:space="preserve">In order to investigate the causality of human blood metabolites (exposure) on the risk of </w:t>
            </w:r>
            <w:r>
              <w:rPr>
                <w:rFonts w:hint="eastAsia" w:eastAsia="宋体" w:cs="Arial"/>
                <w:sz w:val="18"/>
                <w:szCs w:val="18"/>
                <w:lang w:val="en-US" w:eastAsia="zh-CN"/>
              </w:rPr>
              <w:t>HN</w:t>
            </w:r>
            <w:r>
              <w:rPr>
                <w:rFonts w:hint="eastAsia" w:ascii="Arial" w:hAnsi="Arial" w:eastAsia="Times New Roman" w:cs="Arial"/>
                <w:sz w:val="18"/>
                <w:szCs w:val="18"/>
                <w:lang w:val="en-GB" w:eastAsia="en-GB"/>
              </w:rPr>
              <w:t>C (outcome), we conducted a two-sample MR analysis.</w:t>
            </w:r>
          </w:p>
          <w:p w14:paraId="726C4A63">
            <w:pPr>
              <w:spacing w:before="96" w:beforeLines="40" w:after="96" w:afterLines="40" w:line="24" w:lineRule="atLeast"/>
              <w:rPr>
                <w:rFonts w:hint="eastAsia" w:ascii="Arial" w:hAnsi="Arial" w:eastAsia="Times New Roman" w:cs="Arial"/>
                <w:sz w:val="18"/>
                <w:szCs w:val="18"/>
                <w:lang w:val="en-GB" w:eastAsia="en-GB"/>
              </w:rPr>
            </w:pPr>
            <w:r>
              <w:rPr>
                <w:rFonts w:hint="eastAsia" w:ascii="Arial" w:hAnsi="Arial" w:eastAsia="Times New Roman" w:cs="Arial"/>
                <w:sz w:val="18"/>
                <w:szCs w:val="18"/>
                <w:lang w:val="en-GB" w:eastAsia="en-GB"/>
              </w:rPr>
              <w:t xml:space="preserve">Recently, studies on blood metabolites have provided numerous biomarkers and established reliable prediction models for predicting the occurrence of tumors, such as cancers of the breast, prostate, kidney, and so on. However, little is known about the causality of blood metabolites and </w:t>
            </w:r>
            <w:r>
              <w:rPr>
                <w:rFonts w:hint="eastAsia" w:eastAsia="宋体" w:cs="Arial"/>
                <w:sz w:val="18"/>
                <w:szCs w:val="18"/>
                <w:lang w:val="en-US" w:eastAsia="zh-CN"/>
              </w:rPr>
              <w:t>HN</w:t>
            </w:r>
            <w:r>
              <w:rPr>
                <w:rFonts w:hint="eastAsia" w:ascii="Arial" w:hAnsi="Arial" w:eastAsia="Times New Roman" w:cs="Arial"/>
                <w:sz w:val="18"/>
                <w:szCs w:val="18"/>
                <w:lang w:val="en-GB" w:eastAsia="en-GB"/>
              </w:rPr>
              <w:t xml:space="preserve">C. </w:t>
            </w:r>
          </w:p>
          <w:p w14:paraId="342E4684">
            <w:pPr>
              <w:spacing w:before="96" w:beforeLines="40" w:after="96" w:afterLines="40" w:line="24" w:lineRule="atLeast"/>
              <w:rPr>
                <w:rFonts w:hint="eastAsia" w:ascii="Arial" w:hAnsi="Arial" w:eastAsia="Times New Roman" w:cs="Arial"/>
                <w:sz w:val="18"/>
                <w:szCs w:val="18"/>
                <w:lang w:val="en-GB" w:eastAsia="en-GB"/>
              </w:rPr>
            </w:pPr>
            <w:r>
              <w:rPr>
                <w:rFonts w:hint="eastAsia" w:ascii="Arial" w:hAnsi="Arial" w:eastAsia="Times New Roman" w:cs="Arial"/>
                <w:sz w:val="18"/>
                <w:szCs w:val="18"/>
                <w:lang w:val="en-GB" w:eastAsia="en-GB"/>
              </w:rPr>
              <w:t xml:space="preserve">Compared to conventional observational studies in the field of causal inference, MR is less susceptible to confounding factors and reverse causality bias </w:t>
            </w:r>
          </w:p>
        </w:tc>
      </w:tr>
      <w:tr w14:paraId="2E3B73C0">
        <w:tblPrEx>
          <w:tblCellMar>
            <w:top w:w="0" w:type="dxa"/>
            <w:left w:w="108" w:type="dxa"/>
            <w:bottom w:w="0" w:type="dxa"/>
            <w:right w:w="108" w:type="dxa"/>
          </w:tblCellMar>
        </w:tblPrEx>
        <w:tc>
          <w:tcPr>
            <w:tcW w:w="587" w:type="dxa"/>
            <w:tcBorders>
              <w:bottom w:val="single" w:color="7F7F7F" w:sz="6" w:space="0"/>
            </w:tcBorders>
            <w:shd w:val="clear" w:color="auto" w:fill="auto"/>
          </w:tcPr>
          <w:p w14:paraId="6DA4AFD7">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3</w:t>
            </w:r>
          </w:p>
        </w:tc>
        <w:tc>
          <w:tcPr>
            <w:tcW w:w="1822" w:type="dxa"/>
            <w:tcBorders>
              <w:bottom w:val="single" w:color="7F7F7F" w:sz="6" w:space="0"/>
            </w:tcBorders>
            <w:shd w:val="clear" w:color="auto" w:fill="auto"/>
          </w:tcPr>
          <w:p w14:paraId="2A8FD9EB">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Objectives</w:t>
            </w:r>
          </w:p>
        </w:tc>
        <w:tc>
          <w:tcPr>
            <w:tcW w:w="7041" w:type="dxa"/>
            <w:tcBorders>
              <w:bottom w:val="single" w:color="7F7F7F" w:sz="6" w:space="0"/>
            </w:tcBorders>
            <w:shd w:val="clear" w:color="auto" w:fill="auto"/>
          </w:tcPr>
          <w:p w14:paraId="5D6372C5">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State specific objectives clearly, including pre-specified causal hypotheses (if any). State that MR is a method that, under specific assumptions, intends to estimate causal effects</w:t>
            </w:r>
          </w:p>
        </w:tc>
        <w:tc>
          <w:tcPr>
            <w:tcW w:w="720" w:type="dxa"/>
            <w:tcBorders>
              <w:bottom w:val="single" w:color="7F7F7F" w:sz="6" w:space="0"/>
            </w:tcBorders>
          </w:tcPr>
          <w:p w14:paraId="1B642C1A">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5</w:t>
            </w:r>
          </w:p>
        </w:tc>
        <w:tc>
          <w:tcPr>
            <w:tcW w:w="4320" w:type="dxa"/>
            <w:tcBorders>
              <w:bottom w:val="single" w:color="7F7F7F" w:sz="6" w:space="0"/>
            </w:tcBorders>
          </w:tcPr>
          <w:p w14:paraId="33B04812">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Hence, in this study, two-sample MR analysis was used to explore the causal relationship between blood metabolites and the occurrence of HNC, and the possible carcinogenic role of butyrylcarnitine in HNC cell line was verified by in vitro experiments, so as to provide references for guiding the risk prediction of HNC and the development of therapeutic targets.</w:t>
            </w:r>
          </w:p>
        </w:tc>
      </w:tr>
      <w:tr w14:paraId="3D900269">
        <w:tblPrEx>
          <w:tblCellMar>
            <w:top w:w="0" w:type="dxa"/>
            <w:left w:w="108" w:type="dxa"/>
            <w:bottom w:w="0" w:type="dxa"/>
            <w:right w:w="108" w:type="dxa"/>
          </w:tblCellMar>
        </w:tblPrEx>
        <w:tc>
          <w:tcPr>
            <w:tcW w:w="587" w:type="dxa"/>
            <w:tcBorders>
              <w:top w:val="single" w:color="7F7F7F" w:sz="6" w:space="0"/>
            </w:tcBorders>
            <w:shd w:val="clear" w:color="auto" w:fill="EEEEEE"/>
          </w:tcPr>
          <w:p w14:paraId="19B43050">
            <w:pPr>
              <w:spacing w:before="96" w:beforeLines="40" w:after="96" w:afterLines="40" w:line="24" w:lineRule="atLeast"/>
              <w:rPr>
                <w:rFonts w:eastAsia="Times New Roman"/>
                <w:b/>
                <w:bCs/>
                <w:sz w:val="18"/>
                <w:szCs w:val="18"/>
                <w:lang w:val="en-GB" w:eastAsia="en-GB"/>
              </w:rPr>
            </w:pPr>
          </w:p>
        </w:tc>
        <w:tc>
          <w:tcPr>
            <w:tcW w:w="1822" w:type="dxa"/>
            <w:tcBorders>
              <w:top w:val="single" w:color="7F7F7F" w:sz="6" w:space="0"/>
            </w:tcBorders>
            <w:shd w:val="clear" w:color="auto" w:fill="EEEEEE"/>
          </w:tcPr>
          <w:p w14:paraId="01E05019">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METHODS</w:t>
            </w:r>
          </w:p>
        </w:tc>
        <w:tc>
          <w:tcPr>
            <w:tcW w:w="7041" w:type="dxa"/>
            <w:tcBorders>
              <w:top w:val="single" w:color="7F7F7F" w:sz="6" w:space="0"/>
            </w:tcBorders>
            <w:shd w:val="clear" w:color="auto" w:fill="EEEEEE"/>
          </w:tcPr>
          <w:p w14:paraId="3CF18B76">
            <w:pPr>
              <w:spacing w:before="96" w:beforeLines="40" w:after="96" w:afterLines="40" w:line="24" w:lineRule="atLeast"/>
              <w:rPr>
                <w:rFonts w:eastAsia="Cambria"/>
                <w:sz w:val="18"/>
                <w:szCs w:val="18"/>
                <w:lang w:val="en-GB" w:eastAsia="en-US"/>
              </w:rPr>
            </w:pPr>
          </w:p>
        </w:tc>
        <w:tc>
          <w:tcPr>
            <w:tcW w:w="720" w:type="dxa"/>
            <w:tcBorders>
              <w:top w:val="single" w:color="7F7F7F" w:sz="6" w:space="0"/>
            </w:tcBorders>
            <w:shd w:val="clear" w:color="auto" w:fill="EEEEEE"/>
          </w:tcPr>
          <w:p w14:paraId="78737B39">
            <w:pPr>
              <w:spacing w:before="96" w:beforeLines="40" w:after="96" w:afterLines="40" w:line="24" w:lineRule="atLeast"/>
              <w:rPr>
                <w:rFonts w:eastAsia="Cambria"/>
                <w:sz w:val="18"/>
                <w:szCs w:val="18"/>
                <w:lang w:val="en-GB" w:eastAsia="en-US"/>
              </w:rPr>
            </w:pPr>
          </w:p>
        </w:tc>
        <w:tc>
          <w:tcPr>
            <w:tcW w:w="4320" w:type="dxa"/>
            <w:tcBorders>
              <w:top w:val="single" w:color="7F7F7F" w:sz="6" w:space="0"/>
            </w:tcBorders>
            <w:shd w:val="clear" w:color="auto" w:fill="EEEEEE"/>
          </w:tcPr>
          <w:p w14:paraId="3EEC5CFE">
            <w:pPr>
              <w:spacing w:before="96" w:beforeLines="40" w:after="96" w:afterLines="40" w:line="24" w:lineRule="atLeast"/>
              <w:rPr>
                <w:rFonts w:eastAsia="Cambria"/>
                <w:sz w:val="18"/>
                <w:szCs w:val="18"/>
                <w:lang w:val="en-GB" w:eastAsia="en-US"/>
              </w:rPr>
            </w:pPr>
          </w:p>
        </w:tc>
      </w:tr>
      <w:tr w14:paraId="6C7D65BD">
        <w:tblPrEx>
          <w:tblCellMar>
            <w:top w:w="0" w:type="dxa"/>
            <w:left w:w="108" w:type="dxa"/>
            <w:bottom w:w="0" w:type="dxa"/>
            <w:right w:w="108" w:type="dxa"/>
          </w:tblCellMar>
        </w:tblPrEx>
        <w:tc>
          <w:tcPr>
            <w:tcW w:w="587" w:type="dxa"/>
            <w:shd w:val="clear" w:color="auto" w:fill="auto"/>
          </w:tcPr>
          <w:p w14:paraId="5D8FC33B">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4</w:t>
            </w:r>
          </w:p>
        </w:tc>
        <w:tc>
          <w:tcPr>
            <w:tcW w:w="1822" w:type="dxa"/>
            <w:shd w:val="clear" w:color="auto" w:fill="auto"/>
          </w:tcPr>
          <w:p w14:paraId="72DC34D7">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Study design and data sources</w:t>
            </w:r>
          </w:p>
        </w:tc>
        <w:tc>
          <w:tcPr>
            <w:tcW w:w="7041" w:type="dxa"/>
            <w:shd w:val="clear" w:color="auto" w:fill="auto"/>
          </w:tcPr>
          <w:p w14:paraId="380CEC2B">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Present key elements of the study design early in the article. Consider including a table listing sources of data for all phases of the study. For each data source contributing to the analysis, describe the following: </w:t>
            </w:r>
          </w:p>
        </w:tc>
        <w:tc>
          <w:tcPr>
            <w:tcW w:w="720" w:type="dxa"/>
          </w:tcPr>
          <w:p w14:paraId="13DB9F22">
            <w:pPr>
              <w:spacing w:before="96" w:beforeLines="40" w:after="96" w:afterLines="40" w:line="24" w:lineRule="atLeast"/>
              <w:rPr>
                <w:rFonts w:eastAsia="Times New Roman"/>
                <w:sz w:val="18"/>
                <w:szCs w:val="18"/>
                <w:lang w:val="en-GB" w:eastAsia="en-GB"/>
              </w:rPr>
            </w:pPr>
          </w:p>
        </w:tc>
        <w:tc>
          <w:tcPr>
            <w:tcW w:w="4320" w:type="dxa"/>
          </w:tcPr>
          <w:p w14:paraId="797F44A6">
            <w:pPr>
              <w:spacing w:before="96" w:beforeLines="40" w:after="96" w:afterLines="40" w:line="24" w:lineRule="atLeast"/>
              <w:rPr>
                <w:rFonts w:hint="default" w:eastAsia="宋体"/>
                <w:sz w:val="18"/>
                <w:szCs w:val="18"/>
                <w:lang w:val="en-US" w:eastAsia="zh-CN"/>
              </w:rPr>
            </w:pPr>
          </w:p>
        </w:tc>
      </w:tr>
      <w:tr w14:paraId="3AAA99A6">
        <w:tblPrEx>
          <w:tblCellMar>
            <w:top w:w="0" w:type="dxa"/>
            <w:left w:w="108" w:type="dxa"/>
            <w:bottom w:w="0" w:type="dxa"/>
            <w:right w:w="108" w:type="dxa"/>
          </w:tblCellMar>
        </w:tblPrEx>
        <w:tc>
          <w:tcPr>
            <w:tcW w:w="587" w:type="dxa"/>
            <w:shd w:val="clear" w:color="auto" w:fill="EEEEEE"/>
          </w:tcPr>
          <w:p w14:paraId="600E823C">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6E8643EF">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EEEEEE"/>
          </w:tcPr>
          <w:p w14:paraId="650917F8">
            <w:pPr>
              <w:spacing w:before="96" w:beforeLines="40" w:after="96" w:afterLines="40" w:line="24" w:lineRule="atLeast"/>
              <w:rPr>
                <w:rFonts w:eastAsia="Cambria"/>
                <w:sz w:val="18"/>
                <w:szCs w:val="18"/>
                <w:lang w:val="en-GB" w:eastAsia="en-US"/>
              </w:rPr>
            </w:pPr>
            <w:r>
              <w:rPr>
                <w:rFonts w:eastAsia="Times New Roman"/>
                <w:sz w:val="18"/>
                <w:szCs w:val="18"/>
                <w:shd w:val="clear" w:color="auto" w:fill="FFFFFF"/>
                <w:lang w:val="en-GB" w:eastAsia="en-GB"/>
              </w:rPr>
              <w:t xml:space="preserve">Setting: </w:t>
            </w:r>
            <w:r>
              <w:rPr>
                <w:rFonts w:eastAsia="Times New Roman"/>
                <w:sz w:val="18"/>
                <w:szCs w:val="18"/>
                <w:lang w:val="en-GB" w:eastAsia="en-GB"/>
              </w:rPr>
              <w:t xml:space="preserve">Describe the study design and the underlying population, if possible. </w:t>
            </w:r>
            <w:r>
              <w:rPr>
                <w:rFonts w:eastAsia="Times New Roman"/>
                <w:sz w:val="18"/>
                <w:szCs w:val="18"/>
                <w:shd w:val="clear" w:color="auto" w:fill="FFFFFF"/>
                <w:lang w:val="en-GB" w:eastAsia="en-GB"/>
              </w:rPr>
              <w:t xml:space="preserve">Describe the setting, locations, and relevant dates, including periods </w:t>
            </w:r>
            <w:r>
              <w:rPr>
                <w:rFonts w:eastAsia="Times New Roman"/>
                <w:color w:val="000000"/>
                <w:sz w:val="18"/>
                <w:szCs w:val="18"/>
                <w:shd w:val="clear" w:color="auto" w:fill="FFFFFF"/>
                <w:lang w:val="en-GB" w:eastAsia="en-GB"/>
              </w:rPr>
              <w:t>of recruitment, exposure, follow-up, and data collection, when available.</w:t>
            </w:r>
          </w:p>
        </w:tc>
        <w:tc>
          <w:tcPr>
            <w:tcW w:w="720" w:type="dxa"/>
            <w:shd w:val="clear" w:color="auto" w:fill="EEEEEE"/>
          </w:tcPr>
          <w:p w14:paraId="4414E1AB">
            <w:pPr>
              <w:spacing w:before="96" w:beforeLines="40" w:after="96" w:afterLines="40" w:line="24" w:lineRule="atLeast"/>
              <w:rPr>
                <w:rFonts w:hint="default" w:eastAsia="宋体"/>
                <w:sz w:val="18"/>
                <w:szCs w:val="18"/>
                <w:shd w:val="clear" w:color="auto" w:fill="FFFFFF"/>
                <w:lang w:val="en-US" w:eastAsia="zh-CN"/>
              </w:rPr>
            </w:pPr>
            <w:r>
              <w:rPr>
                <w:rFonts w:hint="eastAsia" w:eastAsia="宋体"/>
                <w:sz w:val="18"/>
                <w:szCs w:val="18"/>
                <w:shd w:val="clear" w:color="auto" w:fill="FFFFFF"/>
                <w:lang w:val="en-US" w:eastAsia="zh-CN"/>
              </w:rPr>
              <w:t>5-6</w:t>
            </w:r>
          </w:p>
        </w:tc>
        <w:tc>
          <w:tcPr>
            <w:tcW w:w="4320" w:type="dxa"/>
            <w:shd w:val="clear" w:color="auto" w:fill="EEEEEE"/>
          </w:tcPr>
          <w:p w14:paraId="29F9BBD1">
            <w:pPr>
              <w:spacing w:before="96" w:beforeLines="40" w:after="96" w:afterLines="40" w:line="24" w:lineRule="atLeast"/>
              <w:rPr>
                <w:rFonts w:hint="default" w:eastAsia="宋体"/>
                <w:sz w:val="18"/>
                <w:szCs w:val="18"/>
                <w:shd w:val="clear" w:color="auto" w:fill="FFFFFF"/>
                <w:lang w:val="en-US" w:eastAsia="zh-CN"/>
              </w:rPr>
            </w:pPr>
            <w:r>
              <w:rPr>
                <w:rFonts w:hint="eastAsia" w:ascii="Arial" w:hAnsi="Arial" w:eastAsia="Times New Roman" w:cs="Arial"/>
                <w:sz w:val="18"/>
                <w:szCs w:val="18"/>
                <w:lang w:val="en-GB" w:eastAsia="en-GB"/>
              </w:rPr>
              <w:t>All analyses were based on publicly available summary statistics</w:t>
            </w:r>
            <w:r>
              <w:rPr>
                <w:rFonts w:hint="eastAsia" w:eastAsia="宋体" w:cs="Arial"/>
                <w:sz w:val="18"/>
                <w:szCs w:val="18"/>
                <w:lang w:val="en-US" w:eastAsia="zh-CN"/>
              </w:rPr>
              <w:t xml:space="preserve">. The </w:t>
            </w:r>
            <w:r>
              <w:rPr>
                <w:rFonts w:eastAsia="Times New Roman"/>
                <w:sz w:val="18"/>
                <w:szCs w:val="18"/>
                <w:lang w:val="en-GB" w:eastAsia="en-GB"/>
              </w:rPr>
              <w:t xml:space="preserve">study design </w:t>
            </w:r>
            <w:r>
              <w:rPr>
                <w:rFonts w:hint="eastAsia" w:eastAsia="宋体"/>
                <w:sz w:val="18"/>
                <w:szCs w:val="18"/>
                <w:lang w:val="en-US" w:eastAsia="zh-CN"/>
              </w:rPr>
              <w:t>was shown in Fig. 1</w:t>
            </w:r>
          </w:p>
        </w:tc>
      </w:tr>
      <w:tr w14:paraId="2CEA229F">
        <w:tblPrEx>
          <w:tblCellMar>
            <w:top w:w="0" w:type="dxa"/>
            <w:left w:w="108" w:type="dxa"/>
            <w:bottom w:w="0" w:type="dxa"/>
            <w:right w:w="108" w:type="dxa"/>
          </w:tblCellMar>
        </w:tblPrEx>
        <w:tc>
          <w:tcPr>
            <w:tcW w:w="587" w:type="dxa"/>
            <w:shd w:val="clear" w:color="auto" w:fill="auto"/>
          </w:tcPr>
          <w:p w14:paraId="6EE5E6AE">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418B28C1">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auto"/>
          </w:tcPr>
          <w:p w14:paraId="19EBB4F9">
            <w:pPr>
              <w:spacing w:before="96" w:beforeLines="40" w:after="96" w:afterLines="40" w:line="24" w:lineRule="atLeast"/>
              <w:textAlignment w:val="baseline"/>
              <w:rPr>
                <w:rFonts w:eastAsia="Cambria"/>
                <w:sz w:val="18"/>
                <w:szCs w:val="18"/>
                <w:lang w:val="en-GB" w:eastAsia="en-US"/>
              </w:rPr>
            </w:pPr>
            <w:r>
              <w:rPr>
                <w:rFonts w:eastAsia="Times New Roman"/>
                <w:sz w:val="18"/>
                <w:szCs w:val="18"/>
                <w:shd w:val="clear" w:color="auto" w:fill="FFFFFF"/>
                <w:lang w:val="en-GB" w:eastAsia="en-GB"/>
              </w:rPr>
              <w:t xml:space="preserve">Participants: Give the eligibility criteria, and the sources and methods of selection of participants. </w:t>
            </w:r>
            <w:r>
              <w:rPr>
                <w:rFonts w:eastAsia="Times New Roman"/>
                <w:color w:val="000000"/>
                <w:sz w:val="18"/>
                <w:szCs w:val="18"/>
              </w:rPr>
              <w:t>Report the sample size, and whether any power or sample size calculations were carried out prior to the main analysis</w:t>
            </w:r>
            <w:r>
              <w:rPr>
                <w:rFonts w:eastAsia="Times New Roman"/>
                <w:sz w:val="18"/>
                <w:szCs w:val="18"/>
                <w:lang w:val="en-GB" w:eastAsia="en-GB"/>
              </w:rPr>
              <w:t> </w:t>
            </w:r>
          </w:p>
        </w:tc>
        <w:tc>
          <w:tcPr>
            <w:tcW w:w="720" w:type="dxa"/>
          </w:tcPr>
          <w:p w14:paraId="054A8C5F">
            <w:pPr>
              <w:spacing w:before="96" w:beforeLines="40" w:after="96" w:afterLines="40" w:line="24" w:lineRule="atLeast"/>
              <w:textAlignment w:val="baseline"/>
              <w:rPr>
                <w:rFonts w:hint="default" w:eastAsia="宋体"/>
                <w:sz w:val="18"/>
                <w:szCs w:val="18"/>
                <w:shd w:val="clear" w:color="auto" w:fill="FFFFFF"/>
                <w:lang w:val="en-US" w:eastAsia="zh-CN"/>
              </w:rPr>
            </w:pPr>
            <w:r>
              <w:rPr>
                <w:rFonts w:hint="eastAsia" w:eastAsia="宋体"/>
                <w:sz w:val="18"/>
                <w:szCs w:val="18"/>
                <w:shd w:val="clear" w:color="auto" w:fill="FFFFFF"/>
                <w:lang w:val="en-US" w:eastAsia="zh-CN"/>
              </w:rPr>
              <w:t>5-7</w:t>
            </w:r>
          </w:p>
        </w:tc>
        <w:tc>
          <w:tcPr>
            <w:tcW w:w="4320" w:type="dxa"/>
          </w:tcPr>
          <w:p w14:paraId="4A685469">
            <w:pPr>
              <w:spacing w:before="96" w:beforeLines="40" w:after="96" w:afterLines="40" w:line="24" w:lineRule="atLeast"/>
              <w:textAlignment w:val="baseline"/>
              <w:rPr>
                <w:rFonts w:hint="eastAsia" w:eastAsia="宋体"/>
                <w:sz w:val="18"/>
                <w:szCs w:val="18"/>
                <w:shd w:val="clear" w:color="auto" w:fill="FFFFFF"/>
                <w:lang w:val="en-US" w:eastAsia="zh-CN"/>
              </w:rPr>
            </w:pPr>
            <w:r>
              <w:rPr>
                <w:rFonts w:hint="eastAsia" w:ascii="Arial" w:hAnsi="Arial" w:eastAsia="Times New Roman" w:cs="Arial"/>
                <w:sz w:val="18"/>
                <w:szCs w:val="18"/>
                <w:lang w:val="en-GB" w:eastAsia="en-GB"/>
              </w:rPr>
              <w:t>All analyses were based on publicly available summary statistics</w:t>
            </w:r>
            <w:r>
              <w:rPr>
                <w:rFonts w:hint="eastAsia" w:ascii="Arial" w:hAnsi="Arial" w:eastAsia="宋体" w:cs="Arial"/>
                <w:sz w:val="18"/>
                <w:szCs w:val="18"/>
                <w:lang w:val="en-US" w:eastAsia="zh-CN"/>
              </w:rPr>
              <w:t xml:space="preserve">. The the sources and methods of selection of participants were </w:t>
            </w:r>
            <w:r>
              <w:rPr>
                <w:rFonts w:hint="eastAsia" w:ascii="Arial" w:hAnsi="Arial" w:eastAsia="Times New Roman" w:cs="Arial"/>
                <w:sz w:val="18"/>
                <w:szCs w:val="18"/>
                <w:lang w:val="en-GB" w:eastAsia="en-GB"/>
              </w:rPr>
              <w:t>describe</w:t>
            </w:r>
            <w:r>
              <w:rPr>
                <w:rFonts w:hint="eastAsia" w:ascii="Arial" w:hAnsi="Arial" w:eastAsia="Times New Roman" w:cs="Arial"/>
                <w:sz w:val="18"/>
                <w:szCs w:val="18"/>
                <w:lang w:val="en-US" w:eastAsia="zh-CN"/>
              </w:rPr>
              <w:t xml:space="preserve">d in </w:t>
            </w:r>
            <w:r>
              <w:rPr>
                <w:rFonts w:hint="default" w:ascii="Arial" w:hAnsi="Arial" w:eastAsia="Times New Roman" w:cs="Arial"/>
                <w:sz w:val="18"/>
                <w:szCs w:val="18"/>
                <w:lang w:val="en-US" w:eastAsia="zh-CN"/>
              </w:rPr>
              <w:t>“</w:t>
            </w:r>
            <w:r>
              <w:rPr>
                <w:rFonts w:hint="default" w:ascii="Arial" w:hAnsi="Arial" w:eastAsia="Times New Roman" w:cs="Arial"/>
                <w:sz w:val="18"/>
                <w:szCs w:val="18"/>
                <w:lang w:val="en-GB" w:eastAsia="en-GB"/>
              </w:rPr>
              <w:t>Summary statistics of explore and outcome</w:t>
            </w:r>
            <w:r>
              <w:rPr>
                <w:rFonts w:hint="default" w:ascii="Arial" w:hAnsi="Arial" w:eastAsia="宋体" w:cs="Arial"/>
                <w:sz w:val="18"/>
                <w:szCs w:val="18"/>
                <w:lang w:val="en-US" w:eastAsia="zh-CN"/>
              </w:rPr>
              <w:t>”</w:t>
            </w:r>
          </w:p>
        </w:tc>
      </w:tr>
      <w:tr w14:paraId="69565B89">
        <w:tblPrEx>
          <w:tblCellMar>
            <w:top w:w="0" w:type="dxa"/>
            <w:left w:w="108" w:type="dxa"/>
            <w:bottom w:w="0" w:type="dxa"/>
            <w:right w:w="108" w:type="dxa"/>
          </w:tblCellMar>
        </w:tblPrEx>
        <w:tc>
          <w:tcPr>
            <w:tcW w:w="587" w:type="dxa"/>
            <w:shd w:val="clear" w:color="auto" w:fill="EEEEEE"/>
          </w:tcPr>
          <w:p w14:paraId="6CC902FB">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369F44BC">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EEEEEE"/>
          </w:tcPr>
          <w:p w14:paraId="2CD0DC38">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measurement, quality control and selection of genetic variants</w:t>
            </w:r>
          </w:p>
        </w:tc>
        <w:tc>
          <w:tcPr>
            <w:tcW w:w="720" w:type="dxa"/>
            <w:shd w:val="clear" w:color="auto" w:fill="EEEEEE"/>
            <w:vAlign w:val="top"/>
          </w:tcPr>
          <w:p w14:paraId="1B88D038">
            <w:pPr>
              <w:keepNext w:val="0"/>
              <w:keepLines w:val="0"/>
              <w:pageBreakBefore w:val="0"/>
              <w:kinsoku/>
              <w:wordWrap/>
              <w:overflowPunct/>
              <w:topLinePunct w:val="0"/>
              <w:autoSpaceDE/>
              <w:autoSpaceDN/>
              <w:bidi w:val="0"/>
              <w:spacing w:line="480" w:lineRule="auto"/>
              <w:textAlignment w:val="auto"/>
              <w:rPr>
                <w:rFonts w:eastAsia="Times New Roman"/>
                <w:sz w:val="18"/>
                <w:szCs w:val="18"/>
                <w:lang w:val="en-GB" w:eastAsia="en-GB"/>
              </w:rPr>
            </w:pPr>
            <w:r>
              <w:rPr>
                <w:rFonts w:hint="eastAsia" w:eastAsia="Times New Roman" w:cs="Arial"/>
                <w:sz w:val="18"/>
                <w:szCs w:val="18"/>
                <w:lang w:val="en-US" w:eastAsia="zh-CN"/>
              </w:rPr>
              <w:t>7</w:t>
            </w:r>
          </w:p>
        </w:tc>
        <w:tc>
          <w:tcPr>
            <w:tcW w:w="4320" w:type="dxa"/>
            <w:shd w:val="clear" w:color="auto" w:fill="EEEEEE"/>
            <w:vAlign w:val="top"/>
          </w:tcPr>
          <w:p w14:paraId="57CF9F14">
            <w:pPr>
              <w:keepNext w:val="0"/>
              <w:keepLines w:val="0"/>
              <w:pageBreakBefore w:val="0"/>
              <w:kinsoku/>
              <w:wordWrap/>
              <w:overflowPunct/>
              <w:topLinePunct w:val="0"/>
              <w:autoSpaceDE/>
              <w:autoSpaceDN/>
              <w:bidi w:val="0"/>
              <w:spacing w:line="480" w:lineRule="auto"/>
              <w:textAlignment w:val="auto"/>
              <w:rPr>
                <w:rFonts w:hint="default" w:ascii="Arial" w:hAnsi="Arial" w:eastAsia="Times New Roman" w:cs="Arial"/>
                <w:sz w:val="18"/>
                <w:szCs w:val="18"/>
                <w:lang w:val="en-GB" w:eastAsia="en-GB"/>
              </w:rPr>
            </w:pPr>
            <w:r>
              <w:rPr>
                <w:rFonts w:hint="default" w:ascii="Arial" w:hAnsi="Arial" w:eastAsia="Times New Roman" w:cs="Arial"/>
                <w:sz w:val="18"/>
                <w:szCs w:val="18"/>
                <w:lang w:val="en-GB" w:eastAsia="en-GB"/>
              </w:rPr>
              <w:t>Selection of genetic variant</w:t>
            </w:r>
          </w:p>
          <w:p w14:paraId="33195984">
            <w:pPr>
              <w:keepNext w:val="0"/>
              <w:keepLines w:val="0"/>
              <w:pageBreakBefore w:val="0"/>
              <w:kinsoku/>
              <w:wordWrap/>
              <w:overflowPunct/>
              <w:topLinePunct w:val="0"/>
              <w:autoSpaceDE/>
              <w:autoSpaceDN/>
              <w:bidi w:val="0"/>
              <w:spacing w:line="480" w:lineRule="auto"/>
              <w:textAlignment w:val="auto"/>
              <w:rPr>
                <w:rFonts w:eastAsia="Times New Roman"/>
                <w:sz w:val="18"/>
                <w:szCs w:val="18"/>
                <w:lang w:val="en-GB" w:eastAsia="en-GB"/>
              </w:rPr>
            </w:pPr>
          </w:p>
        </w:tc>
      </w:tr>
      <w:tr w14:paraId="52643A09">
        <w:tblPrEx>
          <w:tblCellMar>
            <w:top w:w="0" w:type="dxa"/>
            <w:left w:w="108" w:type="dxa"/>
            <w:bottom w:w="0" w:type="dxa"/>
            <w:right w:w="108" w:type="dxa"/>
          </w:tblCellMar>
        </w:tblPrEx>
        <w:tc>
          <w:tcPr>
            <w:tcW w:w="587" w:type="dxa"/>
            <w:shd w:val="clear" w:color="auto" w:fill="auto"/>
          </w:tcPr>
          <w:p w14:paraId="1A1C6454">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54125EA8">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auto"/>
          </w:tcPr>
          <w:p w14:paraId="28B39305">
            <w:pPr>
              <w:spacing w:before="96" w:beforeLines="40" w:after="96" w:afterLines="40" w:line="24" w:lineRule="atLeast"/>
              <w:textAlignment w:val="baseline"/>
              <w:rPr>
                <w:rFonts w:eastAsia="Cambria"/>
                <w:sz w:val="18"/>
                <w:szCs w:val="18"/>
                <w:lang w:val="en-GB" w:eastAsia="en-US"/>
              </w:rPr>
            </w:pPr>
            <w:r>
              <w:rPr>
                <w:rFonts w:eastAsia="Times New Roman"/>
                <w:sz w:val="18"/>
                <w:szCs w:val="18"/>
                <w:shd w:val="clear" w:color="auto" w:fill="FFFFFF"/>
                <w:lang w:val="en-GB" w:eastAsia="en-GB"/>
              </w:rPr>
              <w:t>For each exposure, outcome, and other relevant variables, describe methods of assessment and diagnostic criteria for diseases</w:t>
            </w:r>
          </w:p>
        </w:tc>
        <w:tc>
          <w:tcPr>
            <w:tcW w:w="720" w:type="dxa"/>
            <w:vAlign w:val="top"/>
          </w:tcPr>
          <w:p w14:paraId="7F38F059">
            <w:pPr>
              <w:spacing w:before="96" w:beforeLines="40" w:after="96" w:afterLines="40" w:line="24" w:lineRule="atLeast"/>
              <w:rPr>
                <w:rFonts w:eastAsia="Times New Roman"/>
                <w:sz w:val="18"/>
                <w:szCs w:val="18"/>
                <w:shd w:val="clear" w:color="auto" w:fill="FFFFFF"/>
                <w:lang w:val="en-GB" w:eastAsia="en-GB"/>
              </w:rPr>
            </w:pPr>
            <w:r>
              <w:rPr>
                <w:rFonts w:hint="eastAsia" w:eastAsia="宋体" w:cs="Arial"/>
                <w:sz w:val="18"/>
                <w:szCs w:val="18"/>
                <w:lang w:val="en-US" w:eastAsia="zh-CN"/>
              </w:rPr>
              <w:t>7</w:t>
            </w:r>
            <w:r>
              <w:rPr>
                <w:rFonts w:hint="eastAsia" w:ascii="Arial" w:hAnsi="Arial" w:eastAsia="宋体" w:cs="Arial"/>
                <w:sz w:val="18"/>
                <w:szCs w:val="18"/>
                <w:lang w:val="en-US" w:eastAsia="zh-CN"/>
              </w:rPr>
              <w:t>-</w:t>
            </w:r>
            <w:r>
              <w:rPr>
                <w:rFonts w:hint="eastAsia" w:eastAsia="宋体" w:cs="Arial"/>
                <w:sz w:val="18"/>
                <w:szCs w:val="18"/>
                <w:lang w:val="en-US" w:eastAsia="zh-CN"/>
              </w:rPr>
              <w:t>8</w:t>
            </w:r>
          </w:p>
        </w:tc>
        <w:tc>
          <w:tcPr>
            <w:tcW w:w="4320" w:type="dxa"/>
            <w:vAlign w:val="top"/>
          </w:tcPr>
          <w:p w14:paraId="5EA91336">
            <w:pPr>
              <w:keepNext w:val="0"/>
              <w:keepLines w:val="0"/>
              <w:pageBreakBefore w:val="0"/>
              <w:kinsoku/>
              <w:wordWrap/>
              <w:overflowPunct/>
              <w:topLinePunct w:val="0"/>
              <w:autoSpaceDE/>
              <w:autoSpaceDN/>
              <w:bidi w:val="0"/>
              <w:spacing w:line="480" w:lineRule="auto"/>
              <w:textAlignment w:val="auto"/>
              <w:rPr>
                <w:rFonts w:eastAsia="Times New Roman"/>
                <w:sz w:val="18"/>
                <w:szCs w:val="18"/>
                <w:shd w:val="clear" w:color="auto" w:fill="FFFFFF"/>
                <w:lang w:val="en-GB" w:eastAsia="en-GB"/>
              </w:rPr>
            </w:pPr>
            <w:r>
              <w:rPr>
                <w:rFonts w:hint="default" w:ascii="Arial" w:hAnsi="Arial" w:eastAsia="Times New Roman" w:cs="Arial"/>
                <w:sz w:val="18"/>
                <w:szCs w:val="18"/>
                <w:lang w:val="en-GB" w:eastAsia="en-GB"/>
              </w:rPr>
              <w:t>Summary statistics of explore and outcome</w:t>
            </w:r>
          </w:p>
        </w:tc>
      </w:tr>
      <w:tr w14:paraId="0B0D62BA">
        <w:tblPrEx>
          <w:tblCellMar>
            <w:top w:w="0" w:type="dxa"/>
            <w:left w:w="108" w:type="dxa"/>
            <w:bottom w:w="0" w:type="dxa"/>
            <w:right w:w="108" w:type="dxa"/>
          </w:tblCellMar>
        </w:tblPrEx>
        <w:tc>
          <w:tcPr>
            <w:tcW w:w="587" w:type="dxa"/>
            <w:shd w:val="clear" w:color="auto" w:fill="EEEEEE"/>
          </w:tcPr>
          <w:p w14:paraId="541996B2">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6CB92290">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e)</w:t>
            </w:r>
          </w:p>
        </w:tc>
        <w:tc>
          <w:tcPr>
            <w:tcW w:w="7041" w:type="dxa"/>
            <w:shd w:val="clear" w:color="auto" w:fill="EEEEEE"/>
          </w:tcPr>
          <w:p w14:paraId="79DF4AF9">
            <w:pPr>
              <w:spacing w:before="96" w:beforeLines="40" w:after="96" w:afterLines="40" w:line="24" w:lineRule="atLeast"/>
              <w:textAlignment w:val="baseline"/>
              <w:rPr>
                <w:rFonts w:eastAsia="Cambria"/>
                <w:sz w:val="18"/>
                <w:szCs w:val="18"/>
                <w:lang w:val="en-GB" w:eastAsia="en-US"/>
              </w:rPr>
            </w:pPr>
            <w:r>
              <w:rPr>
                <w:rFonts w:eastAsia="Times New Roman"/>
                <w:sz w:val="18"/>
                <w:szCs w:val="18"/>
                <w:shd w:val="clear" w:color="auto" w:fill="FFFFFF"/>
                <w:lang w:val="en-GB" w:eastAsia="en-GB"/>
              </w:rPr>
              <w:t>Provide details of ethics committee approval and participant informed consent, if relevant</w:t>
            </w:r>
          </w:p>
        </w:tc>
        <w:tc>
          <w:tcPr>
            <w:tcW w:w="720" w:type="dxa"/>
            <w:shd w:val="clear" w:color="auto" w:fill="EEEEEE"/>
          </w:tcPr>
          <w:p w14:paraId="578F5D76">
            <w:pPr>
              <w:spacing w:before="96" w:beforeLines="40" w:after="96" w:afterLines="40" w:line="24" w:lineRule="atLeast"/>
              <w:textAlignment w:val="baseline"/>
              <w:rPr>
                <w:rFonts w:hint="eastAsia" w:eastAsia="宋体"/>
                <w:sz w:val="18"/>
                <w:szCs w:val="18"/>
                <w:shd w:val="clear" w:color="auto" w:fill="FFFFFF"/>
                <w:lang w:val="en-US" w:eastAsia="zh-CN"/>
              </w:rPr>
            </w:pPr>
            <w:r>
              <w:rPr>
                <w:rFonts w:hint="eastAsia" w:eastAsia="宋体"/>
                <w:sz w:val="18"/>
                <w:szCs w:val="18"/>
                <w:shd w:val="clear" w:color="auto" w:fill="FFFFFF"/>
                <w:lang w:val="en-US" w:eastAsia="zh-CN"/>
              </w:rPr>
              <w:t>5</w:t>
            </w:r>
          </w:p>
        </w:tc>
        <w:tc>
          <w:tcPr>
            <w:tcW w:w="4320" w:type="dxa"/>
            <w:shd w:val="clear" w:color="auto" w:fill="EEEEEE"/>
          </w:tcPr>
          <w:p w14:paraId="69ECA6B3">
            <w:pPr>
              <w:spacing w:before="96" w:beforeLines="40" w:after="96" w:afterLines="40" w:line="24" w:lineRule="atLeast"/>
              <w:textAlignment w:val="baseline"/>
              <w:rPr>
                <w:rFonts w:eastAsia="Times New Roman"/>
                <w:sz w:val="18"/>
                <w:szCs w:val="18"/>
                <w:shd w:val="clear" w:color="auto" w:fill="FFFFFF"/>
                <w:lang w:val="en-GB" w:eastAsia="en-GB"/>
              </w:rPr>
            </w:pPr>
            <w:r>
              <w:rPr>
                <w:rFonts w:hint="default" w:ascii="Arial" w:hAnsi="Arial" w:eastAsia="Times New Roman" w:cs="Arial"/>
                <w:b w:val="0"/>
                <w:bCs w:val="0"/>
                <w:kern w:val="0"/>
                <w:sz w:val="18"/>
                <w:szCs w:val="18"/>
                <w:lang w:val="en-GB" w:eastAsia="en-GB" w:bidi="ar-SA"/>
              </w:rPr>
              <w:t xml:space="preserve">This study was based on publicly available data from </w:t>
            </w:r>
            <w:r>
              <w:rPr>
                <w:rFonts w:hint="eastAsia" w:ascii="Arial" w:hAnsi="Arial" w:eastAsia="Times New Roman" w:cs="Arial"/>
                <w:b w:val="0"/>
                <w:bCs w:val="0"/>
                <w:kern w:val="0"/>
                <w:sz w:val="18"/>
                <w:szCs w:val="18"/>
                <w:lang w:val="en-GB" w:eastAsia="en-GB" w:bidi="ar-SA"/>
              </w:rPr>
              <w:t>GWASs</w:t>
            </w:r>
            <w:r>
              <w:rPr>
                <w:rFonts w:hint="default" w:ascii="Arial" w:hAnsi="Arial" w:eastAsia="Times New Roman" w:cs="Arial"/>
                <w:b w:val="0"/>
                <w:bCs w:val="0"/>
                <w:kern w:val="0"/>
                <w:sz w:val="18"/>
                <w:szCs w:val="18"/>
                <w:lang w:val="en-GB" w:eastAsia="en-GB" w:bidi="ar-SA"/>
              </w:rPr>
              <w:t xml:space="preserve">. </w:t>
            </w:r>
            <w:r>
              <w:rPr>
                <w:rFonts w:hint="eastAsia" w:ascii="Arial" w:hAnsi="Arial" w:eastAsia="Times New Roman" w:cs="Arial"/>
                <w:b w:val="0"/>
                <w:bCs w:val="0"/>
                <w:kern w:val="0"/>
                <w:sz w:val="18"/>
                <w:szCs w:val="18"/>
                <w:lang w:val="en-GB" w:eastAsia="en-GB" w:bidi="ar-SA"/>
              </w:rPr>
              <w:t>All studies</w:t>
            </w:r>
            <w:r>
              <w:rPr>
                <w:rFonts w:hint="default" w:ascii="Arial" w:hAnsi="Arial" w:eastAsia="Times New Roman" w:cs="Arial"/>
                <w:b w:val="0"/>
                <w:bCs w:val="0"/>
                <w:kern w:val="0"/>
                <w:sz w:val="18"/>
                <w:szCs w:val="18"/>
                <w:lang w:val="en-GB" w:eastAsia="en-GB" w:bidi="ar-SA"/>
              </w:rPr>
              <w:t xml:space="preserve"> had been approved by appropriate ethical review committee</w:t>
            </w:r>
            <w:r>
              <w:rPr>
                <w:rFonts w:hint="eastAsia" w:ascii="Arial" w:hAnsi="Arial" w:eastAsia="Times New Roman" w:cs="Arial"/>
                <w:b w:val="0"/>
                <w:bCs w:val="0"/>
                <w:kern w:val="0"/>
                <w:sz w:val="18"/>
                <w:szCs w:val="18"/>
                <w:lang w:val="en-GB" w:eastAsia="en-GB" w:bidi="ar-SA"/>
              </w:rPr>
              <w:t xml:space="preserve"> </w:t>
            </w:r>
            <w:r>
              <w:rPr>
                <w:rFonts w:hint="default" w:ascii="Arial" w:hAnsi="Arial" w:eastAsia="Times New Roman" w:cs="Arial"/>
                <w:b w:val="0"/>
                <w:bCs w:val="0"/>
                <w:kern w:val="0"/>
                <w:sz w:val="18"/>
                <w:szCs w:val="18"/>
                <w:lang w:val="en-GB" w:eastAsia="en-GB" w:bidi="ar-SA"/>
              </w:rPr>
              <w:t>in their respective</w:t>
            </w:r>
            <w:r>
              <w:rPr>
                <w:rFonts w:hint="eastAsia" w:ascii="Arial" w:hAnsi="Arial" w:eastAsia="Times New Roman" w:cs="Arial"/>
                <w:b w:val="0"/>
                <w:bCs w:val="0"/>
                <w:kern w:val="0"/>
                <w:sz w:val="18"/>
                <w:szCs w:val="18"/>
                <w:lang w:val="en-GB" w:eastAsia="en-GB" w:bidi="ar-SA"/>
              </w:rPr>
              <w:t xml:space="preserve"> </w:t>
            </w:r>
            <w:r>
              <w:rPr>
                <w:rFonts w:hint="default" w:ascii="Arial" w:hAnsi="Arial" w:eastAsia="Times New Roman" w:cs="Arial"/>
                <w:b w:val="0"/>
                <w:bCs w:val="0"/>
                <w:kern w:val="0"/>
                <w:sz w:val="18"/>
                <w:szCs w:val="18"/>
                <w:lang w:val="en-GB" w:eastAsia="en-GB" w:bidi="ar-SA"/>
              </w:rPr>
              <w:t xml:space="preserve">studies. </w:t>
            </w:r>
          </w:p>
        </w:tc>
      </w:tr>
      <w:tr w14:paraId="535D2869">
        <w:tblPrEx>
          <w:tblCellMar>
            <w:top w:w="0" w:type="dxa"/>
            <w:left w:w="108" w:type="dxa"/>
            <w:bottom w:w="0" w:type="dxa"/>
            <w:right w:w="108" w:type="dxa"/>
          </w:tblCellMar>
        </w:tblPrEx>
        <w:tc>
          <w:tcPr>
            <w:tcW w:w="587" w:type="dxa"/>
            <w:shd w:val="clear" w:color="auto" w:fill="auto"/>
          </w:tcPr>
          <w:p w14:paraId="1C6CE078">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5</w:t>
            </w:r>
          </w:p>
        </w:tc>
        <w:tc>
          <w:tcPr>
            <w:tcW w:w="1822" w:type="dxa"/>
            <w:shd w:val="clear" w:color="auto" w:fill="auto"/>
          </w:tcPr>
          <w:p w14:paraId="51BF4956">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Assumptions</w:t>
            </w:r>
          </w:p>
          <w:p w14:paraId="7EA3A4A9">
            <w:pPr>
              <w:spacing w:before="96" w:beforeLines="40" w:after="96" w:afterLines="40" w:line="24" w:lineRule="atLeast"/>
              <w:jc w:val="center"/>
              <w:rPr>
                <w:rFonts w:eastAsia="Cambria"/>
                <w:sz w:val="18"/>
                <w:szCs w:val="18"/>
                <w:lang w:val="en-GB" w:eastAsia="en-US"/>
              </w:rPr>
            </w:pPr>
          </w:p>
        </w:tc>
        <w:tc>
          <w:tcPr>
            <w:tcW w:w="7041" w:type="dxa"/>
            <w:shd w:val="clear" w:color="auto" w:fill="auto"/>
          </w:tcPr>
          <w:p w14:paraId="619DFBDE">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Explicitly state the three core IV assumptions for the main analysis (relevance, independence and exclusion restriction) as well assumptions for any additional or sensitivity analysis</w:t>
            </w:r>
          </w:p>
        </w:tc>
        <w:tc>
          <w:tcPr>
            <w:tcW w:w="720" w:type="dxa"/>
            <w:vAlign w:val="top"/>
          </w:tcPr>
          <w:p w14:paraId="773B8DC3">
            <w:pPr>
              <w:tabs>
                <w:tab w:val="left" w:pos="1620"/>
              </w:tabs>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5-6</w:t>
            </w:r>
          </w:p>
        </w:tc>
        <w:tc>
          <w:tcPr>
            <w:tcW w:w="4320" w:type="dxa"/>
            <w:vAlign w:val="top"/>
          </w:tcPr>
          <w:p w14:paraId="709C55A4">
            <w:pPr>
              <w:tabs>
                <w:tab w:val="left" w:pos="1620"/>
              </w:tabs>
              <w:spacing w:before="96" w:beforeLines="40" w:after="96" w:afterLines="40" w:line="24" w:lineRule="atLeast"/>
              <w:rPr>
                <w:rFonts w:eastAsia="Times New Roman"/>
                <w:sz w:val="18"/>
                <w:szCs w:val="18"/>
                <w:lang w:val="en-GB" w:eastAsia="en-GB"/>
              </w:rPr>
            </w:pPr>
            <w:r>
              <w:rPr>
                <w:rFonts w:hint="eastAsia" w:ascii="Arial" w:hAnsi="Arial" w:eastAsia="Times New Roman" w:cs="Arial"/>
                <w:sz w:val="18"/>
                <w:szCs w:val="18"/>
                <w:lang w:val="en-GB" w:eastAsia="en-GB"/>
              </w:rPr>
              <w:t xml:space="preserve">The fundamental tenets of MR analysis, namely relevance, independence, and exclusion restriction, were upheld throughout this investigation, </w:t>
            </w:r>
            <w:r>
              <w:rPr>
                <w:rFonts w:ascii="Arial" w:hAnsi="Arial" w:eastAsia="Times New Roman" w:cs="Arial"/>
                <w:sz w:val="18"/>
                <w:szCs w:val="18"/>
                <w:lang w:val="en-GB" w:eastAsia="en-GB"/>
              </w:rPr>
              <w:t xml:space="preserve">which mean (1) selected genetic variants are robustly associated with the exposure; (2) </w:t>
            </w:r>
            <w:r>
              <w:rPr>
                <w:rFonts w:hint="eastAsia" w:ascii="Arial" w:hAnsi="Arial" w:eastAsia="Times New Roman" w:cs="Arial"/>
                <w:sz w:val="18"/>
                <w:szCs w:val="18"/>
                <w:lang w:val="en-GB" w:eastAsia="en-GB"/>
              </w:rPr>
              <w:t>the genetic variants remain independent of potential confounding factors</w:t>
            </w:r>
            <w:r>
              <w:rPr>
                <w:rFonts w:ascii="Arial" w:hAnsi="Arial" w:eastAsia="Times New Roman" w:cs="Arial"/>
                <w:sz w:val="18"/>
                <w:szCs w:val="18"/>
                <w:lang w:val="en-GB" w:eastAsia="en-GB"/>
              </w:rPr>
              <w:t xml:space="preserve">; (3) </w:t>
            </w:r>
            <w:r>
              <w:rPr>
                <w:rFonts w:hint="eastAsia" w:ascii="Arial" w:hAnsi="Arial" w:eastAsia="Times New Roman" w:cs="Arial"/>
                <w:sz w:val="18"/>
                <w:szCs w:val="18"/>
                <w:lang w:val="en-GB" w:eastAsia="en-GB"/>
              </w:rPr>
              <w:t>their sole influence on the outcome is mediated through the exposure</w:t>
            </w:r>
            <w:r>
              <w:rPr>
                <w:rFonts w:ascii="Arial" w:hAnsi="Arial" w:eastAsia="Times New Roman" w:cs="Arial"/>
                <w:sz w:val="18"/>
                <w:szCs w:val="18"/>
                <w:lang w:val="en-GB" w:eastAsia="en-GB"/>
              </w:rPr>
              <w:t xml:space="preserve">. </w:t>
            </w:r>
          </w:p>
        </w:tc>
      </w:tr>
      <w:tr w14:paraId="1ECE6CC5">
        <w:tblPrEx>
          <w:tblCellMar>
            <w:top w:w="0" w:type="dxa"/>
            <w:left w:w="108" w:type="dxa"/>
            <w:bottom w:w="0" w:type="dxa"/>
            <w:right w:w="108" w:type="dxa"/>
          </w:tblCellMar>
        </w:tblPrEx>
        <w:trPr>
          <w:trHeight w:val="964" w:hRule="atLeast"/>
        </w:trPr>
        <w:tc>
          <w:tcPr>
            <w:tcW w:w="587" w:type="dxa"/>
            <w:shd w:val="clear" w:color="auto" w:fill="EEEEEE"/>
          </w:tcPr>
          <w:p w14:paraId="5DCFD0FD">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6</w:t>
            </w:r>
          </w:p>
        </w:tc>
        <w:tc>
          <w:tcPr>
            <w:tcW w:w="1822" w:type="dxa"/>
            <w:shd w:val="clear" w:color="auto" w:fill="EEEEEE"/>
          </w:tcPr>
          <w:p w14:paraId="122F8ADC">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Statistical methods: main analysis</w:t>
            </w:r>
          </w:p>
        </w:tc>
        <w:tc>
          <w:tcPr>
            <w:tcW w:w="7041" w:type="dxa"/>
            <w:shd w:val="clear" w:color="auto" w:fill="EEEEEE"/>
          </w:tcPr>
          <w:p w14:paraId="5E644583">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statistical methods and statistics used</w:t>
            </w:r>
          </w:p>
        </w:tc>
        <w:tc>
          <w:tcPr>
            <w:tcW w:w="720" w:type="dxa"/>
            <w:shd w:val="clear" w:color="auto" w:fill="EEEEEE"/>
          </w:tcPr>
          <w:p w14:paraId="3CEE5948">
            <w:pPr>
              <w:spacing w:before="96" w:beforeLines="40" w:after="96" w:afterLines="40" w:line="24" w:lineRule="atLeast"/>
              <w:rPr>
                <w:rFonts w:hint="default" w:ascii="Arial" w:hAnsi="Arial" w:eastAsia="宋体" w:cs="Arial"/>
                <w:sz w:val="18"/>
                <w:szCs w:val="18"/>
                <w:lang w:val="en-US" w:eastAsia="zh-CN"/>
              </w:rPr>
            </w:pPr>
            <w:r>
              <w:rPr>
                <w:rFonts w:hint="eastAsia" w:ascii="Arial" w:hAnsi="Arial" w:eastAsia="宋体" w:cs="Arial"/>
                <w:sz w:val="18"/>
                <w:szCs w:val="18"/>
                <w:lang w:val="en-US" w:eastAsia="zh-CN"/>
              </w:rPr>
              <w:t>6</w:t>
            </w:r>
            <w:r>
              <w:rPr>
                <w:rFonts w:hint="eastAsia" w:eastAsia="宋体" w:cs="Arial"/>
                <w:sz w:val="18"/>
                <w:szCs w:val="18"/>
                <w:lang w:val="en-US" w:eastAsia="zh-CN"/>
              </w:rPr>
              <w:t>-</w:t>
            </w:r>
            <w:r>
              <w:rPr>
                <w:rFonts w:hint="eastAsia" w:ascii="Arial" w:hAnsi="Arial" w:eastAsia="宋体" w:cs="Arial"/>
                <w:sz w:val="18"/>
                <w:szCs w:val="18"/>
                <w:lang w:val="en-US" w:eastAsia="zh-CN"/>
              </w:rPr>
              <w:t>1</w:t>
            </w:r>
            <w:r>
              <w:rPr>
                <w:rFonts w:hint="eastAsia" w:eastAsia="宋体" w:cs="Arial"/>
                <w:sz w:val="18"/>
                <w:szCs w:val="18"/>
                <w:lang w:val="en-US" w:eastAsia="zh-CN"/>
              </w:rPr>
              <w:t>1</w:t>
            </w:r>
          </w:p>
        </w:tc>
        <w:tc>
          <w:tcPr>
            <w:tcW w:w="4320" w:type="dxa"/>
            <w:shd w:val="clear" w:color="auto" w:fill="EEEEEE"/>
          </w:tcPr>
          <w:p w14:paraId="272C28C6">
            <w:pPr>
              <w:keepNext w:val="0"/>
              <w:keepLines w:val="0"/>
              <w:pageBreakBefore w:val="0"/>
              <w:kinsoku/>
              <w:wordWrap/>
              <w:overflowPunct/>
              <w:topLinePunct w:val="0"/>
              <w:autoSpaceDE/>
              <w:autoSpaceDN/>
              <w:bidi w:val="0"/>
              <w:spacing w:line="480" w:lineRule="auto"/>
              <w:textAlignment w:val="auto"/>
              <w:rPr>
                <w:rFonts w:ascii="Arial" w:hAnsi="Arial" w:eastAsia="Times New Roman" w:cs="Arial"/>
                <w:sz w:val="18"/>
                <w:szCs w:val="18"/>
                <w:lang w:val="en-GB" w:eastAsia="en-GB"/>
              </w:rPr>
            </w:pPr>
            <w:r>
              <w:rPr>
                <w:rFonts w:hint="default" w:ascii="Arial" w:hAnsi="Arial" w:eastAsia="Times New Roman" w:cs="Arial"/>
                <w:sz w:val="18"/>
                <w:szCs w:val="18"/>
                <w:lang w:val="en-GB" w:eastAsia="en-GB"/>
              </w:rPr>
              <w:t xml:space="preserve">Summary statistics of explore and outcome </w:t>
            </w:r>
            <w:r>
              <w:rPr>
                <w:rFonts w:hint="eastAsia" w:ascii="Arial" w:hAnsi="Arial" w:eastAsia="Times New Roman" w:cs="Arial"/>
                <w:sz w:val="18"/>
                <w:szCs w:val="18"/>
                <w:lang w:val="en-US" w:eastAsia="zh-CN"/>
              </w:rPr>
              <w:t xml:space="preserve">and </w:t>
            </w:r>
            <w:r>
              <w:rPr>
                <w:rFonts w:hint="default" w:ascii="Arial" w:hAnsi="Arial" w:eastAsia="Times New Roman" w:cs="Arial"/>
                <w:sz w:val="18"/>
                <w:szCs w:val="18"/>
                <w:lang w:val="en-GB" w:eastAsia="en-GB"/>
              </w:rPr>
              <w:t>Statistical Analysis</w:t>
            </w:r>
          </w:p>
        </w:tc>
      </w:tr>
      <w:tr w14:paraId="2782FE29">
        <w:tblPrEx>
          <w:tblCellMar>
            <w:top w:w="0" w:type="dxa"/>
            <w:left w:w="108" w:type="dxa"/>
            <w:bottom w:w="0" w:type="dxa"/>
            <w:right w:w="108" w:type="dxa"/>
          </w:tblCellMar>
        </w:tblPrEx>
        <w:tc>
          <w:tcPr>
            <w:tcW w:w="587" w:type="dxa"/>
            <w:shd w:val="clear" w:color="auto" w:fill="auto"/>
          </w:tcPr>
          <w:p w14:paraId="64170B71">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0C7B21E9">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14:paraId="79E9EA85">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how quantitative variables were handled in the analyses (i.e., scale, units, model)</w:t>
            </w:r>
          </w:p>
        </w:tc>
        <w:tc>
          <w:tcPr>
            <w:tcW w:w="720" w:type="dxa"/>
          </w:tcPr>
          <w:p w14:paraId="07CCD31A">
            <w:pPr>
              <w:spacing w:before="96" w:beforeLines="40" w:after="96" w:afterLines="40" w:line="24" w:lineRule="atLeast"/>
              <w:rPr>
                <w:rFonts w:eastAsia="Times New Roman"/>
                <w:sz w:val="18"/>
                <w:szCs w:val="18"/>
                <w:lang w:val="en-GB" w:eastAsia="en-GB"/>
              </w:rPr>
            </w:pPr>
            <w:r>
              <w:rPr>
                <w:rFonts w:hint="eastAsia" w:eastAsia="宋体"/>
                <w:sz w:val="18"/>
                <w:szCs w:val="18"/>
                <w:lang w:val="en-US" w:eastAsia="zh-CN"/>
              </w:rPr>
              <w:t>NA</w:t>
            </w:r>
          </w:p>
        </w:tc>
        <w:tc>
          <w:tcPr>
            <w:tcW w:w="4320" w:type="dxa"/>
          </w:tcPr>
          <w:p w14:paraId="4EB284CB">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NA</w:t>
            </w:r>
          </w:p>
        </w:tc>
      </w:tr>
      <w:tr w14:paraId="0CBB9F6A">
        <w:tblPrEx>
          <w:tblCellMar>
            <w:top w:w="0" w:type="dxa"/>
            <w:left w:w="108" w:type="dxa"/>
            <w:bottom w:w="0" w:type="dxa"/>
            <w:right w:w="108" w:type="dxa"/>
          </w:tblCellMar>
        </w:tblPrEx>
        <w:tc>
          <w:tcPr>
            <w:tcW w:w="587" w:type="dxa"/>
            <w:shd w:val="clear" w:color="auto" w:fill="EEEEEE"/>
          </w:tcPr>
          <w:p w14:paraId="621CF3D9">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32B7EACE">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14:paraId="4FEB52BC">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how genetic variants were handled in the analyses and, if applicable, how their weights were selected</w:t>
            </w:r>
          </w:p>
        </w:tc>
        <w:tc>
          <w:tcPr>
            <w:tcW w:w="720" w:type="dxa"/>
            <w:shd w:val="clear" w:color="auto" w:fill="EEEEEE"/>
          </w:tcPr>
          <w:p w14:paraId="4B69F0F9">
            <w:pPr>
              <w:keepNext w:val="0"/>
              <w:keepLines w:val="0"/>
              <w:pageBreakBefore w:val="0"/>
              <w:kinsoku/>
              <w:wordWrap/>
              <w:overflowPunct/>
              <w:topLinePunct w:val="0"/>
              <w:autoSpaceDE/>
              <w:autoSpaceDN/>
              <w:bidi w:val="0"/>
              <w:spacing w:line="480" w:lineRule="auto"/>
              <w:textAlignment w:val="auto"/>
              <w:rPr>
                <w:rFonts w:hint="default" w:ascii="Arial" w:hAnsi="Arial" w:eastAsia="Times New Roman" w:cs="Arial"/>
                <w:sz w:val="18"/>
                <w:szCs w:val="18"/>
                <w:lang w:val="en-US" w:eastAsia="zh-CN"/>
              </w:rPr>
            </w:pPr>
            <w:r>
              <w:rPr>
                <w:rFonts w:hint="eastAsia" w:eastAsia="Times New Roman" w:cs="Arial"/>
                <w:sz w:val="18"/>
                <w:szCs w:val="18"/>
                <w:lang w:val="en-US" w:eastAsia="zh-CN"/>
              </w:rPr>
              <w:t>7</w:t>
            </w:r>
          </w:p>
        </w:tc>
        <w:tc>
          <w:tcPr>
            <w:tcW w:w="4320" w:type="dxa"/>
            <w:shd w:val="clear" w:color="auto" w:fill="EEEEEE"/>
          </w:tcPr>
          <w:p w14:paraId="211068C2">
            <w:pPr>
              <w:keepNext w:val="0"/>
              <w:keepLines w:val="0"/>
              <w:pageBreakBefore w:val="0"/>
              <w:kinsoku/>
              <w:wordWrap/>
              <w:overflowPunct/>
              <w:topLinePunct w:val="0"/>
              <w:autoSpaceDE/>
              <w:autoSpaceDN/>
              <w:bidi w:val="0"/>
              <w:spacing w:line="480" w:lineRule="auto"/>
              <w:textAlignment w:val="auto"/>
              <w:rPr>
                <w:rFonts w:hint="default" w:ascii="Arial" w:hAnsi="Arial" w:eastAsia="Times New Roman" w:cs="Arial"/>
                <w:sz w:val="18"/>
                <w:szCs w:val="18"/>
                <w:lang w:val="en-GB" w:eastAsia="en-GB"/>
              </w:rPr>
            </w:pPr>
            <w:r>
              <w:rPr>
                <w:rFonts w:hint="default" w:ascii="Arial" w:hAnsi="Arial" w:eastAsia="Times New Roman" w:cs="Arial"/>
                <w:sz w:val="18"/>
                <w:szCs w:val="18"/>
                <w:lang w:val="en-GB" w:eastAsia="en-GB"/>
              </w:rPr>
              <w:t>Selection of genetic variant</w:t>
            </w:r>
          </w:p>
          <w:p w14:paraId="684C3128">
            <w:pPr>
              <w:keepNext w:val="0"/>
              <w:keepLines w:val="0"/>
              <w:pageBreakBefore w:val="0"/>
              <w:kinsoku/>
              <w:wordWrap/>
              <w:overflowPunct/>
              <w:topLinePunct w:val="0"/>
              <w:autoSpaceDE/>
              <w:autoSpaceDN/>
              <w:bidi w:val="0"/>
              <w:spacing w:line="480" w:lineRule="auto"/>
              <w:textAlignment w:val="auto"/>
              <w:rPr>
                <w:rFonts w:hint="default" w:ascii="Arial" w:hAnsi="Arial" w:eastAsia="Times New Roman" w:cs="Arial"/>
                <w:sz w:val="18"/>
                <w:szCs w:val="18"/>
                <w:lang w:val="en-GB" w:eastAsia="en-GB"/>
              </w:rPr>
            </w:pPr>
          </w:p>
        </w:tc>
      </w:tr>
      <w:tr w14:paraId="52BF3E42">
        <w:tblPrEx>
          <w:tblCellMar>
            <w:top w:w="0" w:type="dxa"/>
            <w:left w:w="108" w:type="dxa"/>
            <w:bottom w:w="0" w:type="dxa"/>
            <w:right w:w="108" w:type="dxa"/>
          </w:tblCellMar>
        </w:tblPrEx>
        <w:tc>
          <w:tcPr>
            <w:tcW w:w="587" w:type="dxa"/>
            <w:shd w:val="clear" w:color="auto" w:fill="auto"/>
          </w:tcPr>
          <w:p w14:paraId="2367D483">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393B12B8">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auto"/>
          </w:tcPr>
          <w:p w14:paraId="7A23519F">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the MR estimator (e.g. two-stage least squares, Wald ratio) and related statistics. Detail the included covariates and, in case of two-sample MR, whether the same covariate set was used for adjustment in the two samples</w:t>
            </w:r>
          </w:p>
        </w:tc>
        <w:tc>
          <w:tcPr>
            <w:tcW w:w="720" w:type="dxa"/>
            <w:vAlign w:val="top"/>
          </w:tcPr>
          <w:p w14:paraId="51357D38">
            <w:pPr>
              <w:spacing w:before="96" w:beforeLines="40" w:after="96" w:afterLines="40" w:line="24" w:lineRule="atLeast"/>
              <w:rPr>
                <w:rFonts w:eastAsia="Times New Roman"/>
                <w:sz w:val="18"/>
                <w:szCs w:val="18"/>
                <w:lang w:val="en-GB" w:eastAsia="en-GB"/>
              </w:rPr>
            </w:pPr>
            <w:r>
              <w:rPr>
                <w:rFonts w:hint="eastAsia" w:eastAsia="宋体"/>
                <w:sz w:val="18"/>
                <w:szCs w:val="18"/>
                <w:lang w:val="en-US" w:eastAsia="zh-CN"/>
              </w:rPr>
              <w:t>8-9</w:t>
            </w:r>
          </w:p>
        </w:tc>
        <w:tc>
          <w:tcPr>
            <w:tcW w:w="4320" w:type="dxa"/>
            <w:vAlign w:val="top"/>
          </w:tcPr>
          <w:p w14:paraId="6B8303C5">
            <w:pPr>
              <w:pStyle w:val="2"/>
              <w:keepNext w:val="0"/>
              <w:keepLines w:val="0"/>
              <w:pageBreakBefore w:val="0"/>
              <w:widowControl/>
              <w:shd w:val="clear" w:color="auto" w:fill="FFFFFF"/>
              <w:kinsoku/>
              <w:wordWrap/>
              <w:overflowPunct/>
              <w:topLinePunct w:val="0"/>
              <w:autoSpaceDE/>
              <w:autoSpaceDN/>
              <w:bidi w:val="0"/>
              <w:spacing w:beforeAutospacing="0" w:afterAutospacing="0" w:line="480" w:lineRule="auto"/>
              <w:textAlignment w:val="auto"/>
              <w:rPr>
                <w:rFonts w:hint="default" w:ascii="Arial" w:hAnsi="Arial" w:eastAsia="Times New Roman" w:cs="Arial"/>
                <w:b w:val="0"/>
                <w:bCs w:val="0"/>
                <w:kern w:val="0"/>
                <w:sz w:val="18"/>
                <w:szCs w:val="18"/>
                <w:lang w:val="en-GB" w:eastAsia="en-GB" w:bidi="ar-SA"/>
              </w:rPr>
            </w:pPr>
            <w:r>
              <w:rPr>
                <w:rFonts w:hint="default" w:ascii="Arial" w:hAnsi="Arial" w:eastAsia="Times New Roman" w:cs="Arial"/>
                <w:b w:val="0"/>
                <w:bCs w:val="0"/>
                <w:kern w:val="0"/>
                <w:sz w:val="18"/>
                <w:szCs w:val="18"/>
                <w:lang w:val="en-GB" w:eastAsia="en-GB" w:bidi="ar-SA"/>
              </w:rPr>
              <w:t>Mendelian randomization analysis</w:t>
            </w:r>
          </w:p>
          <w:p w14:paraId="12547719">
            <w:pPr>
              <w:spacing w:before="96" w:beforeLines="40" w:after="96" w:afterLines="40" w:line="24" w:lineRule="atLeast"/>
              <w:rPr>
                <w:rFonts w:eastAsia="Times New Roman"/>
                <w:sz w:val="18"/>
                <w:szCs w:val="18"/>
                <w:lang w:val="en-GB" w:eastAsia="en-GB"/>
              </w:rPr>
            </w:pPr>
          </w:p>
        </w:tc>
      </w:tr>
      <w:tr w14:paraId="0520E2B5">
        <w:tblPrEx>
          <w:tblCellMar>
            <w:top w:w="0" w:type="dxa"/>
            <w:left w:w="108" w:type="dxa"/>
            <w:bottom w:w="0" w:type="dxa"/>
            <w:right w:w="108" w:type="dxa"/>
          </w:tblCellMar>
        </w:tblPrEx>
        <w:tc>
          <w:tcPr>
            <w:tcW w:w="587" w:type="dxa"/>
            <w:shd w:val="clear" w:color="auto" w:fill="EEEEEE"/>
          </w:tcPr>
          <w:p w14:paraId="1FF91FFA">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7791DE5D">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EEEEEE"/>
          </w:tcPr>
          <w:p w14:paraId="3EA0A0CE">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Explain how missing data were addressed</w:t>
            </w:r>
          </w:p>
        </w:tc>
        <w:tc>
          <w:tcPr>
            <w:tcW w:w="720" w:type="dxa"/>
            <w:shd w:val="clear" w:color="auto" w:fill="EEEEEE"/>
          </w:tcPr>
          <w:p w14:paraId="6A204092">
            <w:pPr>
              <w:spacing w:before="96" w:beforeLines="40" w:after="96" w:afterLines="40" w:line="24" w:lineRule="atLeast"/>
              <w:rPr>
                <w:rFonts w:eastAsia="Times New Roman"/>
                <w:sz w:val="18"/>
                <w:szCs w:val="18"/>
                <w:lang w:val="en-GB" w:eastAsia="en-GB"/>
              </w:rPr>
            </w:pPr>
            <w:r>
              <w:rPr>
                <w:rFonts w:hint="eastAsia" w:eastAsia="宋体"/>
                <w:sz w:val="18"/>
                <w:szCs w:val="18"/>
                <w:lang w:val="en-US" w:eastAsia="zh-CN"/>
              </w:rPr>
              <w:t>NA</w:t>
            </w:r>
          </w:p>
        </w:tc>
        <w:tc>
          <w:tcPr>
            <w:tcW w:w="4320" w:type="dxa"/>
            <w:shd w:val="clear" w:color="auto" w:fill="EEEEEE"/>
          </w:tcPr>
          <w:p w14:paraId="73928F85">
            <w:pPr>
              <w:spacing w:before="96" w:beforeLines="40" w:after="96" w:afterLines="40" w:line="24" w:lineRule="atLeast"/>
              <w:rPr>
                <w:rFonts w:eastAsia="Times New Roman"/>
                <w:sz w:val="18"/>
                <w:szCs w:val="18"/>
                <w:lang w:val="en-GB" w:eastAsia="en-GB"/>
              </w:rPr>
            </w:pPr>
            <w:r>
              <w:rPr>
                <w:rFonts w:hint="eastAsia" w:eastAsia="宋体"/>
                <w:sz w:val="18"/>
                <w:szCs w:val="18"/>
                <w:lang w:val="en-US" w:eastAsia="zh-CN"/>
              </w:rPr>
              <w:t>NA</w:t>
            </w:r>
          </w:p>
        </w:tc>
      </w:tr>
      <w:tr w14:paraId="4255B20B">
        <w:tblPrEx>
          <w:tblCellMar>
            <w:top w:w="0" w:type="dxa"/>
            <w:left w:w="108" w:type="dxa"/>
            <w:bottom w:w="0" w:type="dxa"/>
            <w:right w:w="108" w:type="dxa"/>
          </w:tblCellMar>
        </w:tblPrEx>
        <w:tc>
          <w:tcPr>
            <w:tcW w:w="587" w:type="dxa"/>
            <w:shd w:val="clear" w:color="auto" w:fill="auto"/>
          </w:tcPr>
          <w:p w14:paraId="4D37E24B">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7071CC83">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e)</w:t>
            </w:r>
          </w:p>
        </w:tc>
        <w:tc>
          <w:tcPr>
            <w:tcW w:w="7041" w:type="dxa"/>
            <w:shd w:val="clear" w:color="auto" w:fill="auto"/>
          </w:tcPr>
          <w:p w14:paraId="0C5EC98B">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If applicable, indicate how multiple testing was addressed</w:t>
            </w:r>
          </w:p>
        </w:tc>
        <w:tc>
          <w:tcPr>
            <w:tcW w:w="720" w:type="dxa"/>
          </w:tcPr>
          <w:p w14:paraId="50EEDA4D">
            <w:pPr>
              <w:spacing w:before="96" w:beforeLines="40" w:after="96" w:afterLines="40" w:line="24" w:lineRule="atLeast"/>
              <w:rPr>
                <w:rFonts w:eastAsia="Times New Roman"/>
                <w:sz w:val="18"/>
                <w:szCs w:val="18"/>
                <w:lang w:val="en-GB" w:eastAsia="en-GB"/>
              </w:rPr>
            </w:pPr>
            <w:r>
              <w:rPr>
                <w:rFonts w:hint="eastAsia" w:eastAsia="宋体"/>
                <w:sz w:val="18"/>
                <w:szCs w:val="18"/>
                <w:lang w:val="en-US" w:eastAsia="zh-CN"/>
              </w:rPr>
              <w:t>NA</w:t>
            </w:r>
          </w:p>
        </w:tc>
        <w:tc>
          <w:tcPr>
            <w:tcW w:w="4320" w:type="dxa"/>
          </w:tcPr>
          <w:p w14:paraId="6FFA7335">
            <w:pPr>
              <w:spacing w:before="96" w:beforeLines="40" w:after="96" w:afterLines="40" w:line="24" w:lineRule="atLeast"/>
              <w:rPr>
                <w:rFonts w:eastAsia="Times New Roman"/>
                <w:sz w:val="18"/>
                <w:szCs w:val="18"/>
                <w:lang w:val="en-GB" w:eastAsia="en-GB"/>
              </w:rPr>
            </w:pPr>
            <w:r>
              <w:rPr>
                <w:rFonts w:hint="eastAsia" w:eastAsia="宋体"/>
                <w:sz w:val="18"/>
                <w:szCs w:val="18"/>
                <w:lang w:val="en-US" w:eastAsia="zh-CN"/>
              </w:rPr>
              <w:t>NA</w:t>
            </w:r>
          </w:p>
        </w:tc>
      </w:tr>
      <w:tr w14:paraId="6FC5A70B">
        <w:tblPrEx>
          <w:tblCellMar>
            <w:top w:w="0" w:type="dxa"/>
            <w:left w:w="108" w:type="dxa"/>
            <w:bottom w:w="0" w:type="dxa"/>
            <w:right w:w="108" w:type="dxa"/>
          </w:tblCellMar>
        </w:tblPrEx>
        <w:tc>
          <w:tcPr>
            <w:tcW w:w="587" w:type="dxa"/>
            <w:shd w:val="clear" w:color="auto" w:fill="EEEEEE"/>
          </w:tcPr>
          <w:p w14:paraId="770C28C1">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7</w:t>
            </w:r>
          </w:p>
        </w:tc>
        <w:tc>
          <w:tcPr>
            <w:tcW w:w="1822" w:type="dxa"/>
            <w:shd w:val="clear" w:color="auto" w:fill="EEEEEE"/>
          </w:tcPr>
          <w:p w14:paraId="1E383E1E">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Assessment of assumptions</w:t>
            </w:r>
          </w:p>
        </w:tc>
        <w:tc>
          <w:tcPr>
            <w:tcW w:w="7041" w:type="dxa"/>
            <w:shd w:val="clear" w:color="auto" w:fill="EEEEEE"/>
          </w:tcPr>
          <w:p w14:paraId="1E0ECF56">
            <w:pPr>
              <w:tabs>
                <w:tab w:val="left" w:pos="1620"/>
              </w:tabs>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any methods or prior knowledge used to assess the assumptions or justify their validity</w:t>
            </w:r>
            <w:r>
              <w:rPr>
                <w:rFonts w:eastAsia="Cambria"/>
                <w:sz w:val="18"/>
                <w:szCs w:val="18"/>
                <w:lang w:val="en-GB" w:eastAsia="en-US"/>
              </w:rPr>
              <w:tab/>
            </w:r>
          </w:p>
        </w:tc>
        <w:tc>
          <w:tcPr>
            <w:tcW w:w="720" w:type="dxa"/>
            <w:shd w:val="clear" w:color="auto" w:fill="EEEEEE"/>
          </w:tcPr>
          <w:p w14:paraId="2A815DDD">
            <w:pPr>
              <w:tabs>
                <w:tab w:val="left" w:pos="1620"/>
              </w:tabs>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5</w:t>
            </w:r>
          </w:p>
        </w:tc>
        <w:tc>
          <w:tcPr>
            <w:tcW w:w="4320" w:type="dxa"/>
            <w:shd w:val="clear" w:color="auto" w:fill="EEEEEE"/>
          </w:tcPr>
          <w:p w14:paraId="26F0B1E2">
            <w:pPr>
              <w:tabs>
                <w:tab w:val="left" w:pos="1620"/>
              </w:tabs>
              <w:spacing w:before="96" w:beforeLines="40" w:after="96" w:afterLines="40" w:line="24" w:lineRule="atLeast"/>
              <w:rPr>
                <w:rFonts w:eastAsia="Times New Roman"/>
                <w:sz w:val="18"/>
                <w:szCs w:val="18"/>
                <w:lang w:val="en-GB" w:eastAsia="en-GB"/>
              </w:rPr>
            </w:pPr>
            <w:r>
              <w:rPr>
                <w:rFonts w:hint="eastAsia" w:ascii="Arial" w:hAnsi="Arial" w:eastAsia="Times New Roman" w:cs="Arial"/>
                <w:sz w:val="18"/>
                <w:szCs w:val="18"/>
                <w:lang w:val="en-GB" w:eastAsia="en-GB"/>
              </w:rPr>
              <w:t xml:space="preserve">The fundamental tenets of MR analysis, namely relevance, independence, and exclusion restriction, were upheld throughout this investigation, </w:t>
            </w:r>
            <w:r>
              <w:rPr>
                <w:rFonts w:ascii="Arial" w:hAnsi="Arial" w:eastAsia="Times New Roman" w:cs="Arial"/>
                <w:sz w:val="18"/>
                <w:szCs w:val="18"/>
                <w:lang w:val="en-GB" w:eastAsia="en-GB"/>
              </w:rPr>
              <w:t xml:space="preserve">which mean (1) selected genetic variants are robustly associated with the exposure; (2) </w:t>
            </w:r>
            <w:r>
              <w:rPr>
                <w:rFonts w:hint="eastAsia" w:ascii="Arial" w:hAnsi="Arial" w:eastAsia="Times New Roman" w:cs="Arial"/>
                <w:sz w:val="18"/>
                <w:szCs w:val="18"/>
                <w:lang w:val="en-GB" w:eastAsia="en-GB"/>
              </w:rPr>
              <w:t>the genetic variants remain independent of potential confounding factors</w:t>
            </w:r>
            <w:r>
              <w:rPr>
                <w:rFonts w:ascii="Arial" w:hAnsi="Arial" w:eastAsia="Times New Roman" w:cs="Arial"/>
                <w:sz w:val="18"/>
                <w:szCs w:val="18"/>
                <w:lang w:val="en-GB" w:eastAsia="en-GB"/>
              </w:rPr>
              <w:t xml:space="preserve">; (3) </w:t>
            </w:r>
            <w:r>
              <w:rPr>
                <w:rFonts w:hint="eastAsia" w:ascii="Arial" w:hAnsi="Arial" w:eastAsia="Times New Roman" w:cs="Arial"/>
                <w:sz w:val="18"/>
                <w:szCs w:val="18"/>
                <w:lang w:val="en-GB" w:eastAsia="en-GB"/>
              </w:rPr>
              <w:t>their sole influence on the outcome is mediated through the exposure</w:t>
            </w:r>
            <w:r>
              <w:rPr>
                <w:rFonts w:ascii="Arial" w:hAnsi="Arial" w:eastAsia="Times New Roman" w:cs="Arial"/>
                <w:sz w:val="18"/>
                <w:szCs w:val="18"/>
                <w:lang w:val="en-GB" w:eastAsia="en-GB"/>
              </w:rPr>
              <w:t xml:space="preserve">. </w:t>
            </w:r>
          </w:p>
        </w:tc>
      </w:tr>
      <w:tr w14:paraId="6B55F68D">
        <w:tblPrEx>
          <w:tblCellMar>
            <w:top w:w="0" w:type="dxa"/>
            <w:left w:w="108" w:type="dxa"/>
            <w:bottom w:w="0" w:type="dxa"/>
            <w:right w:w="108" w:type="dxa"/>
          </w:tblCellMar>
        </w:tblPrEx>
        <w:tc>
          <w:tcPr>
            <w:tcW w:w="587" w:type="dxa"/>
            <w:shd w:val="clear" w:color="auto" w:fill="auto"/>
          </w:tcPr>
          <w:p w14:paraId="7F497D17">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8</w:t>
            </w:r>
          </w:p>
        </w:tc>
        <w:tc>
          <w:tcPr>
            <w:tcW w:w="1822" w:type="dxa"/>
            <w:shd w:val="clear" w:color="auto" w:fill="auto"/>
          </w:tcPr>
          <w:p w14:paraId="0E2B9699">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Sensitivity analyses and additional analyses</w:t>
            </w:r>
          </w:p>
        </w:tc>
        <w:tc>
          <w:tcPr>
            <w:tcW w:w="7041" w:type="dxa"/>
            <w:shd w:val="clear" w:color="auto" w:fill="auto"/>
          </w:tcPr>
          <w:p w14:paraId="4E39AE78">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any sensitivity analyses or additional analyses performed (e.g. comparison of effect estimates from different approaches, independent replication, bias analytic techniques, validation of instruments, simulations)</w:t>
            </w:r>
          </w:p>
        </w:tc>
        <w:tc>
          <w:tcPr>
            <w:tcW w:w="720" w:type="dxa"/>
          </w:tcPr>
          <w:p w14:paraId="7A3F9330">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8-9</w:t>
            </w:r>
          </w:p>
        </w:tc>
        <w:tc>
          <w:tcPr>
            <w:tcW w:w="4320" w:type="dxa"/>
          </w:tcPr>
          <w:p w14:paraId="3502D19F">
            <w:pPr>
              <w:pStyle w:val="2"/>
              <w:keepNext w:val="0"/>
              <w:keepLines w:val="0"/>
              <w:pageBreakBefore w:val="0"/>
              <w:widowControl/>
              <w:shd w:val="clear" w:color="auto" w:fill="FFFFFF"/>
              <w:kinsoku/>
              <w:wordWrap/>
              <w:overflowPunct/>
              <w:topLinePunct w:val="0"/>
              <w:autoSpaceDE/>
              <w:autoSpaceDN/>
              <w:bidi w:val="0"/>
              <w:spacing w:beforeAutospacing="0" w:afterAutospacing="0" w:line="480" w:lineRule="auto"/>
              <w:textAlignment w:val="auto"/>
              <w:rPr>
                <w:rFonts w:hint="default" w:ascii="Arial" w:hAnsi="Arial" w:eastAsia="Times New Roman" w:cs="Arial"/>
                <w:b w:val="0"/>
                <w:bCs w:val="0"/>
                <w:kern w:val="0"/>
                <w:sz w:val="18"/>
                <w:szCs w:val="18"/>
                <w:lang w:val="en-GB" w:eastAsia="en-GB" w:bidi="ar-SA"/>
              </w:rPr>
            </w:pPr>
            <w:r>
              <w:rPr>
                <w:rFonts w:hint="default" w:ascii="Arial" w:hAnsi="Arial" w:eastAsia="Times New Roman" w:cs="Arial"/>
                <w:b w:val="0"/>
                <w:bCs w:val="0"/>
                <w:kern w:val="0"/>
                <w:sz w:val="18"/>
                <w:szCs w:val="18"/>
                <w:lang w:val="en-GB" w:eastAsia="en-GB" w:bidi="ar-SA"/>
              </w:rPr>
              <w:t>Mendelian randomization analysis</w:t>
            </w:r>
          </w:p>
          <w:p w14:paraId="7E445243">
            <w:pPr>
              <w:spacing w:before="96" w:beforeLines="40" w:after="96" w:afterLines="40" w:line="24" w:lineRule="atLeast"/>
              <w:rPr>
                <w:rFonts w:eastAsia="Times New Roman"/>
                <w:sz w:val="18"/>
                <w:szCs w:val="18"/>
                <w:lang w:val="en-GB" w:eastAsia="en-GB"/>
              </w:rPr>
            </w:pPr>
          </w:p>
        </w:tc>
      </w:tr>
      <w:tr w14:paraId="7B6D7A3B">
        <w:tblPrEx>
          <w:tblCellMar>
            <w:top w:w="0" w:type="dxa"/>
            <w:left w:w="108" w:type="dxa"/>
            <w:bottom w:w="0" w:type="dxa"/>
            <w:right w:w="108" w:type="dxa"/>
          </w:tblCellMar>
        </w:tblPrEx>
        <w:tc>
          <w:tcPr>
            <w:tcW w:w="587" w:type="dxa"/>
            <w:shd w:val="clear" w:color="auto" w:fill="EEEEEE"/>
          </w:tcPr>
          <w:p w14:paraId="07D929BD">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9</w:t>
            </w:r>
          </w:p>
        </w:tc>
        <w:tc>
          <w:tcPr>
            <w:tcW w:w="1822" w:type="dxa"/>
            <w:shd w:val="clear" w:color="auto" w:fill="EEEEEE"/>
          </w:tcPr>
          <w:p w14:paraId="5C6D62B9">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Software and pre-registration</w:t>
            </w:r>
          </w:p>
        </w:tc>
        <w:tc>
          <w:tcPr>
            <w:tcW w:w="7041" w:type="dxa"/>
            <w:shd w:val="clear" w:color="auto" w:fill="EEEEEE"/>
          </w:tcPr>
          <w:p w14:paraId="489E5804">
            <w:pPr>
              <w:spacing w:before="96" w:beforeLines="40" w:after="96" w:afterLines="40" w:line="24" w:lineRule="atLeast"/>
              <w:rPr>
                <w:rFonts w:eastAsia="Cambria"/>
                <w:sz w:val="18"/>
                <w:szCs w:val="18"/>
                <w:lang w:val="en-GB" w:eastAsia="en-US"/>
              </w:rPr>
            </w:pPr>
          </w:p>
        </w:tc>
        <w:tc>
          <w:tcPr>
            <w:tcW w:w="720" w:type="dxa"/>
            <w:shd w:val="clear" w:color="auto" w:fill="EEEEEE"/>
          </w:tcPr>
          <w:p w14:paraId="6D391FEC">
            <w:pPr>
              <w:spacing w:before="96" w:beforeLines="40" w:after="96" w:afterLines="40" w:line="24" w:lineRule="atLeast"/>
              <w:rPr>
                <w:rFonts w:eastAsia="Cambria"/>
                <w:sz w:val="18"/>
                <w:szCs w:val="18"/>
                <w:lang w:val="en-GB" w:eastAsia="en-US"/>
              </w:rPr>
            </w:pPr>
          </w:p>
        </w:tc>
        <w:tc>
          <w:tcPr>
            <w:tcW w:w="4320" w:type="dxa"/>
            <w:shd w:val="clear" w:color="auto" w:fill="EEEEEE"/>
          </w:tcPr>
          <w:p w14:paraId="41468225">
            <w:pPr>
              <w:spacing w:before="96" w:beforeLines="40" w:after="96" w:afterLines="40" w:line="24" w:lineRule="atLeast"/>
              <w:rPr>
                <w:rFonts w:eastAsia="Cambria"/>
                <w:sz w:val="18"/>
                <w:szCs w:val="18"/>
                <w:lang w:val="en-GB" w:eastAsia="en-US"/>
              </w:rPr>
            </w:pPr>
          </w:p>
        </w:tc>
      </w:tr>
      <w:tr w14:paraId="79BDCA87">
        <w:tblPrEx>
          <w:tblCellMar>
            <w:top w:w="0" w:type="dxa"/>
            <w:left w:w="108" w:type="dxa"/>
            <w:bottom w:w="0" w:type="dxa"/>
            <w:right w:w="108" w:type="dxa"/>
          </w:tblCellMar>
        </w:tblPrEx>
        <w:tc>
          <w:tcPr>
            <w:tcW w:w="587" w:type="dxa"/>
            <w:shd w:val="clear" w:color="auto" w:fill="auto"/>
          </w:tcPr>
          <w:p w14:paraId="2BFB1D61">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7C2336A7">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14:paraId="5777CA81">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Name statistical software and package(s), including version and settings used </w:t>
            </w:r>
          </w:p>
        </w:tc>
        <w:tc>
          <w:tcPr>
            <w:tcW w:w="720" w:type="dxa"/>
          </w:tcPr>
          <w:p w14:paraId="739D4F3B">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12-13</w:t>
            </w:r>
          </w:p>
        </w:tc>
        <w:tc>
          <w:tcPr>
            <w:tcW w:w="4320" w:type="dxa"/>
          </w:tcPr>
          <w:p w14:paraId="5821FEDE">
            <w:pPr>
              <w:spacing w:before="96" w:beforeLines="40" w:after="96" w:afterLines="40" w:line="24" w:lineRule="atLeast"/>
              <w:rPr>
                <w:rFonts w:hint="eastAsia" w:eastAsia="宋体"/>
                <w:sz w:val="18"/>
                <w:szCs w:val="18"/>
                <w:lang w:val="en-US" w:eastAsia="zh-CN"/>
              </w:rPr>
            </w:pPr>
            <w:r>
              <w:rPr>
                <w:rFonts w:ascii="Arial" w:hAnsi="Arial" w:eastAsia="Times New Roman" w:cs="Arial"/>
                <w:sz w:val="18"/>
                <w:szCs w:val="18"/>
                <w:lang w:val="en-GB" w:eastAsia="en-GB"/>
              </w:rPr>
              <w:t xml:space="preserve">R software </w:t>
            </w:r>
            <w:r>
              <w:rPr>
                <w:rFonts w:hint="eastAsia" w:ascii="Arial" w:hAnsi="Arial" w:eastAsia="Times New Roman" w:cs="Arial"/>
                <w:sz w:val="18"/>
                <w:szCs w:val="18"/>
                <w:lang w:val="en-GB" w:eastAsia="en-GB"/>
              </w:rPr>
              <w:t xml:space="preserve">assisted in performing all statistical analysis </w:t>
            </w:r>
            <w:r>
              <w:rPr>
                <w:rFonts w:ascii="Arial" w:hAnsi="Arial" w:eastAsia="Times New Roman" w:cs="Arial"/>
                <w:sz w:val="18"/>
                <w:szCs w:val="18"/>
                <w:lang w:val="en-GB" w:eastAsia="en-GB"/>
              </w:rPr>
              <w:t>(v4.0.4, https://www.r-project.org/)</w:t>
            </w:r>
            <w:r>
              <w:rPr>
                <w:rFonts w:hint="eastAsia" w:ascii="Arial" w:hAnsi="Arial" w:eastAsia="Times New Roman" w:cs="Arial"/>
                <w:sz w:val="18"/>
                <w:szCs w:val="18"/>
                <w:lang w:val="en-GB" w:eastAsia="en-GB"/>
              </w:rPr>
              <w:t>.</w:t>
            </w:r>
            <w:r>
              <w:rPr>
                <w:rFonts w:ascii="Arial" w:hAnsi="Arial" w:eastAsia="Times New Roman" w:cs="Arial"/>
                <w:sz w:val="18"/>
                <w:szCs w:val="18"/>
                <w:lang w:val="en-GB" w:eastAsia="en-GB"/>
              </w:rPr>
              <w:t xml:space="preserve"> </w:t>
            </w:r>
            <w:r>
              <w:rPr>
                <w:rFonts w:hint="eastAsia" w:ascii="Arial" w:hAnsi="Arial" w:eastAsia="Times New Roman" w:cs="Arial"/>
                <w:sz w:val="18"/>
                <w:szCs w:val="18"/>
                <w:lang w:val="en-GB" w:eastAsia="en-GB"/>
              </w:rPr>
              <w:t>MR</w:t>
            </w:r>
            <w:r>
              <w:rPr>
                <w:rFonts w:ascii="Arial" w:hAnsi="Arial" w:eastAsia="Times New Roman" w:cs="Arial"/>
                <w:sz w:val="18"/>
                <w:szCs w:val="18"/>
                <w:lang w:val="en-GB" w:eastAsia="en-GB"/>
              </w:rPr>
              <w:t xml:space="preserve"> analys</w:t>
            </w:r>
            <w:r>
              <w:rPr>
                <w:rFonts w:hint="eastAsia" w:ascii="Arial" w:hAnsi="Arial" w:eastAsia="Times New Roman" w:cs="Arial"/>
                <w:sz w:val="18"/>
                <w:szCs w:val="18"/>
                <w:lang w:val="en-GB" w:eastAsia="en-GB"/>
              </w:rPr>
              <w:t>is</w:t>
            </w:r>
            <w:r>
              <w:rPr>
                <w:rFonts w:ascii="Arial" w:hAnsi="Arial" w:eastAsia="Times New Roman" w:cs="Arial"/>
                <w:sz w:val="18"/>
                <w:szCs w:val="18"/>
                <w:lang w:val="en-GB" w:eastAsia="en-GB"/>
              </w:rPr>
              <w:t xml:space="preserve"> was conducted</w:t>
            </w:r>
            <w:r>
              <w:rPr>
                <w:rFonts w:hint="eastAsia" w:ascii="Arial" w:hAnsi="Arial" w:eastAsia="Times New Roman" w:cs="Arial"/>
                <w:sz w:val="18"/>
                <w:szCs w:val="18"/>
                <w:lang w:val="en-GB" w:eastAsia="en-GB"/>
              </w:rPr>
              <w:t xml:space="preserve"> </w:t>
            </w:r>
            <w:r>
              <w:rPr>
                <w:rFonts w:ascii="Arial" w:hAnsi="Arial" w:eastAsia="Times New Roman" w:cs="Arial"/>
                <w:sz w:val="18"/>
                <w:szCs w:val="18"/>
                <w:lang w:val="en-GB" w:eastAsia="en-GB"/>
              </w:rPr>
              <w:t>by using the “TwoSampleMR” package</w:t>
            </w:r>
            <w:r>
              <w:rPr>
                <w:rFonts w:hint="eastAsia" w:ascii="Arial" w:hAnsi="Arial" w:eastAsia="宋体" w:cs="Arial"/>
                <w:sz w:val="18"/>
                <w:szCs w:val="18"/>
                <w:lang w:val="en-US" w:eastAsia="zh-CN"/>
              </w:rPr>
              <w:t>.</w:t>
            </w:r>
          </w:p>
        </w:tc>
      </w:tr>
      <w:tr w14:paraId="4706B730">
        <w:tblPrEx>
          <w:tblCellMar>
            <w:top w:w="0" w:type="dxa"/>
            <w:left w:w="108" w:type="dxa"/>
            <w:bottom w:w="0" w:type="dxa"/>
            <w:right w:w="108" w:type="dxa"/>
          </w:tblCellMar>
        </w:tblPrEx>
        <w:tc>
          <w:tcPr>
            <w:tcW w:w="587" w:type="dxa"/>
            <w:tcBorders>
              <w:bottom w:val="single" w:color="7F7F7F" w:sz="6" w:space="0"/>
            </w:tcBorders>
            <w:shd w:val="clear" w:color="auto" w:fill="EEEEEE"/>
          </w:tcPr>
          <w:p w14:paraId="232CED6C">
            <w:pPr>
              <w:spacing w:before="96" w:beforeLines="40" w:after="96" w:afterLines="40" w:line="24" w:lineRule="atLeast"/>
              <w:jc w:val="right"/>
              <w:rPr>
                <w:rFonts w:eastAsia="Cambria"/>
                <w:b/>
                <w:bCs/>
                <w:sz w:val="18"/>
                <w:szCs w:val="18"/>
                <w:lang w:val="en-GB" w:eastAsia="en-US"/>
              </w:rPr>
            </w:pPr>
          </w:p>
        </w:tc>
        <w:tc>
          <w:tcPr>
            <w:tcW w:w="1822" w:type="dxa"/>
            <w:tcBorders>
              <w:bottom w:val="single" w:color="7F7F7F" w:sz="6" w:space="0"/>
            </w:tcBorders>
            <w:shd w:val="clear" w:color="auto" w:fill="EEEEEE"/>
          </w:tcPr>
          <w:p w14:paraId="557B4524">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tcBorders>
              <w:bottom w:val="single" w:color="7F7F7F" w:sz="6" w:space="0"/>
            </w:tcBorders>
            <w:shd w:val="clear" w:color="auto" w:fill="EEEEEE"/>
          </w:tcPr>
          <w:p w14:paraId="301D8AF5">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State whether the study protocol and details were pre-registered (as well as when and where)</w:t>
            </w:r>
          </w:p>
        </w:tc>
        <w:tc>
          <w:tcPr>
            <w:tcW w:w="720" w:type="dxa"/>
            <w:tcBorders>
              <w:bottom w:val="single" w:color="7F7F7F" w:sz="6" w:space="0"/>
            </w:tcBorders>
            <w:shd w:val="clear" w:color="auto" w:fill="EEEEEE"/>
          </w:tcPr>
          <w:p w14:paraId="614305A9">
            <w:pPr>
              <w:spacing w:before="96" w:beforeLines="40" w:after="96" w:afterLines="40" w:line="24" w:lineRule="atLeast"/>
              <w:rPr>
                <w:rFonts w:eastAsia="Times New Roman"/>
                <w:sz w:val="18"/>
                <w:szCs w:val="18"/>
                <w:lang w:val="en-GB" w:eastAsia="en-GB"/>
              </w:rPr>
            </w:pPr>
            <w:r>
              <w:rPr>
                <w:rFonts w:hint="eastAsia" w:eastAsia="宋体"/>
                <w:sz w:val="18"/>
                <w:szCs w:val="18"/>
                <w:lang w:val="en-US" w:eastAsia="zh-CN"/>
              </w:rPr>
              <w:t>NA</w:t>
            </w:r>
          </w:p>
        </w:tc>
        <w:tc>
          <w:tcPr>
            <w:tcW w:w="4320" w:type="dxa"/>
            <w:tcBorders>
              <w:bottom w:val="single" w:color="7F7F7F" w:sz="6" w:space="0"/>
            </w:tcBorders>
            <w:shd w:val="clear" w:color="auto" w:fill="EEEEEE"/>
          </w:tcPr>
          <w:p w14:paraId="50831E99">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NA</w:t>
            </w:r>
          </w:p>
        </w:tc>
      </w:tr>
      <w:tr w14:paraId="5DB0B040">
        <w:tblPrEx>
          <w:tblCellMar>
            <w:top w:w="0" w:type="dxa"/>
            <w:left w:w="108" w:type="dxa"/>
            <w:bottom w:w="0" w:type="dxa"/>
            <w:right w:w="108" w:type="dxa"/>
          </w:tblCellMar>
        </w:tblPrEx>
        <w:tc>
          <w:tcPr>
            <w:tcW w:w="587" w:type="dxa"/>
            <w:tcBorders>
              <w:top w:val="single" w:color="7F7F7F" w:sz="6" w:space="0"/>
            </w:tcBorders>
            <w:shd w:val="clear" w:color="auto" w:fill="auto"/>
          </w:tcPr>
          <w:p w14:paraId="7FB721B7">
            <w:pPr>
              <w:spacing w:before="96" w:beforeLines="40" w:after="96" w:afterLines="40" w:line="24" w:lineRule="atLeast"/>
              <w:rPr>
                <w:rFonts w:eastAsia="Times New Roman"/>
                <w:b/>
                <w:bCs/>
                <w:sz w:val="18"/>
                <w:szCs w:val="18"/>
                <w:lang w:val="en-GB" w:eastAsia="en-GB"/>
              </w:rPr>
            </w:pPr>
          </w:p>
        </w:tc>
        <w:tc>
          <w:tcPr>
            <w:tcW w:w="1822" w:type="dxa"/>
            <w:tcBorders>
              <w:top w:val="single" w:color="7F7F7F" w:sz="6" w:space="0"/>
            </w:tcBorders>
            <w:shd w:val="clear" w:color="auto" w:fill="auto"/>
          </w:tcPr>
          <w:p w14:paraId="4376D273">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RESULTS</w:t>
            </w:r>
          </w:p>
        </w:tc>
        <w:tc>
          <w:tcPr>
            <w:tcW w:w="7041" w:type="dxa"/>
            <w:tcBorders>
              <w:top w:val="single" w:color="7F7F7F" w:sz="6" w:space="0"/>
            </w:tcBorders>
            <w:shd w:val="clear" w:color="auto" w:fill="auto"/>
          </w:tcPr>
          <w:p w14:paraId="7474B152">
            <w:pPr>
              <w:spacing w:before="96" w:beforeLines="40" w:after="96" w:afterLines="40" w:line="24" w:lineRule="atLeast"/>
              <w:rPr>
                <w:rFonts w:eastAsia="Cambria"/>
                <w:sz w:val="18"/>
                <w:szCs w:val="18"/>
                <w:lang w:val="en-GB" w:eastAsia="en-US"/>
              </w:rPr>
            </w:pPr>
          </w:p>
        </w:tc>
        <w:tc>
          <w:tcPr>
            <w:tcW w:w="720" w:type="dxa"/>
            <w:tcBorders>
              <w:top w:val="single" w:color="7F7F7F" w:sz="6" w:space="0"/>
            </w:tcBorders>
          </w:tcPr>
          <w:p w14:paraId="21CE685C">
            <w:pPr>
              <w:spacing w:before="96" w:beforeLines="40" w:after="96" w:afterLines="40" w:line="24" w:lineRule="atLeast"/>
              <w:rPr>
                <w:rFonts w:eastAsia="Cambria"/>
                <w:sz w:val="18"/>
                <w:szCs w:val="18"/>
                <w:lang w:val="en-GB" w:eastAsia="en-US"/>
              </w:rPr>
            </w:pPr>
          </w:p>
        </w:tc>
        <w:tc>
          <w:tcPr>
            <w:tcW w:w="4320" w:type="dxa"/>
            <w:tcBorders>
              <w:top w:val="single" w:color="7F7F7F" w:sz="6" w:space="0"/>
            </w:tcBorders>
          </w:tcPr>
          <w:p w14:paraId="79B7F255">
            <w:pPr>
              <w:spacing w:before="96" w:beforeLines="40" w:after="96" w:afterLines="40" w:line="24" w:lineRule="atLeast"/>
              <w:rPr>
                <w:rFonts w:eastAsia="Cambria"/>
                <w:sz w:val="18"/>
                <w:szCs w:val="18"/>
                <w:lang w:val="en-GB" w:eastAsia="en-US"/>
              </w:rPr>
            </w:pPr>
          </w:p>
        </w:tc>
      </w:tr>
      <w:tr w14:paraId="6B2944E5">
        <w:tblPrEx>
          <w:tblCellMar>
            <w:top w:w="0" w:type="dxa"/>
            <w:left w:w="108" w:type="dxa"/>
            <w:bottom w:w="0" w:type="dxa"/>
            <w:right w:w="108" w:type="dxa"/>
          </w:tblCellMar>
        </w:tblPrEx>
        <w:tc>
          <w:tcPr>
            <w:tcW w:w="587" w:type="dxa"/>
            <w:shd w:val="clear" w:color="auto" w:fill="EEEEEE"/>
          </w:tcPr>
          <w:p w14:paraId="13225D77">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10</w:t>
            </w:r>
          </w:p>
        </w:tc>
        <w:tc>
          <w:tcPr>
            <w:tcW w:w="1822" w:type="dxa"/>
            <w:shd w:val="clear" w:color="auto" w:fill="EEEEEE"/>
          </w:tcPr>
          <w:p w14:paraId="1DCBA9BA">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Descriptive data</w:t>
            </w:r>
          </w:p>
        </w:tc>
        <w:tc>
          <w:tcPr>
            <w:tcW w:w="7041" w:type="dxa"/>
            <w:shd w:val="clear" w:color="auto" w:fill="EEEEEE"/>
          </w:tcPr>
          <w:p w14:paraId="62F6A2DE">
            <w:pPr>
              <w:spacing w:before="96" w:beforeLines="40" w:after="96" w:afterLines="40" w:line="24" w:lineRule="atLeast"/>
              <w:rPr>
                <w:rFonts w:eastAsia="Cambria"/>
                <w:sz w:val="18"/>
                <w:szCs w:val="18"/>
                <w:lang w:val="en-GB" w:eastAsia="en-US"/>
              </w:rPr>
            </w:pPr>
          </w:p>
        </w:tc>
        <w:tc>
          <w:tcPr>
            <w:tcW w:w="720" w:type="dxa"/>
            <w:shd w:val="clear" w:color="auto" w:fill="EEEEEE"/>
          </w:tcPr>
          <w:p w14:paraId="114C30BA">
            <w:pPr>
              <w:spacing w:before="96" w:beforeLines="40" w:after="96" w:afterLines="40" w:line="24" w:lineRule="atLeast"/>
              <w:rPr>
                <w:rFonts w:eastAsia="Cambria"/>
                <w:sz w:val="18"/>
                <w:szCs w:val="18"/>
                <w:lang w:val="en-GB" w:eastAsia="en-US"/>
              </w:rPr>
            </w:pPr>
          </w:p>
        </w:tc>
        <w:tc>
          <w:tcPr>
            <w:tcW w:w="4320" w:type="dxa"/>
            <w:shd w:val="clear" w:color="auto" w:fill="EEEEEE"/>
          </w:tcPr>
          <w:p w14:paraId="6CBD1DCA">
            <w:pPr>
              <w:spacing w:before="96" w:beforeLines="40" w:after="96" w:afterLines="40" w:line="24" w:lineRule="atLeast"/>
              <w:rPr>
                <w:rFonts w:eastAsia="Cambria"/>
                <w:sz w:val="18"/>
                <w:szCs w:val="18"/>
                <w:lang w:val="en-GB" w:eastAsia="en-US"/>
              </w:rPr>
            </w:pPr>
          </w:p>
        </w:tc>
      </w:tr>
      <w:tr w14:paraId="5002747C">
        <w:tblPrEx>
          <w:tblCellMar>
            <w:top w:w="0" w:type="dxa"/>
            <w:left w:w="108" w:type="dxa"/>
            <w:bottom w:w="0" w:type="dxa"/>
            <w:right w:w="108" w:type="dxa"/>
          </w:tblCellMar>
        </w:tblPrEx>
        <w:tc>
          <w:tcPr>
            <w:tcW w:w="587" w:type="dxa"/>
            <w:shd w:val="clear" w:color="auto" w:fill="auto"/>
          </w:tcPr>
          <w:p w14:paraId="25C066EC">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187DA684">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14:paraId="47D699D0">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the numbers of individuals at each stage of included studies and reasons for exclusion. Consider use of a flow diagram</w:t>
            </w:r>
          </w:p>
        </w:tc>
        <w:tc>
          <w:tcPr>
            <w:tcW w:w="720" w:type="dxa"/>
          </w:tcPr>
          <w:p w14:paraId="42CB35A9">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5</w:t>
            </w:r>
          </w:p>
        </w:tc>
        <w:tc>
          <w:tcPr>
            <w:tcW w:w="4320" w:type="dxa"/>
          </w:tcPr>
          <w:p w14:paraId="7C485AF6">
            <w:pPr>
              <w:spacing w:before="96" w:beforeLines="40" w:after="96" w:afterLines="40" w:line="24" w:lineRule="atLeast"/>
              <w:rPr>
                <w:rFonts w:hint="default" w:eastAsia="宋体"/>
                <w:sz w:val="18"/>
                <w:szCs w:val="18"/>
                <w:lang w:val="en-US" w:eastAsia="zh-CN"/>
              </w:rPr>
            </w:pPr>
            <w:r>
              <w:rPr>
                <w:rFonts w:hint="eastAsia" w:ascii="Arial" w:hAnsi="Arial" w:eastAsia="宋体" w:cs="Arial"/>
                <w:sz w:val="18"/>
                <w:szCs w:val="18"/>
                <w:lang w:val="en-US" w:eastAsia="zh-CN"/>
              </w:rPr>
              <w:t>A brief flow of the study is displayed in Fig. 1.</w:t>
            </w:r>
          </w:p>
        </w:tc>
      </w:tr>
      <w:tr w14:paraId="51E04B4F">
        <w:tblPrEx>
          <w:tblCellMar>
            <w:top w:w="0" w:type="dxa"/>
            <w:left w:w="108" w:type="dxa"/>
            <w:bottom w:w="0" w:type="dxa"/>
            <w:right w:w="108" w:type="dxa"/>
          </w:tblCellMar>
        </w:tblPrEx>
        <w:tc>
          <w:tcPr>
            <w:tcW w:w="587" w:type="dxa"/>
            <w:shd w:val="clear" w:color="auto" w:fill="EEEEEE"/>
          </w:tcPr>
          <w:p w14:paraId="1514D3DD">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0845B56F">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14:paraId="29AC2EA9">
            <w:pPr>
              <w:spacing w:before="96" w:beforeLines="40" w:after="96" w:afterLines="40" w:line="24" w:lineRule="atLeast"/>
              <w:rPr>
                <w:rFonts w:hint="eastAsia" w:ascii="Arial" w:hAnsi="Arial" w:eastAsia="宋体" w:cs="Arial"/>
                <w:sz w:val="18"/>
                <w:szCs w:val="18"/>
                <w:lang w:val="en-GB" w:eastAsia="en-GB"/>
              </w:rPr>
            </w:pPr>
            <w:r>
              <w:rPr>
                <w:rFonts w:hint="eastAsia" w:ascii="Arial" w:hAnsi="Arial" w:eastAsia="宋体" w:cs="Arial"/>
                <w:sz w:val="18"/>
                <w:szCs w:val="18"/>
                <w:lang w:val="en-GB" w:eastAsia="en-GB"/>
              </w:rPr>
              <w:t>Report summary statistics for phenotypic exposure(s), outcome(s), and other relevant variables (e.g. means, SDs, proportions)</w:t>
            </w:r>
          </w:p>
        </w:tc>
        <w:tc>
          <w:tcPr>
            <w:tcW w:w="720" w:type="dxa"/>
            <w:shd w:val="clear" w:color="auto" w:fill="EEEEEE"/>
          </w:tcPr>
          <w:p w14:paraId="1DFDCF29">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7</w:t>
            </w:r>
          </w:p>
        </w:tc>
        <w:tc>
          <w:tcPr>
            <w:tcW w:w="4320" w:type="dxa"/>
            <w:shd w:val="clear" w:color="auto" w:fill="EEEEEE"/>
          </w:tcPr>
          <w:p w14:paraId="3557BF12">
            <w:pPr>
              <w:spacing w:before="96" w:beforeLines="40" w:after="96" w:afterLines="40" w:line="24" w:lineRule="atLeast"/>
              <w:rPr>
                <w:rFonts w:hint="default" w:eastAsia="宋体"/>
                <w:sz w:val="18"/>
                <w:szCs w:val="18"/>
                <w:lang w:val="en-US" w:eastAsia="zh-CN"/>
              </w:rPr>
            </w:pPr>
            <w:r>
              <w:rPr>
                <w:rFonts w:hint="eastAsia" w:ascii="Arial" w:hAnsi="Arial" w:eastAsia="宋体" w:cs="Arial"/>
                <w:sz w:val="18"/>
                <w:szCs w:val="18"/>
                <w:lang w:val="en-US" w:eastAsia="zh-CN"/>
              </w:rPr>
              <w:t xml:space="preserve">The related information on datasets used is presented in Supplemental </w:t>
            </w:r>
            <w:r>
              <w:rPr>
                <w:rFonts w:hint="eastAsia" w:ascii="Arial" w:hAnsi="Arial" w:eastAsia="宋体" w:cs="Arial"/>
                <w:sz w:val="18"/>
                <w:szCs w:val="18"/>
                <w:lang w:val="en-US" w:eastAsia="zh-CN"/>
              </w:rPr>
              <w:fldChar w:fldCharType="begin"/>
            </w:r>
            <w:r>
              <w:rPr>
                <w:rFonts w:hint="eastAsia" w:ascii="Arial" w:hAnsi="Arial" w:eastAsia="宋体" w:cs="Arial"/>
                <w:sz w:val="18"/>
                <w:szCs w:val="18"/>
                <w:lang w:val="en-US" w:eastAsia="zh-CN"/>
              </w:rPr>
              <w:instrText xml:space="preserve"> HYPERLINK "https://www.ncbi.nlm.nih.gov/pmc/articles/PMC9294168/" \l "SM1" </w:instrText>
            </w:r>
            <w:r>
              <w:rPr>
                <w:rFonts w:hint="eastAsia" w:ascii="Arial" w:hAnsi="Arial" w:eastAsia="宋体" w:cs="Arial"/>
                <w:sz w:val="18"/>
                <w:szCs w:val="18"/>
                <w:lang w:val="en-US" w:eastAsia="zh-CN"/>
              </w:rPr>
              <w:fldChar w:fldCharType="separate"/>
            </w:r>
            <w:r>
              <w:rPr>
                <w:rFonts w:hint="eastAsia" w:ascii="Arial" w:hAnsi="Arial" w:eastAsia="宋体" w:cs="Arial"/>
                <w:sz w:val="18"/>
                <w:szCs w:val="18"/>
                <w:lang w:val="en-US" w:eastAsia="zh-CN"/>
              </w:rPr>
              <w:t>Table 1</w:t>
            </w:r>
            <w:r>
              <w:rPr>
                <w:rFonts w:hint="eastAsia" w:ascii="Arial" w:hAnsi="Arial" w:eastAsia="宋体" w:cs="Arial"/>
                <w:sz w:val="18"/>
                <w:szCs w:val="18"/>
                <w:lang w:val="en-US" w:eastAsia="zh-CN"/>
              </w:rPr>
              <w:fldChar w:fldCharType="end"/>
            </w:r>
            <w:r>
              <w:rPr>
                <w:rFonts w:hint="eastAsia" w:ascii="Arial" w:hAnsi="Arial" w:eastAsia="宋体" w:cs="Arial"/>
                <w:sz w:val="18"/>
                <w:szCs w:val="18"/>
                <w:lang w:val="en-US" w:eastAsia="zh-CN"/>
              </w:rPr>
              <w:t>.</w:t>
            </w:r>
          </w:p>
        </w:tc>
      </w:tr>
      <w:tr w14:paraId="16951073">
        <w:tblPrEx>
          <w:tblCellMar>
            <w:top w:w="0" w:type="dxa"/>
            <w:left w:w="108" w:type="dxa"/>
            <w:bottom w:w="0" w:type="dxa"/>
            <w:right w:w="108" w:type="dxa"/>
          </w:tblCellMar>
        </w:tblPrEx>
        <w:tc>
          <w:tcPr>
            <w:tcW w:w="587" w:type="dxa"/>
            <w:shd w:val="clear" w:color="auto" w:fill="auto"/>
          </w:tcPr>
          <w:p w14:paraId="4D19E84D">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1BC4E107">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auto"/>
          </w:tcPr>
          <w:p w14:paraId="4C507488">
            <w:pPr>
              <w:spacing w:before="96" w:beforeLines="40" w:after="96" w:afterLines="40" w:line="24" w:lineRule="atLeast"/>
              <w:rPr>
                <w:rFonts w:hint="eastAsia" w:ascii="Arial" w:hAnsi="Arial" w:eastAsia="宋体" w:cs="Arial"/>
                <w:sz w:val="18"/>
                <w:szCs w:val="18"/>
                <w:lang w:val="en-GB" w:eastAsia="en-US"/>
              </w:rPr>
            </w:pPr>
            <w:r>
              <w:rPr>
                <w:rFonts w:hint="eastAsia" w:ascii="Arial" w:hAnsi="Arial" w:eastAsia="宋体" w:cs="Arial"/>
                <w:sz w:val="18"/>
                <w:szCs w:val="18"/>
                <w:lang w:val="en-GB" w:eastAsia="en-GB"/>
              </w:rPr>
              <w:t>If the data sources include meta-analyses of previous studies, provide the assessments of heterogeneity across these studies</w:t>
            </w:r>
          </w:p>
        </w:tc>
        <w:tc>
          <w:tcPr>
            <w:tcW w:w="720" w:type="dxa"/>
          </w:tcPr>
          <w:p w14:paraId="6ADC64E6">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NA</w:t>
            </w:r>
          </w:p>
        </w:tc>
        <w:tc>
          <w:tcPr>
            <w:tcW w:w="4320" w:type="dxa"/>
          </w:tcPr>
          <w:p w14:paraId="42DF39FD">
            <w:pPr>
              <w:spacing w:before="96" w:beforeLines="40" w:after="96" w:afterLines="40" w:line="24" w:lineRule="atLeast"/>
              <w:rPr>
                <w:rFonts w:hint="eastAsia" w:eastAsia="宋体"/>
                <w:sz w:val="18"/>
                <w:szCs w:val="18"/>
                <w:lang w:val="en-US" w:eastAsia="zh-CN"/>
              </w:rPr>
            </w:pPr>
            <w:r>
              <w:rPr>
                <w:rFonts w:hint="eastAsia" w:ascii="Arial" w:hAnsi="Arial" w:eastAsia="宋体" w:cs="Arial"/>
                <w:sz w:val="18"/>
                <w:szCs w:val="18"/>
                <w:lang w:val="en-US" w:eastAsia="zh-CN"/>
              </w:rPr>
              <w:t>The heterogeneity assessments across meta-analyses has been described by Shin et al. The summary statistics utilized in this study were provided by Integrative Epidemiology Unit (IEU) open GWAS project (https://gwas.mrcieu.ac.uk/).</w:t>
            </w:r>
          </w:p>
        </w:tc>
      </w:tr>
      <w:tr w14:paraId="31C5A1D3">
        <w:tblPrEx>
          <w:tblCellMar>
            <w:top w:w="0" w:type="dxa"/>
            <w:left w:w="108" w:type="dxa"/>
            <w:bottom w:w="0" w:type="dxa"/>
            <w:right w:w="108" w:type="dxa"/>
          </w:tblCellMar>
        </w:tblPrEx>
        <w:tc>
          <w:tcPr>
            <w:tcW w:w="587" w:type="dxa"/>
            <w:shd w:val="clear" w:color="auto" w:fill="EEEEEE"/>
          </w:tcPr>
          <w:p w14:paraId="575F8FF4">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0EB2A7A0">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EEEEEE"/>
          </w:tcPr>
          <w:p w14:paraId="2B74B297">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 xml:space="preserve">For </w:t>
            </w:r>
            <w:r>
              <w:rPr>
                <w:rFonts w:eastAsia="Times New Roman"/>
                <w:iCs/>
                <w:sz w:val="18"/>
                <w:szCs w:val="18"/>
                <w:lang w:val="en-GB" w:eastAsia="en-GB"/>
              </w:rPr>
              <w:t>two-sample</w:t>
            </w:r>
            <w:r>
              <w:rPr>
                <w:rFonts w:eastAsia="Times New Roman"/>
                <w:sz w:val="18"/>
                <w:szCs w:val="18"/>
                <w:lang w:val="en-GB" w:eastAsia="en-GB"/>
              </w:rPr>
              <w:t xml:space="preserve"> MR:</w:t>
            </w:r>
          </w:p>
          <w:p w14:paraId="6A580E51">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 xml:space="preserve">   i.  Provide justification of the similarity of the genetic variant-exposure associations between the exposure and outcome samples</w:t>
            </w:r>
          </w:p>
          <w:p w14:paraId="1D1BBF84">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 xml:space="preserve">   ii.  Provide information on the number of individuals who overlap between the exposure and outcome studies</w:t>
            </w:r>
          </w:p>
        </w:tc>
        <w:tc>
          <w:tcPr>
            <w:tcW w:w="720" w:type="dxa"/>
            <w:shd w:val="clear" w:color="auto" w:fill="EEEEEE"/>
          </w:tcPr>
          <w:p w14:paraId="7EA83ECD">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6</w:t>
            </w:r>
          </w:p>
        </w:tc>
        <w:tc>
          <w:tcPr>
            <w:tcW w:w="4320" w:type="dxa"/>
            <w:shd w:val="clear" w:color="auto" w:fill="EEEEEE"/>
          </w:tcPr>
          <w:p w14:paraId="2E51BE76">
            <w:pPr>
              <w:spacing w:before="96" w:beforeLines="40" w:after="96" w:afterLines="40" w:line="24" w:lineRule="atLeast"/>
              <w:rPr>
                <w:rFonts w:hint="eastAsia" w:ascii="Arial" w:hAnsi="Arial" w:eastAsia="宋体" w:cs="Arial"/>
                <w:sz w:val="18"/>
                <w:szCs w:val="18"/>
                <w:lang w:val="en-US" w:eastAsia="zh-CN"/>
              </w:rPr>
            </w:pPr>
            <w:r>
              <w:rPr>
                <w:rFonts w:hint="eastAsia" w:eastAsia="宋体"/>
                <w:sz w:val="18"/>
                <w:szCs w:val="18"/>
                <w:lang w:val="en-US" w:eastAsia="zh-CN"/>
              </w:rPr>
              <w:t xml:space="preserve">They were </w:t>
            </w:r>
            <w:r>
              <w:rPr>
                <w:rFonts w:hint="eastAsia" w:ascii="Arial" w:hAnsi="Arial" w:eastAsia="宋体" w:cs="Arial"/>
                <w:sz w:val="18"/>
                <w:szCs w:val="18"/>
                <w:lang w:val="en-US" w:eastAsia="zh-CN"/>
              </w:rPr>
              <w:t xml:space="preserve">all European populations. </w:t>
            </w:r>
          </w:p>
          <w:p w14:paraId="5F907D3A">
            <w:pPr>
              <w:spacing w:before="96" w:beforeLines="40" w:after="96" w:afterLines="40" w:line="24" w:lineRule="atLeast"/>
              <w:rPr>
                <w:rFonts w:hint="default" w:ascii="Arial" w:hAnsi="Arial" w:eastAsia="宋体" w:cs="Arial"/>
                <w:sz w:val="18"/>
                <w:szCs w:val="18"/>
                <w:lang w:val="en-US" w:eastAsia="zh-CN"/>
              </w:rPr>
            </w:pPr>
            <w:r>
              <w:rPr>
                <w:rFonts w:hint="eastAsia" w:ascii="Arial" w:hAnsi="Arial" w:eastAsia="宋体" w:cs="Arial"/>
                <w:sz w:val="18"/>
                <w:szCs w:val="18"/>
                <w:lang w:val="en-US" w:eastAsia="zh-CN"/>
              </w:rPr>
              <w:t>There was little overlap in selection of participants between the exposure group and the outcome group.</w:t>
            </w:r>
          </w:p>
        </w:tc>
      </w:tr>
      <w:tr w14:paraId="48C4F529">
        <w:tblPrEx>
          <w:tblCellMar>
            <w:top w:w="0" w:type="dxa"/>
            <w:left w:w="108" w:type="dxa"/>
            <w:bottom w:w="0" w:type="dxa"/>
            <w:right w:w="108" w:type="dxa"/>
          </w:tblCellMar>
        </w:tblPrEx>
        <w:tc>
          <w:tcPr>
            <w:tcW w:w="587" w:type="dxa"/>
            <w:shd w:val="clear" w:color="auto" w:fill="auto"/>
          </w:tcPr>
          <w:p w14:paraId="22BE1585">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11</w:t>
            </w:r>
          </w:p>
        </w:tc>
        <w:tc>
          <w:tcPr>
            <w:tcW w:w="1822" w:type="dxa"/>
            <w:shd w:val="clear" w:color="auto" w:fill="auto"/>
          </w:tcPr>
          <w:p w14:paraId="3B0452C9">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Main results</w:t>
            </w:r>
          </w:p>
        </w:tc>
        <w:tc>
          <w:tcPr>
            <w:tcW w:w="7041" w:type="dxa"/>
            <w:shd w:val="clear" w:color="auto" w:fill="auto"/>
          </w:tcPr>
          <w:p w14:paraId="1931D74B">
            <w:pPr>
              <w:spacing w:before="96" w:beforeLines="40" w:after="96" w:afterLines="40" w:line="24" w:lineRule="atLeast"/>
              <w:rPr>
                <w:rFonts w:eastAsia="Cambria"/>
                <w:sz w:val="18"/>
                <w:szCs w:val="18"/>
                <w:lang w:val="en-GB" w:eastAsia="en-US"/>
              </w:rPr>
            </w:pPr>
          </w:p>
        </w:tc>
        <w:tc>
          <w:tcPr>
            <w:tcW w:w="720" w:type="dxa"/>
          </w:tcPr>
          <w:p w14:paraId="7C1085B7">
            <w:pPr>
              <w:spacing w:before="96" w:beforeLines="40" w:after="96" w:afterLines="40" w:line="24" w:lineRule="atLeast"/>
              <w:rPr>
                <w:rFonts w:eastAsia="Cambria"/>
                <w:sz w:val="18"/>
                <w:szCs w:val="18"/>
                <w:lang w:val="en-GB" w:eastAsia="en-US"/>
              </w:rPr>
            </w:pPr>
          </w:p>
        </w:tc>
        <w:tc>
          <w:tcPr>
            <w:tcW w:w="4320" w:type="dxa"/>
          </w:tcPr>
          <w:p w14:paraId="0FAB1420">
            <w:pPr>
              <w:spacing w:before="96" w:beforeLines="40" w:after="96" w:afterLines="40" w:line="24" w:lineRule="atLeast"/>
              <w:rPr>
                <w:rFonts w:eastAsia="Cambria"/>
                <w:sz w:val="18"/>
                <w:szCs w:val="18"/>
                <w:lang w:val="en-GB" w:eastAsia="en-US"/>
              </w:rPr>
            </w:pPr>
          </w:p>
        </w:tc>
      </w:tr>
      <w:tr w14:paraId="5148C8C7">
        <w:tblPrEx>
          <w:tblCellMar>
            <w:top w:w="0" w:type="dxa"/>
            <w:left w:w="108" w:type="dxa"/>
            <w:bottom w:w="0" w:type="dxa"/>
            <w:right w:w="108" w:type="dxa"/>
          </w:tblCellMar>
        </w:tblPrEx>
        <w:tc>
          <w:tcPr>
            <w:tcW w:w="587" w:type="dxa"/>
            <w:shd w:val="clear" w:color="auto" w:fill="EEEEEE"/>
          </w:tcPr>
          <w:p w14:paraId="5814889C">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08B55721">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EEEEEE"/>
          </w:tcPr>
          <w:p w14:paraId="5300EB70">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the associations between genetic variant and exposure, and between genetic variant and outcome, preferably on an interpretable scale</w:t>
            </w:r>
          </w:p>
        </w:tc>
        <w:tc>
          <w:tcPr>
            <w:tcW w:w="720" w:type="dxa"/>
            <w:shd w:val="clear" w:color="auto" w:fill="EEEEEE"/>
            <w:vAlign w:val="top"/>
          </w:tcPr>
          <w:p w14:paraId="774484D8">
            <w:pPr>
              <w:spacing w:before="96" w:beforeLines="40" w:after="96" w:afterLines="40" w:line="24" w:lineRule="atLeast"/>
              <w:rPr>
                <w:rFonts w:hint="default" w:ascii="Arial" w:hAnsi="Arial" w:eastAsia="Times New Roman" w:cs="Arial"/>
                <w:sz w:val="18"/>
                <w:szCs w:val="18"/>
                <w:lang w:val="en-US" w:eastAsia="zh-CN"/>
              </w:rPr>
            </w:pPr>
            <w:r>
              <w:rPr>
                <w:rFonts w:hint="eastAsia" w:eastAsia="宋体"/>
                <w:sz w:val="18"/>
                <w:szCs w:val="18"/>
                <w:lang w:val="en-US" w:eastAsia="zh-CN"/>
              </w:rPr>
              <w:t>14-15</w:t>
            </w:r>
          </w:p>
        </w:tc>
        <w:tc>
          <w:tcPr>
            <w:tcW w:w="4320" w:type="dxa"/>
            <w:shd w:val="clear" w:color="auto" w:fill="EEEEEE"/>
            <w:vAlign w:val="top"/>
          </w:tcPr>
          <w:p w14:paraId="67191D83">
            <w:pPr>
              <w:keepNext w:val="0"/>
              <w:keepLines w:val="0"/>
              <w:pageBreakBefore w:val="0"/>
              <w:kinsoku/>
              <w:wordWrap/>
              <w:overflowPunct/>
              <w:topLinePunct w:val="0"/>
              <w:autoSpaceDE/>
              <w:autoSpaceDN/>
              <w:bidi w:val="0"/>
              <w:spacing w:line="480" w:lineRule="auto"/>
              <w:textAlignment w:val="auto"/>
              <w:rPr>
                <w:rFonts w:ascii="Arial" w:hAnsi="Arial" w:eastAsia="Times New Roman" w:cs="Arial"/>
                <w:sz w:val="18"/>
                <w:szCs w:val="18"/>
                <w:lang w:val="en-GB" w:eastAsia="en-GB"/>
              </w:rPr>
            </w:pPr>
            <w:r>
              <w:rPr>
                <w:rFonts w:hint="eastAsia" w:ascii="Arial" w:hAnsi="Arial" w:eastAsia="Times New Roman" w:cs="Arial"/>
                <w:sz w:val="18"/>
                <w:szCs w:val="18"/>
                <w:lang w:val="en-GB" w:eastAsia="en-GB"/>
              </w:rPr>
              <w:t xml:space="preserve">Genetically determined blood metabolites and risk of </w:t>
            </w:r>
            <w:r>
              <w:rPr>
                <w:rFonts w:hint="eastAsia" w:eastAsia="宋体" w:cs="Arial"/>
                <w:sz w:val="18"/>
                <w:szCs w:val="18"/>
                <w:lang w:val="en-US" w:eastAsia="zh-CN"/>
              </w:rPr>
              <w:t>HN</w:t>
            </w:r>
            <w:r>
              <w:rPr>
                <w:rFonts w:hint="eastAsia" w:ascii="Arial" w:hAnsi="Arial" w:eastAsia="Times New Roman" w:cs="Arial"/>
                <w:sz w:val="18"/>
                <w:szCs w:val="18"/>
                <w:lang w:val="en-GB" w:eastAsia="en-GB"/>
              </w:rPr>
              <w:t>C</w:t>
            </w:r>
          </w:p>
        </w:tc>
      </w:tr>
      <w:tr w14:paraId="44CB4A0C">
        <w:tblPrEx>
          <w:tblCellMar>
            <w:top w:w="0" w:type="dxa"/>
            <w:left w:w="108" w:type="dxa"/>
            <w:bottom w:w="0" w:type="dxa"/>
            <w:right w:w="108" w:type="dxa"/>
          </w:tblCellMar>
        </w:tblPrEx>
        <w:tc>
          <w:tcPr>
            <w:tcW w:w="587" w:type="dxa"/>
            <w:shd w:val="clear" w:color="auto" w:fill="auto"/>
          </w:tcPr>
          <w:p w14:paraId="2DCA0AD2">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1CEA5A0B">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auto"/>
          </w:tcPr>
          <w:p w14:paraId="102DFFDF">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MR estimates of the relationship between exposure and outcome, and the measures of uncertainty from the MR analysis, on an interpretable scale, such as odds ratio or relative risk per SD difference</w:t>
            </w:r>
          </w:p>
        </w:tc>
        <w:tc>
          <w:tcPr>
            <w:tcW w:w="720" w:type="dxa"/>
            <w:vAlign w:val="top"/>
          </w:tcPr>
          <w:p w14:paraId="353E9178">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14-15</w:t>
            </w:r>
          </w:p>
        </w:tc>
        <w:tc>
          <w:tcPr>
            <w:tcW w:w="4320" w:type="dxa"/>
            <w:vAlign w:val="top"/>
          </w:tcPr>
          <w:p w14:paraId="3CCF024E">
            <w:pPr>
              <w:keepNext w:val="0"/>
              <w:keepLines w:val="0"/>
              <w:pageBreakBefore w:val="0"/>
              <w:kinsoku/>
              <w:wordWrap/>
              <w:overflowPunct/>
              <w:topLinePunct w:val="0"/>
              <w:autoSpaceDE/>
              <w:autoSpaceDN/>
              <w:bidi w:val="0"/>
              <w:spacing w:line="480" w:lineRule="auto"/>
              <w:textAlignment w:val="auto"/>
              <w:rPr>
                <w:rFonts w:eastAsia="Times New Roman"/>
                <w:sz w:val="18"/>
                <w:szCs w:val="18"/>
                <w:lang w:val="en-GB" w:eastAsia="en-GB"/>
              </w:rPr>
            </w:pPr>
            <w:r>
              <w:rPr>
                <w:rFonts w:hint="eastAsia" w:ascii="Arial" w:hAnsi="Arial" w:eastAsia="Times New Roman" w:cs="Arial"/>
                <w:sz w:val="18"/>
                <w:szCs w:val="18"/>
                <w:lang w:val="en-GB" w:eastAsia="en-GB"/>
              </w:rPr>
              <w:t xml:space="preserve">Genetically determined blood metabolites and risk of </w:t>
            </w:r>
            <w:r>
              <w:rPr>
                <w:rFonts w:hint="eastAsia" w:eastAsia="宋体" w:cs="Arial"/>
                <w:sz w:val="18"/>
                <w:szCs w:val="18"/>
                <w:lang w:val="en-US" w:eastAsia="zh-CN"/>
              </w:rPr>
              <w:t>HN</w:t>
            </w:r>
            <w:r>
              <w:rPr>
                <w:rFonts w:hint="eastAsia" w:ascii="Arial" w:hAnsi="Arial" w:eastAsia="Times New Roman" w:cs="Arial"/>
                <w:sz w:val="18"/>
                <w:szCs w:val="18"/>
                <w:lang w:val="en-GB" w:eastAsia="en-GB"/>
              </w:rPr>
              <w:t>C</w:t>
            </w:r>
          </w:p>
        </w:tc>
      </w:tr>
      <w:tr w14:paraId="69BD8409">
        <w:tblPrEx>
          <w:tblCellMar>
            <w:top w:w="0" w:type="dxa"/>
            <w:left w:w="108" w:type="dxa"/>
            <w:bottom w:w="0" w:type="dxa"/>
            <w:right w:w="108" w:type="dxa"/>
          </w:tblCellMar>
        </w:tblPrEx>
        <w:trPr>
          <w:trHeight w:val="838" w:hRule="atLeast"/>
        </w:trPr>
        <w:tc>
          <w:tcPr>
            <w:tcW w:w="587" w:type="dxa"/>
            <w:shd w:val="clear" w:color="auto" w:fill="EEEEEE"/>
          </w:tcPr>
          <w:p w14:paraId="5C5A8681">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42F3ABE6">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EEEEEE"/>
          </w:tcPr>
          <w:p w14:paraId="41BFA6D4">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If relevant, consider translating estimates of relative risk into absolute risk for a meaningful time period</w:t>
            </w:r>
          </w:p>
        </w:tc>
        <w:tc>
          <w:tcPr>
            <w:tcW w:w="720" w:type="dxa"/>
            <w:shd w:val="clear" w:color="auto" w:fill="EEEEEE"/>
            <w:vAlign w:val="top"/>
          </w:tcPr>
          <w:p w14:paraId="0B5BFAA7">
            <w:pPr>
              <w:spacing w:before="96" w:beforeLines="40" w:after="96" w:afterLines="40" w:line="24" w:lineRule="atLeast"/>
              <w:rPr>
                <w:rFonts w:hint="default" w:eastAsia="Times New Roman"/>
                <w:sz w:val="18"/>
                <w:szCs w:val="18"/>
                <w:lang w:val="en-US" w:eastAsia="en-GB"/>
              </w:rPr>
            </w:pPr>
            <w:r>
              <w:rPr>
                <w:rFonts w:hint="eastAsia" w:eastAsia="宋体"/>
                <w:sz w:val="18"/>
                <w:szCs w:val="18"/>
                <w:lang w:val="en-US" w:eastAsia="zh-CN"/>
              </w:rPr>
              <w:t>14-15</w:t>
            </w:r>
          </w:p>
        </w:tc>
        <w:tc>
          <w:tcPr>
            <w:tcW w:w="4320" w:type="dxa"/>
            <w:shd w:val="clear" w:color="auto" w:fill="EEEEEE"/>
            <w:vAlign w:val="top"/>
          </w:tcPr>
          <w:p w14:paraId="293EF7CC">
            <w:pPr>
              <w:keepNext w:val="0"/>
              <w:keepLines w:val="0"/>
              <w:pageBreakBefore w:val="0"/>
              <w:kinsoku/>
              <w:wordWrap/>
              <w:overflowPunct/>
              <w:topLinePunct w:val="0"/>
              <w:autoSpaceDE/>
              <w:autoSpaceDN/>
              <w:bidi w:val="0"/>
              <w:spacing w:line="480" w:lineRule="auto"/>
              <w:textAlignment w:val="auto"/>
              <w:rPr>
                <w:rFonts w:eastAsia="Times New Roman"/>
                <w:sz w:val="18"/>
                <w:szCs w:val="18"/>
                <w:lang w:val="en-GB" w:eastAsia="en-GB"/>
              </w:rPr>
            </w:pPr>
            <w:r>
              <w:rPr>
                <w:rFonts w:hint="eastAsia" w:ascii="Arial" w:hAnsi="Arial" w:eastAsia="Times New Roman" w:cs="Arial"/>
                <w:sz w:val="18"/>
                <w:szCs w:val="18"/>
                <w:lang w:val="en-GB" w:eastAsia="en-GB"/>
              </w:rPr>
              <w:t xml:space="preserve">Genetically determined blood metabolites and risk of </w:t>
            </w:r>
            <w:r>
              <w:rPr>
                <w:rFonts w:hint="eastAsia" w:eastAsia="宋体" w:cs="Arial"/>
                <w:sz w:val="18"/>
                <w:szCs w:val="18"/>
                <w:lang w:val="en-US" w:eastAsia="zh-CN"/>
              </w:rPr>
              <w:t>HN</w:t>
            </w:r>
            <w:r>
              <w:rPr>
                <w:rFonts w:hint="eastAsia" w:ascii="Arial" w:hAnsi="Arial" w:eastAsia="Times New Roman" w:cs="Arial"/>
                <w:sz w:val="18"/>
                <w:szCs w:val="18"/>
                <w:lang w:val="en-GB" w:eastAsia="en-GB"/>
              </w:rPr>
              <w:t>C</w:t>
            </w:r>
          </w:p>
        </w:tc>
      </w:tr>
      <w:tr w14:paraId="6CDA0785">
        <w:tblPrEx>
          <w:tblCellMar>
            <w:top w:w="0" w:type="dxa"/>
            <w:left w:w="108" w:type="dxa"/>
            <w:bottom w:w="0" w:type="dxa"/>
            <w:right w:w="108" w:type="dxa"/>
          </w:tblCellMar>
        </w:tblPrEx>
        <w:tc>
          <w:tcPr>
            <w:tcW w:w="587" w:type="dxa"/>
            <w:shd w:val="clear" w:color="auto" w:fill="auto"/>
          </w:tcPr>
          <w:p w14:paraId="13DDC517">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503B4B0B">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auto"/>
          </w:tcPr>
          <w:p w14:paraId="3211711D">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Consider plots to visualize results (e.g. forest plot, scatterplot of associations between genetic variants and outcome versus between genetic variants and exposure)</w:t>
            </w:r>
          </w:p>
        </w:tc>
        <w:tc>
          <w:tcPr>
            <w:tcW w:w="720" w:type="dxa"/>
          </w:tcPr>
          <w:p w14:paraId="1F33AA66">
            <w:pPr>
              <w:keepNext w:val="0"/>
              <w:keepLines w:val="0"/>
              <w:pageBreakBefore w:val="0"/>
              <w:kinsoku/>
              <w:wordWrap/>
              <w:overflowPunct/>
              <w:topLinePunct w:val="0"/>
              <w:autoSpaceDE/>
              <w:autoSpaceDN/>
              <w:bidi w:val="0"/>
              <w:spacing w:line="480" w:lineRule="auto"/>
              <w:textAlignment w:val="auto"/>
              <w:rPr>
                <w:rFonts w:hint="default" w:ascii="Arial" w:hAnsi="Arial" w:eastAsia="Times New Roman" w:cs="Arial"/>
                <w:sz w:val="18"/>
                <w:szCs w:val="18"/>
                <w:lang w:val="en-US" w:eastAsia="zh-CN"/>
              </w:rPr>
            </w:pPr>
            <w:r>
              <w:rPr>
                <w:rFonts w:hint="eastAsia" w:eastAsia="宋体"/>
                <w:sz w:val="18"/>
                <w:szCs w:val="18"/>
                <w:lang w:val="en-US" w:eastAsia="zh-CN"/>
              </w:rPr>
              <w:t>14-15</w:t>
            </w:r>
          </w:p>
        </w:tc>
        <w:tc>
          <w:tcPr>
            <w:tcW w:w="4320" w:type="dxa"/>
          </w:tcPr>
          <w:p w14:paraId="32A9F3E3">
            <w:pPr>
              <w:keepNext w:val="0"/>
              <w:keepLines w:val="0"/>
              <w:pageBreakBefore w:val="0"/>
              <w:kinsoku/>
              <w:wordWrap/>
              <w:overflowPunct/>
              <w:topLinePunct w:val="0"/>
              <w:autoSpaceDE/>
              <w:autoSpaceDN/>
              <w:bidi w:val="0"/>
              <w:spacing w:line="480" w:lineRule="auto"/>
              <w:textAlignment w:val="auto"/>
              <w:rPr>
                <w:rFonts w:hint="eastAsia" w:ascii="Arial" w:hAnsi="Arial" w:eastAsia="宋体" w:cs="Arial"/>
                <w:sz w:val="18"/>
                <w:szCs w:val="18"/>
                <w:lang w:val="en-US" w:eastAsia="zh-CN"/>
              </w:rPr>
            </w:pPr>
            <w:r>
              <w:rPr>
                <w:rFonts w:hint="eastAsia" w:ascii="Arial" w:hAnsi="Arial" w:eastAsia="Times New Roman" w:cs="Arial"/>
                <w:sz w:val="18"/>
                <w:szCs w:val="18"/>
                <w:lang w:val="en-GB" w:eastAsia="en-GB"/>
              </w:rPr>
              <w:t xml:space="preserve">Fig. </w:t>
            </w:r>
            <w:r>
              <w:rPr>
                <w:rFonts w:hint="eastAsia" w:eastAsia="宋体" w:cs="Arial"/>
                <w:sz w:val="18"/>
                <w:szCs w:val="18"/>
                <w:lang w:val="en-US" w:eastAsia="zh-CN"/>
              </w:rPr>
              <w:t>2</w:t>
            </w:r>
          </w:p>
        </w:tc>
      </w:tr>
      <w:tr w14:paraId="08DD8ACB">
        <w:tblPrEx>
          <w:tblCellMar>
            <w:top w:w="0" w:type="dxa"/>
            <w:left w:w="108" w:type="dxa"/>
            <w:bottom w:w="0" w:type="dxa"/>
            <w:right w:w="108" w:type="dxa"/>
          </w:tblCellMar>
        </w:tblPrEx>
        <w:tc>
          <w:tcPr>
            <w:tcW w:w="587" w:type="dxa"/>
            <w:shd w:val="clear" w:color="auto" w:fill="EEEEEE"/>
          </w:tcPr>
          <w:p w14:paraId="2201981E">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12</w:t>
            </w:r>
          </w:p>
        </w:tc>
        <w:tc>
          <w:tcPr>
            <w:tcW w:w="1822" w:type="dxa"/>
            <w:shd w:val="clear" w:color="auto" w:fill="EEEEEE"/>
          </w:tcPr>
          <w:p w14:paraId="2C9DE568">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Assessment of assumptions</w:t>
            </w:r>
          </w:p>
        </w:tc>
        <w:tc>
          <w:tcPr>
            <w:tcW w:w="7041" w:type="dxa"/>
            <w:shd w:val="clear" w:color="auto" w:fill="EEEEEE"/>
          </w:tcPr>
          <w:p w14:paraId="4A472747">
            <w:pPr>
              <w:spacing w:before="96" w:beforeLines="40" w:after="96" w:afterLines="40" w:line="24" w:lineRule="atLeast"/>
              <w:rPr>
                <w:rFonts w:eastAsia="Cambria"/>
                <w:sz w:val="18"/>
                <w:szCs w:val="18"/>
                <w:lang w:val="en-GB" w:eastAsia="en-US"/>
              </w:rPr>
            </w:pPr>
          </w:p>
        </w:tc>
        <w:tc>
          <w:tcPr>
            <w:tcW w:w="720" w:type="dxa"/>
            <w:shd w:val="clear" w:color="auto" w:fill="EEEEEE"/>
          </w:tcPr>
          <w:p w14:paraId="24534421">
            <w:pPr>
              <w:spacing w:before="96" w:beforeLines="40" w:after="96" w:afterLines="40" w:line="24" w:lineRule="atLeast"/>
              <w:rPr>
                <w:rFonts w:eastAsia="Cambria"/>
                <w:sz w:val="18"/>
                <w:szCs w:val="18"/>
                <w:lang w:val="en-GB" w:eastAsia="en-US"/>
              </w:rPr>
            </w:pPr>
          </w:p>
        </w:tc>
        <w:tc>
          <w:tcPr>
            <w:tcW w:w="4320" w:type="dxa"/>
            <w:shd w:val="clear" w:color="auto" w:fill="EEEEEE"/>
          </w:tcPr>
          <w:p w14:paraId="76B7FC5E">
            <w:pPr>
              <w:spacing w:before="96" w:beforeLines="40" w:after="96" w:afterLines="40" w:line="24" w:lineRule="atLeast"/>
              <w:rPr>
                <w:rFonts w:eastAsia="Cambria"/>
                <w:sz w:val="18"/>
                <w:szCs w:val="18"/>
                <w:lang w:val="en-GB" w:eastAsia="en-US"/>
              </w:rPr>
            </w:pPr>
          </w:p>
        </w:tc>
      </w:tr>
      <w:tr w14:paraId="333B6862">
        <w:tblPrEx>
          <w:tblCellMar>
            <w:top w:w="0" w:type="dxa"/>
            <w:left w:w="108" w:type="dxa"/>
            <w:bottom w:w="0" w:type="dxa"/>
            <w:right w:w="108" w:type="dxa"/>
          </w:tblCellMar>
        </w:tblPrEx>
        <w:tc>
          <w:tcPr>
            <w:tcW w:w="587" w:type="dxa"/>
            <w:shd w:val="clear" w:color="auto" w:fill="auto"/>
          </w:tcPr>
          <w:p w14:paraId="744A2920">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3F85CFB3">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14:paraId="07C5EFB3">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the assessment of the validity of the assumptions</w:t>
            </w:r>
          </w:p>
        </w:tc>
        <w:tc>
          <w:tcPr>
            <w:tcW w:w="720" w:type="dxa"/>
          </w:tcPr>
          <w:p w14:paraId="05313B16">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14-15</w:t>
            </w:r>
          </w:p>
        </w:tc>
        <w:tc>
          <w:tcPr>
            <w:tcW w:w="4320" w:type="dxa"/>
          </w:tcPr>
          <w:p w14:paraId="79AD6847">
            <w:pPr>
              <w:keepNext w:val="0"/>
              <w:keepLines w:val="0"/>
              <w:pageBreakBefore w:val="0"/>
              <w:kinsoku/>
              <w:wordWrap/>
              <w:overflowPunct/>
              <w:topLinePunct w:val="0"/>
              <w:autoSpaceDE/>
              <w:autoSpaceDN/>
              <w:bidi w:val="0"/>
              <w:spacing w:line="480" w:lineRule="auto"/>
              <w:textAlignment w:val="auto"/>
              <w:rPr>
                <w:rFonts w:eastAsia="Times New Roman"/>
                <w:sz w:val="18"/>
                <w:szCs w:val="18"/>
                <w:lang w:val="en-GB" w:eastAsia="en-GB"/>
              </w:rPr>
            </w:pPr>
            <w:r>
              <w:rPr>
                <w:rFonts w:hint="eastAsia" w:ascii="Arial" w:hAnsi="Arial" w:eastAsia="Times New Roman" w:cs="Arial"/>
                <w:sz w:val="18"/>
                <w:szCs w:val="18"/>
                <w:lang w:val="en-GB" w:eastAsia="en-GB"/>
              </w:rPr>
              <w:t xml:space="preserve">Genetically determined blood metabolites and risk of </w:t>
            </w:r>
            <w:r>
              <w:rPr>
                <w:rFonts w:hint="eastAsia" w:eastAsia="宋体" w:cs="Arial"/>
                <w:sz w:val="18"/>
                <w:szCs w:val="18"/>
                <w:lang w:val="en-US" w:eastAsia="zh-CN"/>
              </w:rPr>
              <w:t>HN</w:t>
            </w:r>
            <w:r>
              <w:rPr>
                <w:rFonts w:hint="eastAsia" w:ascii="Arial" w:hAnsi="Arial" w:eastAsia="Times New Roman" w:cs="Arial"/>
                <w:sz w:val="18"/>
                <w:szCs w:val="18"/>
                <w:lang w:val="en-GB" w:eastAsia="en-GB"/>
              </w:rPr>
              <w:t>C</w:t>
            </w:r>
          </w:p>
        </w:tc>
      </w:tr>
      <w:tr w14:paraId="22988578">
        <w:tblPrEx>
          <w:tblCellMar>
            <w:top w:w="0" w:type="dxa"/>
            <w:left w:w="108" w:type="dxa"/>
            <w:bottom w:w="0" w:type="dxa"/>
            <w:right w:w="108" w:type="dxa"/>
          </w:tblCellMar>
        </w:tblPrEx>
        <w:tc>
          <w:tcPr>
            <w:tcW w:w="587" w:type="dxa"/>
            <w:shd w:val="clear" w:color="auto" w:fill="EEEEEE"/>
          </w:tcPr>
          <w:p w14:paraId="503ED4AD">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4BF45373">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14:paraId="0B4B3982">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 xml:space="preserve">Report any additional statistics (e.g., assessments of heterogeneity </w:t>
            </w:r>
            <w:r>
              <w:rPr>
                <w:rFonts w:eastAsia="Times New Roman"/>
                <w:sz w:val="18"/>
                <w:szCs w:val="18"/>
                <w:lang w:eastAsia="en-GB"/>
              </w:rPr>
              <w:t>across genetic variants</w:t>
            </w:r>
            <w:r>
              <w:rPr>
                <w:rFonts w:eastAsia="Times New Roman"/>
                <w:sz w:val="18"/>
                <w:szCs w:val="18"/>
                <w:lang w:val="en-GB" w:eastAsia="en-GB"/>
              </w:rPr>
              <w:t xml:space="preserve">, such as </w:t>
            </w:r>
            <w:r>
              <w:rPr>
                <w:rFonts w:eastAsia="Times New Roman"/>
                <w:i/>
                <w:sz w:val="18"/>
                <w:szCs w:val="18"/>
                <w:lang w:val="en-GB" w:eastAsia="en-GB"/>
              </w:rPr>
              <w:t>I</w:t>
            </w:r>
            <w:r>
              <w:rPr>
                <w:rFonts w:eastAsia="Times New Roman"/>
                <w:i/>
                <w:sz w:val="18"/>
                <w:szCs w:val="18"/>
                <w:vertAlign w:val="superscript"/>
                <w:lang w:val="en-GB" w:eastAsia="en-GB"/>
              </w:rPr>
              <w:t>2</w:t>
            </w:r>
            <w:r>
              <w:rPr>
                <w:rFonts w:eastAsia="Times New Roman"/>
                <w:sz w:val="18"/>
                <w:szCs w:val="18"/>
                <w:lang w:val="en-GB" w:eastAsia="en-GB"/>
              </w:rPr>
              <w:t>, Q statistic or E-value)</w:t>
            </w:r>
          </w:p>
        </w:tc>
        <w:tc>
          <w:tcPr>
            <w:tcW w:w="720" w:type="dxa"/>
            <w:shd w:val="clear" w:color="auto" w:fill="EEEEEE"/>
          </w:tcPr>
          <w:p w14:paraId="790D90BB">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15</w:t>
            </w:r>
          </w:p>
        </w:tc>
        <w:tc>
          <w:tcPr>
            <w:tcW w:w="4320" w:type="dxa"/>
            <w:shd w:val="clear" w:color="auto" w:fill="EEEEEE"/>
          </w:tcPr>
          <w:p w14:paraId="7DA74B51">
            <w:pPr>
              <w:spacing w:before="96" w:beforeLines="40" w:after="96" w:afterLines="40" w:line="24" w:lineRule="atLeast"/>
              <w:rPr>
                <w:rFonts w:eastAsia="Times New Roman"/>
                <w:sz w:val="18"/>
                <w:szCs w:val="18"/>
                <w:lang w:val="en-GB" w:eastAsia="en-GB"/>
              </w:rPr>
            </w:pPr>
            <w:r>
              <w:rPr>
                <w:rFonts w:hint="eastAsia" w:ascii="Arial" w:hAnsi="Arial" w:eastAsia="Times New Roman" w:cs="Arial"/>
                <w:sz w:val="18"/>
                <w:szCs w:val="18"/>
                <w:lang w:val="en-GB" w:eastAsia="en-GB"/>
              </w:rPr>
              <w:t>According to Cochran</w:t>
            </w:r>
            <w:r>
              <w:rPr>
                <w:rFonts w:ascii="Arial" w:hAnsi="Arial" w:eastAsia="Times New Roman" w:cs="Arial"/>
                <w:sz w:val="18"/>
                <w:szCs w:val="18"/>
                <w:lang w:val="en-GB" w:eastAsia="en-GB"/>
              </w:rPr>
              <w:t>’</w:t>
            </w:r>
            <w:r>
              <w:rPr>
                <w:rFonts w:hint="eastAsia" w:ascii="Arial" w:hAnsi="Arial" w:eastAsia="Times New Roman" w:cs="Arial"/>
                <w:sz w:val="18"/>
                <w:szCs w:val="18"/>
                <w:lang w:val="en-GB" w:eastAsia="en-GB"/>
              </w:rPr>
              <w:t>s Q test, our findings revealed no significant heterogeneity (Q = 14.161, p = 0.587), strengthening the reliability and consistency of our study outcomes.</w:t>
            </w:r>
          </w:p>
        </w:tc>
      </w:tr>
      <w:tr w14:paraId="3046646C">
        <w:tblPrEx>
          <w:tblCellMar>
            <w:top w:w="0" w:type="dxa"/>
            <w:left w:w="108" w:type="dxa"/>
            <w:bottom w:w="0" w:type="dxa"/>
            <w:right w:w="108" w:type="dxa"/>
          </w:tblCellMar>
        </w:tblPrEx>
        <w:tc>
          <w:tcPr>
            <w:tcW w:w="587" w:type="dxa"/>
            <w:shd w:val="clear" w:color="auto" w:fill="auto"/>
          </w:tcPr>
          <w:p w14:paraId="3FF21F31">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13</w:t>
            </w:r>
          </w:p>
        </w:tc>
        <w:tc>
          <w:tcPr>
            <w:tcW w:w="1822" w:type="dxa"/>
            <w:shd w:val="clear" w:color="auto" w:fill="auto"/>
          </w:tcPr>
          <w:p w14:paraId="7AFDB00D">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Sensitivity analyses and additional analyses</w:t>
            </w:r>
          </w:p>
        </w:tc>
        <w:tc>
          <w:tcPr>
            <w:tcW w:w="7041" w:type="dxa"/>
            <w:shd w:val="clear" w:color="auto" w:fill="auto"/>
          </w:tcPr>
          <w:p w14:paraId="3F1A1802">
            <w:pPr>
              <w:spacing w:before="96" w:beforeLines="40" w:after="96" w:afterLines="40" w:line="24" w:lineRule="atLeast"/>
              <w:rPr>
                <w:rFonts w:eastAsia="Cambria"/>
                <w:sz w:val="18"/>
                <w:szCs w:val="18"/>
                <w:lang w:val="en-GB" w:eastAsia="en-US"/>
              </w:rPr>
            </w:pPr>
          </w:p>
        </w:tc>
        <w:tc>
          <w:tcPr>
            <w:tcW w:w="720" w:type="dxa"/>
          </w:tcPr>
          <w:p w14:paraId="3F1B4A10">
            <w:pPr>
              <w:spacing w:before="96" w:beforeLines="40" w:after="96" w:afterLines="40" w:line="24" w:lineRule="atLeast"/>
              <w:rPr>
                <w:rFonts w:eastAsia="Cambria"/>
                <w:sz w:val="18"/>
                <w:szCs w:val="18"/>
                <w:lang w:val="en-GB" w:eastAsia="en-US"/>
              </w:rPr>
            </w:pPr>
          </w:p>
        </w:tc>
        <w:tc>
          <w:tcPr>
            <w:tcW w:w="4320" w:type="dxa"/>
          </w:tcPr>
          <w:p w14:paraId="71B1ED4C">
            <w:pPr>
              <w:spacing w:before="96" w:beforeLines="40" w:after="96" w:afterLines="40" w:line="24" w:lineRule="atLeast"/>
              <w:rPr>
                <w:rFonts w:eastAsia="Cambria"/>
                <w:sz w:val="18"/>
                <w:szCs w:val="18"/>
                <w:lang w:val="en-GB" w:eastAsia="en-US"/>
              </w:rPr>
            </w:pPr>
          </w:p>
        </w:tc>
      </w:tr>
      <w:tr w14:paraId="012ACB4D">
        <w:tblPrEx>
          <w:tblCellMar>
            <w:top w:w="0" w:type="dxa"/>
            <w:left w:w="108" w:type="dxa"/>
            <w:bottom w:w="0" w:type="dxa"/>
            <w:right w:w="108" w:type="dxa"/>
          </w:tblCellMar>
        </w:tblPrEx>
        <w:tc>
          <w:tcPr>
            <w:tcW w:w="587" w:type="dxa"/>
            <w:shd w:val="clear" w:color="auto" w:fill="EEEEEE"/>
          </w:tcPr>
          <w:p w14:paraId="0AE389FF">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2E8927ED">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EEEEEE"/>
          </w:tcPr>
          <w:p w14:paraId="19EB538F">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any sensitivity analyses to assess the robustness of the main results to violations of the assumptions</w:t>
            </w:r>
          </w:p>
        </w:tc>
        <w:tc>
          <w:tcPr>
            <w:tcW w:w="720" w:type="dxa"/>
            <w:shd w:val="clear" w:color="auto" w:fill="EEEEEE"/>
          </w:tcPr>
          <w:p w14:paraId="102416C1">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15</w:t>
            </w:r>
          </w:p>
        </w:tc>
        <w:tc>
          <w:tcPr>
            <w:tcW w:w="4320" w:type="dxa"/>
            <w:shd w:val="clear" w:color="auto" w:fill="EEEEEE"/>
          </w:tcPr>
          <w:p w14:paraId="3C65ACE4">
            <w:pPr>
              <w:keepNext w:val="0"/>
              <w:keepLines w:val="0"/>
              <w:pageBreakBefore w:val="0"/>
              <w:kinsoku/>
              <w:wordWrap/>
              <w:overflowPunct/>
              <w:topLinePunct w:val="0"/>
              <w:autoSpaceDE/>
              <w:autoSpaceDN/>
              <w:bidi w:val="0"/>
              <w:spacing w:line="480" w:lineRule="auto"/>
              <w:textAlignment w:val="auto"/>
              <w:rPr>
                <w:rFonts w:eastAsia="Times New Roman"/>
                <w:sz w:val="18"/>
                <w:szCs w:val="18"/>
                <w:lang w:val="en-GB" w:eastAsia="en-GB"/>
              </w:rPr>
            </w:pPr>
            <w:r>
              <w:rPr>
                <w:rFonts w:hint="eastAsia" w:ascii="Arial" w:hAnsi="Arial" w:eastAsia="Times New Roman" w:cs="Arial"/>
                <w:sz w:val="18"/>
                <w:szCs w:val="18"/>
                <w:lang w:val="en-GB" w:eastAsia="en-GB"/>
              </w:rPr>
              <w:t>To ascertain the robustness of the IVW analysis outcomes, a sensitivity analysis was conducted. According to Cochran’s Q test, our findings revealed no significant heterogeneity (Q = 14.161, p = 0.587), strengthening the reliability and consistency of our study outcomes.</w:t>
            </w:r>
          </w:p>
        </w:tc>
      </w:tr>
      <w:tr w14:paraId="670871AC">
        <w:tblPrEx>
          <w:tblCellMar>
            <w:top w:w="0" w:type="dxa"/>
            <w:left w:w="108" w:type="dxa"/>
            <w:bottom w:w="0" w:type="dxa"/>
            <w:right w:w="108" w:type="dxa"/>
          </w:tblCellMar>
        </w:tblPrEx>
        <w:tc>
          <w:tcPr>
            <w:tcW w:w="587" w:type="dxa"/>
            <w:shd w:val="clear" w:color="auto" w:fill="auto"/>
          </w:tcPr>
          <w:p w14:paraId="270A7AF0">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2945F7CF">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auto"/>
          </w:tcPr>
          <w:p w14:paraId="4CA70653">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results from other sensitivity analyses or additional analyses</w:t>
            </w:r>
          </w:p>
        </w:tc>
        <w:tc>
          <w:tcPr>
            <w:tcW w:w="720" w:type="dxa"/>
          </w:tcPr>
          <w:p w14:paraId="3CD3533B">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15</w:t>
            </w:r>
          </w:p>
        </w:tc>
        <w:tc>
          <w:tcPr>
            <w:tcW w:w="4320" w:type="dxa"/>
          </w:tcPr>
          <w:p w14:paraId="3A6F31A5">
            <w:pPr>
              <w:spacing w:before="96" w:beforeLines="40" w:after="96" w:afterLines="40" w:line="24" w:lineRule="atLeast"/>
              <w:rPr>
                <w:rFonts w:eastAsia="Times New Roman"/>
                <w:sz w:val="18"/>
                <w:szCs w:val="18"/>
                <w:lang w:val="en-GB" w:eastAsia="en-GB"/>
              </w:rPr>
            </w:pPr>
            <w:r>
              <w:rPr>
                <w:rFonts w:hint="eastAsia" w:ascii="Arial" w:hAnsi="Arial" w:eastAsia="Times New Roman" w:cs="Arial"/>
                <w:sz w:val="18"/>
                <w:szCs w:val="18"/>
                <w:lang w:val="en-GB" w:eastAsia="en-GB"/>
              </w:rPr>
              <w:t xml:space="preserve">MR-Egger regression method also indicated no existence of directional pleiotropy (intercept = -0.007, p = 0.886). </w:t>
            </w:r>
          </w:p>
        </w:tc>
      </w:tr>
      <w:tr w14:paraId="5BA248B1">
        <w:tblPrEx>
          <w:tblCellMar>
            <w:top w:w="0" w:type="dxa"/>
            <w:left w:w="108" w:type="dxa"/>
            <w:bottom w:w="0" w:type="dxa"/>
            <w:right w:w="108" w:type="dxa"/>
          </w:tblCellMar>
        </w:tblPrEx>
        <w:tc>
          <w:tcPr>
            <w:tcW w:w="587" w:type="dxa"/>
            <w:shd w:val="clear" w:color="auto" w:fill="EEEEEE"/>
          </w:tcPr>
          <w:p w14:paraId="66F5D864">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16DFE967">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EEEEEE"/>
          </w:tcPr>
          <w:p w14:paraId="3F339D6D">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Report any assessment of direction of causal relationship (e.g., bidirectional MR)</w:t>
            </w:r>
          </w:p>
        </w:tc>
        <w:tc>
          <w:tcPr>
            <w:tcW w:w="720" w:type="dxa"/>
            <w:shd w:val="clear" w:color="auto" w:fill="EEEEEE"/>
          </w:tcPr>
          <w:p w14:paraId="46EF8A81">
            <w:pPr>
              <w:keepNext w:val="0"/>
              <w:keepLines w:val="0"/>
              <w:pageBreakBefore w:val="0"/>
              <w:kinsoku/>
              <w:wordWrap/>
              <w:overflowPunct/>
              <w:topLinePunct w:val="0"/>
              <w:autoSpaceDE/>
              <w:autoSpaceDN/>
              <w:bidi w:val="0"/>
              <w:spacing w:line="480" w:lineRule="auto"/>
              <w:textAlignment w:val="auto"/>
              <w:rPr>
                <w:rFonts w:hint="default" w:ascii="Arial" w:hAnsi="Arial" w:eastAsia="宋体" w:cs="Arial"/>
                <w:sz w:val="18"/>
                <w:szCs w:val="18"/>
                <w:lang w:val="en-US" w:eastAsia="zh-CN"/>
              </w:rPr>
            </w:pPr>
            <w:r>
              <w:rPr>
                <w:rFonts w:hint="eastAsia" w:ascii="Arial" w:hAnsi="Arial" w:eastAsia="宋体" w:cs="Arial"/>
                <w:sz w:val="18"/>
                <w:szCs w:val="18"/>
                <w:lang w:val="en-US" w:eastAsia="zh-CN"/>
              </w:rPr>
              <w:t>1</w:t>
            </w:r>
            <w:r>
              <w:rPr>
                <w:rFonts w:hint="eastAsia" w:eastAsia="宋体" w:cs="Arial"/>
                <w:sz w:val="18"/>
                <w:szCs w:val="18"/>
                <w:lang w:val="en-US" w:eastAsia="zh-CN"/>
              </w:rPr>
              <w:t>5</w:t>
            </w:r>
          </w:p>
        </w:tc>
        <w:tc>
          <w:tcPr>
            <w:tcW w:w="4320" w:type="dxa"/>
            <w:shd w:val="clear" w:color="auto" w:fill="EEEEEE"/>
          </w:tcPr>
          <w:p w14:paraId="6ECD4C79">
            <w:pPr>
              <w:keepNext w:val="0"/>
              <w:keepLines w:val="0"/>
              <w:pageBreakBefore w:val="0"/>
              <w:kinsoku/>
              <w:wordWrap/>
              <w:overflowPunct/>
              <w:topLinePunct w:val="0"/>
              <w:autoSpaceDE/>
              <w:autoSpaceDN/>
              <w:bidi w:val="0"/>
              <w:spacing w:line="480" w:lineRule="auto"/>
              <w:textAlignment w:val="auto"/>
              <w:rPr>
                <w:rFonts w:hint="eastAsia" w:ascii="Arial" w:hAnsi="Arial" w:eastAsia="Times New Roman" w:cs="Arial"/>
                <w:sz w:val="18"/>
                <w:szCs w:val="18"/>
                <w:lang w:val="en-GB" w:eastAsia="en-GB"/>
              </w:rPr>
            </w:pPr>
            <w:r>
              <w:rPr>
                <w:rFonts w:hint="eastAsia" w:ascii="Arial" w:hAnsi="Arial" w:eastAsia="Times New Roman" w:cs="Arial"/>
                <w:sz w:val="18"/>
                <w:szCs w:val="18"/>
                <w:lang w:val="en-GB" w:eastAsia="en-GB"/>
              </w:rPr>
              <w:t>Moreover, the MR Steiger test demonstrated an absence of evidence of reverse causality (psteiger &lt; 0.01).</w:t>
            </w:r>
          </w:p>
        </w:tc>
      </w:tr>
      <w:tr w14:paraId="00277C00">
        <w:tblPrEx>
          <w:tblCellMar>
            <w:top w:w="0" w:type="dxa"/>
            <w:left w:w="108" w:type="dxa"/>
            <w:bottom w:w="0" w:type="dxa"/>
            <w:right w:w="108" w:type="dxa"/>
          </w:tblCellMar>
        </w:tblPrEx>
        <w:tc>
          <w:tcPr>
            <w:tcW w:w="587" w:type="dxa"/>
            <w:shd w:val="clear" w:color="auto" w:fill="auto"/>
          </w:tcPr>
          <w:p w14:paraId="182EAFD1">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73C6E60C">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auto"/>
          </w:tcPr>
          <w:p w14:paraId="494F0F49">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When relevant, report and compare with estimates from non-MR analyses</w:t>
            </w:r>
          </w:p>
        </w:tc>
        <w:tc>
          <w:tcPr>
            <w:tcW w:w="720" w:type="dxa"/>
          </w:tcPr>
          <w:p w14:paraId="2A903A5E">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16-17</w:t>
            </w:r>
          </w:p>
        </w:tc>
        <w:tc>
          <w:tcPr>
            <w:tcW w:w="4320" w:type="dxa"/>
          </w:tcPr>
          <w:p w14:paraId="013F6C56">
            <w:pPr>
              <w:keepNext w:val="0"/>
              <w:keepLines w:val="0"/>
              <w:pageBreakBefore w:val="0"/>
              <w:kinsoku/>
              <w:wordWrap/>
              <w:overflowPunct/>
              <w:topLinePunct w:val="0"/>
              <w:autoSpaceDE/>
              <w:autoSpaceDN/>
              <w:bidi w:val="0"/>
              <w:spacing w:line="480" w:lineRule="auto"/>
              <w:textAlignment w:val="auto"/>
              <w:rPr>
                <w:rFonts w:hint="default" w:eastAsia="宋体"/>
                <w:sz w:val="18"/>
                <w:szCs w:val="18"/>
                <w:lang w:val="en-US" w:eastAsia="zh-CN"/>
              </w:rPr>
            </w:pPr>
            <w:r>
              <w:rPr>
                <w:rFonts w:hint="eastAsia" w:ascii="Arial" w:hAnsi="Arial" w:eastAsia="Times New Roman" w:cs="Arial"/>
                <w:sz w:val="18"/>
                <w:szCs w:val="18"/>
                <w:lang w:val="en-GB" w:eastAsia="en-GB"/>
              </w:rPr>
              <w:t>Functional annotations of risk SNPs</w:t>
            </w:r>
          </w:p>
        </w:tc>
      </w:tr>
      <w:tr w14:paraId="3F64B09E">
        <w:tblPrEx>
          <w:tblCellMar>
            <w:top w:w="0" w:type="dxa"/>
            <w:left w:w="108" w:type="dxa"/>
            <w:bottom w:w="0" w:type="dxa"/>
            <w:right w:w="108" w:type="dxa"/>
          </w:tblCellMar>
        </w:tblPrEx>
        <w:tc>
          <w:tcPr>
            <w:tcW w:w="587" w:type="dxa"/>
            <w:tcBorders>
              <w:bottom w:val="single" w:color="7F7F7F" w:sz="6" w:space="0"/>
            </w:tcBorders>
            <w:shd w:val="clear" w:color="auto" w:fill="EEEEEE"/>
          </w:tcPr>
          <w:p w14:paraId="55A1B03F">
            <w:pPr>
              <w:spacing w:before="96" w:beforeLines="40" w:after="96" w:afterLines="40" w:line="24" w:lineRule="atLeast"/>
              <w:jc w:val="right"/>
              <w:rPr>
                <w:rFonts w:eastAsia="Cambria"/>
                <w:b/>
                <w:bCs/>
                <w:sz w:val="18"/>
                <w:szCs w:val="18"/>
                <w:lang w:val="en-GB" w:eastAsia="en-US"/>
              </w:rPr>
            </w:pPr>
          </w:p>
        </w:tc>
        <w:tc>
          <w:tcPr>
            <w:tcW w:w="1822" w:type="dxa"/>
            <w:tcBorders>
              <w:bottom w:val="single" w:color="7F7F7F" w:sz="6" w:space="0"/>
            </w:tcBorders>
            <w:shd w:val="clear" w:color="auto" w:fill="EEEEEE"/>
          </w:tcPr>
          <w:p w14:paraId="288E08FD">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e)</w:t>
            </w:r>
          </w:p>
        </w:tc>
        <w:tc>
          <w:tcPr>
            <w:tcW w:w="7041" w:type="dxa"/>
            <w:tcBorders>
              <w:bottom w:val="single" w:color="7F7F7F" w:sz="6" w:space="0"/>
            </w:tcBorders>
            <w:shd w:val="clear" w:color="auto" w:fill="EEEEEE"/>
          </w:tcPr>
          <w:p w14:paraId="7FE8B69B">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Consider additional plots to visualize results (e.g., leave-one-out analyses)</w:t>
            </w:r>
          </w:p>
        </w:tc>
        <w:tc>
          <w:tcPr>
            <w:tcW w:w="720" w:type="dxa"/>
            <w:tcBorders>
              <w:bottom w:val="single" w:color="7F7F7F" w:sz="6" w:space="0"/>
            </w:tcBorders>
            <w:shd w:val="clear" w:color="auto" w:fill="EEEEEE"/>
          </w:tcPr>
          <w:p w14:paraId="6E978915">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15</w:t>
            </w:r>
          </w:p>
        </w:tc>
        <w:tc>
          <w:tcPr>
            <w:tcW w:w="4320" w:type="dxa"/>
            <w:tcBorders>
              <w:bottom w:val="single" w:color="7F7F7F" w:sz="6" w:space="0"/>
            </w:tcBorders>
            <w:shd w:val="clear" w:color="auto" w:fill="EEEEEE"/>
          </w:tcPr>
          <w:p w14:paraId="549C9DC8">
            <w:pPr>
              <w:spacing w:before="96" w:beforeLines="40" w:after="96" w:afterLines="40" w:line="24" w:lineRule="atLeast"/>
              <w:rPr>
                <w:rFonts w:eastAsia="Times New Roman"/>
                <w:sz w:val="18"/>
                <w:szCs w:val="18"/>
                <w:lang w:val="en-GB" w:eastAsia="en-GB"/>
              </w:rPr>
            </w:pPr>
            <w:r>
              <w:rPr>
                <w:rFonts w:hint="eastAsia" w:ascii="Arial" w:hAnsi="Arial" w:eastAsia="Times New Roman" w:cs="Arial"/>
                <w:sz w:val="18"/>
                <w:szCs w:val="18"/>
                <w:lang w:val="en-GB" w:eastAsia="en-GB"/>
              </w:rPr>
              <w:t xml:space="preserve">It showed that no single SNP strongly altered the overall effect of butyrylcarnitine on risk of </w:t>
            </w:r>
            <w:r>
              <w:rPr>
                <w:rFonts w:hint="eastAsia" w:eastAsia="宋体" w:cs="Arial"/>
                <w:sz w:val="18"/>
                <w:szCs w:val="18"/>
                <w:lang w:val="en-US" w:eastAsia="zh-CN"/>
              </w:rPr>
              <w:t>HN</w:t>
            </w:r>
            <w:r>
              <w:rPr>
                <w:rFonts w:hint="eastAsia" w:ascii="Arial" w:hAnsi="Arial" w:eastAsia="Times New Roman" w:cs="Arial"/>
                <w:sz w:val="18"/>
                <w:szCs w:val="18"/>
                <w:lang w:val="en-GB" w:eastAsia="en-GB"/>
              </w:rPr>
              <w:t>C, indicating the r</w:t>
            </w:r>
            <w:r>
              <w:rPr>
                <w:rFonts w:ascii="Arial" w:hAnsi="Arial" w:eastAsia="Times New Roman" w:cs="Arial"/>
                <w:sz w:val="18"/>
                <w:szCs w:val="18"/>
                <w:lang w:val="en-GB" w:eastAsia="en-GB"/>
              </w:rPr>
              <w:t>eliability and</w:t>
            </w:r>
            <w:r>
              <w:rPr>
                <w:rFonts w:hint="eastAsia" w:ascii="Arial" w:hAnsi="Arial" w:eastAsia="Times New Roman" w:cs="Arial"/>
                <w:sz w:val="18"/>
                <w:szCs w:val="18"/>
                <w:lang w:val="en-GB" w:eastAsia="en-GB"/>
              </w:rPr>
              <w:t xml:space="preserve"> stability of our analysis </w:t>
            </w:r>
            <w:r>
              <w:rPr>
                <w:rFonts w:ascii="Arial" w:hAnsi="Arial" w:eastAsia="Times New Roman" w:cs="Arial"/>
                <w:sz w:val="18"/>
                <w:szCs w:val="18"/>
                <w:lang w:val="en-GB" w:eastAsia="en-GB"/>
              </w:rPr>
              <w:t>according to</w:t>
            </w:r>
            <w:r>
              <w:rPr>
                <w:rFonts w:hint="eastAsia" w:ascii="Arial" w:hAnsi="Arial" w:eastAsia="Times New Roman" w:cs="Arial"/>
                <w:sz w:val="18"/>
                <w:szCs w:val="18"/>
                <w:lang w:val="en-GB" w:eastAsia="en-GB"/>
              </w:rPr>
              <w:t xml:space="preserve"> </w:t>
            </w:r>
            <w:r>
              <w:rPr>
                <w:rFonts w:ascii="Arial" w:hAnsi="Arial" w:eastAsia="Times New Roman" w:cs="Arial"/>
                <w:sz w:val="18"/>
                <w:szCs w:val="18"/>
                <w:lang w:val="en-GB" w:eastAsia="en-GB"/>
              </w:rPr>
              <w:t>“</w:t>
            </w:r>
            <w:r>
              <w:rPr>
                <w:rFonts w:hint="eastAsia" w:ascii="Arial" w:hAnsi="Arial" w:eastAsia="Times New Roman" w:cs="Arial"/>
                <w:sz w:val="18"/>
                <w:szCs w:val="18"/>
                <w:lang w:val="en-GB" w:eastAsia="en-GB"/>
              </w:rPr>
              <w:t>leave-one-out</w:t>
            </w:r>
            <w:r>
              <w:rPr>
                <w:rFonts w:ascii="Arial" w:hAnsi="Arial" w:eastAsia="Times New Roman" w:cs="Arial"/>
                <w:sz w:val="18"/>
                <w:szCs w:val="18"/>
                <w:lang w:val="en-GB" w:eastAsia="en-GB"/>
              </w:rPr>
              <w:t>”</w:t>
            </w:r>
            <w:r>
              <w:rPr>
                <w:rFonts w:hint="eastAsia" w:ascii="Arial" w:hAnsi="Arial" w:eastAsia="Times New Roman" w:cs="Arial"/>
                <w:sz w:val="18"/>
                <w:szCs w:val="18"/>
                <w:lang w:val="en-GB" w:eastAsia="en-GB"/>
              </w:rPr>
              <w:t xml:space="preserve"> method (Fig. </w:t>
            </w:r>
            <w:r>
              <w:rPr>
                <w:rFonts w:hint="eastAsia" w:eastAsia="宋体" w:cs="Arial"/>
                <w:sz w:val="18"/>
                <w:szCs w:val="18"/>
                <w:lang w:val="en-US" w:eastAsia="zh-CN"/>
              </w:rPr>
              <w:t>2</w:t>
            </w:r>
            <w:r>
              <w:rPr>
                <w:rFonts w:hint="eastAsia" w:ascii="Arial" w:hAnsi="Arial" w:eastAsia="Times New Roman" w:cs="Arial"/>
                <w:sz w:val="18"/>
                <w:szCs w:val="18"/>
                <w:lang w:val="en-GB" w:eastAsia="en-GB"/>
              </w:rPr>
              <w:t xml:space="preserve">). </w:t>
            </w:r>
          </w:p>
        </w:tc>
      </w:tr>
      <w:tr w14:paraId="5F3BD4E3">
        <w:tblPrEx>
          <w:tblCellMar>
            <w:top w:w="0" w:type="dxa"/>
            <w:left w:w="108" w:type="dxa"/>
            <w:bottom w:w="0" w:type="dxa"/>
            <w:right w:w="108" w:type="dxa"/>
          </w:tblCellMar>
        </w:tblPrEx>
        <w:tc>
          <w:tcPr>
            <w:tcW w:w="587" w:type="dxa"/>
            <w:tcBorders>
              <w:top w:val="single" w:color="7F7F7F" w:sz="6" w:space="0"/>
            </w:tcBorders>
            <w:shd w:val="clear" w:color="auto" w:fill="auto"/>
          </w:tcPr>
          <w:p w14:paraId="60EE9CAB">
            <w:pPr>
              <w:spacing w:before="96" w:beforeLines="40" w:after="96" w:afterLines="40" w:line="24" w:lineRule="atLeast"/>
              <w:rPr>
                <w:rFonts w:eastAsia="Times New Roman"/>
                <w:b/>
                <w:bCs/>
                <w:sz w:val="18"/>
                <w:szCs w:val="18"/>
                <w:lang w:val="en-GB" w:eastAsia="en-GB"/>
              </w:rPr>
            </w:pPr>
          </w:p>
        </w:tc>
        <w:tc>
          <w:tcPr>
            <w:tcW w:w="1822" w:type="dxa"/>
            <w:tcBorders>
              <w:top w:val="single" w:color="7F7F7F" w:sz="6" w:space="0"/>
            </w:tcBorders>
            <w:shd w:val="clear" w:color="auto" w:fill="auto"/>
          </w:tcPr>
          <w:p w14:paraId="563E9A79">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DISCUSSION</w:t>
            </w:r>
          </w:p>
        </w:tc>
        <w:tc>
          <w:tcPr>
            <w:tcW w:w="7041" w:type="dxa"/>
            <w:tcBorders>
              <w:top w:val="single" w:color="7F7F7F" w:sz="6" w:space="0"/>
            </w:tcBorders>
            <w:shd w:val="clear" w:color="auto" w:fill="auto"/>
          </w:tcPr>
          <w:p w14:paraId="7C5326CD">
            <w:pPr>
              <w:spacing w:before="96" w:beforeLines="40" w:after="96" w:afterLines="40" w:line="24" w:lineRule="atLeast"/>
              <w:rPr>
                <w:rFonts w:eastAsia="Cambria"/>
                <w:sz w:val="18"/>
                <w:szCs w:val="18"/>
                <w:lang w:val="en-GB" w:eastAsia="en-US"/>
              </w:rPr>
            </w:pPr>
          </w:p>
        </w:tc>
        <w:tc>
          <w:tcPr>
            <w:tcW w:w="720" w:type="dxa"/>
            <w:tcBorders>
              <w:top w:val="single" w:color="7F7F7F" w:sz="6" w:space="0"/>
            </w:tcBorders>
          </w:tcPr>
          <w:p w14:paraId="57A63A0E">
            <w:pPr>
              <w:spacing w:before="96" w:beforeLines="40" w:after="96" w:afterLines="40" w:line="24" w:lineRule="atLeast"/>
              <w:rPr>
                <w:rFonts w:eastAsia="Cambria"/>
                <w:sz w:val="18"/>
                <w:szCs w:val="18"/>
                <w:lang w:val="en-GB" w:eastAsia="en-US"/>
              </w:rPr>
            </w:pPr>
          </w:p>
        </w:tc>
        <w:tc>
          <w:tcPr>
            <w:tcW w:w="4320" w:type="dxa"/>
            <w:tcBorders>
              <w:top w:val="single" w:color="7F7F7F" w:sz="6" w:space="0"/>
            </w:tcBorders>
          </w:tcPr>
          <w:p w14:paraId="7444930D">
            <w:pPr>
              <w:spacing w:before="96" w:beforeLines="40" w:after="96" w:afterLines="40" w:line="24" w:lineRule="atLeast"/>
              <w:rPr>
                <w:rFonts w:eastAsia="Cambria"/>
                <w:sz w:val="18"/>
                <w:szCs w:val="18"/>
                <w:lang w:val="en-GB" w:eastAsia="en-US"/>
              </w:rPr>
            </w:pPr>
          </w:p>
        </w:tc>
      </w:tr>
      <w:tr w14:paraId="7F49D696">
        <w:tblPrEx>
          <w:tblCellMar>
            <w:top w:w="0" w:type="dxa"/>
            <w:left w:w="108" w:type="dxa"/>
            <w:bottom w:w="0" w:type="dxa"/>
            <w:right w:w="108" w:type="dxa"/>
          </w:tblCellMar>
        </w:tblPrEx>
        <w:tc>
          <w:tcPr>
            <w:tcW w:w="587" w:type="dxa"/>
            <w:shd w:val="clear" w:color="auto" w:fill="EEEEEE"/>
          </w:tcPr>
          <w:p w14:paraId="21473722">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14</w:t>
            </w:r>
          </w:p>
        </w:tc>
        <w:tc>
          <w:tcPr>
            <w:tcW w:w="1822" w:type="dxa"/>
            <w:shd w:val="clear" w:color="auto" w:fill="EEEEEE"/>
          </w:tcPr>
          <w:p w14:paraId="65C36C91">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Key results </w:t>
            </w:r>
          </w:p>
        </w:tc>
        <w:tc>
          <w:tcPr>
            <w:tcW w:w="7041" w:type="dxa"/>
            <w:shd w:val="clear" w:color="auto" w:fill="EEEEEE"/>
          </w:tcPr>
          <w:p w14:paraId="61AA376C">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Summarize key results with reference to study objectives</w:t>
            </w:r>
          </w:p>
        </w:tc>
        <w:tc>
          <w:tcPr>
            <w:tcW w:w="720" w:type="dxa"/>
            <w:shd w:val="clear" w:color="auto" w:fill="EEEEEE"/>
          </w:tcPr>
          <w:p w14:paraId="2A8FF6E7">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18</w:t>
            </w:r>
          </w:p>
        </w:tc>
        <w:tc>
          <w:tcPr>
            <w:tcW w:w="4320" w:type="dxa"/>
            <w:shd w:val="clear" w:color="auto" w:fill="EEEEEE"/>
          </w:tcPr>
          <w:p w14:paraId="44F6C2F5">
            <w:pPr>
              <w:spacing w:before="96" w:beforeLines="40" w:after="96" w:afterLines="40" w:line="24" w:lineRule="atLeast"/>
              <w:rPr>
                <w:rFonts w:hint="eastAsia" w:eastAsia="宋体"/>
                <w:sz w:val="18"/>
                <w:szCs w:val="18"/>
                <w:lang w:val="en-US" w:eastAsia="zh-CN"/>
              </w:rPr>
            </w:pPr>
            <w:r>
              <w:rPr>
                <w:rFonts w:hint="eastAsia" w:ascii="Arial" w:hAnsi="Arial" w:eastAsia="Times New Roman" w:cs="Arial"/>
                <w:sz w:val="18"/>
                <w:szCs w:val="18"/>
                <w:lang w:val="en-GB" w:eastAsia="en-GB"/>
              </w:rPr>
              <w:t xml:space="preserve">Among the 258 known blood metabolites, our findings pinpoint butyrylcarnitine as a potential causal mediator with plausible causal implications in the development of </w:t>
            </w:r>
            <w:r>
              <w:rPr>
                <w:rFonts w:hint="eastAsia" w:eastAsia="宋体" w:cs="Arial"/>
                <w:sz w:val="18"/>
                <w:szCs w:val="18"/>
                <w:lang w:val="en-US" w:eastAsia="zh-CN"/>
              </w:rPr>
              <w:t>HN</w:t>
            </w:r>
            <w:r>
              <w:rPr>
                <w:rFonts w:hint="eastAsia" w:ascii="Arial" w:hAnsi="Arial" w:eastAsia="Times New Roman" w:cs="Arial"/>
                <w:sz w:val="18"/>
                <w:szCs w:val="18"/>
                <w:lang w:val="en-GB" w:eastAsia="en-GB"/>
              </w:rPr>
              <w:t xml:space="preserve">C. Namely, genetically predicted high butyrylcarnitine level is associated with increased risks of </w:t>
            </w:r>
            <w:r>
              <w:rPr>
                <w:rFonts w:hint="eastAsia" w:eastAsia="宋体" w:cs="Arial"/>
                <w:sz w:val="18"/>
                <w:szCs w:val="18"/>
                <w:lang w:val="en-US" w:eastAsia="zh-CN"/>
              </w:rPr>
              <w:t>HN</w:t>
            </w:r>
            <w:r>
              <w:rPr>
                <w:rFonts w:hint="eastAsia" w:ascii="Arial" w:hAnsi="Arial" w:eastAsia="Times New Roman" w:cs="Arial"/>
                <w:sz w:val="18"/>
                <w:szCs w:val="18"/>
                <w:lang w:val="en-GB" w:eastAsia="en-GB"/>
              </w:rPr>
              <w:t xml:space="preserve">C. </w:t>
            </w:r>
          </w:p>
        </w:tc>
      </w:tr>
      <w:tr w14:paraId="412AFB56">
        <w:tblPrEx>
          <w:tblCellMar>
            <w:top w:w="0" w:type="dxa"/>
            <w:left w:w="108" w:type="dxa"/>
            <w:bottom w:w="0" w:type="dxa"/>
            <w:right w:w="108" w:type="dxa"/>
          </w:tblCellMar>
        </w:tblPrEx>
        <w:tc>
          <w:tcPr>
            <w:tcW w:w="587" w:type="dxa"/>
            <w:shd w:val="clear" w:color="auto" w:fill="auto"/>
          </w:tcPr>
          <w:p w14:paraId="47F96F8B">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15</w:t>
            </w:r>
          </w:p>
        </w:tc>
        <w:tc>
          <w:tcPr>
            <w:tcW w:w="1822" w:type="dxa"/>
            <w:shd w:val="clear" w:color="auto" w:fill="auto"/>
          </w:tcPr>
          <w:p w14:paraId="44FA872D">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Limitations</w:t>
            </w:r>
          </w:p>
        </w:tc>
        <w:tc>
          <w:tcPr>
            <w:tcW w:w="7041" w:type="dxa"/>
            <w:shd w:val="clear" w:color="auto" w:fill="auto"/>
          </w:tcPr>
          <w:p w14:paraId="6C4E6AD7">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Discuss limitations of the study, taking into account the validity of the IV assumptions, other sources of potential bias, and imprecision. Discuss both direction and magnitude of any potential bias and any efforts to address them</w:t>
            </w:r>
            <w:r>
              <w:rPr>
                <w:rFonts w:eastAsia="Times New Roman"/>
                <w:sz w:val="18"/>
                <w:szCs w:val="18"/>
                <w:shd w:val="clear" w:color="auto" w:fill="FFFFFF"/>
                <w:lang w:val="en-GB" w:eastAsia="en-GB"/>
              </w:rPr>
              <w:t> </w:t>
            </w:r>
          </w:p>
        </w:tc>
        <w:tc>
          <w:tcPr>
            <w:tcW w:w="720" w:type="dxa"/>
          </w:tcPr>
          <w:p w14:paraId="78F74ED2">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23-24</w:t>
            </w:r>
          </w:p>
        </w:tc>
        <w:tc>
          <w:tcPr>
            <w:tcW w:w="4320" w:type="dxa"/>
          </w:tcPr>
          <w:p w14:paraId="5F4E7BD7">
            <w:pPr>
              <w:spacing w:before="96" w:beforeLines="40" w:after="96" w:afterLines="40" w:line="24" w:lineRule="atLeast"/>
              <w:rPr>
                <w:rFonts w:eastAsia="Times New Roman"/>
                <w:sz w:val="18"/>
                <w:szCs w:val="18"/>
                <w:lang w:val="en-GB" w:eastAsia="en-GB"/>
              </w:rPr>
            </w:pPr>
            <w:r>
              <w:rPr>
                <w:rFonts w:hint="eastAsia" w:ascii="Arial" w:hAnsi="Arial" w:eastAsia="Times New Roman" w:cs="Arial"/>
                <w:sz w:val="18"/>
                <w:szCs w:val="18"/>
                <w:lang w:val="en-GB" w:eastAsia="en-GB"/>
              </w:rPr>
              <w:t>Several limitations warrant consideration when interpreting our findings. Firstly, the genetic variants analyzed in this study were derived from a single cohort, and their effects on HNC risk have not been validated in independent cohorts. Moreover, while cis-SNPs for a biomarker present a robust MR evidence, caution must be exercised when utilizing MR scanning biomarkers due to the unavailability of cis instruments to corroborate MR signals stemming from trans-genetic variations [9]. Lastly, we present evidence underscoring the significance of butyrylcarnitine in HNC etiology and the roles of butyrylcarnitine on HNC cells in vitro; however, this does not exclude the possibility of other metabolites within the butyrylcarnitine pathway exerting biological effects on HNC. Further investigations are warranted to comprehensively explore each constituent of the pathway and elucidate the intricate mechanisms underlying the correlation between cis-SNPs and HNC, both in vitro and in vivo.</w:t>
            </w:r>
          </w:p>
        </w:tc>
      </w:tr>
      <w:tr w14:paraId="79BB90D2">
        <w:tblPrEx>
          <w:tblCellMar>
            <w:top w:w="0" w:type="dxa"/>
            <w:left w:w="108" w:type="dxa"/>
            <w:bottom w:w="0" w:type="dxa"/>
            <w:right w:w="108" w:type="dxa"/>
          </w:tblCellMar>
        </w:tblPrEx>
        <w:tc>
          <w:tcPr>
            <w:tcW w:w="587" w:type="dxa"/>
            <w:shd w:val="clear" w:color="auto" w:fill="EEEEEE"/>
          </w:tcPr>
          <w:p w14:paraId="5BFF0032">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16</w:t>
            </w:r>
          </w:p>
        </w:tc>
        <w:tc>
          <w:tcPr>
            <w:tcW w:w="1822" w:type="dxa"/>
            <w:shd w:val="clear" w:color="auto" w:fill="EEEEEE"/>
          </w:tcPr>
          <w:p w14:paraId="3112F5EB">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Interpretation</w:t>
            </w:r>
          </w:p>
        </w:tc>
        <w:tc>
          <w:tcPr>
            <w:tcW w:w="7041" w:type="dxa"/>
            <w:shd w:val="clear" w:color="auto" w:fill="EEEEEE"/>
          </w:tcPr>
          <w:p w14:paraId="46344B54">
            <w:pPr>
              <w:spacing w:before="96" w:beforeLines="40" w:after="96" w:afterLines="40" w:line="24" w:lineRule="atLeast"/>
              <w:rPr>
                <w:rFonts w:eastAsia="Cambria"/>
                <w:sz w:val="18"/>
                <w:szCs w:val="18"/>
                <w:lang w:val="en-GB" w:eastAsia="en-US"/>
              </w:rPr>
            </w:pPr>
          </w:p>
        </w:tc>
        <w:tc>
          <w:tcPr>
            <w:tcW w:w="720" w:type="dxa"/>
            <w:shd w:val="clear" w:color="auto" w:fill="EEEEEE"/>
          </w:tcPr>
          <w:p w14:paraId="39A690F8">
            <w:pPr>
              <w:spacing w:before="96" w:beforeLines="40" w:after="96" w:afterLines="40" w:line="24" w:lineRule="atLeast"/>
              <w:rPr>
                <w:rFonts w:eastAsia="Cambria"/>
                <w:sz w:val="18"/>
                <w:szCs w:val="18"/>
                <w:lang w:val="en-GB" w:eastAsia="en-US"/>
              </w:rPr>
            </w:pPr>
          </w:p>
        </w:tc>
        <w:tc>
          <w:tcPr>
            <w:tcW w:w="4320" w:type="dxa"/>
            <w:shd w:val="clear" w:color="auto" w:fill="EEEEEE"/>
          </w:tcPr>
          <w:p w14:paraId="1C9A288E">
            <w:pPr>
              <w:spacing w:before="96" w:beforeLines="40" w:after="96" w:afterLines="40" w:line="24" w:lineRule="atLeast"/>
              <w:rPr>
                <w:rFonts w:eastAsia="Cambria"/>
                <w:sz w:val="18"/>
                <w:szCs w:val="18"/>
                <w:lang w:val="en-GB" w:eastAsia="en-US"/>
              </w:rPr>
            </w:pPr>
          </w:p>
        </w:tc>
      </w:tr>
      <w:tr w14:paraId="78EF73A7">
        <w:tblPrEx>
          <w:tblCellMar>
            <w:top w:w="0" w:type="dxa"/>
            <w:left w:w="108" w:type="dxa"/>
            <w:bottom w:w="0" w:type="dxa"/>
            <w:right w:w="108" w:type="dxa"/>
          </w:tblCellMar>
        </w:tblPrEx>
        <w:tc>
          <w:tcPr>
            <w:tcW w:w="587" w:type="dxa"/>
            <w:shd w:val="clear" w:color="auto" w:fill="auto"/>
          </w:tcPr>
          <w:p w14:paraId="19BCE5E2">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31B555B8">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14:paraId="26710C9B">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Meaning: Give a cautious overall interpretation of results in the context of their limitations and in comparison with other studies</w:t>
            </w:r>
          </w:p>
        </w:tc>
        <w:tc>
          <w:tcPr>
            <w:tcW w:w="720" w:type="dxa"/>
          </w:tcPr>
          <w:p w14:paraId="4A3D5345">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18-22</w:t>
            </w:r>
          </w:p>
        </w:tc>
        <w:tc>
          <w:tcPr>
            <w:tcW w:w="4320" w:type="dxa"/>
          </w:tcPr>
          <w:p w14:paraId="5BF5E361">
            <w:pPr>
              <w:spacing w:before="96" w:beforeLines="40" w:after="96" w:afterLines="40" w:line="24" w:lineRule="atLeast"/>
              <w:rPr>
                <w:rFonts w:hint="default" w:eastAsia="宋体"/>
                <w:sz w:val="18"/>
                <w:szCs w:val="18"/>
                <w:lang w:val="en-US" w:eastAsia="zh-CN"/>
              </w:rPr>
            </w:pPr>
            <w:r>
              <w:rPr>
                <w:rFonts w:hint="eastAsia" w:ascii="Arial" w:hAnsi="Arial" w:eastAsia="Times New Roman" w:cs="Arial"/>
                <w:sz w:val="18"/>
                <w:szCs w:val="18"/>
                <w:lang w:val="en-GB" w:eastAsia="en-GB"/>
              </w:rPr>
              <w:t xml:space="preserve">Despite the scarcity of epidemiological data examining the significance of butyrylcarnitine in </w:t>
            </w:r>
            <w:r>
              <w:rPr>
                <w:rFonts w:hint="eastAsia" w:eastAsia="宋体" w:cs="Arial"/>
                <w:sz w:val="18"/>
                <w:szCs w:val="18"/>
                <w:lang w:val="en-US" w:eastAsia="zh-CN"/>
              </w:rPr>
              <w:t>HN</w:t>
            </w:r>
            <w:r>
              <w:rPr>
                <w:rFonts w:hint="eastAsia" w:ascii="Arial" w:hAnsi="Arial" w:eastAsia="Times New Roman" w:cs="Arial"/>
                <w:sz w:val="18"/>
                <w:szCs w:val="18"/>
                <w:lang w:val="en-GB" w:eastAsia="en-GB"/>
              </w:rPr>
              <w:t>C, previous studies have identified circulating butyrylcarnitine as one of the metabolites exhibiting mutual associations with breast cancer [43</w:t>
            </w:r>
            <w:r>
              <w:rPr>
                <w:rFonts w:hint="eastAsia" w:ascii="Arial" w:hAnsi="Arial" w:eastAsia="Times New Roman" w:cs="Arial"/>
                <w:sz w:val="18"/>
                <w:szCs w:val="18"/>
                <w:lang w:val="en-US" w:eastAsia="zh-CN"/>
              </w:rPr>
              <w:t>]</w:t>
            </w:r>
            <w:r>
              <w:rPr>
                <w:rFonts w:hint="eastAsia" w:ascii="Arial" w:hAnsi="Arial" w:eastAsia="Times New Roman" w:cs="Arial"/>
                <w:sz w:val="18"/>
                <w:szCs w:val="18"/>
                <w:lang w:val="en-GB" w:eastAsia="en-GB"/>
              </w:rPr>
              <w:t>. Nonetheless, a comprehensive investigation encompassing multiple cancer types including breast, colorectal, endometrial, gallbladder, kidney, prostate cancer, and hepatocellular carcinoma revealed no significant association between butyrylcarnitine and cancer risk in cancer-specific univariate analyses, while noteworthy findings did emerge from the univariate pooled analysis and the data-shared lasso analysis, warranting further exploration [8</w:t>
            </w:r>
            <w:r>
              <w:rPr>
                <w:rFonts w:hint="eastAsia" w:ascii="Arial" w:hAnsi="Arial" w:eastAsia="Times New Roman" w:cs="Arial"/>
                <w:sz w:val="18"/>
                <w:szCs w:val="18"/>
                <w:lang w:val="en-US" w:eastAsia="zh-CN"/>
              </w:rPr>
              <w:t>].</w:t>
            </w:r>
            <w:r>
              <w:rPr>
                <w:rFonts w:hint="eastAsia" w:ascii="Arial" w:hAnsi="Arial" w:eastAsia="Times New Roman" w:cs="Arial"/>
                <w:sz w:val="18"/>
                <w:szCs w:val="18"/>
                <w:lang w:val="en-GB" w:eastAsia="en-GB"/>
              </w:rPr>
              <w:t xml:space="preserve"> In addition, Hatae et al. indicated that butyrylcarnitine are linked to antitumor immune responses to the PD-1 blockade therapy which may be due to FAO-mediated T cell dysfunction</w:t>
            </w:r>
          </w:p>
        </w:tc>
      </w:tr>
      <w:tr w14:paraId="4559ABC6">
        <w:tblPrEx>
          <w:tblCellMar>
            <w:top w:w="0" w:type="dxa"/>
            <w:left w:w="108" w:type="dxa"/>
            <w:bottom w:w="0" w:type="dxa"/>
            <w:right w:w="108" w:type="dxa"/>
          </w:tblCellMar>
        </w:tblPrEx>
        <w:tc>
          <w:tcPr>
            <w:tcW w:w="587" w:type="dxa"/>
            <w:shd w:val="clear" w:color="auto" w:fill="EEEEEE"/>
          </w:tcPr>
          <w:p w14:paraId="38C2EF32">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783E82EB">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14:paraId="73175137">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 xml:space="preserve">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only under certain assumptions </w:t>
            </w:r>
          </w:p>
        </w:tc>
        <w:tc>
          <w:tcPr>
            <w:tcW w:w="720" w:type="dxa"/>
            <w:shd w:val="clear" w:color="auto" w:fill="EEEEEE"/>
          </w:tcPr>
          <w:p w14:paraId="336BB2E8">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16-17,22-23</w:t>
            </w:r>
          </w:p>
        </w:tc>
        <w:tc>
          <w:tcPr>
            <w:tcW w:w="4320" w:type="dxa"/>
            <w:shd w:val="clear" w:color="auto" w:fill="EEEEEE"/>
          </w:tcPr>
          <w:p w14:paraId="4689C657">
            <w:pPr>
              <w:spacing w:before="96" w:beforeLines="40" w:after="96" w:afterLines="40" w:line="24" w:lineRule="atLeast"/>
              <w:rPr>
                <w:rFonts w:hint="eastAsia" w:ascii="Arial" w:hAnsi="Arial" w:eastAsia="Times New Roman" w:cs="Arial"/>
                <w:sz w:val="18"/>
                <w:szCs w:val="18"/>
                <w:lang w:val="en-GB" w:eastAsia="en-GB"/>
              </w:rPr>
            </w:pPr>
            <w:r>
              <w:rPr>
                <w:rFonts w:hint="eastAsia" w:ascii="Arial" w:hAnsi="Arial" w:eastAsia="Times New Roman" w:cs="Arial"/>
                <w:sz w:val="18"/>
                <w:szCs w:val="18"/>
                <w:lang w:val="en-GB" w:eastAsia="en-GB"/>
              </w:rPr>
              <w:t xml:space="preserve">OASL/rs16950755 as a potential causal gene for </w:t>
            </w:r>
            <w:r>
              <w:rPr>
                <w:rFonts w:hint="eastAsia" w:eastAsia="宋体" w:cs="Arial"/>
                <w:sz w:val="18"/>
                <w:szCs w:val="18"/>
                <w:lang w:val="en-US" w:eastAsia="zh-CN"/>
              </w:rPr>
              <w:t>HN</w:t>
            </w:r>
            <w:r>
              <w:rPr>
                <w:rFonts w:hint="eastAsia" w:ascii="Arial" w:hAnsi="Arial" w:eastAsia="Times New Roman" w:cs="Arial"/>
                <w:sz w:val="18"/>
                <w:szCs w:val="18"/>
                <w:lang w:val="en-GB" w:eastAsia="en-GB"/>
              </w:rPr>
              <w:t>C</w:t>
            </w:r>
          </w:p>
          <w:p w14:paraId="6858B167">
            <w:pPr>
              <w:spacing w:before="96" w:beforeLines="40" w:after="96" w:afterLines="40" w:line="24" w:lineRule="atLeast"/>
              <w:rPr>
                <w:rFonts w:eastAsia="Times New Roman"/>
                <w:sz w:val="18"/>
                <w:szCs w:val="18"/>
                <w:lang w:val="en-GB" w:eastAsia="en-GB"/>
              </w:rPr>
            </w:pPr>
          </w:p>
        </w:tc>
      </w:tr>
      <w:tr w14:paraId="6BE4E801">
        <w:tblPrEx>
          <w:tblCellMar>
            <w:top w:w="0" w:type="dxa"/>
            <w:left w:w="108" w:type="dxa"/>
            <w:bottom w:w="0" w:type="dxa"/>
            <w:right w:w="108" w:type="dxa"/>
          </w:tblCellMar>
        </w:tblPrEx>
        <w:tc>
          <w:tcPr>
            <w:tcW w:w="587" w:type="dxa"/>
            <w:shd w:val="clear" w:color="auto" w:fill="auto"/>
          </w:tcPr>
          <w:p w14:paraId="1DCB8B77">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744BE3DA">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auto"/>
          </w:tcPr>
          <w:p w14:paraId="4367E152">
            <w:pPr>
              <w:tabs>
                <w:tab w:val="left" w:pos="1350"/>
              </w:tabs>
              <w:spacing w:before="96" w:beforeLines="40" w:after="96" w:afterLines="40" w:line="24" w:lineRule="atLeast"/>
              <w:rPr>
                <w:rFonts w:eastAsia="Cambria"/>
                <w:sz w:val="18"/>
                <w:szCs w:val="18"/>
                <w:lang w:val="en-GB" w:eastAsia="en-US"/>
              </w:rPr>
            </w:pPr>
            <w:r>
              <w:rPr>
                <w:rFonts w:eastAsia="Times New Roman"/>
                <w:sz w:val="18"/>
                <w:szCs w:val="18"/>
                <w:lang w:val="en-GB" w:eastAsia="en-GB"/>
              </w:rPr>
              <w:t xml:space="preserve">Clinical relevance: Discuss whether the results have clinical or public policy relevance, and </w:t>
            </w:r>
            <w:r>
              <w:rPr>
                <w:rFonts w:eastAsia="Times New Roman"/>
                <w:color w:val="000000"/>
                <w:sz w:val="18"/>
                <w:szCs w:val="18"/>
                <w:lang w:eastAsia="en-GB"/>
              </w:rPr>
              <w:t>to what extent they inform effect sizes of possible interventions</w:t>
            </w:r>
          </w:p>
        </w:tc>
        <w:tc>
          <w:tcPr>
            <w:tcW w:w="720" w:type="dxa"/>
          </w:tcPr>
          <w:p w14:paraId="02F54928">
            <w:pPr>
              <w:tabs>
                <w:tab w:val="left" w:pos="1350"/>
              </w:tabs>
              <w:spacing w:before="96" w:beforeLines="40" w:after="96" w:afterLines="40" w:line="24" w:lineRule="atLeast"/>
              <w:rPr>
                <w:rFonts w:eastAsia="Times New Roman"/>
                <w:sz w:val="18"/>
                <w:szCs w:val="18"/>
                <w:lang w:val="en-GB" w:eastAsia="en-GB"/>
              </w:rPr>
            </w:pPr>
            <w:r>
              <w:rPr>
                <w:rFonts w:hint="eastAsia" w:eastAsia="宋体"/>
                <w:sz w:val="18"/>
                <w:szCs w:val="18"/>
                <w:lang w:val="en-US" w:eastAsia="zh-CN"/>
              </w:rPr>
              <w:t>16-17</w:t>
            </w:r>
          </w:p>
        </w:tc>
        <w:tc>
          <w:tcPr>
            <w:tcW w:w="4320" w:type="dxa"/>
          </w:tcPr>
          <w:p w14:paraId="536DA38B">
            <w:pPr>
              <w:spacing w:before="96" w:beforeLines="40" w:after="96" w:afterLines="40" w:line="24" w:lineRule="atLeast"/>
              <w:rPr>
                <w:rFonts w:hint="eastAsia" w:eastAsia="宋体"/>
                <w:sz w:val="18"/>
                <w:szCs w:val="18"/>
                <w:lang w:val="en-US" w:eastAsia="zh-CN"/>
              </w:rPr>
            </w:pPr>
            <w:r>
              <w:rPr>
                <w:rFonts w:hint="eastAsia" w:ascii="Arial" w:hAnsi="Arial" w:eastAsia="Times New Roman" w:cs="Arial"/>
                <w:sz w:val="18"/>
                <w:szCs w:val="18"/>
                <w:lang w:val="en-GB" w:eastAsia="en-GB"/>
              </w:rPr>
              <w:t xml:space="preserve">To analyze the mRNA expression levels of local genes influenced by cis-SNPs, we conducted gene expression discrepancies between patients diagnosed with </w:t>
            </w:r>
            <w:r>
              <w:rPr>
                <w:rFonts w:hint="eastAsia" w:eastAsia="宋体" w:cs="Arial"/>
                <w:sz w:val="18"/>
                <w:szCs w:val="18"/>
                <w:lang w:val="en-US" w:eastAsia="zh-CN"/>
              </w:rPr>
              <w:t>HN</w:t>
            </w:r>
            <w:r>
              <w:rPr>
                <w:rFonts w:hint="eastAsia" w:ascii="Arial" w:hAnsi="Arial" w:eastAsia="Times New Roman" w:cs="Arial"/>
                <w:sz w:val="18"/>
                <w:szCs w:val="18"/>
                <w:lang w:val="en-GB" w:eastAsia="en-GB"/>
              </w:rPr>
              <w:t>C and controls using data from the GEO database.</w:t>
            </w:r>
            <w:r>
              <w:rPr>
                <w:rFonts w:hint="eastAsia" w:ascii="Arial" w:hAnsi="Arial" w:eastAsia="Times New Roman" w:cs="Arial"/>
                <w:sz w:val="18"/>
                <w:szCs w:val="18"/>
                <w:lang w:val="en-US" w:eastAsia="zh-CN"/>
              </w:rPr>
              <w:t xml:space="preserve"> W</w:t>
            </w:r>
            <w:r>
              <w:rPr>
                <w:rFonts w:hint="eastAsia" w:ascii="Arial" w:hAnsi="Arial" w:eastAsia="Times New Roman" w:cs="Arial"/>
                <w:sz w:val="18"/>
                <w:szCs w:val="18"/>
                <w:lang w:val="en-GB" w:eastAsia="en-GB"/>
              </w:rPr>
              <w:t xml:space="preserve">e speculated that the involvement of rs16950755 in the occurrence of </w:t>
            </w:r>
            <w:r>
              <w:rPr>
                <w:rFonts w:hint="eastAsia" w:eastAsia="宋体" w:cs="Arial"/>
                <w:sz w:val="18"/>
                <w:szCs w:val="18"/>
                <w:lang w:val="en-US" w:eastAsia="zh-CN"/>
              </w:rPr>
              <w:t>HN</w:t>
            </w:r>
            <w:r>
              <w:rPr>
                <w:rFonts w:hint="eastAsia" w:ascii="Arial" w:hAnsi="Arial" w:eastAsia="Times New Roman" w:cs="Arial"/>
                <w:sz w:val="18"/>
                <w:szCs w:val="18"/>
                <w:lang w:val="en-GB" w:eastAsia="en-GB"/>
              </w:rPr>
              <w:t>C might be accomplished by regulating the expression levels of OALS gene</w:t>
            </w:r>
            <w:r>
              <w:rPr>
                <w:rFonts w:hint="eastAsia" w:ascii="Arial" w:hAnsi="Arial" w:eastAsia="宋体" w:cs="Arial"/>
                <w:sz w:val="18"/>
                <w:szCs w:val="18"/>
                <w:lang w:val="en-US" w:eastAsia="zh-CN"/>
              </w:rPr>
              <w:t>.</w:t>
            </w:r>
          </w:p>
        </w:tc>
      </w:tr>
      <w:tr w14:paraId="21B159C7">
        <w:tblPrEx>
          <w:tblCellMar>
            <w:top w:w="0" w:type="dxa"/>
            <w:left w:w="108" w:type="dxa"/>
            <w:bottom w:w="0" w:type="dxa"/>
            <w:right w:w="108" w:type="dxa"/>
          </w:tblCellMar>
        </w:tblPrEx>
        <w:tc>
          <w:tcPr>
            <w:tcW w:w="587" w:type="dxa"/>
            <w:tcBorders>
              <w:bottom w:val="single" w:color="7F7F7F" w:sz="6" w:space="0"/>
            </w:tcBorders>
            <w:shd w:val="clear" w:color="auto" w:fill="EEEEEE"/>
          </w:tcPr>
          <w:p w14:paraId="0351A492">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17</w:t>
            </w:r>
          </w:p>
        </w:tc>
        <w:tc>
          <w:tcPr>
            <w:tcW w:w="1822" w:type="dxa"/>
            <w:tcBorders>
              <w:bottom w:val="single" w:color="7F7F7F" w:sz="6" w:space="0"/>
            </w:tcBorders>
            <w:shd w:val="clear" w:color="auto" w:fill="EEEEEE"/>
          </w:tcPr>
          <w:p w14:paraId="3E12FBF9">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 xml:space="preserve">Generalizability  </w:t>
            </w:r>
            <w:r>
              <w:rPr>
                <w:rFonts w:eastAsia="Times New Roman"/>
                <w:sz w:val="18"/>
                <w:szCs w:val="18"/>
                <w:lang w:val="en-GB" w:eastAsia="en-GB"/>
              </w:rPr>
              <w:t> </w:t>
            </w:r>
          </w:p>
        </w:tc>
        <w:tc>
          <w:tcPr>
            <w:tcW w:w="7041" w:type="dxa"/>
            <w:tcBorders>
              <w:bottom w:val="single" w:color="7F7F7F" w:sz="6" w:space="0"/>
            </w:tcBorders>
            <w:shd w:val="clear" w:color="auto" w:fill="EEEEEE"/>
          </w:tcPr>
          <w:p w14:paraId="19A61CCE">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Discuss the generalizability of the study results (a) to other populations, (b) across other exposure periods/timings, and (c) across other levels of exposure</w:t>
            </w:r>
          </w:p>
        </w:tc>
        <w:tc>
          <w:tcPr>
            <w:tcW w:w="720" w:type="dxa"/>
            <w:tcBorders>
              <w:bottom w:val="single" w:color="7F7F7F" w:sz="6" w:space="0"/>
            </w:tcBorders>
            <w:shd w:val="clear" w:color="auto" w:fill="EEEEEE"/>
          </w:tcPr>
          <w:p w14:paraId="3C137280">
            <w:pPr>
              <w:spacing w:before="96" w:beforeLines="40" w:after="96" w:afterLines="40" w:line="24" w:lineRule="atLeast"/>
              <w:rPr>
                <w:rFonts w:eastAsia="Times New Roman"/>
                <w:sz w:val="18"/>
                <w:szCs w:val="18"/>
                <w:lang w:val="en-GB" w:eastAsia="en-GB"/>
              </w:rPr>
            </w:pPr>
            <w:r>
              <w:rPr>
                <w:rFonts w:hint="eastAsia" w:eastAsia="宋体"/>
                <w:sz w:val="18"/>
                <w:szCs w:val="18"/>
                <w:lang w:val="en-US" w:eastAsia="zh-CN"/>
              </w:rPr>
              <w:t>18-22</w:t>
            </w:r>
          </w:p>
        </w:tc>
        <w:tc>
          <w:tcPr>
            <w:tcW w:w="4320" w:type="dxa"/>
            <w:tcBorders>
              <w:bottom w:val="single" w:color="7F7F7F" w:sz="6" w:space="0"/>
            </w:tcBorders>
            <w:shd w:val="clear" w:color="auto" w:fill="EEEEEE"/>
          </w:tcPr>
          <w:p w14:paraId="1498B945">
            <w:pPr>
              <w:spacing w:before="96" w:beforeLines="40" w:after="96" w:afterLines="40" w:line="24" w:lineRule="atLeast"/>
              <w:rPr>
                <w:rFonts w:eastAsia="Times New Roman"/>
                <w:sz w:val="18"/>
                <w:szCs w:val="18"/>
                <w:lang w:val="en-GB" w:eastAsia="en-GB"/>
              </w:rPr>
            </w:pPr>
            <w:r>
              <w:rPr>
                <w:rFonts w:hint="eastAsia" w:ascii="Arial" w:hAnsi="Arial" w:eastAsia="Times New Roman" w:cs="Arial"/>
                <w:sz w:val="18"/>
                <w:szCs w:val="18"/>
                <w:lang w:val="en-GB" w:eastAsia="en-GB"/>
              </w:rPr>
              <w:t>Shin et al. conducted a large GWAS on human blood metabolites to date in 2014, providing significant insights into the genetic underpinnings of blood metabolomics [11</w:t>
            </w:r>
            <w:r>
              <w:rPr>
                <w:rFonts w:hint="eastAsia" w:ascii="Arial" w:hAnsi="Arial" w:eastAsia="Times New Roman" w:cs="Arial"/>
                <w:sz w:val="18"/>
                <w:szCs w:val="18"/>
                <w:lang w:val="en-US" w:eastAsia="zh-CN"/>
              </w:rPr>
              <w:t>]</w:t>
            </w:r>
            <w:r>
              <w:rPr>
                <w:rFonts w:hint="eastAsia" w:ascii="Arial" w:hAnsi="Arial" w:eastAsia="Times New Roman" w:cs="Arial"/>
                <w:sz w:val="18"/>
                <w:szCs w:val="18"/>
                <w:lang w:val="en-GB" w:eastAsia="en-GB"/>
              </w:rPr>
              <w:t>. Recently, Smith-Byrne et al. employed a bidirectional MR analysis to assess the causal relationship between blood metabolites and lung cancer, and found an inverse association of elevated blood isovalerylcarnitine with lung cancer risk [12</w:t>
            </w:r>
            <w:r>
              <w:rPr>
                <w:rFonts w:hint="eastAsia" w:ascii="Arial" w:hAnsi="Arial" w:eastAsia="Times New Roman" w:cs="Arial"/>
                <w:sz w:val="18"/>
                <w:szCs w:val="18"/>
                <w:lang w:val="en-US" w:eastAsia="zh-CN"/>
              </w:rPr>
              <w:t>]</w:t>
            </w:r>
            <w:r>
              <w:rPr>
                <w:rFonts w:hint="eastAsia" w:ascii="Arial" w:hAnsi="Arial" w:eastAsia="Times New Roman" w:cs="Arial"/>
                <w:sz w:val="18"/>
                <w:szCs w:val="18"/>
                <w:lang w:val="en-GB" w:eastAsia="en-GB"/>
              </w:rPr>
              <w:t>. Zhong et al. demonstrated that metabolite X-21849 was linked to pancreatic ductal adenocarcinoma risk, while Wang et al. revealed the mediating role of high-density lipoprotein cholesterol and acetate in the development of breast cancer</w:t>
            </w:r>
          </w:p>
        </w:tc>
      </w:tr>
      <w:tr w14:paraId="6A356CC7">
        <w:tblPrEx>
          <w:tblCellMar>
            <w:top w:w="0" w:type="dxa"/>
            <w:left w:w="108" w:type="dxa"/>
            <w:bottom w:w="0" w:type="dxa"/>
            <w:right w:w="108" w:type="dxa"/>
          </w:tblCellMar>
        </w:tblPrEx>
        <w:tc>
          <w:tcPr>
            <w:tcW w:w="587" w:type="dxa"/>
            <w:tcBorders>
              <w:top w:val="single" w:color="7F7F7F" w:sz="6" w:space="0"/>
            </w:tcBorders>
            <w:shd w:val="clear" w:color="auto" w:fill="auto"/>
          </w:tcPr>
          <w:p w14:paraId="57A8487D">
            <w:pPr>
              <w:spacing w:before="96" w:beforeLines="40" w:after="96" w:afterLines="40" w:line="24" w:lineRule="atLeast"/>
              <w:rPr>
                <w:rFonts w:eastAsia="Times New Roman"/>
                <w:b/>
                <w:bCs/>
                <w:sz w:val="18"/>
                <w:szCs w:val="18"/>
                <w:lang w:val="en-GB" w:eastAsia="en-GB"/>
              </w:rPr>
            </w:pPr>
          </w:p>
        </w:tc>
        <w:tc>
          <w:tcPr>
            <w:tcW w:w="1822" w:type="dxa"/>
            <w:tcBorders>
              <w:top w:val="single" w:color="7F7F7F" w:sz="6" w:space="0"/>
            </w:tcBorders>
            <w:shd w:val="clear" w:color="auto" w:fill="auto"/>
          </w:tcPr>
          <w:p w14:paraId="097FD268">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OTHER INFORMATION</w:t>
            </w:r>
          </w:p>
        </w:tc>
        <w:tc>
          <w:tcPr>
            <w:tcW w:w="7041" w:type="dxa"/>
            <w:tcBorders>
              <w:top w:val="single" w:color="7F7F7F" w:sz="6" w:space="0"/>
            </w:tcBorders>
            <w:shd w:val="clear" w:color="auto" w:fill="auto"/>
          </w:tcPr>
          <w:p w14:paraId="6E77B5C4">
            <w:pPr>
              <w:spacing w:before="96" w:beforeLines="40" w:after="96" w:afterLines="40" w:line="24" w:lineRule="atLeast"/>
              <w:rPr>
                <w:rFonts w:eastAsia="Cambria"/>
                <w:sz w:val="18"/>
                <w:szCs w:val="18"/>
                <w:lang w:val="en-GB" w:eastAsia="en-US"/>
              </w:rPr>
            </w:pPr>
          </w:p>
        </w:tc>
        <w:tc>
          <w:tcPr>
            <w:tcW w:w="720" w:type="dxa"/>
            <w:tcBorders>
              <w:top w:val="single" w:color="7F7F7F" w:sz="6" w:space="0"/>
            </w:tcBorders>
          </w:tcPr>
          <w:p w14:paraId="0F3888E8">
            <w:pPr>
              <w:spacing w:before="96" w:beforeLines="40" w:after="96" w:afterLines="40" w:line="24" w:lineRule="atLeast"/>
              <w:rPr>
                <w:rFonts w:eastAsia="Cambria"/>
                <w:sz w:val="18"/>
                <w:szCs w:val="18"/>
                <w:lang w:val="en-GB" w:eastAsia="en-US"/>
              </w:rPr>
            </w:pPr>
          </w:p>
        </w:tc>
        <w:tc>
          <w:tcPr>
            <w:tcW w:w="4320" w:type="dxa"/>
            <w:tcBorders>
              <w:top w:val="single" w:color="7F7F7F" w:sz="6" w:space="0"/>
            </w:tcBorders>
          </w:tcPr>
          <w:p w14:paraId="571D4EB7">
            <w:pPr>
              <w:spacing w:before="96" w:beforeLines="40" w:after="96" w:afterLines="40" w:line="24" w:lineRule="atLeast"/>
              <w:rPr>
                <w:rFonts w:eastAsia="Cambria"/>
                <w:sz w:val="18"/>
                <w:szCs w:val="18"/>
                <w:lang w:val="en-GB" w:eastAsia="en-US"/>
              </w:rPr>
            </w:pPr>
          </w:p>
        </w:tc>
      </w:tr>
      <w:tr w14:paraId="6F232D48">
        <w:tblPrEx>
          <w:tblCellMar>
            <w:top w:w="0" w:type="dxa"/>
            <w:left w:w="108" w:type="dxa"/>
            <w:bottom w:w="0" w:type="dxa"/>
            <w:right w:w="108" w:type="dxa"/>
          </w:tblCellMar>
        </w:tblPrEx>
        <w:tc>
          <w:tcPr>
            <w:tcW w:w="587" w:type="dxa"/>
            <w:shd w:val="clear" w:color="auto" w:fill="EEEEEE"/>
          </w:tcPr>
          <w:p w14:paraId="6AC21AE8">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18</w:t>
            </w:r>
          </w:p>
        </w:tc>
        <w:tc>
          <w:tcPr>
            <w:tcW w:w="1822" w:type="dxa"/>
            <w:shd w:val="clear" w:color="auto" w:fill="EEEEEE"/>
          </w:tcPr>
          <w:p w14:paraId="41D173BF">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Funding</w:t>
            </w:r>
          </w:p>
        </w:tc>
        <w:tc>
          <w:tcPr>
            <w:tcW w:w="7041" w:type="dxa"/>
            <w:shd w:val="clear" w:color="auto" w:fill="EEEEEE"/>
          </w:tcPr>
          <w:p w14:paraId="7F1DB881">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Describe sources of funding and the role of funders in the present study and, if applicable, sources of funding for the databases and original study or studies on which the present study is based</w:t>
            </w:r>
          </w:p>
        </w:tc>
        <w:tc>
          <w:tcPr>
            <w:tcW w:w="720" w:type="dxa"/>
            <w:shd w:val="clear" w:color="auto" w:fill="EEEEEE"/>
          </w:tcPr>
          <w:p w14:paraId="6DABE9ED">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26</w:t>
            </w:r>
          </w:p>
        </w:tc>
        <w:tc>
          <w:tcPr>
            <w:tcW w:w="4320" w:type="dxa"/>
            <w:shd w:val="clear" w:color="auto" w:fill="EEEEEE"/>
          </w:tcPr>
          <w:p w14:paraId="76E943F1">
            <w:pPr>
              <w:spacing w:before="96" w:beforeLines="40" w:after="96" w:afterLines="40" w:line="24" w:lineRule="atLeast"/>
              <w:rPr>
                <w:rFonts w:eastAsia="Times New Roman"/>
                <w:sz w:val="18"/>
                <w:szCs w:val="18"/>
                <w:lang w:val="en-GB" w:eastAsia="en-GB"/>
              </w:rPr>
            </w:pPr>
            <w:r>
              <w:rPr>
                <w:rFonts w:eastAsia="Times New Roman"/>
                <w:b w:val="0"/>
                <w:bCs w:val="0"/>
                <w:sz w:val="18"/>
                <w:szCs w:val="18"/>
                <w:lang w:val="en-GB" w:eastAsia="en-GB"/>
              </w:rPr>
              <w:t>Funding</w:t>
            </w:r>
          </w:p>
        </w:tc>
      </w:tr>
      <w:tr w14:paraId="1B582CEC">
        <w:tblPrEx>
          <w:tblCellMar>
            <w:top w:w="0" w:type="dxa"/>
            <w:left w:w="108" w:type="dxa"/>
            <w:bottom w:w="0" w:type="dxa"/>
            <w:right w:w="108" w:type="dxa"/>
          </w:tblCellMar>
        </w:tblPrEx>
        <w:tc>
          <w:tcPr>
            <w:tcW w:w="587" w:type="dxa"/>
            <w:shd w:val="clear" w:color="auto" w:fill="auto"/>
          </w:tcPr>
          <w:p w14:paraId="7B03DEE7">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19</w:t>
            </w:r>
          </w:p>
        </w:tc>
        <w:tc>
          <w:tcPr>
            <w:tcW w:w="1822" w:type="dxa"/>
            <w:shd w:val="clear" w:color="auto" w:fill="auto"/>
          </w:tcPr>
          <w:p w14:paraId="40B78D43">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Data and data sharing </w:t>
            </w:r>
          </w:p>
        </w:tc>
        <w:tc>
          <w:tcPr>
            <w:tcW w:w="7041" w:type="dxa"/>
            <w:shd w:val="clear" w:color="auto" w:fill="auto"/>
          </w:tcPr>
          <w:p w14:paraId="3952E688">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Provide the data used to perform all analyses or report where and how the data can be accessed, and reference these sources in the article. Provide the statistical code needed to reproduce the results in the article, or report whether the code is publicly accessible and if so, where</w:t>
            </w:r>
          </w:p>
        </w:tc>
        <w:tc>
          <w:tcPr>
            <w:tcW w:w="720" w:type="dxa"/>
          </w:tcPr>
          <w:p w14:paraId="7C8EF918">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26-27</w:t>
            </w:r>
          </w:p>
        </w:tc>
        <w:tc>
          <w:tcPr>
            <w:tcW w:w="4320" w:type="dxa"/>
          </w:tcPr>
          <w:p w14:paraId="6BFB7933">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Availability of data and materials</w:t>
            </w:r>
          </w:p>
        </w:tc>
      </w:tr>
      <w:tr w14:paraId="1564FCA6">
        <w:tblPrEx>
          <w:tblCellMar>
            <w:top w:w="0" w:type="dxa"/>
            <w:left w:w="108" w:type="dxa"/>
            <w:bottom w:w="0" w:type="dxa"/>
            <w:right w:w="108" w:type="dxa"/>
          </w:tblCellMar>
        </w:tblPrEx>
        <w:tc>
          <w:tcPr>
            <w:tcW w:w="587" w:type="dxa"/>
            <w:tcBorders>
              <w:bottom w:val="single" w:color="7F7F7F" w:sz="6" w:space="0"/>
            </w:tcBorders>
            <w:shd w:val="clear" w:color="auto" w:fill="EEEEEE"/>
          </w:tcPr>
          <w:p w14:paraId="79482BB9">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20</w:t>
            </w:r>
          </w:p>
        </w:tc>
        <w:tc>
          <w:tcPr>
            <w:tcW w:w="1822" w:type="dxa"/>
            <w:tcBorders>
              <w:bottom w:val="single" w:color="7F7F7F" w:sz="6" w:space="0"/>
            </w:tcBorders>
            <w:shd w:val="clear" w:color="auto" w:fill="EEEEEE"/>
          </w:tcPr>
          <w:p w14:paraId="29F75A30">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Conflicts of Interest  </w:t>
            </w:r>
          </w:p>
        </w:tc>
        <w:tc>
          <w:tcPr>
            <w:tcW w:w="7041" w:type="dxa"/>
            <w:tcBorders>
              <w:bottom w:val="single" w:color="7F7F7F" w:sz="6" w:space="0"/>
            </w:tcBorders>
            <w:shd w:val="clear" w:color="auto" w:fill="EEEEEE"/>
          </w:tcPr>
          <w:p w14:paraId="06C97E00">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All authors should declare all potential conflicts of interest</w:t>
            </w:r>
          </w:p>
        </w:tc>
        <w:tc>
          <w:tcPr>
            <w:tcW w:w="720" w:type="dxa"/>
            <w:tcBorders>
              <w:bottom w:val="single" w:color="7F7F7F" w:sz="6" w:space="0"/>
            </w:tcBorders>
            <w:shd w:val="clear" w:color="auto" w:fill="EEEEEE"/>
          </w:tcPr>
          <w:p w14:paraId="3F8AC89B">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27</w:t>
            </w:r>
            <w:bookmarkStart w:id="0" w:name="_GoBack"/>
            <w:bookmarkEnd w:id="0"/>
          </w:p>
        </w:tc>
        <w:tc>
          <w:tcPr>
            <w:tcW w:w="4320" w:type="dxa"/>
            <w:tcBorders>
              <w:bottom w:val="single" w:color="7F7F7F" w:sz="6" w:space="0"/>
            </w:tcBorders>
            <w:shd w:val="clear" w:color="auto" w:fill="EEEEEE"/>
          </w:tcPr>
          <w:p w14:paraId="6B13008F">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Competing interests</w:t>
            </w:r>
          </w:p>
        </w:tc>
      </w:tr>
    </w:tbl>
    <w:p w14:paraId="75609E5E">
      <w:pPr>
        <w:spacing w:before="240" w:after="240"/>
        <w:rPr>
          <w:sz w:val="19"/>
          <w:szCs w:val="19"/>
        </w:rPr>
      </w:pPr>
      <w:r>
        <w:rPr>
          <w:sz w:val="19"/>
          <w:szCs w:val="19"/>
        </w:rPr>
        <w:t>This checklist is copyrighted by the Equator Network under the Creative Commons Attribution 3.0 Unported (CC BY 3.0) license.</w:t>
      </w:r>
    </w:p>
    <w:p w14:paraId="59582994">
      <w:pPr>
        <w:widowControl w:val="0"/>
        <w:autoSpaceDE w:val="0"/>
        <w:autoSpaceDN w:val="0"/>
        <w:adjustRightInd w:val="0"/>
        <w:spacing w:before="240" w:after="240" w:line="240" w:lineRule="auto"/>
        <w:ind w:left="640" w:hanging="640"/>
        <w:rPr>
          <w:sz w:val="19"/>
          <w:szCs w:val="19"/>
        </w:rPr>
      </w:pPr>
      <w:r>
        <w:rPr>
          <w:sz w:val="19"/>
          <w:szCs w:val="19"/>
        </w:rPr>
        <w:fldChar w:fldCharType="begin" w:fldLock="1"/>
      </w:r>
      <w:r>
        <w:rPr>
          <w:sz w:val="19"/>
          <w:szCs w:val="19"/>
        </w:rPr>
        <w:instrText xml:space="preserve">ADDIN Mendeley Bibliography CSL_BIBLIOGRAPHY </w:instrText>
      </w:r>
      <w:r>
        <w:rPr>
          <w:sz w:val="19"/>
          <w:szCs w:val="19"/>
        </w:rPr>
        <w:fldChar w:fldCharType="separate"/>
      </w:r>
      <w:r>
        <w:rPr>
          <w:sz w:val="19"/>
          <w:szCs w:val="19"/>
        </w:rPr>
        <w:t xml:space="preserve">1. </w:t>
      </w:r>
      <w:r>
        <w:rPr>
          <w:sz w:val="19"/>
          <w:szCs w:val="19"/>
        </w:rPr>
        <w:tab/>
      </w:r>
      <w:r>
        <w:rPr>
          <w:sz w:val="19"/>
          <w:szCs w:val="19"/>
        </w:rPr>
        <w:t xml:space="preserve">Skrivankova VW, Richmond RC, Woolf BAR, Yarmolinsky J, Davies NM, Swanson SA, et al. Strengthening the Reporting of Observational Studies in Epidemiology using Mendelian Randomization (STROBE-MR) Statement. JAMA. 2021;under review. </w:t>
      </w:r>
    </w:p>
    <w:p w14:paraId="22D0AA1E">
      <w:pPr>
        <w:widowControl w:val="0"/>
        <w:autoSpaceDE w:val="0"/>
        <w:autoSpaceDN w:val="0"/>
        <w:adjustRightInd w:val="0"/>
        <w:spacing w:before="240" w:after="240" w:line="240" w:lineRule="auto"/>
        <w:ind w:left="640" w:hanging="640"/>
        <w:rPr>
          <w:sz w:val="19"/>
          <w:szCs w:val="19"/>
        </w:rPr>
      </w:pPr>
      <w:r>
        <w:rPr>
          <w:sz w:val="19"/>
          <w:szCs w:val="19"/>
        </w:rPr>
        <w:t xml:space="preserve">2. </w:t>
      </w:r>
      <w:r>
        <w:rPr>
          <w:sz w:val="19"/>
          <w:szCs w:val="19"/>
        </w:rPr>
        <w:tab/>
      </w:r>
      <w:r>
        <w:rPr>
          <w:sz w:val="19"/>
          <w:szCs w:val="19"/>
        </w:rPr>
        <w:t xml:space="preserve">Skrivankova VW, Richmond RC, Woolf BAR, Davies NM, Swanson SA, VanderWeele TJ, et al. Strengthening the Reporting of Observational Studies in Epidemiology using Mendelian Randomisation (STROBE-MR): Explanation and Elaboration. BMJ. 2021;375:n2233. </w:t>
      </w:r>
    </w:p>
    <w:p w14:paraId="572EA4C9">
      <w:pPr>
        <w:spacing w:before="240" w:after="240"/>
      </w:pPr>
      <w:r>
        <w:rPr>
          <w:sz w:val="19"/>
          <w:szCs w:val="19"/>
        </w:rPr>
        <w:fldChar w:fldCharType="end"/>
      </w:r>
    </w:p>
    <w:sectPr>
      <w:footerReference r:id="rId5" w:type="default"/>
      <w:footerReference r:id="rId6" w:type="even"/>
      <w:pgSz w:w="15840" w:h="12240" w:orient="landscape"/>
      <w:pgMar w:top="1008" w:right="720" w:bottom="1008" w:left="720" w:header="720" w:footer="720" w:gutter="0"/>
      <w:pgNumType w:start="1"/>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35929">
    <w:pPr>
      <w:pStyle w:val="3"/>
      <w:jc w:val="right"/>
    </w:pPr>
    <w:r>
      <w:fldChar w:fldCharType="begin"/>
    </w:r>
    <w:r>
      <w:instrText xml:space="preserve"> PAGE   \* MERGEFORMAT </w:instrText>
    </w:r>
    <w:r>
      <w:fldChar w:fldCharType="separate"/>
    </w:r>
    <w:r>
      <w:t>1</w:t>
    </w:r>
    <w:r>
      <w:fldChar w:fldCharType="end"/>
    </w:r>
  </w:p>
  <w:p w14:paraId="327E41A4">
    <w:pPr>
      <w:pStyle w:val="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F97F3">
    <w:pPr>
      <w:pStyle w:val="3"/>
      <w:framePr w:wrap="auto" w:vAnchor="text" w:hAnchor="margin" w:xAlign="right" w:y="1"/>
      <w:rPr>
        <w:rStyle w:val="6"/>
      </w:rPr>
    </w:pPr>
  </w:p>
  <w:p w14:paraId="7C65E56E">
    <w:pPr>
      <w:pStyle w:val="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RiZmZmMTE5MGUwN2I3OWQ4ZDc5NjgxMDFmYmE3NjQifQ=="/>
  </w:docVars>
  <w:rsids>
    <w:rsidRoot w:val="00914C56"/>
    <w:rsid w:val="000A4CE8"/>
    <w:rsid w:val="002663E6"/>
    <w:rsid w:val="003D447D"/>
    <w:rsid w:val="003D47DD"/>
    <w:rsid w:val="004B5CBB"/>
    <w:rsid w:val="004E11D4"/>
    <w:rsid w:val="00514462"/>
    <w:rsid w:val="005520ED"/>
    <w:rsid w:val="005A0D0D"/>
    <w:rsid w:val="00685D31"/>
    <w:rsid w:val="006912BF"/>
    <w:rsid w:val="006A41D0"/>
    <w:rsid w:val="006B08D5"/>
    <w:rsid w:val="00804498"/>
    <w:rsid w:val="00914C56"/>
    <w:rsid w:val="00950729"/>
    <w:rsid w:val="009854A9"/>
    <w:rsid w:val="009E033F"/>
    <w:rsid w:val="00AC2097"/>
    <w:rsid w:val="00BB6328"/>
    <w:rsid w:val="00D65199"/>
    <w:rsid w:val="00D8098C"/>
    <w:rsid w:val="00ED48A3"/>
    <w:rsid w:val="00EF4B94"/>
    <w:rsid w:val="02C138E3"/>
    <w:rsid w:val="1D4A2287"/>
    <w:rsid w:val="1DD71F3B"/>
    <w:rsid w:val="28AF2C37"/>
    <w:rsid w:val="2F316447"/>
    <w:rsid w:val="546F0907"/>
    <w:rsid w:val="655A3255"/>
    <w:rsid w:val="76D86A2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76" w:lineRule="auto"/>
    </w:pPr>
    <w:rPr>
      <w:rFonts w:ascii="Arial" w:hAnsi="Arial" w:eastAsia="Arial" w:cs="Arial"/>
      <w:sz w:val="22"/>
      <w:szCs w:val="22"/>
      <w:lang w:val="en" w:eastAsia="de-CH" w:bidi="ar-SA"/>
    </w:rPr>
  </w:style>
  <w:style w:type="paragraph" w:styleId="2">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qFormat/>
    <w:uiPriority w:val="99"/>
    <w:pPr>
      <w:tabs>
        <w:tab w:val="center" w:pos="4680"/>
        <w:tab w:val="right" w:pos="9360"/>
      </w:tabs>
      <w:spacing w:line="240" w:lineRule="auto"/>
    </w:pPr>
  </w:style>
  <w:style w:type="character" w:styleId="6">
    <w:name w:val="page number"/>
    <w:basedOn w:val="5"/>
    <w:semiHidden/>
    <w:unhideWhenUsed/>
    <w:qFormat/>
    <w:uiPriority w:val="99"/>
  </w:style>
  <w:style w:type="character" w:styleId="7">
    <w:name w:val="line number"/>
    <w:basedOn w:val="5"/>
    <w:semiHidden/>
    <w:unhideWhenUsed/>
    <w:qFormat/>
    <w:uiPriority w:val="99"/>
  </w:style>
  <w:style w:type="character" w:customStyle="1" w:styleId="8">
    <w:name w:val="Footer Char"/>
    <w:basedOn w:val="5"/>
    <w:link w:val="3"/>
    <w:uiPriority w:val="99"/>
    <w:rPr>
      <w:rFonts w:ascii="Arial" w:hAnsi="Arial" w:eastAsia="Arial" w:cs="Arial"/>
      <w:lang w:val="en" w:eastAsia="de-CH"/>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4.xml"/><Relationship Id="rId10" Type="http://schemas.openxmlformats.org/officeDocument/2006/relationships/customXml" Target="../customXml/item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76252F6EC97BD48BFC15397CDF87BCA" ma:contentTypeVersion="14" ma:contentTypeDescription="Ein neues Dokument erstellen." ma:contentTypeScope="" ma:versionID="99bba3a2774fdba6befc8d470ad041a8">
  <xsd:schema xmlns:xsd="http://www.w3.org/2001/XMLSchema" xmlns:xs="http://www.w3.org/2001/XMLSchema" xmlns:p="http://schemas.microsoft.com/office/2006/metadata/properties" xmlns:ns3="892d8916-a04a-483c-b38c-baf9957a1c5f" xmlns:ns4="697eed72-5420-4f01-93c1-7c9f4310e871" targetNamespace="http://schemas.microsoft.com/office/2006/metadata/properties" ma:root="true" ma:fieldsID="08b8b0ba8c484102a3bbe13611225d97" ns3:_="" ns4:_="">
    <xsd:import namespace="892d8916-a04a-483c-b38c-baf9957a1c5f"/>
    <xsd:import namespace="697eed72-5420-4f01-93c1-7c9f4310e87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d8916-a04a-483c-b38c-baf9957a1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7eed72-5420-4f01-93c1-7c9f4310e871"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SharingHintHash" ma:index="20"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DA32DB-E5B8-4E32-AD11-08F2E668867B}">
  <ds:schemaRefs/>
</ds:datastoreItem>
</file>

<file path=customXml/itemProps2.xml><?xml version="1.0" encoding="utf-8"?>
<ds:datastoreItem xmlns:ds="http://schemas.openxmlformats.org/officeDocument/2006/customXml" ds:itemID="{9FB0931C-FCE2-4CC4-80DE-15614B41F1F9}">
  <ds:schemaRefs/>
</ds:datastoreItem>
</file>

<file path=customXml/itemProps3.xml><?xml version="1.0" encoding="utf-8"?>
<ds:datastoreItem xmlns:ds="http://schemas.openxmlformats.org/officeDocument/2006/customXml" ds:itemID="{5DF20111-77FD-4F18-8E31-D737874646AB}">
  <ds:schemaRefs/>
</ds:datastoreItem>
</file>

<file path=customXml/itemProps4.xml><?xml version="1.0" encoding="utf-8"?>
<ds:datastoreItem xmlns:ds="http://schemas.openxmlformats.org/officeDocument/2006/customXml" ds:itemID="{A9898B61-61B7-44F1-9388-8B27875B1EDA}">
  <ds:schemaRefs/>
</ds:datastoreItem>
</file>

<file path=docProps/app.xml><?xml version="1.0" encoding="utf-8"?>
<Properties xmlns="http://schemas.openxmlformats.org/officeDocument/2006/extended-properties" xmlns:vt="http://schemas.openxmlformats.org/officeDocument/2006/docPropsVTypes">
  <Template>Normal.dotm</Template>
  <Company>University of Bern</Company>
  <Pages>7</Pages>
  <Words>2271</Words>
  <Characters>13346</Characters>
  <Lines>286</Lines>
  <Paragraphs>146</Paragraphs>
  <TotalTime>1</TotalTime>
  <ScaleCrop>false</ScaleCrop>
  <LinksUpToDate>false</LinksUpToDate>
  <CharactersWithSpaces>15443</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2022-04-07T08:09:00Z</dcterms:created>
  <dc:creator>Whitesell, Veronika (ISPM)</dc:creator>
  <cp:lastModifiedBy>L</cp:lastModifiedBy>
  <cp:lastPrinted>2021-09-28T07:08:00Z</cp:lastPrinted>
  <dcterms:modified xsi:type="dcterms:W3CDTF">2024-11-10T05:15:03Z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0x010100D76252F6EC97BD48BFC15397CDF87BCA</vt:lpwstr>
  </property>
  <property fmtid="{D5CDD505-2E9C-101B-9397-08002B2CF9AE}" pid="3" name="Mendeley Document_1">
    <vt:lpwstr>True</vt:lpwstr>
  </property>
  <property fmtid="{D5CDD505-2E9C-101B-9397-08002B2CF9AE}" pid="4" name="Mendeley Unique User Id_1">
    <vt:lpwstr>54eed440-5ecd-3ecc-9960-859334ccb0da</vt:lpwstr>
  </property>
  <property fmtid="{D5CDD505-2E9C-101B-9397-08002B2CF9AE}" pid="5" name="Mendeley Citation Style_1">
    <vt:lpwstr>http://www.zotero.org/styles/vancouver-superscript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http://www.zotero.org/styles/vancouver-imperial-college-london</vt:lpwstr>
  </property>
  <property fmtid="{D5CDD505-2E9C-101B-9397-08002B2CF9AE}" pid="21" name="Mendeley Recent Style Name 7_1">
    <vt:lpwstr>Imperial College London - Vancouver</vt:lpwstr>
  </property>
  <property fmtid="{D5CDD505-2E9C-101B-9397-08002B2CF9AE}" pid="22" name="Mendeley Recent Style Id 8_1">
    <vt:lpwstr>http://www.zotero.org/styles/vancouver</vt:lpwstr>
  </property>
  <property fmtid="{D5CDD505-2E9C-101B-9397-08002B2CF9AE}" pid="23" name="Mendeley Recent Style Name 8_1">
    <vt:lpwstr>Vancouver</vt:lpwstr>
  </property>
  <property fmtid="{D5CDD505-2E9C-101B-9397-08002B2CF9AE}" pid="24" name="Mendeley Recent Style Id 9_1">
    <vt:lpwstr>http://www.zotero.org/styles/vancouver-superscript</vt:lpwstr>
  </property>
  <property fmtid="{D5CDD505-2E9C-101B-9397-08002B2CF9AE}" pid="25" name="Mendeley Recent Style Name 9_1">
    <vt:lpwstr>Vancouver (superscript)</vt:lpwstr>
  </property>
  <property fmtid="{D5CDD505-2E9C-101B-9397-08002B2CF9AE}" pid="26" name="KSOProductBuildVer">
    <vt:lpwstr>2052-12.1.0.17827</vt:lpwstr>
  </property>
  <property fmtid="{D5CDD505-2E9C-101B-9397-08002B2CF9AE}" pid="27" name="ICV">
    <vt:lpwstr>DFF49E2850C64480B6E44C147FF98BFB_12</vt:lpwstr>
  </property>
</Properties>
</file>