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b/>
          <w:bCs/>
        </w:rPr>
        <w:t xml:space="preserve">Appendix </w:t>
      </w:r>
      <w:r>
        <w:rPr>
          <w:b/>
          <w:bCs/>
        </w:rPr>
        <w:t>1</w:t>
      </w:r>
      <w:r>
        <w:rPr>
          <w:b/>
          <w:bCs/>
        </w:rPr>
        <w:t xml:space="preserve">. </w:t>
      </w:r>
      <w:r>
        <w:rPr>
          <w:b w:val="false"/>
          <w:bCs w:val="false"/>
        </w:rPr>
        <w:t>Definition</w:t>
      </w:r>
      <w:r>
        <w:rPr>
          <w:b w:val="false"/>
          <w:bCs w:val="false"/>
        </w:rPr>
        <w:t>s</w:t>
      </w:r>
      <w:r>
        <w:rPr>
          <w:b w:val="false"/>
          <w:bCs w:val="false"/>
        </w:rPr>
        <w:t xml:space="preserve"> of </w:t>
      </w:r>
      <w:r>
        <w:rPr>
          <w:b w:val="false"/>
          <w:bCs w:val="false"/>
        </w:rPr>
        <w:t xml:space="preserve">questions to assess the 9 criteria. </w:t>
      </w:r>
    </w:p>
    <w:p>
      <w:pPr>
        <w:pStyle w:val="Normal"/>
        <w:rPr/>
      </w:pPr>
      <w:r>
        <w:rPr/>
      </w:r>
    </w:p>
    <w:p>
      <w:pPr>
        <w:pStyle w:val="Normal"/>
        <w:rPr>
          <w:b w:val="false"/>
          <w:b w:val="false"/>
          <w:bCs w:val="false"/>
          <w:i/>
          <w:i/>
          <w:iCs/>
        </w:rPr>
      </w:pPr>
      <w:r>
        <w:rPr>
          <w:b w:val="false"/>
          <w:bCs w:val="false"/>
          <w:i/>
          <w:iCs/>
        </w:rPr>
        <w:t>1. Do instructions incentivise publicly registering study protocols before starting data collection?</w:t>
      </w:r>
    </w:p>
    <w:p>
      <w:pPr>
        <w:pStyle w:val="Normal"/>
        <w:rPr>
          <w:b w:val="false"/>
          <w:b w:val="false"/>
          <w:bCs w:val="false"/>
        </w:rPr>
      </w:pPr>
      <w:r>
        <w:rPr>
          <w:b w:val="false"/>
          <w:bCs w:val="false"/>
        </w:rPr>
      </w:r>
    </w:p>
    <w:p>
      <w:pPr>
        <w:pStyle w:val="Normal"/>
        <w:rPr/>
      </w:pPr>
      <w:r>
        <w:rPr>
          <w:b w:val="false"/>
          <w:bCs w:val="false"/>
        </w:rPr>
        <w:t>I</w:t>
      </w:r>
      <w:r>
        <w:rPr>
          <w:b w:val="false"/>
          <w:bCs w:val="false"/>
        </w:rPr>
        <w:t xml:space="preserve">nstructions </w:t>
      </w:r>
      <w:r>
        <w:rPr>
          <w:b w:val="false"/>
          <w:bCs w:val="false"/>
        </w:rPr>
        <w:t xml:space="preserve">must state that study protocols must be publicly registered with a </w:t>
      </w:r>
      <w:r>
        <w:rPr>
          <w:b w:val="false"/>
          <w:bCs w:val="false"/>
        </w:rPr>
        <w:t xml:space="preserve">date and </w:t>
      </w:r>
      <w:r>
        <w:rPr>
          <w:b w:val="false"/>
          <w:bCs w:val="false"/>
        </w:rPr>
        <w:t xml:space="preserve">time-stamp before starting data collection. </w:t>
      </w:r>
    </w:p>
    <w:p>
      <w:pPr>
        <w:pStyle w:val="Normal"/>
        <w:rPr>
          <w:b w:val="false"/>
          <w:b w:val="false"/>
          <w:bCs w:val="false"/>
        </w:rPr>
      </w:pPr>
      <w:r>
        <w:rPr>
          <w:b w:val="false"/>
          <w:bCs w:val="false"/>
        </w:rPr>
      </w:r>
    </w:p>
    <w:p>
      <w:pPr>
        <w:pStyle w:val="Normal"/>
        <w:rPr/>
      </w:pPr>
      <w:r>
        <w:rPr>
          <w:b w:val="false"/>
          <w:bCs w:val="false"/>
        </w:rPr>
        <w:t>For example, on</w:t>
      </w:r>
      <w:r>
        <w:rPr>
          <w:b w:val="false"/>
          <w:bCs w:val="false"/>
        </w:rPr>
        <w:t xml:space="preserve">ly one funding scheme satisfied this criterion. </w:t>
      </w:r>
      <w:r>
        <w:rPr>
          <w:b w:val="false"/>
          <w:bCs w:val="false"/>
        </w:rPr>
        <w:t xml:space="preserve">The </w:t>
      </w:r>
      <w:r>
        <w:rPr>
          <w:b w:val="false"/>
          <w:bCs w:val="false"/>
        </w:rPr>
        <w:t xml:space="preserve">instructions stated: </w:t>
      </w:r>
    </w:p>
    <w:p>
      <w:pPr>
        <w:pStyle w:val="Normal"/>
        <w:rPr>
          <w:b w:val="false"/>
          <w:b w:val="false"/>
          <w:bCs w:val="false"/>
        </w:rPr>
      </w:pPr>
      <w:r>
        <w:rPr>
          <w:b w:val="false"/>
          <w:bCs w:val="false"/>
        </w:rPr>
      </w:r>
    </w:p>
    <w:p>
      <w:pPr>
        <w:pStyle w:val="Normal"/>
        <w:ind w:left="709" w:right="0" w:hanging="0"/>
        <w:rPr/>
      </w:pPr>
      <w:r>
        <w:rPr>
          <w:b w:val="false"/>
          <w:bCs w:val="false"/>
        </w:rPr>
        <w:t xml:space="preserve">Funded clinical trials must be registered in the Australian New Zealand Clinical Trials Registry (ANZCTR) or equivalent before recruitment of the first participant. (NHMRC </w:t>
      </w:r>
      <w:r>
        <w:rPr>
          <w:rFonts w:ascii="Times New Roman" w:hAnsi="Times New Roman"/>
          <w:b w:val="false"/>
          <w:bCs w:val="false"/>
          <w:sz w:val="24"/>
          <w:szCs w:val="24"/>
        </w:rPr>
        <w:t xml:space="preserve">Clinical Trials and Cohort Studies; </w:t>
      </w:r>
      <w:r>
        <w:rPr>
          <w:rFonts w:ascii="Times New Roman" w:hAnsi="Times New Roman"/>
          <w:b w:val="false"/>
          <w:bCs w:val="false"/>
          <w:sz w:val="24"/>
          <w:szCs w:val="24"/>
        </w:rPr>
        <w:t>CTCS</w:t>
      </w:r>
      <w:r>
        <w:rPr>
          <w:b w:val="false"/>
          <w:bCs w:val="false"/>
        </w:rPr>
        <w:t>)</w:t>
      </w:r>
    </w:p>
    <w:p>
      <w:pPr>
        <w:pStyle w:val="Normal"/>
        <w:rPr>
          <w:b w:val="false"/>
          <w:b w:val="false"/>
          <w:bCs w:val="false"/>
        </w:rPr>
      </w:pPr>
      <w:r>
        <w:rPr>
          <w:b w:val="false"/>
          <w:bCs w:val="false"/>
        </w:rPr>
      </w:r>
    </w:p>
    <w:p>
      <w:pPr>
        <w:pStyle w:val="Normal"/>
        <w:rPr/>
      </w:pPr>
      <w:r>
        <w:rPr>
          <w:b w:val="false"/>
          <w:bCs w:val="false"/>
        </w:rPr>
        <w:t xml:space="preserve">The terms “public” and “open” </w:t>
      </w:r>
      <w:r>
        <w:rPr>
          <w:b w:val="false"/>
          <w:bCs w:val="false"/>
        </w:rPr>
        <w:t>were</w:t>
      </w:r>
      <w:r>
        <w:rPr>
          <w:b w:val="false"/>
          <w:bCs w:val="false"/>
        </w:rPr>
        <w:t xml:space="preserve"> interpreted as being synonymous. That is, either word is </w:t>
      </w:r>
      <w:r>
        <w:rPr>
          <w:b w:val="false"/>
          <w:bCs w:val="false"/>
        </w:rPr>
        <w:t xml:space="preserve">broadly </w:t>
      </w:r>
      <w:r>
        <w:rPr>
          <w:b w:val="false"/>
          <w:bCs w:val="false"/>
        </w:rPr>
        <w:t xml:space="preserve">interpreted to </w:t>
      </w:r>
      <w:r>
        <w:rPr>
          <w:b w:val="false"/>
          <w:bCs w:val="false"/>
        </w:rPr>
        <w:t xml:space="preserve">mean </w:t>
      </w:r>
      <w:r>
        <w:rPr>
          <w:b w:val="false"/>
          <w:bCs w:val="false"/>
        </w:rPr>
        <w:t xml:space="preserve">that </w:t>
      </w:r>
      <w:r>
        <w:rPr>
          <w:b w:val="false"/>
          <w:bCs w:val="false"/>
        </w:rPr>
        <w:t xml:space="preserve">there is a public, </w:t>
      </w:r>
      <w:r>
        <w:rPr>
          <w:b w:val="false"/>
          <w:bCs w:val="false"/>
        </w:rPr>
        <w:t>date and time</w:t>
      </w:r>
      <w:r>
        <w:rPr>
          <w:b w:val="false"/>
          <w:bCs w:val="false"/>
        </w:rPr>
        <w:t>-stamped record o</w:t>
      </w:r>
      <w:r>
        <w:rPr>
          <w:b w:val="false"/>
          <w:bCs w:val="false"/>
        </w:rPr>
        <w:t>f</w:t>
      </w:r>
      <w:r>
        <w:rPr>
          <w:b w:val="false"/>
          <w:bCs w:val="false"/>
        </w:rPr>
        <w:t xml:space="preserve"> </w:t>
      </w:r>
      <w:r>
        <w:rPr>
          <w:b w:val="false"/>
          <w:bCs w:val="false"/>
        </w:rPr>
        <w:t xml:space="preserve">the </w:t>
      </w:r>
      <w:r>
        <w:rPr>
          <w:b w:val="false"/>
          <w:bCs w:val="false"/>
        </w:rPr>
        <w:t xml:space="preserve">information on the internet. </w:t>
      </w:r>
      <w:r>
        <w:rPr>
          <w:b w:val="false"/>
          <w:bCs w:val="false"/>
        </w:rPr>
        <w:t xml:space="preserve">The location of this information could </w:t>
      </w:r>
      <w:r>
        <w:rPr>
          <w:b w:val="false"/>
          <w:bCs w:val="false"/>
        </w:rPr>
        <w:t xml:space="preserve">include personal websites, third-party repositories, </w:t>
      </w:r>
      <w:r>
        <w:rPr>
          <w:b w:val="false"/>
          <w:bCs w:val="false"/>
        </w:rPr>
        <w:t xml:space="preserve">or </w:t>
      </w:r>
      <w:r>
        <w:rPr>
          <w:b w:val="false"/>
          <w:bCs w:val="false"/>
        </w:rPr>
        <w:t xml:space="preserve">government sponsored </w:t>
      </w:r>
      <w:r>
        <w:rPr>
          <w:b w:val="false"/>
          <w:bCs w:val="false"/>
        </w:rPr>
        <w:t xml:space="preserve">repositories such as </w:t>
      </w:r>
      <w:hyperlink r:id="rId2">
        <w:r>
          <w:rPr>
            <w:rStyle w:val="InternetLink"/>
            <w:b w:val="false"/>
            <w:bCs w:val="false"/>
          </w:rPr>
          <w:t>www.c</w:t>
        </w:r>
      </w:hyperlink>
      <w:hyperlink r:id="rId3">
        <w:r>
          <w:rPr>
            <w:rStyle w:val="InternetLink"/>
            <w:b w:val="false"/>
            <w:bCs w:val="false"/>
          </w:rPr>
          <w:t>linicaltrials.gov</w:t>
        </w:r>
      </w:hyperlink>
      <w:r>
        <w:rPr>
          <w:b w:val="false"/>
          <w:bCs w:val="false"/>
        </w:rPr>
        <w:t xml:space="preserve">. </w:t>
      </w:r>
    </w:p>
    <w:p>
      <w:pPr>
        <w:pStyle w:val="Normal"/>
        <w:rPr>
          <w:b w:val="false"/>
          <w:b w:val="false"/>
          <w:bCs w:val="false"/>
        </w:rPr>
      </w:pPr>
      <w:r>
        <w:rPr>
          <w:b w:val="false"/>
          <w:bCs w:val="false"/>
        </w:rPr>
      </w:r>
    </w:p>
    <w:p>
      <w:pPr>
        <w:pStyle w:val="Normal"/>
        <w:rPr>
          <w:b w:val="false"/>
          <w:b w:val="false"/>
          <w:bCs w:val="false"/>
        </w:rPr>
      </w:pPr>
      <w:r>
        <w:rPr>
          <w:b w:val="false"/>
          <w:bCs w:val="false"/>
          <w:i/>
          <w:iCs/>
        </w:rPr>
        <w:t>2</w:t>
      </w:r>
      <w:r>
        <w:rPr>
          <w:b w:val="false"/>
          <w:bCs w:val="false"/>
          <w:i/>
          <w:iCs/>
        </w:rPr>
        <w:t>. Do instructions incentivise registering analysis protocols before starting data analysis?</w:t>
      </w:r>
    </w:p>
    <w:p>
      <w:pPr>
        <w:pStyle w:val="Normal"/>
        <w:rPr>
          <w:b w:val="false"/>
          <w:b w:val="false"/>
          <w:bCs w:val="false"/>
        </w:rPr>
      </w:pPr>
      <w:r>
        <w:rPr>
          <w:b w:val="false"/>
          <w:bCs w:val="false"/>
        </w:rPr>
      </w:r>
    </w:p>
    <w:p>
      <w:pPr>
        <w:pStyle w:val="Normal"/>
        <w:rPr/>
      </w:pPr>
      <w:r>
        <w:rPr>
          <w:b w:val="false"/>
          <w:bCs w:val="false"/>
        </w:rPr>
        <w:t>I</w:t>
      </w:r>
      <w:r>
        <w:rPr>
          <w:b w:val="false"/>
          <w:bCs w:val="false"/>
        </w:rPr>
        <w:t xml:space="preserve">nstructions </w:t>
      </w:r>
      <w:r>
        <w:rPr>
          <w:b w:val="false"/>
          <w:bCs w:val="false"/>
        </w:rPr>
        <w:t xml:space="preserve">must state that </w:t>
      </w:r>
      <w:r>
        <w:rPr>
          <w:b w:val="false"/>
          <w:bCs w:val="false"/>
        </w:rPr>
        <w:t xml:space="preserve">analysis </w:t>
      </w:r>
      <w:r>
        <w:rPr>
          <w:b w:val="false"/>
          <w:bCs w:val="false"/>
        </w:rPr>
        <w:t xml:space="preserve">protocols must be registered with a </w:t>
      </w:r>
      <w:r>
        <w:rPr>
          <w:b w:val="false"/>
          <w:bCs w:val="false"/>
        </w:rPr>
        <w:t xml:space="preserve">date and </w:t>
      </w:r>
      <w:r>
        <w:rPr>
          <w:b w:val="false"/>
          <w:bCs w:val="false"/>
        </w:rPr>
        <w:t xml:space="preserve">time-stamp before starting data collection. </w:t>
      </w:r>
    </w:p>
    <w:p>
      <w:pPr>
        <w:pStyle w:val="Normal"/>
        <w:rPr>
          <w:b w:val="false"/>
          <w:b w:val="false"/>
          <w:bCs w:val="false"/>
        </w:rPr>
      </w:pPr>
      <w:r>
        <w:rPr>
          <w:b w:val="false"/>
          <w:bCs w:val="false"/>
        </w:rPr>
      </w:r>
    </w:p>
    <w:p>
      <w:pPr>
        <w:pStyle w:val="Normal"/>
        <w:rPr>
          <w:b w:val="false"/>
          <w:b w:val="false"/>
          <w:bCs w:val="false"/>
        </w:rPr>
      </w:pPr>
      <w:r>
        <w:rPr>
          <w:b w:val="false"/>
          <w:bCs w:val="false"/>
        </w:rPr>
        <w:t xml:space="preserve">Instructions would not have satisfied this criterion if they only required researchers to outline how they planned to analyse their data. For example, the statement below would not have satisfied the criterion: </w:t>
      </w:r>
    </w:p>
    <w:p>
      <w:pPr>
        <w:pStyle w:val="Normal"/>
        <w:rPr>
          <w:b w:val="false"/>
          <w:b w:val="false"/>
          <w:bCs w:val="false"/>
        </w:rPr>
      </w:pPr>
      <w:r>
        <w:rPr>
          <w:b w:val="false"/>
          <w:bCs w:val="false"/>
        </w:rPr>
      </w:r>
    </w:p>
    <w:p>
      <w:pPr>
        <w:pStyle w:val="Normal"/>
        <w:ind w:left="709" w:right="0" w:hanging="0"/>
        <w:rPr>
          <w:b w:val="false"/>
          <w:b w:val="false"/>
          <w:bCs w:val="false"/>
        </w:rPr>
      </w:pPr>
      <w:r>
        <w:rPr>
          <w:b w:val="false"/>
          <w:bCs w:val="false"/>
        </w:rPr>
        <w:t>participants must outline briefly in their application how they plan to manage research data arising from a project. (ARC Discovery Projects)</w:t>
      </w:r>
    </w:p>
    <w:p>
      <w:pPr>
        <w:pStyle w:val="Normal"/>
        <w:rPr>
          <w:b w:val="false"/>
          <w:b w:val="false"/>
          <w:bCs w:val="false"/>
        </w:rPr>
      </w:pPr>
      <w:r>
        <w:rPr>
          <w:b w:val="false"/>
          <w:bCs w:val="false"/>
        </w:rPr>
      </w:r>
    </w:p>
    <w:p>
      <w:pPr>
        <w:pStyle w:val="Normal"/>
        <w:rPr>
          <w:b w:val="false"/>
          <w:b w:val="false"/>
          <w:bCs w:val="false"/>
        </w:rPr>
      </w:pPr>
      <w:r>
        <w:rPr>
          <w:b w:val="false"/>
          <w:bCs w:val="false"/>
          <w:i/>
          <w:iCs/>
        </w:rPr>
        <w:t>3</w:t>
      </w:r>
      <w:r>
        <w:rPr>
          <w:b w:val="false"/>
          <w:bCs w:val="false"/>
          <w:i/>
          <w:iCs/>
        </w:rPr>
        <w:t>. Do instructions incentivise making study data openly available to the research community?</w:t>
      </w:r>
    </w:p>
    <w:p>
      <w:pPr>
        <w:pStyle w:val="Normal"/>
        <w:rPr>
          <w:b w:val="false"/>
          <w:b w:val="false"/>
          <w:bCs w:val="false"/>
        </w:rPr>
      </w:pPr>
      <w:r>
        <w:rPr>
          <w:b w:val="false"/>
          <w:bCs w:val="false"/>
        </w:rPr>
      </w:r>
    </w:p>
    <w:p>
      <w:pPr>
        <w:pStyle w:val="Normal"/>
        <w:rPr/>
      </w:pPr>
      <w:r>
        <w:rPr>
          <w:b w:val="false"/>
          <w:bCs w:val="false"/>
        </w:rPr>
        <w:t>I</w:t>
      </w:r>
      <w:r>
        <w:rPr>
          <w:b w:val="false"/>
          <w:bCs w:val="false"/>
        </w:rPr>
        <w:t xml:space="preserve">nstructions </w:t>
      </w:r>
      <w:r>
        <w:rPr>
          <w:b w:val="false"/>
          <w:bCs w:val="false"/>
        </w:rPr>
        <w:t xml:space="preserve">must state that </w:t>
      </w:r>
      <w:r>
        <w:rPr>
          <w:b w:val="false"/>
          <w:bCs w:val="false"/>
        </w:rPr>
        <w:t xml:space="preserve">data must be made openly </w:t>
      </w:r>
      <w:r>
        <w:rPr>
          <w:b w:val="false"/>
          <w:bCs w:val="false"/>
        </w:rPr>
        <w:t>or publicly</w:t>
      </w:r>
      <w:r>
        <w:rPr>
          <w:b w:val="false"/>
          <w:bCs w:val="false"/>
        </w:rPr>
        <w:t xml:space="preserve"> available. </w:t>
      </w:r>
    </w:p>
    <w:p>
      <w:pPr>
        <w:pStyle w:val="Normal"/>
        <w:rPr>
          <w:b w:val="false"/>
          <w:b w:val="false"/>
          <w:bCs w:val="false"/>
        </w:rPr>
      </w:pPr>
      <w:r>
        <w:rPr>
          <w:b w:val="false"/>
          <w:bCs w:val="false"/>
        </w:rPr>
      </w:r>
    </w:p>
    <w:p>
      <w:pPr>
        <w:pStyle w:val="Normal"/>
        <w:rPr/>
      </w:pPr>
      <w:r>
        <w:rPr>
          <w:b w:val="false"/>
          <w:bCs w:val="false"/>
        </w:rPr>
        <w:t xml:space="preserve">We acknowledge that in some instances, data cannot be shared or made publicly available due to privacy or similar concerns. For example, data from clinical populations could be made available on reasonable request, after administrative approval is granted. If the instructions </w:t>
      </w:r>
      <w:r>
        <w:rPr>
          <w:b w:val="false"/>
          <w:bCs w:val="false"/>
        </w:rPr>
        <w:t xml:space="preserve">stated that data should be made openly available but </w:t>
      </w:r>
      <w:r>
        <w:rPr>
          <w:b w:val="false"/>
          <w:bCs w:val="false"/>
        </w:rPr>
        <w:t xml:space="preserve">acknowledged that </w:t>
      </w:r>
      <w:r>
        <w:rPr>
          <w:b w:val="false"/>
          <w:bCs w:val="false"/>
        </w:rPr>
        <w:t xml:space="preserve">this </w:t>
      </w:r>
      <w:r>
        <w:rPr>
          <w:b w:val="false"/>
          <w:bCs w:val="false"/>
        </w:rPr>
        <w:t xml:space="preserve">is not always appropriate, the instructions would have satisfied this criterion. </w:t>
      </w:r>
    </w:p>
    <w:p>
      <w:pPr>
        <w:pStyle w:val="Normal"/>
        <w:rPr>
          <w:b w:val="false"/>
          <w:b w:val="false"/>
          <w:bCs w:val="false"/>
        </w:rPr>
      </w:pPr>
      <w:r>
        <w:rPr>
          <w:b w:val="false"/>
          <w:bCs w:val="false"/>
        </w:rPr>
      </w:r>
    </w:p>
    <w:p>
      <w:pPr>
        <w:pStyle w:val="Normal"/>
        <w:rPr>
          <w:b w:val="false"/>
          <w:b w:val="false"/>
          <w:bCs w:val="false"/>
          <w:i/>
          <w:i/>
          <w:iCs/>
        </w:rPr>
      </w:pPr>
      <w:r>
        <w:rPr>
          <w:b w:val="false"/>
          <w:bCs w:val="false"/>
          <w:i/>
          <w:iCs/>
        </w:rPr>
        <w:t>4. Do instructions incentivise making analysis code openly available to the research community?</w:t>
      </w:r>
    </w:p>
    <w:p>
      <w:pPr>
        <w:pStyle w:val="Normal"/>
        <w:rPr>
          <w:b w:val="false"/>
          <w:b w:val="false"/>
          <w:bCs w:val="false"/>
        </w:rPr>
      </w:pPr>
      <w:r>
        <w:rPr>
          <w:b w:val="false"/>
          <w:bCs w:val="false"/>
        </w:rPr>
      </w:r>
    </w:p>
    <w:p>
      <w:pPr>
        <w:pStyle w:val="Normal"/>
        <w:rPr/>
      </w:pPr>
      <w:r>
        <w:rPr>
          <w:b w:val="false"/>
          <w:bCs w:val="false"/>
        </w:rPr>
        <w:t>I</w:t>
      </w:r>
      <w:r>
        <w:rPr>
          <w:b w:val="false"/>
          <w:bCs w:val="false"/>
        </w:rPr>
        <w:t xml:space="preserve">nstructions </w:t>
      </w:r>
      <w:r>
        <w:rPr>
          <w:b w:val="false"/>
          <w:bCs w:val="false"/>
        </w:rPr>
        <w:t xml:space="preserve">must state that </w:t>
      </w:r>
      <w:r>
        <w:rPr>
          <w:b w:val="false"/>
          <w:bCs w:val="false"/>
        </w:rPr>
        <w:t xml:space="preserve">computer code used to analyse the data </w:t>
      </w:r>
      <w:r>
        <w:rPr>
          <w:b w:val="false"/>
          <w:bCs w:val="false"/>
        </w:rPr>
        <w:t xml:space="preserve">must be made openly </w:t>
      </w:r>
      <w:r>
        <w:rPr>
          <w:b w:val="false"/>
          <w:bCs w:val="false"/>
        </w:rPr>
        <w:t>or publicly</w:t>
      </w:r>
      <w:r>
        <w:rPr>
          <w:b w:val="false"/>
          <w:bCs w:val="false"/>
        </w:rPr>
        <w:t xml:space="preserve"> available.</w:t>
      </w:r>
    </w:p>
    <w:p>
      <w:pPr>
        <w:pStyle w:val="Normal"/>
        <w:rPr>
          <w:b w:val="false"/>
          <w:b w:val="false"/>
          <w:bCs w:val="false"/>
        </w:rPr>
      </w:pPr>
      <w:r>
        <w:rPr>
          <w:b w:val="false"/>
          <w:bCs w:val="false"/>
        </w:rPr>
      </w:r>
    </w:p>
    <w:p>
      <w:pPr>
        <w:pStyle w:val="Normal"/>
        <w:rPr>
          <w:b w:val="false"/>
          <w:b w:val="false"/>
          <w:bCs w:val="false"/>
          <w:i/>
          <w:i/>
          <w:iCs/>
        </w:rPr>
      </w:pPr>
      <w:r>
        <w:rPr>
          <w:b w:val="false"/>
          <w:bCs w:val="false"/>
          <w:i/>
          <w:iCs/>
        </w:rPr>
        <w:t>5. Do instruction</w:t>
      </w:r>
      <w:r>
        <w:rPr>
          <w:b w:val="false"/>
          <w:bCs w:val="false"/>
          <w:i/>
          <w:iCs/>
        </w:rPr>
        <w:t>s</w:t>
      </w:r>
      <w:r>
        <w:rPr>
          <w:b w:val="false"/>
          <w:bCs w:val="false"/>
          <w:i/>
          <w:iCs/>
        </w:rPr>
        <w:t xml:space="preserve"> incentivise making research materials openly available to the research community?</w:t>
      </w:r>
    </w:p>
    <w:p>
      <w:pPr>
        <w:pStyle w:val="Normal"/>
        <w:rPr>
          <w:b w:val="false"/>
          <w:b w:val="false"/>
          <w:bCs w:val="false"/>
        </w:rPr>
      </w:pPr>
      <w:r>
        <w:rPr>
          <w:b w:val="false"/>
          <w:bCs w:val="false"/>
        </w:rPr>
      </w:r>
    </w:p>
    <w:p>
      <w:pPr>
        <w:pStyle w:val="Normal"/>
        <w:rPr/>
      </w:pPr>
      <w:r>
        <w:rPr>
          <w:b w:val="false"/>
          <w:bCs w:val="false"/>
        </w:rPr>
        <w:t>I</w:t>
      </w:r>
      <w:r>
        <w:rPr>
          <w:b w:val="false"/>
          <w:bCs w:val="false"/>
        </w:rPr>
        <w:t xml:space="preserve">nstructions </w:t>
      </w:r>
      <w:r>
        <w:rPr>
          <w:b w:val="false"/>
          <w:bCs w:val="false"/>
        </w:rPr>
        <w:t xml:space="preserve">must state that </w:t>
      </w:r>
      <w:r>
        <w:rPr>
          <w:b w:val="false"/>
          <w:bCs w:val="false"/>
        </w:rPr>
        <w:t xml:space="preserve">materials </w:t>
      </w:r>
      <w:r>
        <w:rPr>
          <w:b w:val="false"/>
          <w:bCs w:val="false"/>
        </w:rPr>
        <w:t xml:space="preserve">used to conduct the research </w:t>
      </w:r>
      <w:r>
        <w:rPr>
          <w:b w:val="false"/>
          <w:bCs w:val="false"/>
        </w:rPr>
        <w:t xml:space="preserve">must be made openly </w:t>
      </w:r>
      <w:r>
        <w:rPr>
          <w:b w:val="false"/>
          <w:bCs w:val="false"/>
        </w:rPr>
        <w:t>or publicly</w:t>
      </w:r>
      <w:r>
        <w:rPr>
          <w:b w:val="false"/>
          <w:bCs w:val="false"/>
        </w:rPr>
        <w:t xml:space="preserve"> available. </w:t>
      </w:r>
    </w:p>
    <w:p>
      <w:pPr>
        <w:pStyle w:val="Normal"/>
        <w:rPr>
          <w:b w:val="false"/>
          <w:b w:val="false"/>
          <w:bCs w:val="false"/>
        </w:rPr>
      </w:pPr>
      <w:r>
        <w:rPr>
          <w:b w:val="false"/>
          <w:bCs w:val="false"/>
        </w:rPr>
      </w:r>
    </w:p>
    <w:p>
      <w:pPr>
        <w:pStyle w:val="Normal"/>
        <w:rPr>
          <w:b w:val="false"/>
          <w:b w:val="false"/>
          <w:bCs w:val="false"/>
        </w:rPr>
      </w:pPr>
      <w:r>
        <w:rPr>
          <w:b w:val="false"/>
          <w:bCs w:val="false"/>
        </w:rPr>
        <w:t xml:space="preserve">Examples of research materials include, but are not limited to: </w:t>
      </w:r>
    </w:p>
    <w:p>
      <w:pPr>
        <w:pStyle w:val="Normal"/>
        <w:numPr>
          <w:ilvl w:val="0"/>
          <w:numId w:val="1"/>
        </w:numPr>
        <w:rPr>
          <w:b w:val="false"/>
          <w:b w:val="false"/>
          <w:bCs w:val="false"/>
        </w:rPr>
      </w:pPr>
      <w:r>
        <w:rPr>
          <w:b w:val="false"/>
          <w:bCs w:val="false"/>
        </w:rPr>
        <w:t>Supplemental appendices</w:t>
      </w:r>
    </w:p>
    <w:p>
      <w:pPr>
        <w:pStyle w:val="Normal"/>
        <w:numPr>
          <w:ilvl w:val="0"/>
          <w:numId w:val="1"/>
        </w:numPr>
        <w:rPr>
          <w:b w:val="false"/>
          <w:b w:val="false"/>
          <w:bCs w:val="false"/>
        </w:rPr>
      </w:pPr>
      <w:r>
        <w:rPr>
          <w:b w:val="false"/>
          <w:bCs w:val="false"/>
        </w:rPr>
        <w:t>Questionnaires</w:t>
      </w:r>
    </w:p>
    <w:p>
      <w:pPr>
        <w:pStyle w:val="Normal"/>
        <w:numPr>
          <w:ilvl w:val="0"/>
          <w:numId w:val="1"/>
        </w:numPr>
        <w:rPr>
          <w:b w:val="false"/>
          <w:b w:val="false"/>
          <w:bCs w:val="false"/>
        </w:rPr>
      </w:pPr>
      <w:r>
        <w:rPr>
          <w:b w:val="false"/>
          <w:bCs w:val="false"/>
        </w:rPr>
        <w:t>Survey instruments</w:t>
      </w:r>
    </w:p>
    <w:p>
      <w:pPr>
        <w:pStyle w:val="Normal"/>
        <w:numPr>
          <w:ilvl w:val="0"/>
          <w:numId w:val="1"/>
        </w:numPr>
        <w:rPr>
          <w:b w:val="false"/>
          <w:b w:val="false"/>
          <w:bCs w:val="false"/>
        </w:rPr>
      </w:pPr>
      <w:r>
        <w:rPr>
          <w:b w:val="false"/>
          <w:bCs w:val="false"/>
        </w:rPr>
        <w:t>Scoring rubrics</w:t>
      </w:r>
    </w:p>
    <w:p>
      <w:pPr>
        <w:pStyle w:val="Normal"/>
        <w:numPr>
          <w:ilvl w:val="0"/>
          <w:numId w:val="1"/>
        </w:numPr>
        <w:rPr>
          <w:b w:val="false"/>
          <w:b w:val="false"/>
          <w:bCs w:val="false"/>
        </w:rPr>
      </w:pPr>
      <w:r>
        <w:rPr>
          <w:b w:val="false"/>
          <w:bCs w:val="false"/>
        </w:rPr>
        <w:t>Visual stimuli</w:t>
      </w:r>
    </w:p>
    <w:p>
      <w:pPr>
        <w:pStyle w:val="Normal"/>
        <w:numPr>
          <w:ilvl w:val="0"/>
          <w:numId w:val="1"/>
        </w:numPr>
        <w:rPr>
          <w:b w:val="false"/>
          <w:b w:val="false"/>
          <w:bCs w:val="false"/>
        </w:rPr>
      </w:pPr>
      <w:r>
        <w:rPr>
          <w:b w:val="false"/>
          <w:bCs w:val="false"/>
        </w:rPr>
        <w:t>Scripts used by research personnel</w:t>
      </w:r>
    </w:p>
    <w:p>
      <w:pPr>
        <w:pStyle w:val="Normal"/>
        <w:rPr>
          <w:b w:val="false"/>
          <w:b w:val="false"/>
          <w:bCs w:val="false"/>
        </w:rPr>
      </w:pPr>
      <w:r>
        <w:rPr>
          <w:b w:val="false"/>
          <w:bCs w:val="false"/>
        </w:rPr>
      </w:r>
    </w:p>
    <w:p>
      <w:pPr>
        <w:pStyle w:val="Normal"/>
        <w:rPr>
          <w:b w:val="false"/>
          <w:b w:val="false"/>
          <w:bCs w:val="false"/>
        </w:rPr>
      </w:pPr>
      <w:r>
        <w:rPr>
          <w:b w:val="false"/>
          <w:bCs w:val="false"/>
          <w:i/>
          <w:iCs/>
        </w:rPr>
        <w:t>6</w:t>
      </w:r>
      <w:r>
        <w:rPr>
          <w:b w:val="false"/>
          <w:bCs w:val="false"/>
          <w:i/>
          <w:iCs/>
        </w:rPr>
        <w:t>. Do instructions incentivise the discouragement of publication metrics?</w:t>
      </w:r>
    </w:p>
    <w:p>
      <w:pPr>
        <w:pStyle w:val="Normal"/>
        <w:rPr>
          <w:b w:val="false"/>
          <w:b w:val="false"/>
          <w:bCs w:val="false"/>
        </w:rPr>
      </w:pPr>
      <w:r>
        <w:rPr>
          <w:b w:val="false"/>
          <w:bCs w:val="false"/>
        </w:rPr>
      </w:r>
    </w:p>
    <w:p>
      <w:pPr>
        <w:pStyle w:val="Normal"/>
        <w:rPr>
          <w:b w:val="false"/>
          <w:b w:val="false"/>
          <w:bCs w:val="false"/>
        </w:rPr>
      </w:pPr>
      <w:r>
        <w:rPr>
          <w:b w:val="false"/>
          <w:bCs w:val="false"/>
        </w:rPr>
        <w:t xml:space="preserve">Instructions must state that publication metrics (e.g. impact factor, H-index) should not be used. </w:t>
      </w:r>
    </w:p>
    <w:p>
      <w:pPr>
        <w:pStyle w:val="Normal"/>
        <w:rPr>
          <w:b w:val="false"/>
          <w:b w:val="false"/>
          <w:bCs w:val="false"/>
        </w:rPr>
      </w:pPr>
      <w:r>
        <w:rPr>
          <w:b w:val="false"/>
          <w:bCs w:val="false"/>
        </w:rPr>
      </w:r>
    </w:p>
    <w:p>
      <w:pPr>
        <w:pStyle w:val="Normal"/>
        <w:rPr>
          <w:b w:val="false"/>
          <w:b w:val="false"/>
          <w:bCs w:val="false"/>
        </w:rPr>
      </w:pPr>
      <w:r>
        <w:rPr>
          <w:b w:val="false"/>
          <w:bCs w:val="false"/>
          <w:i/>
          <w:iCs/>
        </w:rPr>
        <w:t>7. Do instruction</w:t>
      </w:r>
      <w:r>
        <w:rPr>
          <w:b w:val="false"/>
          <w:bCs w:val="false"/>
          <w:i/>
          <w:iCs/>
        </w:rPr>
        <w:t>s</w:t>
      </w:r>
      <w:r>
        <w:rPr>
          <w:b w:val="false"/>
          <w:bCs w:val="false"/>
          <w:i/>
          <w:iCs/>
        </w:rPr>
        <w:t xml:space="preserve"> incentivise research quality (e.g., adherence to reporting guidelines)?</w:t>
      </w:r>
    </w:p>
    <w:p>
      <w:pPr>
        <w:pStyle w:val="Normal"/>
        <w:rPr>
          <w:b w:val="false"/>
          <w:b w:val="false"/>
          <w:bCs w:val="false"/>
        </w:rPr>
      </w:pPr>
      <w:r>
        <w:rPr>
          <w:b w:val="false"/>
          <w:bCs w:val="false"/>
        </w:rPr>
      </w:r>
    </w:p>
    <w:p>
      <w:pPr>
        <w:pStyle w:val="Normal"/>
        <w:rPr/>
      </w:pPr>
      <w:r>
        <w:rPr>
          <w:b w:val="false"/>
          <w:bCs w:val="false"/>
        </w:rPr>
        <w:t>I</w:t>
      </w:r>
      <w:r>
        <w:rPr>
          <w:b w:val="false"/>
          <w:bCs w:val="false"/>
        </w:rPr>
        <w:t xml:space="preserve">nstructions </w:t>
      </w:r>
      <w:r>
        <w:rPr>
          <w:b w:val="false"/>
          <w:bCs w:val="false"/>
        </w:rPr>
        <w:t xml:space="preserve">must state </w:t>
      </w:r>
      <w:r>
        <w:rPr>
          <w:b w:val="false"/>
          <w:bCs w:val="false"/>
        </w:rPr>
        <w:t xml:space="preserve">at least 1 </w:t>
      </w:r>
      <w:r>
        <w:rPr>
          <w:b w:val="false"/>
          <w:bCs w:val="false"/>
        </w:rPr>
        <w:t xml:space="preserve">mechanism to </w:t>
      </w:r>
      <w:r>
        <w:rPr>
          <w:b w:val="false"/>
          <w:bCs w:val="false"/>
        </w:rPr>
        <w:t xml:space="preserve">promote research quality that </w:t>
      </w:r>
      <w:r>
        <w:rPr>
          <w:b w:val="false"/>
          <w:bCs w:val="false"/>
        </w:rPr>
        <w:t>was</w:t>
      </w:r>
      <w:r>
        <w:rPr>
          <w:b w:val="false"/>
          <w:bCs w:val="false"/>
        </w:rPr>
        <w:t xml:space="preserve"> not </w:t>
      </w:r>
      <w:r>
        <w:rPr>
          <w:b w:val="false"/>
          <w:bCs w:val="false"/>
        </w:rPr>
        <w:t>part of former criteria</w:t>
      </w:r>
      <w:r>
        <w:rPr>
          <w:b w:val="false"/>
          <w:bCs w:val="false"/>
        </w:rPr>
        <w:t xml:space="preserve">. </w:t>
      </w:r>
      <w:r>
        <w:rPr>
          <w:b w:val="false"/>
          <w:bCs w:val="false"/>
        </w:rPr>
        <w:t xml:space="preserve">Examples </w:t>
      </w:r>
      <w:r>
        <w:rPr>
          <w:b w:val="false"/>
          <w:bCs w:val="false"/>
        </w:rPr>
        <w:t xml:space="preserve">of mechanisms </w:t>
      </w:r>
      <w:r>
        <w:rPr>
          <w:b w:val="false"/>
          <w:bCs w:val="false"/>
        </w:rPr>
        <w:t xml:space="preserve">include, but are not limited to: </w:t>
      </w:r>
    </w:p>
    <w:p>
      <w:pPr>
        <w:pStyle w:val="Normal"/>
        <w:numPr>
          <w:ilvl w:val="0"/>
          <w:numId w:val="2"/>
        </w:numPr>
        <w:rPr>
          <w:b w:val="false"/>
          <w:b w:val="false"/>
          <w:bCs w:val="false"/>
        </w:rPr>
      </w:pPr>
      <w:r>
        <w:rPr>
          <w:b w:val="false"/>
          <w:bCs w:val="false"/>
        </w:rPr>
        <w:t>Adhering to reporting guidelines</w:t>
      </w:r>
    </w:p>
    <w:p>
      <w:pPr>
        <w:pStyle w:val="Normal"/>
        <w:numPr>
          <w:ilvl w:val="0"/>
          <w:numId w:val="2"/>
        </w:numPr>
        <w:rPr>
          <w:b w:val="false"/>
          <w:b w:val="false"/>
          <w:bCs w:val="false"/>
        </w:rPr>
      </w:pPr>
      <w:r>
        <w:rPr>
          <w:b w:val="false"/>
          <w:bCs w:val="false"/>
        </w:rPr>
        <w:t xml:space="preserve">Adhering to ethical standards </w:t>
      </w:r>
    </w:p>
    <w:p>
      <w:pPr>
        <w:pStyle w:val="Normal"/>
        <w:numPr>
          <w:ilvl w:val="0"/>
          <w:numId w:val="2"/>
        </w:numPr>
        <w:rPr/>
      </w:pPr>
      <w:r>
        <w:rPr>
          <w:b w:val="false"/>
          <w:bCs w:val="false"/>
        </w:rPr>
        <w:t>A</w:t>
      </w:r>
      <w:r>
        <w:rPr>
          <w:b w:val="false"/>
          <w:bCs w:val="false"/>
        </w:rPr>
        <w:t xml:space="preserve">voiding or acknowledging biases </w:t>
      </w:r>
    </w:p>
    <w:p>
      <w:pPr>
        <w:pStyle w:val="Normal"/>
        <w:numPr>
          <w:ilvl w:val="0"/>
          <w:numId w:val="2"/>
        </w:numPr>
        <w:rPr/>
      </w:pPr>
      <w:r>
        <w:rPr>
          <w:b w:val="false"/>
          <w:bCs w:val="false"/>
        </w:rPr>
        <w:t>P</w:t>
      </w:r>
      <w:r>
        <w:rPr>
          <w:b w:val="false"/>
          <w:bCs w:val="false"/>
        </w:rPr>
        <w:t xml:space="preserve">rioritising robust methodology </w:t>
      </w:r>
    </w:p>
    <w:p>
      <w:pPr>
        <w:pStyle w:val="Normal"/>
        <w:numPr>
          <w:ilvl w:val="0"/>
          <w:numId w:val="2"/>
        </w:numPr>
        <w:rPr>
          <w:b w:val="false"/>
          <w:b w:val="false"/>
          <w:bCs w:val="false"/>
        </w:rPr>
      </w:pPr>
      <w:r>
        <w:rPr>
          <w:b w:val="false"/>
          <w:bCs w:val="false"/>
        </w:rPr>
        <w:t xml:space="preserve">Broadening research dissemination </w:t>
      </w:r>
    </w:p>
    <w:p>
      <w:pPr>
        <w:pStyle w:val="Normal"/>
        <w:numPr>
          <w:ilvl w:val="0"/>
          <w:numId w:val="2"/>
        </w:numPr>
        <w:rPr/>
      </w:pPr>
      <w:r>
        <w:rPr>
          <w:b w:val="false"/>
          <w:bCs w:val="false"/>
        </w:rPr>
        <w:t xml:space="preserve">Maximising </w:t>
      </w:r>
      <w:r>
        <w:rPr>
          <w:b w:val="false"/>
          <w:bCs w:val="false"/>
        </w:rPr>
        <w:t>the value and impact of all research output</w:t>
      </w:r>
    </w:p>
    <w:p>
      <w:pPr>
        <w:pStyle w:val="Normal"/>
        <w:rPr>
          <w:b w:val="false"/>
          <w:b w:val="false"/>
          <w:bCs w:val="false"/>
        </w:rPr>
      </w:pPr>
      <w:r>
        <w:rPr>
          <w:b w:val="false"/>
          <w:bCs w:val="false"/>
        </w:rPr>
      </w:r>
    </w:p>
    <w:p>
      <w:pPr>
        <w:pStyle w:val="Normal"/>
        <w:rPr>
          <w:b w:val="false"/>
          <w:b w:val="false"/>
          <w:bCs w:val="false"/>
          <w:i/>
          <w:i/>
          <w:iCs/>
        </w:rPr>
      </w:pPr>
      <w:r>
        <w:rPr>
          <w:b w:val="false"/>
          <w:bCs w:val="false"/>
          <w:i/>
          <w:iCs/>
        </w:rPr>
        <w:t>8. Do instructions incentivise collaboration with a statistician?</w:t>
      </w:r>
    </w:p>
    <w:p>
      <w:pPr>
        <w:pStyle w:val="Normal"/>
        <w:rPr>
          <w:b w:val="false"/>
          <w:b w:val="false"/>
          <w:bCs w:val="false"/>
        </w:rPr>
      </w:pPr>
      <w:r>
        <w:rPr>
          <w:b w:val="false"/>
          <w:bCs w:val="false"/>
        </w:rPr>
      </w:r>
    </w:p>
    <w:p>
      <w:pPr>
        <w:pStyle w:val="Normal"/>
        <w:rPr/>
      </w:pPr>
      <w:r>
        <w:rPr>
          <w:b w:val="false"/>
          <w:bCs w:val="false"/>
        </w:rPr>
        <w:t>I</w:t>
      </w:r>
      <w:r>
        <w:rPr>
          <w:b w:val="false"/>
          <w:bCs w:val="false"/>
        </w:rPr>
        <w:t xml:space="preserve">nstructions </w:t>
      </w:r>
      <w:r>
        <w:rPr>
          <w:b w:val="false"/>
          <w:bCs w:val="false"/>
        </w:rPr>
        <w:t xml:space="preserve">must state that </w:t>
      </w:r>
      <w:r>
        <w:rPr>
          <w:b w:val="false"/>
          <w:bCs w:val="false"/>
        </w:rPr>
        <w:t xml:space="preserve">applicants consult a statistician </w:t>
      </w:r>
      <w:r>
        <w:rPr>
          <w:b w:val="false"/>
          <w:bCs w:val="false"/>
        </w:rPr>
        <w:t xml:space="preserve">for complex </w:t>
      </w:r>
      <w:r>
        <w:rPr>
          <w:b w:val="false"/>
          <w:bCs w:val="false"/>
        </w:rPr>
        <w:t xml:space="preserve">quantitative analyses. </w:t>
      </w:r>
    </w:p>
    <w:p>
      <w:pPr>
        <w:pStyle w:val="Normal"/>
        <w:rPr>
          <w:b w:val="false"/>
          <w:b w:val="false"/>
          <w:bCs w:val="false"/>
        </w:rPr>
      </w:pPr>
      <w:r>
        <w:rPr>
          <w:b w:val="false"/>
          <w:bCs w:val="false"/>
        </w:rPr>
      </w:r>
    </w:p>
    <w:p>
      <w:pPr>
        <w:pStyle w:val="Normal"/>
        <w:rPr/>
      </w:pPr>
      <w:r>
        <w:rPr>
          <w:b w:val="false"/>
          <w:bCs w:val="false"/>
        </w:rPr>
        <w:t xml:space="preserve">This criterion was included because many published studies in </w:t>
      </w:r>
      <w:r>
        <w:rPr>
          <w:b w:val="false"/>
          <w:bCs w:val="false"/>
        </w:rPr>
        <w:t xml:space="preserve">meta-research </w:t>
      </w:r>
      <w:r>
        <w:rPr>
          <w:b w:val="false"/>
          <w:bCs w:val="false"/>
        </w:rPr>
        <w:t xml:space="preserve">fields </w:t>
      </w:r>
      <w:r>
        <w:rPr>
          <w:b w:val="false"/>
          <w:bCs w:val="false"/>
        </w:rPr>
        <w:t>(</w:t>
      </w:r>
      <w:r>
        <w:rPr>
          <w:b w:val="false"/>
          <w:bCs w:val="false"/>
        </w:rPr>
        <w:t xml:space="preserve">in which </w:t>
      </w:r>
      <w:r>
        <w:rPr>
          <w:b w:val="false"/>
          <w:bCs w:val="false"/>
        </w:rPr>
        <w:t xml:space="preserve">AB and CMK publish) describe common statistical errors made by </w:t>
      </w:r>
      <w:r>
        <w:rPr>
          <w:b w:val="false"/>
          <w:bCs w:val="false"/>
        </w:rPr>
        <w:t xml:space="preserve">investigators </w:t>
      </w:r>
      <w:r>
        <w:rPr>
          <w:b w:val="false"/>
          <w:bCs w:val="false"/>
        </w:rPr>
        <w:t xml:space="preserve">who </w:t>
      </w:r>
      <w:r>
        <w:rPr>
          <w:b w:val="false"/>
          <w:bCs w:val="false"/>
        </w:rPr>
        <w:t xml:space="preserve">fail to apply </w:t>
      </w:r>
      <w:r>
        <w:rPr>
          <w:b w:val="false"/>
          <w:bCs w:val="false"/>
        </w:rPr>
        <w:t xml:space="preserve">appropriate statistical </w:t>
      </w:r>
      <w:r>
        <w:rPr>
          <w:b w:val="false"/>
          <w:bCs w:val="false"/>
        </w:rPr>
        <w:t xml:space="preserve">techniques in </w:t>
      </w:r>
      <w:r>
        <w:rPr>
          <w:b w:val="false"/>
          <w:bCs w:val="false"/>
        </w:rPr>
        <w:t xml:space="preserve">their </w:t>
      </w:r>
      <w:r>
        <w:rPr>
          <w:b w:val="false"/>
          <w:bCs w:val="false"/>
        </w:rPr>
        <w:t xml:space="preserve">studies </w:t>
      </w:r>
      <w:bookmarkStart w:id="0" w:name="Mendeley_Bookmark_lSfzs4gEYG"/>
      <w:bookmarkStart w:id="1" w:name="Mendeley_Bookmark_Xhb0U7ftNJ"/>
      <w:r>
        <w:rPr>
          <w:b w:val="false"/>
          <w:bCs w:val="false"/>
          <w:position w:val="0"/>
          <w:sz w:val="24"/>
          <w:vertAlign w:val="baseline"/>
        </w:rPr>
        <w:t>[1–3]</w:t>
      </w:r>
      <w:bookmarkEnd w:id="0"/>
      <w:bookmarkEnd w:id="1"/>
      <w:r>
        <w:rPr>
          <w:b w:val="false"/>
          <w:bCs w:val="false"/>
        </w:rPr>
        <w:t xml:space="preserve">. </w:t>
      </w:r>
      <w:r>
        <w:rPr>
          <w:b w:val="false"/>
          <w:bCs w:val="false"/>
        </w:rPr>
        <w:t>If instructions from the scheme stated that applicant</w:t>
      </w:r>
      <w:r>
        <w:rPr>
          <w:b w:val="false"/>
          <w:bCs w:val="false"/>
        </w:rPr>
        <w:t xml:space="preserve">s </w:t>
      </w:r>
      <w:r>
        <w:rPr>
          <w:b w:val="false"/>
          <w:bCs w:val="false"/>
        </w:rPr>
        <w:t xml:space="preserve">were to include a statistician as </w:t>
      </w:r>
      <w:r>
        <w:rPr>
          <w:b w:val="false"/>
          <w:bCs w:val="false"/>
        </w:rPr>
        <w:t xml:space="preserve">a </w:t>
      </w:r>
      <w:r>
        <w:rPr>
          <w:b w:val="false"/>
          <w:bCs w:val="false"/>
        </w:rPr>
        <w:t xml:space="preserve">co-investigator, </w:t>
      </w:r>
      <w:r>
        <w:rPr>
          <w:b w:val="false"/>
          <w:bCs w:val="false"/>
        </w:rPr>
        <w:t>or if the primary applicant was a statistician,</w:t>
      </w:r>
      <w:r>
        <w:rPr>
          <w:b w:val="false"/>
          <w:bCs w:val="false"/>
        </w:rPr>
        <w:t xml:space="preserve"> this statement would have satisfied the criterion. Ultimately, we wanted to assess whether funding agencies </w:t>
      </w:r>
      <w:r>
        <w:rPr>
          <w:b w:val="false"/>
          <w:bCs w:val="false"/>
        </w:rPr>
        <w:t xml:space="preserve">incentivised </w:t>
      </w:r>
      <w:r>
        <w:rPr>
          <w:b w:val="false"/>
          <w:bCs w:val="false"/>
        </w:rPr>
        <w:t xml:space="preserve">applicants to implement robust statistical </w:t>
      </w:r>
      <w:r>
        <w:rPr>
          <w:b w:val="false"/>
          <w:bCs w:val="false"/>
        </w:rPr>
        <w:t>analyses</w:t>
      </w:r>
      <w:r>
        <w:rPr>
          <w:b w:val="false"/>
          <w:bCs w:val="false"/>
        </w:rPr>
        <w:t xml:space="preserve">. </w:t>
      </w:r>
    </w:p>
    <w:p>
      <w:pPr>
        <w:pStyle w:val="Normal"/>
        <w:rPr>
          <w:b w:val="false"/>
          <w:b w:val="false"/>
          <w:bCs w:val="false"/>
        </w:rPr>
      </w:pPr>
      <w:r>
        <w:rPr>
          <w:b w:val="false"/>
          <w:bCs w:val="false"/>
        </w:rPr>
      </w:r>
    </w:p>
    <w:p>
      <w:pPr>
        <w:pStyle w:val="Normal"/>
        <w:rPr>
          <w:b w:val="false"/>
          <w:b w:val="false"/>
          <w:bCs w:val="false"/>
          <w:i/>
          <w:i/>
          <w:iCs/>
        </w:rPr>
      </w:pPr>
      <w:r>
        <w:rPr>
          <w:b w:val="false"/>
          <w:bCs w:val="false"/>
          <w:i/>
          <w:iCs/>
        </w:rPr>
        <w:t>9</w:t>
      </w:r>
      <w:r>
        <w:rPr>
          <w:b w:val="false"/>
          <w:bCs w:val="false"/>
          <w:i/>
          <w:iCs/>
        </w:rPr>
        <w:t>. Do instructions incentivise any other responsible research practices?</w:t>
      </w:r>
    </w:p>
    <w:p>
      <w:pPr>
        <w:pStyle w:val="Normal"/>
        <w:rPr>
          <w:b w:val="false"/>
          <w:b w:val="false"/>
          <w:bCs w:val="false"/>
        </w:rPr>
      </w:pPr>
      <w:r>
        <w:rPr>
          <w:b w:val="false"/>
          <w:bCs w:val="false"/>
        </w:rPr>
      </w:r>
    </w:p>
    <w:p>
      <w:pPr>
        <w:pStyle w:val="Normal"/>
        <w:rPr/>
      </w:pPr>
      <w:r>
        <w:rPr>
          <w:b w:val="false"/>
          <w:bCs w:val="false"/>
        </w:rPr>
        <w:t>I</w:t>
      </w:r>
      <w:r>
        <w:rPr>
          <w:b w:val="false"/>
          <w:bCs w:val="false"/>
        </w:rPr>
        <w:t xml:space="preserve">nstructions </w:t>
      </w:r>
      <w:r>
        <w:rPr>
          <w:b w:val="false"/>
          <w:bCs w:val="false"/>
        </w:rPr>
        <w:t xml:space="preserve">must state </w:t>
      </w:r>
      <w:r>
        <w:rPr>
          <w:b w:val="false"/>
          <w:bCs w:val="false"/>
        </w:rPr>
        <w:t xml:space="preserve">at least 1 </w:t>
      </w:r>
      <w:r>
        <w:rPr>
          <w:b w:val="false"/>
          <w:bCs w:val="false"/>
        </w:rPr>
        <w:t>other responsible research practice</w:t>
      </w:r>
      <w:r>
        <w:rPr>
          <w:b w:val="false"/>
          <w:bCs w:val="false"/>
        </w:rPr>
        <w:t xml:space="preserve"> that </w:t>
      </w:r>
      <w:r>
        <w:rPr>
          <w:b w:val="false"/>
          <w:bCs w:val="false"/>
        </w:rPr>
        <w:t>was</w:t>
      </w:r>
      <w:r>
        <w:rPr>
          <w:b w:val="false"/>
          <w:bCs w:val="false"/>
        </w:rPr>
        <w:t xml:space="preserve"> not covered in Question 7. Examples include, but are not limited to: </w:t>
      </w:r>
    </w:p>
    <w:p>
      <w:pPr>
        <w:pStyle w:val="Normal"/>
        <w:numPr>
          <w:ilvl w:val="0"/>
          <w:numId w:val="3"/>
        </w:numPr>
        <w:rPr>
          <w:b w:val="false"/>
          <w:b w:val="false"/>
          <w:bCs w:val="false"/>
        </w:rPr>
      </w:pPr>
      <w:r>
        <w:rPr>
          <w:b w:val="false"/>
          <w:bCs w:val="false"/>
        </w:rPr>
        <w:t>R</w:t>
      </w:r>
      <w:r>
        <w:rPr>
          <w:b w:val="false"/>
          <w:bCs w:val="false"/>
        </w:rPr>
        <w:t xml:space="preserve">esearch training </w:t>
      </w:r>
    </w:p>
    <w:p>
      <w:pPr>
        <w:pStyle w:val="Normal"/>
        <w:numPr>
          <w:ilvl w:val="0"/>
          <w:numId w:val="3"/>
        </w:numPr>
        <w:rPr>
          <w:b w:val="false"/>
          <w:b w:val="false"/>
          <w:bCs w:val="false"/>
        </w:rPr>
      </w:pPr>
      <w:r>
        <w:rPr>
          <w:b w:val="false"/>
          <w:bCs w:val="false"/>
        </w:rPr>
        <w:t xml:space="preserve">Declaring </w:t>
      </w:r>
      <w:r>
        <w:rPr>
          <w:b w:val="false"/>
          <w:bCs w:val="false"/>
        </w:rPr>
        <w:t>conflicts of interest</w:t>
      </w:r>
    </w:p>
    <w:p>
      <w:pPr>
        <w:pStyle w:val="Normal"/>
        <w:rPr>
          <w:b w:val="false"/>
          <w:b w:val="false"/>
          <w:bCs w:val="false"/>
        </w:rPr>
      </w:pPr>
      <w:r>
        <w:rPr>
          <w:b w:val="false"/>
          <w:bCs w:val="false"/>
        </w:rPr>
      </w:r>
    </w:p>
    <w:p>
      <w:pPr>
        <w:pStyle w:val="Normal"/>
        <w:rPr>
          <w:b/>
          <w:b/>
          <w:bCs/>
        </w:rPr>
      </w:pPr>
      <w:r>
        <w:rPr>
          <w:b/>
          <w:bCs/>
        </w:rPr>
      </w:r>
      <w:r>
        <w:br w:type="page"/>
      </w:r>
    </w:p>
    <w:p>
      <w:pPr>
        <w:pStyle w:val="Normal"/>
        <w:rPr>
          <w:b/>
          <w:b/>
          <w:bCs/>
        </w:rPr>
      </w:pPr>
      <w:r>
        <w:rPr>
          <w:b/>
          <w:bCs/>
        </w:rPr>
        <w:t>References</w:t>
      </w:r>
    </w:p>
    <w:p>
      <w:pPr>
        <w:pStyle w:val="Normal"/>
        <w:rPr>
          <w:b w:val="false"/>
          <w:b w:val="false"/>
          <w:bCs w:val="false"/>
        </w:rPr>
      </w:pPr>
      <w:r>
        <w:rPr>
          <w:b w:val="false"/>
          <w:bCs w:val="false"/>
        </w:rPr>
      </w:r>
    </w:p>
    <w:p>
      <w:pPr>
        <w:sectPr>
          <w:footerReference w:type="default" r:id="rId4"/>
          <w:type w:val="nextPage"/>
          <w:pgSz w:w="11906" w:h="16838"/>
          <w:pgMar w:left="1134" w:right="1134" w:header="0" w:top="1134" w:footer="1134" w:bottom="1693" w:gutter="0"/>
          <w:pgNumType w:fmt="decimal"/>
          <w:formProt w:val="false"/>
          <w:textDirection w:val="lrTb"/>
          <w:docGrid w:type="default" w:linePitch="312" w:charSpace="4294961151"/>
        </w:sectPr>
      </w:pPr>
    </w:p>
    <w:p>
      <w:pPr>
        <w:pStyle w:val="Normal"/>
        <w:spacing w:lineRule="auto" w:line="240" w:before="0" w:after="0"/>
        <w:ind w:left="640" w:right="0" w:hanging="640"/>
        <w:rPr>
          <w:rFonts w:ascii="Liberation Serif" w:hAnsi="Liberation Serif"/>
          <w:sz w:val="24"/>
        </w:rPr>
      </w:pPr>
      <w:bookmarkStart w:id="2" w:name="Mendeley_Bookmark_gv7xPpJhv2"/>
      <w:bookmarkStart w:id="3" w:name="Mendeley_Bookmark_ad1ZigxQ0f"/>
      <w:r>
        <w:rPr>
          <w:sz w:val="24"/>
        </w:rPr>
        <w:t>[1]</w:t>
        <w:tab/>
        <w:t>Thomas DM, Clark N, Turner D, Siu C, Halliday TM, Hannon BA, et al. Best (but oft-forgotten) practices: Identifying and accounting for regression to the mean in nutrition and obesity research. Am J Clin Nutr 2020;111:256–65. https://doi.org/10.1093/ajcn/nqz196.</w:t>
      </w:r>
    </w:p>
    <w:p>
      <w:pPr>
        <w:pStyle w:val="Normal"/>
        <w:spacing w:lineRule="auto" w:line="240" w:before="0" w:after="0"/>
        <w:ind w:left="640" w:right="0" w:hanging="640"/>
        <w:rPr>
          <w:rFonts w:ascii="Liberation Serif" w:hAnsi="Liberation Serif"/>
          <w:sz w:val="24"/>
        </w:rPr>
      </w:pPr>
      <w:r>
        <w:rPr>
          <w:sz w:val="24"/>
        </w:rPr>
        <w:t>[2]</w:t>
        <w:tab/>
        <w:t xml:space="preserve">Kroeger CM, Ejima K, Hannon BA, Halliday TM, McComb B, Teran-Garcia M, et al. Persistent confusion in nutrition and obesity research about the validity of classic nonparametric tests in the presence of heteroscedasticity: evidence of the problem and valid alternatives. Am J Clin Nutr 2021;113. </w:t>
      </w:r>
      <w:hyperlink r:id="rId5">
        <w:r>
          <w:rPr>
            <w:rStyle w:val="InternetLink"/>
            <w:sz w:val="24"/>
          </w:rPr>
          <w:t>https://doi.org/10.1093/ajcn/nqaa357</w:t>
        </w:r>
      </w:hyperlink>
      <w:r>
        <w:rPr>
          <w:sz w:val="24"/>
        </w:rPr>
        <w:t>.</w:t>
      </w:r>
    </w:p>
    <w:p>
      <w:pPr>
        <w:pStyle w:val="Normal"/>
        <w:spacing w:lineRule="auto" w:line="240" w:before="0" w:after="0"/>
        <w:ind w:left="640" w:right="0" w:hanging="640"/>
        <w:rPr>
          <w:rFonts w:ascii="Liberation Serif" w:hAnsi="Liberation Serif"/>
          <w:sz w:val="24"/>
        </w:rPr>
      </w:pPr>
      <w:bookmarkStart w:id="4" w:name="Mendeley_Bookmark_gv7xPpJhv2"/>
      <w:bookmarkStart w:id="5" w:name="Mendeley_Bookmark_ad1ZigxQ0f"/>
      <w:r>
        <w:rPr>
          <w:sz w:val="24"/>
        </w:rPr>
        <w:t>[3]</w:t>
        <w:tab/>
        <w:t>Barnett AG, van der Pols JC, Dobson AJ. Regression to the mean: What it is and how to deal with it. Int J Epidemiol 2005;34:215–20. https://doi.org/10.1093/ije/dyh299.</w:t>
      </w:r>
      <w:bookmarkEnd w:id="4"/>
      <w:bookmarkEnd w:id="5"/>
    </w:p>
    <w:p>
      <w:pPr>
        <w:sectPr>
          <w:type w:val="continuous"/>
          <w:pgSz w:w="11906" w:h="16838"/>
          <w:pgMar w:left="1134" w:right="1134" w:header="0" w:top="1134" w:footer="1134" w:bottom="1693" w:gutter="0"/>
          <w:formProt w:val="false"/>
          <w:textDirection w:val="lrTb"/>
          <w:docGrid w:type="default" w:linePitch="312" w:charSpace="4294961151"/>
        </w:sectPr>
      </w:pPr>
    </w:p>
    <w:p>
      <w:pPr>
        <w:pStyle w:val="Normal"/>
        <w:spacing w:lineRule="auto" w:line="240" w:before="0" w:after="0"/>
        <w:rPr>
          <w:b w:val="false"/>
          <w:b w:val="false"/>
          <w:bCs w:val="false"/>
        </w:rPr>
      </w:pPr>
      <w:r>
        <w:rPr>
          <w:b w:val="false"/>
          <w:bCs w:val="false"/>
        </w:rPr>
        <w:t xml:space="preserve"> </w:t>
      </w:r>
    </w:p>
    <w:p>
      <w:pPr>
        <w:pStyle w:val="Normal"/>
        <w:spacing w:lineRule="auto" w:line="240" w:before="0" w:after="0"/>
        <w:rPr>
          <w:b w:val="false"/>
          <w:b w:val="false"/>
          <w:bCs w:val="false"/>
        </w:rPr>
      </w:pPr>
      <w:r>
        <w:rPr>
          <w:b w:val="false"/>
          <w:bCs w:val="false"/>
        </w:rPr>
      </w:r>
    </w:p>
    <w:sectPr>
      <w:footerReference w:type="default" r:id="rId6"/>
      <w:type w:val="continuous"/>
      <w:pgSz w:w="11906" w:h="16838"/>
      <w:pgMar w:left="1134" w:right="1134" w:header="0" w:top="1134" w:footer="1134" w:bottom="1693"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 w:name="OpenSymbol">
    <w:altName w:val="Arial Unicode MS"/>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3</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rPr/>
      <w:instrText> PAGE </w:instrText>
    </w:r>
    <w:r>
      <w:rPr/>
      <w:fldChar w:fldCharType="separate"/>
    </w:r>
    <w:r>
      <w:rPr/>
      <w:t>3</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A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Lohit Devanagari"/>
      <w:color w:val="auto"/>
      <w:kern w:val="2"/>
      <w:sz w:val="24"/>
      <w:szCs w:val="24"/>
      <w:lang w:val="en-AU" w:eastAsia="zh-CN" w:bidi="hi-IN"/>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linicaltrials.gov/" TargetMode="External"/><Relationship Id="rId3" Type="http://schemas.openxmlformats.org/officeDocument/2006/relationships/hyperlink" Target="http://www.clinicaltrials.gov/" TargetMode="External"/><Relationship Id="rId4" Type="http://schemas.openxmlformats.org/officeDocument/2006/relationships/footer" Target="footer1.xml"/><Relationship Id="rId5" Type="http://schemas.openxmlformats.org/officeDocument/2006/relationships/hyperlink" Target="https://doi.org/10.1093/ajcn/nqaa357" TargetMode="External"/><Relationship Id="rId6" Type="http://schemas.openxmlformats.org/officeDocument/2006/relationships/footer" Target="footer2.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354</TotalTime>
  <Application>LibreOffice/6.4.6.2$Linux_X86_64 LibreOffice_project/40$Build-2</Application>
  <Pages>3</Pages>
  <Words>750</Words>
  <Characters>4483</Characters>
  <CharactersWithSpaces>5191</CharactersWithSpaces>
  <Paragraphs>47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2021-03-11T21:54:14Z</dcterms:created>
  <dc:creator>Joanna Diong</dc:creator>
  <dc:description/>
  <dc:language>en-AU</dc:language>
  <cp:lastModifiedBy>Joanna Diong</cp:lastModifiedBy>
  <dcterms:modified xsi:type="dcterms:W3CDTF">2021-04-21T09:43:54Z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http://www.zotero.org/styles/elsevier-vancouver</vt:lpwstr>
  </property>
  <property fmtid="{D5CDD505-2E9C-101B-9397-08002B2CF9AE}" pid="3" name="Mendeley Document_1">
    <vt:lpwstr>True</vt:lpwstr>
  </property>
  <property fmtid="{D5CDD505-2E9C-101B-9397-08002B2CF9AE}" pid="4" name="Mendeley Unique User Id_1">
    <vt:lpwstr>4227eb39-87ac-3616-8c76-ea2e86dcfeb9</vt:lpwstr>
  </property>
  <property fmtid="{D5CDD505-2E9C-101B-9397-08002B2CF9AE}" pid="5" name="Mendeley_Bookmark_BdkblpbE5q_1">
    <vt:lpwstr>ADDIN CSL_CITATION {"citationItems": [{"id": "ITEM-1", "itemData": {"DOI": "10.1093/ajcn/nqz196", "ISSN": "19383207", "PMID": "31552422", "abstract": "Background: Regression to the mean (RTM) is a statistical phenomenon where initial measurements of a var</vt:lpwstr>
  </property>
  <property fmtid="{D5CDD505-2E9C-101B-9397-08002B2CF9AE}" pid="6" name="Mendeley_Bookmark_BdkblpbE5q_10">
    <vt:lpwstr>, "parse-names": false, "suffix": ""}, {"dropping-particle": "", "family": "Halliday", "given": "Tanya M.", "non-dropping-particle": "", "parse-names": false, "suffix": ""}, {"dropping-particle": "", "family": "Hannon", "given": "Bridget A.", "non-droppin</vt:lpwstr>
  </property>
  <property fmtid="{D5CDD505-2E9C-101B-9397-08002B2CF9AE}" pid="7" name="Mendeley_Bookmark_BdkblpbE5q_11">
    <vt:lpwstr>g-particle": "", "parse-names": false, "suffix": ""}, {"dropping-particle": "", "family": "Kahathuduwa", "given": "Chanaka N.", "non-dropping-particle": "", "parse-names": false, "suffix": ""}, {"dropping-particle": "", "family": "Kroeger", "given": "Cynt</vt:lpwstr>
  </property>
  <property fmtid="{D5CDD505-2E9C-101B-9397-08002B2CF9AE}" pid="8" name="Mendeley_Bookmark_BdkblpbE5q_12">
    <vt:lpwstr>hia M.", "non-dropping-particle": "", "parse-names": false, "suffix": ""}, {"dropping-particle": "", "family": "Zoh", "given": "Roger", "non-dropping-particle": "", "parse-names": false, "suffix": ""}, {"dropping-particle": "", "family": "Allison", "given</vt:lpwstr>
  </property>
  <property fmtid="{D5CDD505-2E9C-101B-9397-08002B2CF9AE}" pid="9" name="Mendeley_Bookmark_BdkblpbE5q_13">
    <vt:lpwstr>": "David B.", "non-dropping-particle": "", "parse-names": false, "suffix": ""}], "container-title": "American Journal of Clinical Nutrition", "id": "ITEM-1", "issue": "2", "issued": {"date-parts": [["2020", "2", "1"]]}, "page": "256-265", "publisher": "O</vt:lpwstr>
  </property>
  <property fmtid="{D5CDD505-2E9C-101B-9397-08002B2CF9AE}" pid="10" name="Mendeley_Bookmark_BdkblpbE5q_14">
    <vt:lpwstr>xford University Press", "title": "Best (but oft-forgotten) practices: Identifying and accounting for regression to the mean in nutrition and obesity research", "type": "article-journal", "volume": "111"}, "uris": ["http://www.mendeley.com/documents/?uuid</vt:lpwstr>
  </property>
  <property fmtid="{D5CDD505-2E9C-101B-9397-08002B2CF9AE}" pid="11" name="Mendeley_Bookmark_BdkblpbE5q_15">
    <vt:lpwstr>=395953cd-cc01-32e2-9887-9a12b5cbb9bf"]}, {"id": "ITEM-2", "itemData": {"DOI": "10.1093/ajcn/nqaa357", "ISSN": "0002-9165", "abstract": "The use of classic nonparametric tests (cNPTs), such as the Kruskal\u2013Wallis and Mann\u2013Whitney U tests, in the </vt:lpwstr>
  </property>
  <property fmtid="{D5CDD505-2E9C-101B-9397-08002B2CF9AE}" pid="12" name="Mendeley_Bookmark_BdkblpbE5q_16">
    <vt:lpwstr>presence of unequal variance for between-group comparisons of means and medians may lead to marked increases in the rate of falsely rejecting null hypotheses and decreases in statistical power. Yet, this practice remains prevalent in the scientific litera</vt:lpwstr>
  </property>
  <property fmtid="{D5CDD505-2E9C-101B-9397-08002B2CF9AE}" pid="13" name="Mendeley_Bookmark_BdkblpbE5q_17">
    <vt:lpwstr>ture, including nutrition and obesity literature. Some nutrition and obesity studies use a cNPT in the presence of unequal variance (i.e., heteroscedasticity), sometimes because of the mistaken rationale that the test corrects for heteroscedasticity. Here</vt:lpwstr>
  </property>
  <property fmtid="{D5CDD505-2E9C-101B-9397-08002B2CF9AE}" pid="14" name="Mendeley_Bookmark_BdkblpbE5q_18">
    <vt:lpwstr>in, we discuss misconceptions of using cNPTs in the presence of heteroscedasticity. We then discuss assumptions, purposes, and limitations of 3 common tests used to test for mean differences between multiple groups, including 2 parametric tests: Fisher's </vt:lpwstr>
  </property>
  <property fmtid="{D5CDD505-2E9C-101B-9397-08002B2CF9AE}" pid="15" name="Mendeley_Bookmark_BdkblpbE5q_19">
    <vt:lpwstr>ANOVA and Welch's ANOVA; and 1 cNPT: the Kruskal\u2013Wallis test. To document the impact of heteroscedasticity on the validity of these tests under conditions similar to those used in nutrition and obesity research, we conducted simple simulations and as</vt:lpwstr>
  </property>
  <property fmtid="{D5CDD505-2E9C-101B-9397-08002B2CF9AE}" pid="16" name="Mendeley_Bookmark_BdkblpbE5q_2">
    <vt:lpwstr>iable in a nonrandom sample at the extreme ends of a distribution tend to be closer to the mean upon a second measurement. Unfortunately, failing to account for the effects of RTM can lead to incorrect conclusions on the observed mean difference between t</vt:lpwstr>
  </property>
  <property fmtid="{D5CDD505-2E9C-101B-9397-08002B2CF9AE}" pid="17" name="Mendeley_Bookmark_BdkblpbE5q_20">
    <vt:lpwstr>sessed type I error rates (i.e., false positives, defined as incorrectly rejecting the null hypothesis). We demonstrate that type I error rates for Fisher's ANOVA, which does not account for heteroscedasticity, and Kruskal\u2013Wallis, which tests for dif</vt:lpwstr>
  </property>
  <property fmtid="{D5CDD505-2E9C-101B-9397-08002B2CF9AE}" pid="18" name="Mendeley_Bookmark_BdkblpbE5q_21">
    <vt:lpwstr>ferences in distributions rather than means, deviated from the expected significance level. Greater deviation from the expected type I error rate was observed as the heterogeneity increased, especially in the presence of an imbalanced sample size. We prov</vt:lpwstr>
  </property>
  <property fmtid="{D5CDD505-2E9C-101B-9397-08002B2CF9AE}" pid="19" name="Mendeley_Bookmark_BdkblpbE5q_22">
    <vt:lpwstr>ide brief tutorial guidance for authors, editors, and reviewers to identify appropriate statistical tests when test assumptions are violated, with a particular focus on cNPTs.", "author": [{"dropping-particle": "", "family": "Kroeger", "given": "Cynthia M</vt:lpwstr>
  </property>
  <property fmtid="{D5CDD505-2E9C-101B-9397-08002B2CF9AE}" pid="20" name="Mendeley_Bookmark_BdkblpbE5q_23">
    <vt:lpwstr>", "non-dropping-particle": "", "parse-names": false, "suffix": ""}, {"dropping-particle": "", "family": "Ejima", "given": "Keisuke", "non-dropping-particle": "", "parse-names": false, "suffix": ""}, {"dropping-particle": "", "family": "Hannon", "given": </vt:lpwstr>
  </property>
  <property fmtid="{D5CDD505-2E9C-101B-9397-08002B2CF9AE}" pid="21" name="Mendeley_Bookmark_BdkblpbE5q_24">
    <vt:lpwstr>"Bridget A", "non-dropping-particle": "", "parse-names": false, "suffix": ""}, {"dropping-particle": "", "family": "Halliday", "given": "Tanya M", "non-dropping-particle": "", "parse-names": false, "suffix": ""}, {"dropping-particle": "", "family": "McCom</vt:lpwstr>
  </property>
  <property fmtid="{D5CDD505-2E9C-101B-9397-08002B2CF9AE}" pid="22" name="Mendeley_Bookmark_BdkblpbE5q_25">
    <vt:lpwstr>b", "given": "Bryan", "non-dropping-particle": "", "parse-names": false, "suffix": ""}, {"dropping-particle": "", "family": "Teran-Garcia", "given": "Margarita", "non-dropping-particle": "", "parse-names": false, "suffix": ""}, {"dropping-particle": "", "</vt:lpwstr>
  </property>
  <property fmtid="{D5CDD505-2E9C-101B-9397-08002B2CF9AE}" pid="23" name="Mendeley_Bookmark_BdkblpbE5q_26">
    <vt:lpwstr>family": "Dawson", "given": "John A", "non-dropping-particle": "", "parse-names": false, "suffix": ""}, {"dropping-particle": "", "family": "King", "given": "David B", "non-dropping-particle": "", "parse-names": false, "suffix": ""}, {"dropping-particle":</vt:lpwstr>
  </property>
  <property fmtid="{D5CDD505-2E9C-101B-9397-08002B2CF9AE}" pid="24" name="Mendeley_Bookmark_BdkblpbE5q_27">
    <vt:lpwstr> "", "family": "Brown", "given": "Andrew W", "non-dropping-particle": "", "parse-names": false, "suffix": ""}, {"dropping-particle": "", "family": "Allison", "given": "David B", "non-dropping-particle": "", "parse-names": false, "suffix": ""}], "container</vt:lpwstr>
  </property>
  <property fmtid="{D5CDD505-2E9C-101B-9397-08002B2CF9AE}" pid="25" name="Mendeley_Bookmark_BdkblpbE5q_28">
    <vt:lpwstr>-title": "The American Journal of Clinical Nutrition", "id": "ITEM-2", "issue": "3", "issued": {"date-parts": [["2021", "1", "29"]]}, "publisher": "Oxford University Press (OUP)", "title": "Persistent confusion in nutrition and obesity research about the </vt:lpwstr>
  </property>
  <property fmtid="{D5CDD505-2E9C-101B-9397-08002B2CF9AE}" pid="26" name="Mendeley_Bookmark_BdkblpbE5q_29">
    <vt:lpwstr>validity of classic nonparametric tests in the presence of heteroscedasticity: evidence of the problem and valid alternatives", "type": "article-journal", "volume": "113"}, "uris": ["http://www.mendeley.com/documents/?uuid=9abcdfd2-213e-308b-95db-6acae2f3</vt:lpwstr>
  </property>
  <property fmtid="{D5CDD505-2E9C-101B-9397-08002B2CF9AE}" pid="27" name="Mendeley_Bookmark_BdkblpbE5q_3">
    <vt:lpwstr>he 2 repeated measurements in a nonrandom sample that is preferentially selected for deviating from the population mean of the measured variable in a particular direction. Study designs that are susceptible to misattributing RTM as intervention effects ha</vt:lpwstr>
  </property>
  <property fmtid="{D5CDD505-2E9C-101B-9397-08002B2CF9AE}" pid="28" name="Mendeley_Bookmark_BdkblpbE5q_30">
    <vt:lpwstr>a9ea"]}, {"id": "ITEM-3", "itemData": {"DOI": "10.1093/ije/dyh299", "ISSN": "03005771", "PMID": "15333621", "abstract": "Background: Regression to the mean (RTM) is a statistical phenomenon that can make natural variation in repeated data look like real c</vt:lpwstr>
  </property>
  <property fmtid="{D5CDD505-2E9C-101B-9397-08002B2CF9AE}" pid="29" name="Mendeley_Bookmark_BdkblpbE5q_31">
    <vt:lpwstr>hange. It happens when unusually large or small measurements tend to be followed by measurements that are closer to the mean. Methods: We give some examples of the phenomenon, and discuss methods to overcome it at the design and analysis stages of a study</vt:lpwstr>
  </property>
  <property fmtid="{D5CDD505-2E9C-101B-9397-08002B2CF9AE}" pid="30" name="Mendeley_Bookmark_BdkblpbE5q_32">
    <vt:lpwstr>. Results: The effect of RTM in a sample becomes more noticeable with increasing measurement error and when follow-up measurements are only examined on a sub-sample selected using a baseline value. Conclusions: RTM is a ubiquitous phenomenon in repeated d</vt:lpwstr>
  </property>
  <property fmtid="{D5CDD505-2E9C-101B-9397-08002B2CF9AE}" pid="31" name="Mendeley_Bookmark_BdkblpbE5q_33">
    <vt:lpwstr>ata and should always be considered as a possible cause of an observed change. Its effect can be alleviated through better study design and use of suitable statistical methods. \u00a9 International Epidemiological Association 2004; all rights reserved.", </vt:lpwstr>
  </property>
  <property fmtid="{D5CDD505-2E9C-101B-9397-08002B2CF9AE}" pid="32" name="Mendeley_Bookmark_BdkblpbE5q_34">
    <vt:lpwstr>"author": [{"dropping-particle": "", "family": "Barnett", "given": "Adrian G.", "non-dropping-particle": "", "parse-names": false, "suffix": ""}, {"dropping-particle": "", "family": "Pols", "given": "Jolieke C.", "non-dropping-particle": "van der", "parse</vt:lpwstr>
  </property>
  <property fmtid="{D5CDD505-2E9C-101B-9397-08002B2CF9AE}" pid="33" name="Mendeley_Bookmark_BdkblpbE5q_35">
    <vt:lpwstr>-names": false, "suffix": ""}, {"dropping-particle": "", "family": "Dobson", "given": "Annette J.", "non-dropping-particle": "", "parse-names": false, "suffix": ""}], "container-title": "International Journal of Epidemiology", "id": "ITEM-3", "issue": "1"</vt:lpwstr>
  </property>
  <property fmtid="{D5CDD505-2E9C-101B-9397-08002B2CF9AE}" pid="34" name="Mendeley_Bookmark_BdkblpbE5q_36">
    <vt:lpwstr>, "issued": {"date-parts": [["2005", "2"]]}, "page": "215-220", "publisher": "Int J Epidemiol", "title": "Regression to the mean: What it is and how to deal with it", "type": "article-journal", "volume": "34"}, "uris": ["http://www.mendeley.com/documents/</vt:lpwstr>
  </property>
  <property fmtid="{D5CDD505-2E9C-101B-9397-08002B2CF9AE}" pid="35" name="Mendeley_Bookmark_BdkblpbE5q_37">
    <vt:lpwstr>?uuid=7fef41bb-1157-398a-9ff7-de58d17fe3f4"]}], "mendeley": {"formattedCitation": "[1\u20133]", "plainTextFormattedCitation": "[1\u20133]", "previouslyFormattedCitation": "[1\u20133]"}, "properties": {"noteIndex": 0}, "schema": "https://github.com/citatio</vt:lpwstr>
  </property>
  <property fmtid="{D5CDD505-2E9C-101B-9397-08002B2CF9AE}" pid="36" name="Mendeley_Bookmark_BdkblpbE5q_38">
    <vt:lpwstr>n-style-language/schema/raw/master/csl-citation.json"}</vt:lpwstr>
  </property>
  <property fmtid="{D5CDD505-2E9C-101B-9397-08002B2CF9AE}" pid="37" name="Mendeley_Bookmark_BdkblpbE5q_4">
    <vt:lpwstr>ve been prevalent in nutrition and obesity research. This field often conducts secondary analyses of existing intervention data or evaluates intervention effects in those most at risk (i.e., those with observations at the extreme ends of a distribution). </vt:lpwstr>
  </property>
  <property fmtid="{D5CDD505-2E9C-101B-9397-08002B2CF9AE}" pid="38" name="Mendeley_Bookmark_BdkblpbE5q_5">
    <vt:lpwstr>Objectives: To provide best practices to avoid unsubstantiated conclusions as a result of ignoring RTM in nutrition and obesity research. Methods: We outlined best practices for identifying whether RTM is likely to be leading to biased inferences, using a</vt:lpwstr>
  </property>
  <property fmtid="{D5CDD505-2E9C-101B-9397-08002B2CF9AE}" pid="39" name="Mendeley_Bookmark_BdkblpbE5q_6">
    <vt:lpwstr> flowchart that is available as a web-based app at https://dustyturner.shinyapps.io/DecisionTreeMeanRegression/. We also provided multiple methods to quantify the degree of RTM. Results: Investigators can adjust analyses to include the RTM effect, thereby</vt:lpwstr>
  </property>
  <property fmtid="{D5CDD505-2E9C-101B-9397-08002B2CF9AE}" pid="40" name="Mendeley_Bookmark_BdkblpbE5q_7">
    <vt:lpwstr> plausibly removing its biasing influence on estimating the true intervention effect. Conclusions: The identification of RTM and implementation of proper statistical practices will help advance the field by improving scientific rigor and the accuracy of c</vt:lpwstr>
  </property>
  <property fmtid="{D5CDD505-2E9C-101B-9397-08002B2CF9AE}" pid="41" name="Mendeley_Bookmark_BdkblpbE5q_8">
    <vt:lpwstr>onclusions.", "author": [{"dropping-particle": "", "family": "Thomas", "given": "Diana M.", "non-dropping-particle": "", "parse-names": false, "suffix": ""}, {"dropping-particle": "", "family": "Clark", "given": "Nicholas", "non-dropping-particle": "", "p</vt:lpwstr>
  </property>
  <property fmtid="{D5CDD505-2E9C-101B-9397-08002B2CF9AE}" pid="42" name="Mendeley_Bookmark_BdkblpbE5q_9">
    <vt:lpwstr>arse-names": false, "suffix": ""}, {"dropping-particle": "", "family": "Turner", "given": "Dusty", "non-dropping-particle": "", "parse-names": false, "suffix": ""}, {"dropping-particle": "", "family": "Siu", "given": "Cynthia", "non-dropping-particle": ""</vt:lpwstr>
  </property>
  <property fmtid="{D5CDD505-2E9C-101B-9397-08002B2CF9AE}" pid="43" name="Mendeley_Bookmark_C72UmeucCz_1">
    <vt:lpwstr>ADDIN CSL_CITATION {"citationItems": [{"id": "ITEM-1", "itemData": {"DOI": "10.1093/ajcn/nqz196", "ISSN": "19383207", "PMID": "31552422", "abstract": "Background: Regression to the mean (RTM) is a statistical phenomenon where initial measurements of a var</vt:lpwstr>
  </property>
  <property fmtid="{D5CDD505-2E9C-101B-9397-08002B2CF9AE}" pid="44" name="Mendeley_Bookmark_C72UmeucCz_10">
    <vt:lpwstr>, "parse-names": false, "suffix": ""}, {"dropping-particle": "", "family": "Halliday", "given": "Tanya M.", "non-dropping-particle": "", "parse-names": false, "suffix": ""}, {"dropping-particle": "", "family": "Hannon", "given": "Bridget A.", "non-droppin</vt:lpwstr>
  </property>
  <property fmtid="{D5CDD505-2E9C-101B-9397-08002B2CF9AE}" pid="45" name="Mendeley_Bookmark_C72UmeucCz_11">
    <vt:lpwstr>g-particle": "", "parse-names": false, "suffix": ""}, {"dropping-particle": "", "family": "Kahathuduwa", "given": "Chanaka N.", "non-dropping-particle": "", "parse-names": false, "suffix": ""}, {"dropping-particle": "", "family": "Kroeger", "given": "Cynt</vt:lpwstr>
  </property>
  <property fmtid="{D5CDD505-2E9C-101B-9397-08002B2CF9AE}" pid="46" name="Mendeley_Bookmark_C72UmeucCz_12">
    <vt:lpwstr>hia M.", "non-dropping-particle": "", "parse-names": false, "suffix": ""}, {"dropping-particle": "", "family": "Zoh", "given": "Roger", "non-dropping-particle": "", "parse-names": false, "suffix": ""}, {"dropping-particle": "", "family": "Allison", "given</vt:lpwstr>
  </property>
  <property fmtid="{D5CDD505-2E9C-101B-9397-08002B2CF9AE}" pid="47" name="Mendeley_Bookmark_C72UmeucCz_13">
    <vt:lpwstr>": "David B.", "non-dropping-particle": "", "parse-names": false, "suffix": ""}], "container-title": "American Journal of Clinical Nutrition", "id": "ITEM-1", "issue": "2", "issued": {"date-parts": [["2020", "2", "1"]]}, "page": "256-265", "publisher": "O</vt:lpwstr>
  </property>
  <property fmtid="{D5CDD505-2E9C-101B-9397-08002B2CF9AE}" pid="48" name="Mendeley_Bookmark_C72UmeucCz_14">
    <vt:lpwstr>xford University Press", "title": "Best (but oft-forgotten) practices: Identifying and accounting for regression to the mean in nutrition and obesity research", "type": "article-journal", "volume": "111"}, "uris": ["http://www.mendeley.com/documents/?uuid</vt:lpwstr>
  </property>
  <property fmtid="{D5CDD505-2E9C-101B-9397-08002B2CF9AE}" pid="49" name="Mendeley_Bookmark_C72UmeucCz_15">
    <vt:lpwstr>=395953cd-cc01-32e2-9887-9a12b5cbb9bf"]}, {"id": "ITEM-2", "itemData": {"DOI": "10.1093/ajcn/nqaa357", "ISSN": "0002-9165", "abstract": "The use of classic nonparametric tests (cNPTs), such as the Kruskal\u2013Wallis and Mann\u2013Whitney U tests, in the </vt:lpwstr>
  </property>
  <property fmtid="{D5CDD505-2E9C-101B-9397-08002B2CF9AE}" pid="50" name="Mendeley_Bookmark_C72UmeucCz_16">
    <vt:lpwstr>presence of unequal variance for between-group comparisons of means and medians may lead to marked increases in the rate of falsely rejecting null hypotheses and decreases in statistical power. Yet, this practice remains prevalent in the scientific litera</vt:lpwstr>
  </property>
  <property fmtid="{D5CDD505-2E9C-101B-9397-08002B2CF9AE}" pid="51" name="Mendeley_Bookmark_C72UmeucCz_17">
    <vt:lpwstr>ture, including nutrition and obesity literature. Some nutrition and obesity studies use a cNPT in the presence of unequal variance (i.e., heteroscedasticity), sometimes because of the mistaken rationale that the test corrects for heteroscedasticity. Here</vt:lpwstr>
  </property>
  <property fmtid="{D5CDD505-2E9C-101B-9397-08002B2CF9AE}" pid="52" name="Mendeley_Bookmark_C72UmeucCz_18">
    <vt:lpwstr>in, we discuss misconceptions of using cNPTs in the presence of heteroscedasticity. We then discuss assumptions, purposes, and limitations of 3 common tests used to test for mean differences between multiple groups, including 2 parametric tests: Fisher's </vt:lpwstr>
  </property>
  <property fmtid="{D5CDD505-2E9C-101B-9397-08002B2CF9AE}" pid="53" name="Mendeley_Bookmark_C72UmeucCz_19">
    <vt:lpwstr>ANOVA and Welch's ANOVA; and 1 cNPT: the Kruskal\u2013Wallis test. To document the impact of heteroscedasticity on the validity of these tests under conditions similar to those used in nutrition and obesity research, we conducted simple simulations and as</vt:lpwstr>
  </property>
  <property fmtid="{D5CDD505-2E9C-101B-9397-08002B2CF9AE}" pid="54" name="Mendeley_Bookmark_C72UmeucCz_2">
    <vt:lpwstr>iable in a nonrandom sample at the extreme ends of a distribution tend to be closer to the mean upon a second measurement. Unfortunately, failing to account for the effects of RTM can lead to incorrect conclusions on the observed mean difference between t</vt:lpwstr>
  </property>
  <property fmtid="{D5CDD505-2E9C-101B-9397-08002B2CF9AE}" pid="55" name="Mendeley_Bookmark_C72UmeucCz_20">
    <vt:lpwstr>sessed type I error rates (i.e., false positives, defined as incorrectly rejecting the null hypothesis). We demonstrate that type I error rates for Fisher's ANOVA, which does not account for heteroscedasticity, and Kruskal\u2013Wallis, which tests for dif</vt:lpwstr>
  </property>
  <property fmtid="{D5CDD505-2E9C-101B-9397-08002B2CF9AE}" pid="56" name="Mendeley_Bookmark_C72UmeucCz_21">
    <vt:lpwstr>ferences in distributions rather than means, deviated from the expected significance level. Greater deviation from the expected type I error rate was observed as the heterogeneity increased, especially in the presence of an imbalanced sample size. We prov</vt:lpwstr>
  </property>
  <property fmtid="{D5CDD505-2E9C-101B-9397-08002B2CF9AE}" pid="57" name="Mendeley_Bookmark_C72UmeucCz_22">
    <vt:lpwstr>ide brief tutorial guidance for authors, editors, and reviewers to identify appropriate statistical tests when test assumptions are violated, with a particular focus on cNPTs.", "author": [{"dropping-particle": "", "family": "Kroeger", "given": "Cynthia M</vt:lpwstr>
  </property>
  <property fmtid="{D5CDD505-2E9C-101B-9397-08002B2CF9AE}" pid="58" name="Mendeley_Bookmark_C72UmeucCz_23">
    <vt:lpwstr>", "non-dropping-particle": "", "parse-names": false, "suffix": ""}, {"dropping-particle": "", "family": "Ejima", "given": "Keisuke", "non-dropping-particle": "", "parse-names": false, "suffix": ""}, {"dropping-particle": "", "family": "Hannon", "given": </vt:lpwstr>
  </property>
  <property fmtid="{D5CDD505-2E9C-101B-9397-08002B2CF9AE}" pid="59" name="Mendeley_Bookmark_C72UmeucCz_24">
    <vt:lpwstr>"Bridget A", "non-dropping-particle": "", "parse-names": false, "suffix": ""}, {"dropping-particle": "", "family": "Halliday", "given": "Tanya M", "non-dropping-particle": "", "parse-names": false, "suffix": ""}, {"dropping-particle": "", "family": "McCom</vt:lpwstr>
  </property>
  <property fmtid="{D5CDD505-2E9C-101B-9397-08002B2CF9AE}" pid="60" name="Mendeley_Bookmark_C72UmeucCz_25">
    <vt:lpwstr>b", "given": "Bryan", "non-dropping-particle": "", "parse-names": false, "suffix": ""}, {"dropping-particle": "", "family": "Teran-Garcia", "given": "Margarita", "non-dropping-particle": "", "parse-names": false, "suffix": ""}, {"dropping-particle": "", "</vt:lpwstr>
  </property>
  <property fmtid="{D5CDD505-2E9C-101B-9397-08002B2CF9AE}" pid="61" name="Mendeley_Bookmark_C72UmeucCz_26">
    <vt:lpwstr>family": "Dawson", "given": "John A", "non-dropping-particle": "", "parse-names": false, "suffix": ""}, {"dropping-particle": "", "family": "King", "given": "David B", "non-dropping-particle": "", "parse-names": false, "suffix": ""}, {"dropping-particle":</vt:lpwstr>
  </property>
  <property fmtid="{D5CDD505-2E9C-101B-9397-08002B2CF9AE}" pid="62" name="Mendeley_Bookmark_C72UmeucCz_27">
    <vt:lpwstr> "", "family": "Brown", "given": "Andrew W", "non-dropping-particle": "", "parse-names": false, "suffix": ""}, {"dropping-particle": "", "family": "Allison", "given": "David B", "non-dropping-particle": "", "parse-names": false, "suffix": ""}], "container</vt:lpwstr>
  </property>
  <property fmtid="{D5CDD505-2E9C-101B-9397-08002B2CF9AE}" pid="63" name="Mendeley_Bookmark_C72UmeucCz_28">
    <vt:lpwstr>-title": "The American Journal of Clinical Nutrition", "id": "ITEM-2", "issue": "3", "issued": {"date-parts": [["2021", "1", "29"]]}, "publisher": "Oxford University Press (OUP)", "title": "Persistent confusion in nutrition and obesity research about the </vt:lpwstr>
  </property>
  <property fmtid="{D5CDD505-2E9C-101B-9397-08002B2CF9AE}" pid="64" name="Mendeley_Bookmark_C72UmeucCz_29">
    <vt:lpwstr>validity of classic nonparametric tests in the presence of heteroscedasticity: evidence of the problem and valid alternatives", "type": "article-journal", "volume": "113"}, "uris": ["http://www.mendeley.com/documents/?uuid=9abcdfd2-213e-308b-95db-6acae2f3</vt:lpwstr>
  </property>
  <property fmtid="{D5CDD505-2E9C-101B-9397-08002B2CF9AE}" pid="65" name="Mendeley_Bookmark_C72UmeucCz_3">
    <vt:lpwstr>he 2 repeated measurements in a nonrandom sample that is preferentially selected for deviating from the population mean of the measured variable in a particular direction. Study designs that are susceptible to misattributing RTM as intervention effects ha</vt:lpwstr>
  </property>
  <property fmtid="{D5CDD505-2E9C-101B-9397-08002B2CF9AE}" pid="66" name="Mendeley_Bookmark_C72UmeucCz_30">
    <vt:lpwstr>a9ea"]}, {"id": "ITEM-3", "itemData": {"DOI": "10.1093/ije/dyh299", "ISSN": "03005771", "PMID": "15333621", "abstract": "Background: Regression to the mean (RTM) is a statistical phenomenon that can make natural variation in repeated data look like real c</vt:lpwstr>
  </property>
  <property fmtid="{D5CDD505-2E9C-101B-9397-08002B2CF9AE}" pid="67" name="Mendeley_Bookmark_C72UmeucCz_31">
    <vt:lpwstr>hange. It happens when unusually large or small measurements tend to be followed by measurements that are closer to the mean. Methods: We give some examples of the phenomenon, and discuss methods to overcome it at the design and analysis stages of a study</vt:lpwstr>
  </property>
  <property fmtid="{D5CDD505-2E9C-101B-9397-08002B2CF9AE}" pid="68" name="Mendeley_Bookmark_C72UmeucCz_32">
    <vt:lpwstr>. Results: The effect of RTM in a sample becomes more noticeable with increasing measurement error and when follow-up measurements are only examined on a sub-sample selected using a baseline value. Conclusions: RTM is a ubiquitous phenomenon in repeated d</vt:lpwstr>
  </property>
  <property fmtid="{D5CDD505-2E9C-101B-9397-08002B2CF9AE}" pid="69" name="Mendeley_Bookmark_C72UmeucCz_33">
    <vt:lpwstr>ata and should always be considered as a possible cause of an observed change. Its effect can be alleviated through better study design and use of suitable statistical methods. \u00a9 International Epidemiological Association 2004; all rights reserved.", </vt:lpwstr>
  </property>
  <property fmtid="{D5CDD505-2E9C-101B-9397-08002B2CF9AE}" pid="70" name="Mendeley_Bookmark_C72UmeucCz_34">
    <vt:lpwstr>"author": [{"dropping-particle": "", "family": "Barnett", "given": "Adrian G.", "non-dropping-particle": "", "parse-names": false, "suffix": ""}, {"dropping-particle": "", "family": "Pols", "given": "Jolieke C.", "non-dropping-particle": "van der", "parse</vt:lpwstr>
  </property>
  <property fmtid="{D5CDD505-2E9C-101B-9397-08002B2CF9AE}" pid="71" name="Mendeley_Bookmark_C72UmeucCz_35">
    <vt:lpwstr>-names": false, "suffix": ""}, {"dropping-particle": "", "family": "Dobson", "given": "Annette J.", "non-dropping-particle": "", "parse-names": false, "suffix": ""}], "container-title": "International Journal of Epidemiology", "id": "ITEM-3", "issue": "1"</vt:lpwstr>
  </property>
  <property fmtid="{D5CDD505-2E9C-101B-9397-08002B2CF9AE}" pid="72" name="Mendeley_Bookmark_C72UmeucCz_36">
    <vt:lpwstr>, "issued": {"date-parts": [["2005", "2"]]}, "page": "215-220", "publisher": "Int J Epidemiol", "title": "Regression to the mean: What it is and how to deal with it", "type": "article-journal", "volume": "34"}, "uris": ["http://www.mendeley.com/documents/</vt:lpwstr>
  </property>
  <property fmtid="{D5CDD505-2E9C-101B-9397-08002B2CF9AE}" pid="73" name="Mendeley_Bookmark_C72UmeucCz_37">
    <vt:lpwstr>?uuid=7fef41bb-1157-398a-9ff7-de58d17fe3f4"]}], "mendeley": {"formattedCitation": "[1\u20133]", "plainTextFormattedCitation": "[1\u20133]", "previouslyFormattedCitation": "[1\u20133]"}, "properties": {"noteIndex": 0}, "schema": "https://github.com/citatio</vt:lpwstr>
  </property>
  <property fmtid="{D5CDD505-2E9C-101B-9397-08002B2CF9AE}" pid="74" name="Mendeley_Bookmark_C72UmeucCz_38">
    <vt:lpwstr>n-style-language/schema/raw/master/csl-citation.json"}</vt:lpwstr>
  </property>
  <property fmtid="{D5CDD505-2E9C-101B-9397-08002B2CF9AE}" pid="75" name="Mendeley_Bookmark_C72UmeucCz_4">
    <vt:lpwstr>ve been prevalent in nutrition and obesity research. This field often conducts secondary analyses of existing intervention data or evaluates intervention effects in those most at risk (i.e., those with observations at the extreme ends of a distribution). </vt:lpwstr>
  </property>
  <property fmtid="{D5CDD505-2E9C-101B-9397-08002B2CF9AE}" pid="76" name="Mendeley_Bookmark_C72UmeucCz_5">
    <vt:lpwstr>Objectives: To provide best practices to avoid unsubstantiated conclusions as a result of ignoring RTM in nutrition and obesity research. Methods: We outlined best practices for identifying whether RTM is likely to be leading to biased inferences, using a</vt:lpwstr>
  </property>
  <property fmtid="{D5CDD505-2E9C-101B-9397-08002B2CF9AE}" pid="77" name="Mendeley_Bookmark_C72UmeucCz_6">
    <vt:lpwstr> flowchart that is available as a web-based app at https://dustyturner.shinyapps.io/DecisionTreeMeanRegression/. We also provided multiple methods to quantify the degree of RTM. Results: Investigators can adjust analyses to include the RTM effect, thereby</vt:lpwstr>
  </property>
  <property fmtid="{D5CDD505-2E9C-101B-9397-08002B2CF9AE}" pid="78" name="Mendeley_Bookmark_C72UmeucCz_7">
    <vt:lpwstr> plausibly removing its biasing influence on estimating the true intervention effect. Conclusions: The identification of RTM and implementation of proper statistical practices will help advance the field by improving scientific rigor and the accuracy of c</vt:lpwstr>
  </property>
  <property fmtid="{D5CDD505-2E9C-101B-9397-08002B2CF9AE}" pid="79" name="Mendeley_Bookmark_C72UmeucCz_8">
    <vt:lpwstr>onclusions.", "author": [{"dropping-particle": "", "family": "Thomas", "given": "Diana M.", "non-dropping-particle": "", "parse-names": false, "suffix": ""}, {"dropping-particle": "", "family": "Clark", "given": "Nicholas", "non-dropping-particle": "", "p</vt:lpwstr>
  </property>
  <property fmtid="{D5CDD505-2E9C-101B-9397-08002B2CF9AE}" pid="80" name="Mendeley_Bookmark_C72UmeucCz_9">
    <vt:lpwstr>arse-names": false, "suffix": ""}, {"dropping-particle": "", "family": "Turner", "given": "Dusty", "non-dropping-particle": "", "parse-names": false, "suffix": ""}, {"dropping-particle": "", "family": "Siu", "given": "Cynthia", "non-dropping-particle": ""</vt:lpwstr>
  </property>
  <property fmtid="{D5CDD505-2E9C-101B-9397-08002B2CF9AE}" pid="81" name="Mendeley_Bookmark_JyPeVFpm0k_1">
    <vt:lpwstr>ADDIN Mendeley Bibliography CSL_BIBLIOGRAPHY </vt:lpwstr>
  </property>
  <property fmtid="{D5CDD505-2E9C-101B-9397-08002B2CF9AE}" pid="82" name="Mendeley_Bookmark_Xhb0U7ftNJ_1">
    <vt:lpwstr>ADDIN CSL_CITATION {"citationItems": [{"id": "ITEM-1", "itemData": {"DOI": "10.1093/ajcn/nqz196", "ISSN": "19383207", "PMID": "31552422", "abstract": "Background: Regression to the mean (RTM) is a statistical phenomenon where initial measurements of a var</vt:lpwstr>
  </property>
  <property fmtid="{D5CDD505-2E9C-101B-9397-08002B2CF9AE}" pid="83" name="Mendeley_Bookmark_Xhb0U7ftNJ_10">
    <vt:lpwstr>, "parse-names": false, "suffix": ""}, {"dropping-particle": "", "family": "Halliday", "given": "Tanya M.", "non-dropping-particle": "", "parse-names": false, "suffix": ""}, {"dropping-particle": "", "family": "Hannon", "given": "Bridget A.", "non-droppin</vt:lpwstr>
  </property>
  <property fmtid="{D5CDD505-2E9C-101B-9397-08002B2CF9AE}" pid="84" name="Mendeley_Bookmark_Xhb0U7ftNJ_11">
    <vt:lpwstr>g-particle": "", "parse-names": false, "suffix": ""}, {"dropping-particle": "", "family": "Kahathuduwa", "given": "Chanaka N.", "non-dropping-particle": "", "parse-names": false, "suffix": ""}, {"dropping-particle": "", "family": "Kroeger", "given": "Cynt</vt:lpwstr>
  </property>
  <property fmtid="{D5CDD505-2E9C-101B-9397-08002B2CF9AE}" pid="85" name="Mendeley_Bookmark_Xhb0U7ftNJ_12">
    <vt:lpwstr>hia M.", "non-dropping-particle": "", "parse-names": false, "suffix": ""}, {"dropping-particle": "", "family": "Zoh", "given": "Roger", "non-dropping-particle": "", "parse-names": false, "suffix": ""}, {"dropping-particle": "", "family": "Allison", "given</vt:lpwstr>
  </property>
  <property fmtid="{D5CDD505-2E9C-101B-9397-08002B2CF9AE}" pid="86" name="Mendeley_Bookmark_Xhb0U7ftNJ_13">
    <vt:lpwstr>": "David B.", "non-dropping-particle": "", "parse-names": false, "suffix": ""}], "container-title": "American Journal of Clinical Nutrition", "id": "ITEM-1", "issue": "2", "issued": {"date-parts": [["2020", "2", "1"]]}, "page": "256-265", "publisher": "O</vt:lpwstr>
  </property>
  <property fmtid="{D5CDD505-2E9C-101B-9397-08002B2CF9AE}" pid="87" name="Mendeley_Bookmark_Xhb0U7ftNJ_14">
    <vt:lpwstr>xford University Press", "title": "Best (but oft-forgotten) practices: Identifying and accounting for regression to the mean in nutrition and obesity research", "type": "article-journal", "volume": "111"}, "uris": ["http://www.mendeley.com/documents/?uuid</vt:lpwstr>
  </property>
  <property fmtid="{D5CDD505-2E9C-101B-9397-08002B2CF9AE}" pid="88" name="Mendeley_Bookmark_Xhb0U7ftNJ_15">
    <vt:lpwstr>=395953cd-cc01-32e2-9887-9a12b5cbb9bf"]}, {"id": "ITEM-2", "itemData": {"DOI": "10.1093/ajcn/nqaa357", "ISSN": "0002-9165", "abstract": "The use of classic nonparametric tests (cNPTs), such as the Kruskal\u2013Wallis and Mann\u2013Whitney U tests, in the </vt:lpwstr>
  </property>
  <property fmtid="{D5CDD505-2E9C-101B-9397-08002B2CF9AE}" pid="89" name="Mendeley_Bookmark_Xhb0U7ftNJ_16">
    <vt:lpwstr>presence of unequal variance for between-group comparisons of means and medians may lead to marked increases in the rate of falsely rejecting null hypotheses and decreases in statistical power. Yet, this practice remains prevalent in the scientific litera</vt:lpwstr>
  </property>
  <property fmtid="{D5CDD505-2E9C-101B-9397-08002B2CF9AE}" pid="90" name="Mendeley_Bookmark_Xhb0U7ftNJ_17">
    <vt:lpwstr>ture, including nutrition and obesity literature. Some nutrition and obesity studies use a cNPT in the presence of unequal variance (i.e., heteroscedasticity), sometimes because of the mistaken rationale that the test corrects for heteroscedasticity. Here</vt:lpwstr>
  </property>
  <property fmtid="{D5CDD505-2E9C-101B-9397-08002B2CF9AE}" pid="91" name="Mendeley_Bookmark_Xhb0U7ftNJ_18">
    <vt:lpwstr>in, we discuss misconceptions of using cNPTs in the presence of heteroscedasticity. We then discuss assumptions, purposes, and limitations of 3 common tests used to test for mean differences between multiple groups, including 2 parametric tests: Fisher's </vt:lpwstr>
  </property>
  <property fmtid="{D5CDD505-2E9C-101B-9397-08002B2CF9AE}" pid="92" name="Mendeley_Bookmark_Xhb0U7ftNJ_19">
    <vt:lpwstr>ANOVA and Welch's ANOVA; and 1 cNPT: the Kruskal\u2013Wallis test. To document the impact of heteroscedasticity on the validity of these tests under conditions similar to those used in nutrition and obesity research, we conducted simple simulations and as</vt:lpwstr>
  </property>
  <property fmtid="{D5CDD505-2E9C-101B-9397-08002B2CF9AE}" pid="93" name="Mendeley_Bookmark_Xhb0U7ftNJ_2">
    <vt:lpwstr>iable in a nonrandom sample at the extreme ends of a distribution tend to be closer to the mean upon a second measurement. Unfortunately, failing to account for the effects of RTM can lead to incorrect conclusions on the observed mean difference between t</vt:lpwstr>
  </property>
  <property fmtid="{D5CDD505-2E9C-101B-9397-08002B2CF9AE}" pid="94" name="Mendeley_Bookmark_Xhb0U7ftNJ_20">
    <vt:lpwstr>sessed type I error rates (i.e., false positives, defined as incorrectly rejecting the null hypothesis). We demonstrate that type I error rates for Fisher's ANOVA, which does not account for heteroscedasticity, and Kruskal\u2013Wallis, which tests for dif</vt:lpwstr>
  </property>
  <property fmtid="{D5CDD505-2E9C-101B-9397-08002B2CF9AE}" pid="95" name="Mendeley_Bookmark_Xhb0U7ftNJ_21">
    <vt:lpwstr>ferences in distributions rather than means, deviated from the expected significance level. Greater deviation from the expected type I error rate was observed as the heterogeneity increased, especially in the presence of an imbalanced sample size. We prov</vt:lpwstr>
  </property>
  <property fmtid="{D5CDD505-2E9C-101B-9397-08002B2CF9AE}" pid="96" name="Mendeley_Bookmark_Xhb0U7ftNJ_22">
    <vt:lpwstr>ide brief tutorial guidance for authors, editors, and reviewers to identify appropriate statistical tests when test assumptions are violated, with a particular focus on cNPTs.", "author": [{"dropping-particle": "", "family": "Kroeger", "given": "Cynthia M</vt:lpwstr>
  </property>
  <property fmtid="{D5CDD505-2E9C-101B-9397-08002B2CF9AE}" pid="97" name="Mendeley_Bookmark_Xhb0U7ftNJ_23">
    <vt:lpwstr>", "non-dropping-particle": "", "parse-names": false, "suffix": ""}, {"dropping-particle": "", "family": "Ejima", "given": "Keisuke", "non-dropping-particle": "", "parse-names": false, "suffix": ""}, {"dropping-particle": "", "family": "Hannon", "given": </vt:lpwstr>
  </property>
  <property fmtid="{D5CDD505-2E9C-101B-9397-08002B2CF9AE}" pid="98" name="Mendeley_Bookmark_Xhb0U7ftNJ_24">
    <vt:lpwstr>"Bridget A", "non-dropping-particle": "", "parse-names": false, "suffix": ""}, {"dropping-particle": "", "family": "Halliday", "given": "Tanya M", "non-dropping-particle": "", "parse-names": false, "suffix": ""}, {"dropping-particle": "", "family": "McCom</vt:lpwstr>
  </property>
  <property fmtid="{D5CDD505-2E9C-101B-9397-08002B2CF9AE}" pid="99" name="Mendeley_Bookmark_Xhb0U7ftNJ_25">
    <vt:lpwstr>b", "given": "Bryan", "non-dropping-particle": "", "parse-names": false, "suffix": ""}, {"dropping-particle": "", "family": "Teran-Garcia", "given": "Margarita", "non-dropping-particle": "", "parse-names": false, "suffix": ""}, {"dropping-particle": "", "</vt:lpwstr>
  </property>
  <property fmtid="{D5CDD505-2E9C-101B-9397-08002B2CF9AE}" pid="100" name="Mendeley_Bookmark_Xhb0U7ftNJ_26">
    <vt:lpwstr>family": "Dawson", "given": "John A", "non-dropping-particle": "", "parse-names": false, "suffix": ""}, {"dropping-particle": "", "family": "King", "given": "David B", "non-dropping-particle": "", "parse-names": false, "suffix": ""}, {"dropping-particle":</vt:lpwstr>
  </property>
  <property fmtid="{D5CDD505-2E9C-101B-9397-08002B2CF9AE}" pid="101" name="Mendeley_Bookmark_Xhb0U7ftNJ_27">
    <vt:lpwstr> "", "family": "Brown", "given": "Andrew W", "non-dropping-particle": "", "parse-names": false, "suffix": ""}, {"dropping-particle": "", "family": "Allison", "given": "David B", "non-dropping-particle": "", "parse-names": false, "suffix": ""}], "container</vt:lpwstr>
  </property>
  <property fmtid="{D5CDD505-2E9C-101B-9397-08002B2CF9AE}" pid="102" name="Mendeley_Bookmark_Xhb0U7ftNJ_28">
    <vt:lpwstr>-title": "The American Journal of Clinical Nutrition", "id": "ITEM-2", "issue": "3", "issued": {"date-parts": [["2021", "1", "29"]]}, "publisher": "Oxford University Press (OUP)", "title": "Persistent confusion in nutrition and obesity research about the </vt:lpwstr>
  </property>
  <property fmtid="{D5CDD505-2E9C-101B-9397-08002B2CF9AE}" pid="103" name="Mendeley_Bookmark_Xhb0U7ftNJ_29">
    <vt:lpwstr>validity of classic nonparametric tests in the presence of heteroscedasticity: evidence of the problem and valid alternatives", "type": "article-journal", "volume": "113"}, "uris": ["http://www.mendeley.com/documents/?uuid=9abcdfd2-213e-308b-95db-6acae2f3</vt:lpwstr>
  </property>
  <property fmtid="{D5CDD505-2E9C-101B-9397-08002B2CF9AE}" pid="104" name="Mendeley_Bookmark_Xhb0U7ftNJ_3">
    <vt:lpwstr>he 2 repeated measurements in a nonrandom sample that is preferentially selected for deviating from the population mean of the measured variable in a particular direction. Study designs that are susceptible to misattributing RTM as intervention effects ha</vt:lpwstr>
  </property>
  <property fmtid="{D5CDD505-2E9C-101B-9397-08002B2CF9AE}" pid="105" name="Mendeley_Bookmark_Xhb0U7ftNJ_30">
    <vt:lpwstr>a9ea"]}, {"id": "ITEM-3", "itemData": {"DOI": "10.1093/ije/dyh299", "ISSN": "03005771", "PMID": "15333621", "abstract": "Background: Regression to the mean (RTM) is a statistical phenomenon that can make natural variation in repeated data look like real c</vt:lpwstr>
  </property>
  <property fmtid="{D5CDD505-2E9C-101B-9397-08002B2CF9AE}" pid="106" name="Mendeley_Bookmark_Xhb0U7ftNJ_31">
    <vt:lpwstr>hange. It happens when unusually large or small measurements tend to be followed by measurements that are closer to the mean. Methods: We give some examples of the phenomenon, and discuss methods to overcome it at the design and analysis stages of a study</vt:lpwstr>
  </property>
  <property fmtid="{D5CDD505-2E9C-101B-9397-08002B2CF9AE}" pid="107" name="Mendeley_Bookmark_Xhb0U7ftNJ_32">
    <vt:lpwstr>. Results: The effect of RTM in a sample becomes more noticeable with increasing measurement error and when follow-up measurements are only examined on a sub-sample selected using a baseline value. Conclusions: RTM is a ubiquitous phenomenon in repeated d</vt:lpwstr>
  </property>
  <property fmtid="{D5CDD505-2E9C-101B-9397-08002B2CF9AE}" pid="108" name="Mendeley_Bookmark_Xhb0U7ftNJ_33">
    <vt:lpwstr>ata and should always be considered as a possible cause of an observed change. Its effect can be alleviated through better study design and use of suitable statistical methods. \u00a9 International Epidemiological Association 2004; all rights reserved.", </vt:lpwstr>
  </property>
  <property fmtid="{D5CDD505-2E9C-101B-9397-08002B2CF9AE}" pid="109" name="Mendeley_Bookmark_Xhb0U7ftNJ_34">
    <vt:lpwstr>"author": [{"dropping-particle": "", "family": "Barnett", "given": "Adrian G.", "non-dropping-particle": "", "parse-names": false, "suffix": ""}, {"dropping-particle": "", "family": "Pols", "given": "Jolieke C.", "non-dropping-particle": "van der", "parse</vt:lpwstr>
  </property>
  <property fmtid="{D5CDD505-2E9C-101B-9397-08002B2CF9AE}" pid="110" name="Mendeley_Bookmark_Xhb0U7ftNJ_35">
    <vt:lpwstr>-names": false, "suffix": ""}, {"dropping-particle": "", "family": "Dobson", "given": "Annette J.", "non-dropping-particle": "", "parse-names": false, "suffix": ""}], "container-title": "International Journal of Epidemiology", "id": "ITEM-3", "issue": "1"</vt:lpwstr>
  </property>
  <property fmtid="{D5CDD505-2E9C-101B-9397-08002B2CF9AE}" pid="111" name="Mendeley_Bookmark_Xhb0U7ftNJ_36">
    <vt:lpwstr>, "issued": {"date-parts": [["2005", "2"]]}, "page": "215-220", "publisher": "Int J Epidemiol", "title": "Regression to the mean: What it is and how to deal with it", "type": "article-journal", "volume": "34"}, "uris": ["http://www.mendeley.com/documents/</vt:lpwstr>
  </property>
  <property fmtid="{D5CDD505-2E9C-101B-9397-08002B2CF9AE}" pid="112" name="Mendeley_Bookmark_Xhb0U7ftNJ_37">
    <vt:lpwstr>?uuid=7fef41bb-1157-398a-9ff7-de58d17fe3f4"]}], "mendeley": {"formattedCitation": "[1\u20133]", "plainTextFormattedCitation": "[1\u20133]", "previouslyFormattedCitation": "[1\u20133]"}, "properties": {"noteIndex": 0}, "schema": "https://github.com/citatio</vt:lpwstr>
  </property>
  <property fmtid="{D5CDD505-2E9C-101B-9397-08002B2CF9AE}" pid="113" name="Mendeley_Bookmark_Xhb0U7ftNJ_38">
    <vt:lpwstr>n-style-language/schema/raw/master/csl-citation.json"}</vt:lpwstr>
  </property>
  <property fmtid="{D5CDD505-2E9C-101B-9397-08002B2CF9AE}" pid="114" name="Mendeley_Bookmark_Xhb0U7ftNJ_4">
    <vt:lpwstr>ve been prevalent in nutrition and obesity research. This field often conducts secondary analyses of existing intervention data or evaluates intervention effects in those most at risk (i.e., those with observations at the extreme ends of a distribution). </vt:lpwstr>
  </property>
  <property fmtid="{D5CDD505-2E9C-101B-9397-08002B2CF9AE}" pid="115" name="Mendeley_Bookmark_Xhb0U7ftNJ_5">
    <vt:lpwstr>Objectives: To provide best practices to avoid unsubstantiated conclusions as a result of ignoring RTM in nutrition and obesity research. Methods: We outlined best practices for identifying whether RTM is likely to be leading to biased inferences, using a</vt:lpwstr>
  </property>
  <property fmtid="{D5CDD505-2E9C-101B-9397-08002B2CF9AE}" pid="116" name="Mendeley_Bookmark_Xhb0U7ftNJ_6">
    <vt:lpwstr> flowchart that is available as a web-based app at https://dustyturner.shinyapps.io/DecisionTreeMeanRegression/. We also provided multiple methods to quantify the degree of RTM. Results: Investigators can adjust analyses to include the RTM effect, thereby</vt:lpwstr>
  </property>
  <property fmtid="{D5CDD505-2E9C-101B-9397-08002B2CF9AE}" pid="117" name="Mendeley_Bookmark_Xhb0U7ftNJ_7">
    <vt:lpwstr> plausibly removing its biasing influence on estimating the true intervention effect. Conclusions: The identification of RTM and implementation of proper statistical practices will help advance the field by improving scientific rigor and the accuracy of c</vt:lpwstr>
  </property>
  <property fmtid="{D5CDD505-2E9C-101B-9397-08002B2CF9AE}" pid="118" name="Mendeley_Bookmark_Xhb0U7ftNJ_8">
    <vt:lpwstr>onclusions.", "author": [{"dropping-particle": "", "family": "Thomas", "given": "Diana M.", "non-dropping-particle": "", "parse-names": false, "suffix": ""}, {"dropping-particle": "", "family": "Clark", "given": "Nicholas", "non-dropping-particle": "", "p</vt:lpwstr>
  </property>
  <property fmtid="{D5CDD505-2E9C-101B-9397-08002B2CF9AE}" pid="119" name="Mendeley_Bookmark_Xhb0U7ftNJ_9">
    <vt:lpwstr>arse-names": false, "suffix": ""}, {"dropping-particle": "", "family": "Turner", "given": "Dusty", "non-dropping-particle": "", "parse-names": false, "suffix": ""}, {"dropping-particle": "", "family": "Siu", "given": "Cynthia", "non-dropping-particle": ""</vt:lpwstr>
  </property>
  <property fmtid="{D5CDD505-2E9C-101B-9397-08002B2CF9AE}" pid="120" name="Mendeley_Bookmark_ad1ZigxQ0f_1">
    <vt:lpwstr>ADDIN Mendeley Bibliography CSL_BIBLIOGRAPHY </vt:lpwstr>
  </property>
  <property fmtid="{D5CDD505-2E9C-101B-9397-08002B2CF9AE}" pid="121" name="Mendeley_Bookmark_gv7xPpJhv2_1">
    <vt:lpwstr>ADDIN Mendeley Bibliography CSL_BIBLIOGRAPHY </vt:lpwstr>
  </property>
  <property fmtid="{D5CDD505-2E9C-101B-9397-08002B2CF9AE}" pid="122" name="Mendeley_Bookmark_lSfzs4gEYG_1">
    <vt:lpwstr>ADDIN CSL_CITATION {"citationItems": [{"id": "ITEM-1", "itemData": {"DOI": "10.1093/ajcn/nqz196", "ISSN": "19383207", "PMID": "31552422", "abstract": "Background: Regression to the mean (RTM) is a statistical phenomenon where initial measurements of a var</vt:lpwstr>
  </property>
  <property fmtid="{D5CDD505-2E9C-101B-9397-08002B2CF9AE}" pid="123" name="Mendeley_Bookmark_lSfzs4gEYG_10">
    <vt:lpwstr>, "parse-names": false, "suffix": ""}, {"dropping-particle": "", "family": "Halliday", "given": "Tanya M.", "non-dropping-particle": "", "parse-names": false, "suffix": ""}, {"dropping-particle": "", "family": "Hannon", "given": "Bridget A.", "non-droppin</vt:lpwstr>
  </property>
  <property fmtid="{D5CDD505-2E9C-101B-9397-08002B2CF9AE}" pid="124" name="Mendeley_Bookmark_lSfzs4gEYG_11">
    <vt:lpwstr>g-particle": "", "parse-names": false, "suffix": ""}, {"dropping-particle": "", "family": "Kahathuduwa", "given": "Chanaka N.", "non-dropping-particle": "", "parse-names": false, "suffix": ""}, {"dropping-particle": "", "family": "Kroeger", "given": "Cynt</vt:lpwstr>
  </property>
  <property fmtid="{D5CDD505-2E9C-101B-9397-08002B2CF9AE}" pid="125" name="Mendeley_Bookmark_lSfzs4gEYG_12">
    <vt:lpwstr>hia M.", "non-dropping-particle": "", "parse-names": false, "suffix": ""}, {"dropping-particle": "", "family": "Zoh", "given": "Roger", "non-dropping-particle": "", "parse-names": false, "suffix": ""}, {"dropping-particle": "", "family": "Allison", "given</vt:lpwstr>
  </property>
  <property fmtid="{D5CDD505-2E9C-101B-9397-08002B2CF9AE}" pid="126" name="Mendeley_Bookmark_lSfzs4gEYG_13">
    <vt:lpwstr>": "David B.", "non-dropping-particle": "", "parse-names": false, "suffix": ""}], "container-title": "American Journal of Clinical Nutrition", "id": "ITEM-1", "issue": "2", "issued": {"date-parts": [["2020", "2", "1"]]}, "page": "256-265", "publisher": "O</vt:lpwstr>
  </property>
  <property fmtid="{D5CDD505-2E9C-101B-9397-08002B2CF9AE}" pid="127" name="Mendeley_Bookmark_lSfzs4gEYG_14">
    <vt:lpwstr>xford University Press", "title": "Best (but oft-forgotten) practices: Identifying and accounting for regression to the mean in nutrition and obesity research", "type": "article-journal", "volume": "111"}, "uris": ["http://www.mendeley.com/documents/?uuid</vt:lpwstr>
  </property>
  <property fmtid="{D5CDD505-2E9C-101B-9397-08002B2CF9AE}" pid="128" name="Mendeley_Bookmark_lSfzs4gEYG_15">
    <vt:lpwstr>=395953cd-cc01-32e2-9887-9a12b5cbb9bf"]}, {"id": "ITEM-2", "itemData": {"DOI": "10.1093/ajcn/nqaa357", "ISSN": "0002-9165", "abstract": "The use of classic nonparametric tests (cNPTs), such as the Kruskal\u2013Wallis and Mann\u2013Whitney U tests, in the </vt:lpwstr>
  </property>
  <property fmtid="{D5CDD505-2E9C-101B-9397-08002B2CF9AE}" pid="129" name="Mendeley_Bookmark_lSfzs4gEYG_16">
    <vt:lpwstr>presence of unequal variance for between-group comparisons of means and medians may lead to marked increases in the rate of falsely rejecting null hypotheses and decreases in statistical power. Yet, this practice remains prevalent in the scientific litera</vt:lpwstr>
  </property>
  <property fmtid="{D5CDD505-2E9C-101B-9397-08002B2CF9AE}" pid="130" name="Mendeley_Bookmark_lSfzs4gEYG_17">
    <vt:lpwstr>ture, including nutrition and obesity literature. Some nutrition and obesity studies use a cNPT in the presence of unequal variance (i.e., heteroscedasticity), sometimes because of the mistaken rationale that the test corrects for heteroscedasticity. Here</vt:lpwstr>
  </property>
  <property fmtid="{D5CDD505-2E9C-101B-9397-08002B2CF9AE}" pid="131" name="Mendeley_Bookmark_lSfzs4gEYG_18">
    <vt:lpwstr>in, we discuss misconceptions of using cNPTs in the presence of heteroscedasticity. We then discuss assumptions, purposes, and limitations of 3 common tests used to test for mean differences between multiple groups, including 2 parametric tests: Fisher's </vt:lpwstr>
  </property>
  <property fmtid="{D5CDD505-2E9C-101B-9397-08002B2CF9AE}" pid="132" name="Mendeley_Bookmark_lSfzs4gEYG_19">
    <vt:lpwstr>ANOVA and Welch's ANOVA; and 1 cNPT: the Kruskal\u2013Wallis test. To document the impact of heteroscedasticity on the validity of these tests under conditions similar to those used in nutrition and obesity research, we conducted simple simulations and as</vt:lpwstr>
  </property>
  <property fmtid="{D5CDD505-2E9C-101B-9397-08002B2CF9AE}" pid="133" name="Mendeley_Bookmark_lSfzs4gEYG_2">
    <vt:lpwstr>iable in a nonrandom sample at the extreme ends of a distribution tend to be closer to the mean upon a second measurement. Unfortunately, failing to account for the effects of RTM can lead to incorrect conclusions on the observed mean difference between t</vt:lpwstr>
  </property>
  <property fmtid="{D5CDD505-2E9C-101B-9397-08002B2CF9AE}" pid="134" name="Mendeley_Bookmark_lSfzs4gEYG_20">
    <vt:lpwstr>sessed type I error rates (i.e., false positives, defined as incorrectly rejecting the null hypothesis). We demonstrate that type I error rates for Fisher's ANOVA, which does not account for heteroscedasticity, and Kruskal\u2013Wallis, which tests for dif</vt:lpwstr>
  </property>
  <property fmtid="{D5CDD505-2E9C-101B-9397-08002B2CF9AE}" pid="135" name="Mendeley_Bookmark_lSfzs4gEYG_21">
    <vt:lpwstr>ferences in distributions rather than means, deviated from the expected significance level. Greater deviation from the expected type I error rate was observed as the heterogeneity increased, especially in the presence of an imbalanced sample size. We prov</vt:lpwstr>
  </property>
  <property fmtid="{D5CDD505-2E9C-101B-9397-08002B2CF9AE}" pid="136" name="Mendeley_Bookmark_lSfzs4gEYG_22">
    <vt:lpwstr>ide brief tutorial guidance for authors, editors, and reviewers to identify appropriate statistical tests when test assumptions are violated, with a particular focus on cNPTs.", "author": [{"dropping-particle": "", "family": "Kroeger", "given": "Cynthia M</vt:lpwstr>
  </property>
  <property fmtid="{D5CDD505-2E9C-101B-9397-08002B2CF9AE}" pid="137" name="Mendeley_Bookmark_lSfzs4gEYG_23">
    <vt:lpwstr>", "non-dropping-particle": "", "parse-names": false, "suffix": ""}, {"dropping-particle": "", "family": "Ejima", "given": "Keisuke", "non-dropping-particle": "", "parse-names": false, "suffix": ""}, {"dropping-particle": "", "family": "Hannon", "given": </vt:lpwstr>
  </property>
  <property fmtid="{D5CDD505-2E9C-101B-9397-08002B2CF9AE}" pid="138" name="Mendeley_Bookmark_lSfzs4gEYG_24">
    <vt:lpwstr>"Bridget A", "non-dropping-particle": "", "parse-names": false, "suffix": ""}, {"dropping-particle": "", "family": "Halliday", "given": "Tanya M", "non-dropping-particle": "", "parse-names": false, "suffix": ""}, {"dropping-particle": "", "family": "McCom</vt:lpwstr>
  </property>
  <property fmtid="{D5CDD505-2E9C-101B-9397-08002B2CF9AE}" pid="139" name="Mendeley_Bookmark_lSfzs4gEYG_25">
    <vt:lpwstr>b", "given": "Bryan", "non-dropping-particle": "", "parse-names": false, "suffix": ""}, {"dropping-particle": "", "family": "Teran-Garcia", "given": "Margarita", "non-dropping-particle": "", "parse-names": false, "suffix": ""}, {"dropping-particle": "", "</vt:lpwstr>
  </property>
  <property fmtid="{D5CDD505-2E9C-101B-9397-08002B2CF9AE}" pid="140" name="Mendeley_Bookmark_lSfzs4gEYG_26">
    <vt:lpwstr>family": "Dawson", "given": "John A", "non-dropping-particle": "", "parse-names": false, "suffix": ""}, {"dropping-particle": "", "family": "King", "given": "David B", "non-dropping-particle": "", "parse-names": false, "suffix": ""}, {"dropping-particle":</vt:lpwstr>
  </property>
  <property fmtid="{D5CDD505-2E9C-101B-9397-08002B2CF9AE}" pid="141" name="Mendeley_Bookmark_lSfzs4gEYG_27">
    <vt:lpwstr> "", "family": "Brown", "given": "Andrew W", "non-dropping-particle": "", "parse-names": false, "suffix": ""}, {"dropping-particle": "", "family": "Allison", "given": "David B", "non-dropping-particle": "", "parse-names": false, "suffix": ""}], "container</vt:lpwstr>
  </property>
  <property fmtid="{D5CDD505-2E9C-101B-9397-08002B2CF9AE}" pid="142" name="Mendeley_Bookmark_lSfzs4gEYG_28">
    <vt:lpwstr>-title": "The American Journal of Clinical Nutrition", "id": "ITEM-2", "issue": "3", "issued": {"date-parts": [["2021", "1", "29"]]}, "publisher": "Oxford University Press (OUP)", "title": "Persistent confusion in nutrition and obesity research about the </vt:lpwstr>
  </property>
  <property fmtid="{D5CDD505-2E9C-101B-9397-08002B2CF9AE}" pid="143" name="Mendeley_Bookmark_lSfzs4gEYG_29">
    <vt:lpwstr>validity of classic nonparametric tests in the presence of heteroscedasticity: evidence of the problem and valid alternatives", "type": "article-journal", "volume": "113"}, "uris": ["http://www.mendeley.com/documents/?uuid=9abcdfd2-213e-308b-95db-6acae2f3</vt:lpwstr>
  </property>
  <property fmtid="{D5CDD505-2E9C-101B-9397-08002B2CF9AE}" pid="144" name="Mendeley_Bookmark_lSfzs4gEYG_3">
    <vt:lpwstr>he 2 repeated measurements in a nonrandom sample that is preferentially selected for deviating from the population mean of the measured variable in a particular direction. Study designs that are susceptible to misattributing RTM as intervention effects ha</vt:lpwstr>
  </property>
  <property fmtid="{D5CDD505-2E9C-101B-9397-08002B2CF9AE}" pid="145" name="Mendeley_Bookmark_lSfzs4gEYG_30">
    <vt:lpwstr>a9ea"]}, {"id": "ITEM-3", "itemData": {"DOI": "10.1093/ije/dyh299", "ISSN": "03005771", "PMID": "15333621", "abstract": "Background: Regression to the mean (RTM) is a statistical phenomenon that can make natural variation in repeated data look like real c</vt:lpwstr>
  </property>
  <property fmtid="{D5CDD505-2E9C-101B-9397-08002B2CF9AE}" pid="146" name="Mendeley_Bookmark_lSfzs4gEYG_31">
    <vt:lpwstr>hange. It happens when unusually large or small measurements tend to be followed by measurements that are closer to the mean. Methods: We give some examples of the phenomenon, and discuss methods to overcome it at the design and analysis stages of a study</vt:lpwstr>
  </property>
  <property fmtid="{D5CDD505-2E9C-101B-9397-08002B2CF9AE}" pid="147" name="Mendeley_Bookmark_lSfzs4gEYG_32">
    <vt:lpwstr>. Results: The effect of RTM in a sample becomes more noticeable with increasing measurement error and when follow-up measurements are only examined on a sub-sample selected using a baseline value. Conclusions: RTM is a ubiquitous phenomenon in repeated d</vt:lpwstr>
  </property>
  <property fmtid="{D5CDD505-2E9C-101B-9397-08002B2CF9AE}" pid="148" name="Mendeley_Bookmark_lSfzs4gEYG_33">
    <vt:lpwstr>ata and should always be considered as a possible cause of an observed change. Its effect can be alleviated through better study design and use of suitable statistical methods. \u00a9 International Epidemiological Association 2004; all rights reserved.", </vt:lpwstr>
  </property>
  <property fmtid="{D5CDD505-2E9C-101B-9397-08002B2CF9AE}" pid="149" name="Mendeley_Bookmark_lSfzs4gEYG_34">
    <vt:lpwstr>"author": [{"dropping-particle": "", "family": "Barnett", "given": "Adrian G.", "non-dropping-particle": "", "parse-names": false, "suffix": ""}, {"dropping-particle": "", "family": "Pols", "given": "Jolieke C.", "non-dropping-particle": "van der", "parse</vt:lpwstr>
  </property>
  <property fmtid="{D5CDD505-2E9C-101B-9397-08002B2CF9AE}" pid="150" name="Mendeley_Bookmark_lSfzs4gEYG_35">
    <vt:lpwstr>-names": false, "suffix": ""}, {"dropping-particle": "", "family": "Dobson", "given": "Annette J.", "non-dropping-particle": "", "parse-names": false, "suffix": ""}], "container-title": "International Journal of Epidemiology", "id": "ITEM-3", "issue": "1"</vt:lpwstr>
  </property>
  <property fmtid="{D5CDD505-2E9C-101B-9397-08002B2CF9AE}" pid="151" name="Mendeley_Bookmark_lSfzs4gEYG_36">
    <vt:lpwstr>, "issued": {"date-parts": [["2005", "2"]]}, "page": "215-220", "publisher": "Int J Epidemiol", "title": "Regression to the mean: What it is and how to deal with it", "type": "article-journal", "volume": "34"}, "uris": ["http://www.mendeley.com/documents/</vt:lpwstr>
  </property>
  <property fmtid="{D5CDD505-2E9C-101B-9397-08002B2CF9AE}" pid="152" name="Mendeley_Bookmark_lSfzs4gEYG_37">
    <vt:lpwstr>?uuid=7fef41bb-1157-398a-9ff7-de58d17fe3f4"]}], "mendeley": {"formattedCitation": "[1\u20133]", "plainTextFormattedCitation": "[1\u20133]", "previouslyFormattedCitation": "[1\u20133]"}, "properties": {"noteIndex": 0}, "schema": "https://github.com/citatio</vt:lpwstr>
  </property>
  <property fmtid="{D5CDD505-2E9C-101B-9397-08002B2CF9AE}" pid="153" name="Mendeley_Bookmark_lSfzs4gEYG_38">
    <vt:lpwstr>n-style-language/schema/raw/master/csl-citation.json"}</vt:lpwstr>
  </property>
  <property fmtid="{D5CDD505-2E9C-101B-9397-08002B2CF9AE}" pid="154" name="Mendeley_Bookmark_lSfzs4gEYG_4">
    <vt:lpwstr>ve been prevalent in nutrition and obesity research. This field often conducts secondary analyses of existing intervention data or evaluates intervention effects in those most at risk (i.e., those with observations at the extreme ends of a distribution). </vt:lpwstr>
  </property>
  <property fmtid="{D5CDD505-2E9C-101B-9397-08002B2CF9AE}" pid="155" name="Mendeley_Bookmark_lSfzs4gEYG_5">
    <vt:lpwstr>Objectives: To provide best practices to avoid unsubstantiated conclusions as a result of ignoring RTM in nutrition and obesity research. Methods: We outlined best practices for identifying whether RTM is likely to be leading to biased inferences, using a</vt:lpwstr>
  </property>
  <property fmtid="{D5CDD505-2E9C-101B-9397-08002B2CF9AE}" pid="156" name="Mendeley_Bookmark_lSfzs4gEYG_6">
    <vt:lpwstr> flowchart that is available as a web-based app at https://dustyturner.shinyapps.io/DecisionTreeMeanRegression/. We also provided multiple methods to quantify the degree of RTM. Results: Investigators can adjust analyses to include the RTM effect, thereby</vt:lpwstr>
  </property>
  <property fmtid="{D5CDD505-2E9C-101B-9397-08002B2CF9AE}" pid="157" name="Mendeley_Bookmark_lSfzs4gEYG_7">
    <vt:lpwstr> plausibly removing its biasing influence on estimating the true intervention effect. Conclusions: The identification of RTM and implementation of proper statistical practices will help advance the field by improving scientific rigor and the accuracy of c</vt:lpwstr>
  </property>
  <property fmtid="{D5CDD505-2E9C-101B-9397-08002B2CF9AE}" pid="158" name="Mendeley_Bookmark_lSfzs4gEYG_8">
    <vt:lpwstr>onclusions.", "author": [{"dropping-particle": "", "family": "Thomas", "given": "Diana M.", "non-dropping-particle": "", "parse-names": false, "suffix": ""}, {"dropping-particle": "", "family": "Clark", "given": "Nicholas", "non-dropping-particle": "", "p</vt:lpwstr>
  </property>
  <property fmtid="{D5CDD505-2E9C-101B-9397-08002B2CF9AE}" pid="159" name="Mendeley_Bookmark_lSfzs4gEYG_9">
    <vt:lpwstr>arse-names": false, "suffix": ""}, {"dropping-particle": "", "family": "Turner", "given": "Dusty", "non-dropping-particle": "", "parse-names": false, "suffix": ""}, {"dropping-particle": "", "family": "Siu", "given": "Cynthia", "non-dropping-particle": ""</vt:lpwstr>
  </property>
  <property fmtid="{D5CDD505-2E9C-101B-9397-08002B2CF9AE}" pid="160" name="Mendeley_Bookmark_uC0smXE2zr_1">
    <vt:lpwstr>ADDIN Mendeley Bibliography CSL_BIBLIOGRAPHY </vt:lpwstr>
  </property>
</Properties>
</file>