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9F" w:rsidRPr="00CE0C3E" w:rsidRDefault="003F299F" w:rsidP="003F299F">
      <w:pPr>
        <w:rPr>
          <w:rFonts w:ascii="Arial" w:hAnsi="Arial" w:cs="Arial"/>
          <w:b/>
          <w:sz w:val="20"/>
          <w:szCs w:val="20"/>
          <w:u w:val="single"/>
          <w:lang w:val="en-AU"/>
        </w:rPr>
      </w:pPr>
      <w:r w:rsidRPr="00CE0C3E">
        <w:rPr>
          <w:rFonts w:ascii="Arial" w:hAnsi="Arial" w:cs="Arial"/>
          <w:b/>
          <w:sz w:val="20"/>
          <w:szCs w:val="20"/>
          <w:u w:val="single"/>
          <w:lang w:val="en-AU"/>
        </w:rPr>
        <w:t xml:space="preserve">Table </w:t>
      </w:r>
      <w:r>
        <w:rPr>
          <w:rFonts w:ascii="Arial" w:hAnsi="Arial" w:cs="Arial"/>
          <w:b/>
          <w:sz w:val="20"/>
          <w:szCs w:val="20"/>
          <w:u w:val="single"/>
          <w:lang w:val="en-AU"/>
        </w:rPr>
        <w:t>S</w:t>
      </w:r>
      <w:r w:rsidRPr="00CE0C3E">
        <w:rPr>
          <w:rFonts w:ascii="Arial" w:hAnsi="Arial" w:cs="Arial"/>
          <w:b/>
          <w:sz w:val="20"/>
          <w:szCs w:val="20"/>
          <w:u w:val="single"/>
          <w:lang w:val="en-AU"/>
        </w:rPr>
        <w:t xml:space="preserve">1: </w:t>
      </w:r>
      <w:r w:rsidRPr="00CE0C3E">
        <w:rPr>
          <w:rFonts w:ascii="Arial" w:eastAsia="MS Mincho" w:hAnsi="Arial" w:cs="Arial"/>
          <w:b/>
          <w:sz w:val="20"/>
          <w:szCs w:val="20"/>
          <w:u w:val="single"/>
          <w:lang w:val="en-AU" w:eastAsia="nl-NL"/>
        </w:rPr>
        <w:t>The TRACT Screening Checklist</w:t>
      </w:r>
    </w:p>
    <w:p w:rsidR="003F299F" w:rsidRPr="00CE0C3E" w:rsidRDefault="003F299F" w:rsidP="003F299F">
      <w:pPr>
        <w:rPr>
          <w:rFonts w:ascii="Arial" w:hAnsi="Arial" w:cs="Arial"/>
          <w:sz w:val="20"/>
          <w:szCs w:val="20"/>
          <w:u w:val="single"/>
          <w:lang w:val="en-AU"/>
        </w:rPr>
      </w:pPr>
      <w:r w:rsidRPr="00CE0C3E">
        <w:rPr>
          <w:rFonts w:ascii="Arial" w:hAnsi="Arial" w:cs="Arial"/>
          <w:sz w:val="20"/>
          <w:szCs w:val="20"/>
          <w:u w:val="single"/>
          <w:lang w:val="en-AU"/>
        </w:rPr>
        <w:t>Overview</w:t>
      </w:r>
    </w:p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  <w:r w:rsidRPr="00CE0C3E">
        <w:rPr>
          <w:rFonts w:ascii="Arial" w:hAnsi="Arial" w:cs="Arial"/>
          <w:sz w:val="20"/>
          <w:szCs w:val="20"/>
          <w:lang w:val="en-AU"/>
        </w:rPr>
        <w:t xml:space="preserve">This screening tool aims to help identify and triage studies at risk of integrity issues. The checklist includes eight domains which are applicable to every RCT; governance, author group, plausibility of intervention usage, timeframe, </w:t>
      </w:r>
      <w:proofErr w:type="gramStart"/>
      <w:r w:rsidRPr="00CE0C3E">
        <w:rPr>
          <w:rFonts w:ascii="Arial" w:hAnsi="Arial" w:cs="Arial"/>
          <w:sz w:val="20"/>
          <w:szCs w:val="20"/>
          <w:lang w:val="en-AU"/>
        </w:rPr>
        <w:t>drop-</w:t>
      </w:r>
      <w:proofErr w:type="gramEnd"/>
      <w:r w:rsidRPr="00CE0C3E">
        <w:rPr>
          <w:rFonts w:ascii="Arial" w:hAnsi="Arial" w:cs="Arial"/>
          <w:sz w:val="20"/>
          <w:szCs w:val="20"/>
          <w:lang w:val="en-AU"/>
        </w:rPr>
        <w:t>out rates, baseline characteristics and outcomes. The tool is a proposal to optimise our awareness of research integrity and has not yet been validated.</w:t>
      </w:r>
    </w:p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</w:p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  <w:r w:rsidRPr="00CE0C3E">
        <w:rPr>
          <w:rFonts w:ascii="Arial" w:hAnsi="Arial" w:cs="Arial"/>
          <w:sz w:val="20"/>
          <w:szCs w:val="20"/>
          <w:u w:val="single"/>
          <w:lang w:val="en-AU"/>
        </w:rPr>
        <w:t>Users</w:t>
      </w:r>
    </w:p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  <w:r w:rsidRPr="00CE0C3E">
        <w:rPr>
          <w:rFonts w:ascii="Arial" w:hAnsi="Arial" w:cs="Arial"/>
          <w:sz w:val="20"/>
          <w:szCs w:val="20"/>
          <w:lang w:val="en-AU"/>
        </w:rPr>
        <w:t>This tool is designed to be used by clinical experts on articles in their field of study as a degree of clinical judgement and experience will be required for some items, and especially those using subjective or descriptive terms. It may also be beneficial to seek assistance from a statistician for some items.</w:t>
      </w:r>
    </w:p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</w:p>
    <w:p w:rsidR="003F299F" w:rsidRPr="00CE0C3E" w:rsidRDefault="003F299F" w:rsidP="003F299F">
      <w:pPr>
        <w:rPr>
          <w:rFonts w:ascii="Arial" w:hAnsi="Arial" w:cs="Arial"/>
          <w:sz w:val="20"/>
          <w:szCs w:val="20"/>
          <w:u w:val="single"/>
          <w:lang w:val="en-AU"/>
        </w:rPr>
      </w:pPr>
      <w:r w:rsidRPr="00CE0C3E">
        <w:rPr>
          <w:rFonts w:ascii="Arial" w:hAnsi="Arial" w:cs="Arial"/>
          <w:sz w:val="20"/>
          <w:szCs w:val="20"/>
          <w:u w:val="single"/>
          <w:lang w:val="en-AU"/>
        </w:rPr>
        <w:t>Instructions for Use</w:t>
      </w:r>
    </w:p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  <w:r w:rsidRPr="00CE0C3E">
        <w:rPr>
          <w:rFonts w:ascii="Arial" w:hAnsi="Arial" w:cs="Arial"/>
          <w:sz w:val="20"/>
          <w:szCs w:val="20"/>
          <w:lang w:val="en-AU"/>
        </w:rPr>
        <w:t xml:space="preserve">The screening tool requires information found in the full text of the trial report and trial registration (if applicable) – please ensure you collect these prior to using the tool. Each item in the checklist is rated using a colour-coded system: green </w:t>
      </w:r>
      <w:r>
        <w:rPr>
          <w:rFonts w:ascii="Arial" w:hAnsi="Arial" w:cs="Arial"/>
          <w:sz w:val="20"/>
          <w:szCs w:val="20"/>
          <w:lang w:val="en-AU"/>
        </w:rPr>
        <w:t>suggest</w:t>
      </w:r>
      <w:r w:rsidRPr="00CE0C3E">
        <w:rPr>
          <w:rFonts w:ascii="Arial" w:hAnsi="Arial" w:cs="Arial"/>
          <w:sz w:val="20"/>
          <w:szCs w:val="20"/>
          <w:lang w:val="en-AU"/>
        </w:rPr>
        <w:t>s</w:t>
      </w:r>
      <w:r>
        <w:rPr>
          <w:rFonts w:ascii="Arial" w:hAnsi="Arial" w:cs="Arial"/>
          <w:sz w:val="20"/>
          <w:szCs w:val="20"/>
          <w:lang w:val="en-AU"/>
        </w:rPr>
        <w:t xml:space="preserve"> ‘No Concerns’</w:t>
      </w:r>
      <w:r w:rsidRPr="00CE0C3E">
        <w:rPr>
          <w:rFonts w:ascii="Arial" w:hAnsi="Arial" w:cs="Arial"/>
          <w:sz w:val="20"/>
          <w:szCs w:val="20"/>
          <w:lang w:val="en-AU"/>
        </w:rPr>
        <w:t xml:space="preserve">, yellow </w:t>
      </w:r>
      <w:r>
        <w:rPr>
          <w:rFonts w:ascii="Arial" w:hAnsi="Arial" w:cs="Arial"/>
          <w:sz w:val="20"/>
          <w:szCs w:val="20"/>
          <w:lang w:val="en-AU"/>
        </w:rPr>
        <w:t>suggests ‘Some Concern/No Information’</w:t>
      </w:r>
      <w:r w:rsidRPr="00CE0C3E">
        <w:rPr>
          <w:rFonts w:ascii="Arial" w:hAnsi="Arial" w:cs="Arial"/>
          <w:sz w:val="20"/>
          <w:szCs w:val="20"/>
          <w:lang w:val="en-AU"/>
        </w:rPr>
        <w:t xml:space="preserve">, and red </w:t>
      </w:r>
      <w:r>
        <w:rPr>
          <w:rFonts w:ascii="Arial" w:hAnsi="Arial" w:cs="Arial"/>
          <w:sz w:val="20"/>
          <w:szCs w:val="20"/>
          <w:lang w:val="en-AU"/>
        </w:rPr>
        <w:t>suggests ‘Major Concern’</w:t>
      </w:r>
      <w:r w:rsidRPr="00CE0C3E">
        <w:rPr>
          <w:rFonts w:ascii="Arial" w:hAnsi="Arial" w:cs="Arial"/>
          <w:sz w:val="20"/>
          <w:szCs w:val="20"/>
          <w:lang w:val="en-AU"/>
        </w:rPr>
        <w:t>. For each item</w:t>
      </w:r>
      <w:r>
        <w:rPr>
          <w:rFonts w:ascii="Arial" w:hAnsi="Arial" w:cs="Arial"/>
          <w:sz w:val="20"/>
          <w:szCs w:val="20"/>
          <w:lang w:val="en-AU"/>
        </w:rPr>
        <w:t xml:space="preserve">, the user should choose one rating and </w:t>
      </w:r>
      <w:r w:rsidRPr="00CE0C3E">
        <w:rPr>
          <w:rFonts w:ascii="Arial" w:hAnsi="Arial" w:cs="Arial"/>
          <w:sz w:val="20"/>
          <w:szCs w:val="20"/>
          <w:lang w:val="en-AU"/>
        </w:rPr>
        <w:t>address the r</w:t>
      </w:r>
      <w:r>
        <w:rPr>
          <w:rFonts w:ascii="Arial" w:hAnsi="Arial" w:cs="Arial"/>
          <w:sz w:val="20"/>
          <w:szCs w:val="20"/>
          <w:lang w:val="en-AU"/>
        </w:rPr>
        <w:t>ationale</w:t>
      </w:r>
      <w:r w:rsidRPr="00CE0C3E">
        <w:rPr>
          <w:rFonts w:ascii="Arial" w:hAnsi="Arial" w:cs="Arial"/>
          <w:sz w:val="20"/>
          <w:szCs w:val="20"/>
          <w:lang w:val="en-AU"/>
        </w:rPr>
        <w:t xml:space="preserve"> for the chosen rating</w:t>
      </w:r>
      <w:r>
        <w:rPr>
          <w:rFonts w:ascii="Arial" w:hAnsi="Arial" w:cs="Arial"/>
          <w:sz w:val="20"/>
          <w:szCs w:val="20"/>
          <w:lang w:val="en-AU"/>
        </w:rPr>
        <w:t xml:space="preserve"> in the ‘Support of Judgement’ section</w:t>
      </w:r>
      <w:r w:rsidRPr="00CE0C3E">
        <w:rPr>
          <w:rFonts w:ascii="Arial" w:hAnsi="Arial" w:cs="Arial"/>
          <w:sz w:val="20"/>
          <w:szCs w:val="20"/>
          <w:lang w:val="en-AU"/>
        </w:rPr>
        <w:t>. There is also a free-text space for users to add additional comments about other integrity issues if required.</w:t>
      </w:r>
    </w:p>
    <w:p w:rsidR="003F299F" w:rsidRPr="00CE0C3E" w:rsidRDefault="003F299F" w:rsidP="003F299F">
      <w:pPr>
        <w:rPr>
          <w:rFonts w:ascii="Arial" w:hAnsi="Arial" w:cs="Arial"/>
          <w:sz w:val="20"/>
          <w:szCs w:val="20"/>
          <w:u w:val="single"/>
          <w:lang w:val="en-AU"/>
        </w:rPr>
      </w:pPr>
    </w:p>
    <w:p w:rsidR="003F299F" w:rsidRPr="00CE0C3E" w:rsidRDefault="003F299F" w:rsidP="003F299F">
      <w:pPr>
        <w:rPr>
          <w:rFonts w:ascii="Arial" w:hAnsi="Arial" w:cs="Arial"/>
          <w:sz w:val="20"/>
          <w:szCs w:val="20"/>
          <w:u w:val="single"/>
          <w:lang w:val="en-AU"/>
        </w:rPr>
      </w:pPr>
      <w:r w:rsidRPr="00CE0C3E">
        <w:rPr>
          <w:rFonts w:ascii="Arial" w:hAnsi="Arial" w:cs="Arial"/>
          <w:sz w:val="20"/>
          <w:szCs w:val="20"/>
          <w:u w:val="single"/>
          <w:lang w:val="en-AU"/>
        </w:rPr>
        <w:t>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71"/>
        <w:gridCol w:w="11405"/>
      </w:tblGrid>
      <w:tr w:rsidR="003F299F" w:rsidRPr="00CE0C3E" w:rsidTr="003F299F">
        <w:tc>
          <w:tcPr>
            <w:tcW w:w="672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Article Title, Year</w:t>
            </w:r>
          </w:p>
        </w:tc>
        <w:tc>
          <w:tcPr>
            <w:tcW w:w="4328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672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Author(s)</w:t>
            </w:r>
          </w:p>
        </w:tc>
        <w:tc>
          <w:tcPr>
            <w:tcW w:w="4328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</w:tbl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</w:p>
    <w:p w:rsidR="003F299F" w:rsidRPr="00CE0C3E" w:rsidRDefault="003F299F" w:rsidP="003F299F">
      <w:pPr>
        <w:rPr>
          <w:rFonts w:ascii="Arial" w:hAnsi="Arial" w:cs="Arial"/>
          <w:sz w:val="20"/>
          <w:szCs w:val="20"/>
          <w:u w:val="single"/>
          <w:lang w:val="en-AU"/>
        </w:rPr>
      </w:pPr>
      <w:r w:rsidRPr="00CE0C3E">
        <w:rPr>
          <w:rFonts w:ascii="Arial" w:hAnsi="Arial" w:cs="Arial"/>
          <w:sz w:val="20"/>
          <w:szCs w:val="20"/>
          <w:u w:val="single"/>
          <w:lang w:val="en-AU"/>
        </w:rPr>
        <w:t>Checklist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39"/>
        <w:gridCol w:w="5922"/>
        <w:gridCol w:w="1072"/>
        <w:gridCol w:w="6"/>
        <w:gridCol w:w="16"/>
        <w:gridCol w:w="1284"/>
        <w:gridCol w:w="1098"/>
        <w:gridCol w:w="2239"/>
      </w:tblGrid>
      <w:tr w:rsidR="003F299F" w:rsidRPr="00CE0C3E" w:rsidTr="003F299F">
        <w:tc>
          <w:tcPr>
            <w:tcW w:w="541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  <w:t>DOMAIN</w:t>
            </w:r>
          </w:p>
        </w:tc>
        <w:tc>
          <w:tcPr>
            <w:tcW w:w="2264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  <w:t>ITEM</w:t>
            </w:r>
          </w:p>
        </w:tc>
        <w:tc>
          <w:tcPr>
            <w:tcW w:w="1329" w:type="pct"/>
            <w:gridSpan w:val="5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  <w:t>RATING</w:t>
            </w:r>
          </w:p>
        </w:tc>
        <w:tc>
          <w:tcPr>
            <w:tcW w:w="866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  <w:t>SUPPORT FOR JUDGEMENT</w:t>
            </w: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</w:pPr>
          </w:p>
        </w:tc>
        <w:tc>
          <w:tcPr>
            <w:tcW w:w="367" w:type="pc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color w:val="00B050"/>
                <w:sz w:val="20"/>
                <w:szCs w:val="20"/>
                <w:lang w:val="en-AU"/>
              </w:rPr>
              <w:t>No Concerns</w:t>
            </w:r>
          </w:p>
        </w:tc>
        <w:tc>
          <w:tcPr>
            <w:tcW w:w="529" w:type="pct"/>
            <w:gridSpan w:val="3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color w:val="FFC000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color w:val="FFC000"/>
                <w:sz w:val="20"/>
                <w:szCs w:val="20"/>
                <w:lang w:val="en-AU"/>
              </w:rPr>
              <w:t>Some Concerns/</w:t>
            </w:r>
          </w:p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color w:val="FFC000"/>
                <w:sz w:val="20"/>
                <w:szCs w:val="20"/>
                <w:lang w:val="en-AU"/>
              </w:rPr>
              <w:t>No Information</w:t>
            </w:r>
          </w:p>
        </w:tc>
        <w:tc>
          <w:tcPr>
            <w:tcW w:w="433" w:type="pc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color w:val="FF0000"/>
                <w:sz w:val="20"/>
                <w:szCs w:val="20"/>
                <w:lang w:val="en-AU"/>
              </w:rPr>
              <w:t>Major Concerns</w:t>
            </w:r>
          </w:p>
        </w:tc>
        <w:tc>
          <w:tcPr>
            <w:tcW w:w="866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Governance</w:t>
            </w: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Absent or retrospective registration of RCTs. This is relevant for RCTs commencing after 2010</w:t>
            </w:r>
          </w:p>
        </w:tc>
        <w:tc>
          <w:tcPr>
            <w:tcW w:w="369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6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Discrepancy of &gt;15% between the intended sample size in the trial registration compared to the actual sample size achieved in the RCT</w:t>
            </w:r>
            <w:bookmarkStart w:id="0" w:name="_GoBack"/>
            <w:bookmarkEnd w:id="0"/>
          </w:p>
        </w:tc>
        <w:tc>
          <w:tcPr>
            <w:tcW w:w="369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6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Absent or vague description of research ethics or apparent concerns regarding ethics</w:t>
            </w:r>
          </w:p>
        </w:tc>
        <w:tc>
          <w:tcPr>
            <w:tcW w:w="369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6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Author Group</w:t>
            </w: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 xml:space="preserve">Number of authors </w:t>
            </w:r>
            <m:oMath>
              <m:r>
                <w:rPr>
                  <w:rFonts w:ascii="Cambria Math" w:hAnsi="Cambria Math" w:cs="Arial"/>
                  <w:sz w:val="20"/>
                  <w:szCs w:val="20"/>
                  <w:lang w:val="en-AU"/>
                </w:rPr>
                <m:t>≤</m:t>
              </m:r>
            </m:oMath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3 or low author to study size ratio</w:t>
            </w:r>
          </w:p>
        </w:tc>
        <w:tc>
          <w:tcPr>
            <w:tcW w:w="369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6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Other studies of authors have been retracted not on request of the authors</w:t>
            </w:r>
          </w:p>
        </w:tc>
        <w:tc>
          <w:tcPr>
            <w:tcW w:w="369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6" w:type="pct"/>
            <w:gridSpan w:val="2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Large number of RCTs published in a short time frame by one author/in one institute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lastRenderedPageBreak/>
              <w:t>Plausibility of Intervention Usage</w:t>
            </w: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color w:val="FFFFFF" w:themeColor="background1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Insufficient or implausible description of allocation concealment (e.g. two interventions but only one placebo)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rPr>
          <w:trHeight w:val="77"/>
        </w:trPr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Unnecessary or illogical description of methodological standards (e.g. use of sealed envelopes in a placebo-controlled trial)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Timeframe</w:t>
            </w: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color w:val="FFFFFF" w:themeColor="background1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Fast recruitment of participants within the study time (especially single centre studies)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Short or impossible time frame between ending recruitment/follow up and submission of the paper (take into account time to outcome e.g. live birth, pregnancy outcome etc.)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Drop-Out Rates</w:t>
            </w: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color w:val="FFFFFF" w:themeColor="background1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Zero participants lost to follow up or no reasons mentioned for loss of follow up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Ideal number of losses to follow up resulting in perfectly rounded number in each group (e.g. groups of 50 or 100)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Baseline Characteristics</w:t>
            </w: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color w:val="FFFFFF" w:themeColor="background1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 xml:space="preserve">No or few baseline (&lt;5) characteristics presented 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Implausible patient characteristics judging from common sense, the literature and local data (e.g. similar standard deviations for completely different characteristics with different means and distributions)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Perfect balance for multiple baseline characteristics or significant/large differences between baseline characteristics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Important prognostic factors are not reported as baseline characteristics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 w:val="restart"/>
            <w:vAlign w:val="center"/>
          </w:tcPr>
          <w:p w:rsidR="003F299F" w:rsidRPr="00CE0C3E" w:rsidRDefault="003F299F" w:rsidP="004E00E7">
            <w:pPr>
              <w:jc w:val="center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Outcomes</w:t>
            </w: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color w:val="FFFFFF" w:themeColor="background1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Effect size that is much larger than in other RCTs regarding the same topic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Conflicting information between outcomes (e.g. more ongoing pregnancies than clinical pregnancies)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  <w:tr w:rsidR="003F299F" w:rsidRPr="00CE0C3E" w:rsidTr="003F299F">
        <w:tc>
          <w:tcPr>
            <w:tcW w:w="541" w:type="pct"/>
            <w:vMerge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2264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CE0C3E">
              <w:rPr>
                <w:rFonts w:ascii="Arial" w:hAnsi="Arial" w:cs="Arial"/>
                <w:sz w:val="20"/>
                <w:szCs w:val="20"/>
                <w:lang w:val="en-AU"/>
              </w:rPr>
              <w:t>Change in primary outcome from registration to publication</w:t>
            </w:r>
          </w:p>
        </w:tc>
        <w:tc>
          <w:tcPr>
            <w:tcW w:w="376" w:type="pct"/>
            <w:gridSpan w:val="3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520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433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  <w:tc>
          <w:tcPr>
            <w:tcW w:w="866" w:type="pct"/>
          </w:tcPr>
          <w:p w:rsidR="003F299F" w:rsidRPr="00CE0C3E" w:rsidRDefault="003F299F" w:rsidP="004E00E7">
            <w:pPr>
              <w:rPr>
                <w:rFonts w:ascii="Arial" w:hAnsi="Arial" w:cs="Arial"/>
                <w:sz w:val="20"/>
                <w:szCs w:val="20"/>
                <w:lang w:val="en-AU"/>
              </w:rPr>
            </w:pPr>
          </w:p>
        </w:tc>
      </w:tr>
    </w:tbl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</w:p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  <w:r w:rsidRPr="00CE0C3E">
        <w:rPr>
          <w:rFonts w:ascii="Arial" w:hAnsi="Arial" w:cs="Arial"/>
          <w:sz w:val="20"/>
          <w:szCs w:val="20"/>
          <w:u w:val="single"/>
          <w:lang w:val="en-AU"/>
        </w:rPr>
        <w:t>Additional Comments</w:t>
      </w:r>
    </w:p>
    <w:p w:rsidR="003F299F" w:rsidRPr="00CE0C3E" w:rsidRDefault="003F299F" w:rsidP="003F299F">
      <w:pPr>
        <w:rPr>
          <w:rFonts w:ascii="Arial" w:hAnsi="Arial" w:cs="Arial"/>
          <w:sz w:val="20"/>
          <w:szCs w:val="20"/>
          <w:lang w:val="en-AU"/>
        </w:rPr>
      </w:pPr>
      <w:r w:rsidRPr="00CE0C3E">
        <w:rPr>
          <w:rFonts w:ascii="Arial" w:hAnsi="Arial" w:cs="Arial"/>
          <w:sz w:val="20"/>
          <w:szCs w:val="20"/>
          <w:lang w:val="en-A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089C" w:rsidRDefault="00B8089C"/>
    <w:sectPr w:rsidR="00B8089C" w:rsidSect="003F29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99F"/>
    <w:rsid w:val="002653D3"/>
    <w:rsid w:val="002D3C2C"/>
    <w:rsid w:val="00313467"/>
    <w:rsid w:val="00350D36"/>
    <w:rsid w:val="0035498F"/>
    <w:rsid w:val="00395939"/>
    <w:rsid w:val="003F299F"/>
    <w:rsid w:val="00463705"/>
    <w:rsid w:val="00490108"/>
    <w:rsid w:val="004A50AA"/>
    <w:rsid w:val="0057172D"/>
    <w:rsid w:val="005B67F7"/>
    <w:rsid w:val="005D1BF8"/>
    <w:rsid w:val="005F0CD9"/>
    <w:rsid w:val="006102ED"/>
    <w:rsid w:val="00632290"/>
    <w:rsid w:val="006704F6"/>
    <w:rsid w:val="00681AD3"/>
    <w:rsid w:val="00722E69"/>
    <w:rsid w:val="00732384"/>
    <w:rsid w:val="007E5192"/>
    <w:rsid w:val="008010FF"/>
    <w:rsid w:val="00806EC2"/>
    <w:rsid w:val="00807AB5"/>
    <w:rsid w:val="0082525B"/>
    <w:rsid w:val="00862B56"/>
    <w:rsid w:val="00896B99"/>
    <w:rsid w:val="009008C0"/>
    <w:rsid w:val="00916C54"/>
    <w:rsid w:val="00944BBF"/>
    <w:rsid w:val="009D6116"/>
    <w:rsid w:val="00AB4FE4"/>
    <w:rsid w:val="00B42D46"/>
    <w:rsid w:val="00B551B4"/>
    <w:rsid w:val="00B8089C"/>
    <w:rsid w:val="00C3740B"/>
    <w:rsid w:val="00C9047B"/>
    <w:rsid w:val="00D73BDC"/>
    <w:rsid w:val="00D7657A"/>
    <w:rsid w:val="00D872D2"/>
    <w:rsid w:val="00DC0520"/>
    <w:rsid w:val="00DD1DB6"/>
    <w:rsid w:val="00E173D2"/>
    <w:rsid w:val="00E77A15"/>
    <w:rsid w:val="00F56922"/>
    <w:rsid w:val="00F73CE4"/>
    <w:rsid w:val="00F8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BBF"/>
    <w:pPr>
      <w:widowControl w:val="0"/>
      <w:jc w:val="both"/>
    </w:pPr>
    <w:rPr>
      <w:rFonts w:ascii="Times New Roman" w:eastAsia="SimSun" w:hAnsi="Times New Roman" w:cs="SimSun"/>
      <w:kern w:val="2"/>
      <w:sz w:val="21"/>
      <w:szCs w:val="24"/>
    </w:rPr>
  </w:style>
  <w:style w:type="paragraph" w:styleId="Heading1">
    <w:name w:val="heading 1"/>
    <w:basedOn w:val="Normal"/>
    <w:link w:val="Heading1Char"/>
    <w:uiPriority w:val="9"/>
    <w:qFormat/>
    <w:rsid w:val="00DD1D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4BBF"/>
    <w:pPr>
      <w:keepNext/>
      <w:keepLines/>
      <w:spacing w:before="260" w:after="260" w:line="416" w:lineRule="auto"/>
      <w:outlineLvl w:val="1"/>
    </w:pPr>
    <w:rPr>
      <w:rFonts w:ascii="DengXian Light" w:eastAsia="DengXian Light" w:hAnsi="DengXian Light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after="200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qFormat/>
    <w:rsid w:val="00944BBF"/>
    <w:rPr>
      <w:b/>
    </w:rPr>
  </w:style>
  <w:style w:type="paragraph" w:styleId="ListParagraph">
    <w:name w:val="List Paragraph"/>
    <w:basedOn w:val="Normal"/>
    <w:link w:val="ListParagraphChar"/>
    <w:uiPriority w:val="34"/>
    <w:qFormat/>
    <w:rsid w:val="00944BBF"/>
    <w:pPr>
      <w:ind w:firstLineChars="200" w:firstLine="420"/>
    </w:p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Theme="majorHAnsi" w:eastAsiaTheme="majorEastAsia" w:hAnsiTheme="majorHAnsi" w:cstheme="majorBidi"/>
      <w:b/>
      <w:bCs/>
      <w:color w:val="2F5496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C0520"/>
    <w:rPr>
      <w:rFonts w:ascii="DengXian Light" w:eastAsia="DengXian Light" w:hAnsi="DengXian Light" w:cstheme="majorBidi"/>
      <w:b/>
      <w:bCs/>
      <w:kern w:val="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944BBF"/>
    <w:pPr>
      <w:widowControl w:val="0"/>
      <w:jc w:val="both"/>
    </w:pPr>
    <w:rPr>
      <w:rFonts w:ascii="Times New Roman" w:eastAsia="SimSun" w:hAnsi="Times New Roman" w:cs="SimSun"/>
      <w:kern w:val="2"/>
      <w:sz w:val="21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rFonts w:ascii="Times New Roman" w:eastAsia="SimSun" w:hAnsi="Times New Roman" w:cs="SimSun"/>
      <w:kern w:val="2"/>
      <w:sz w:val="21"/>
      <w:szCs w:val="24"/>
    </w:rPr>
  </w:style>
  <w:style w:type="paragraph" w:styleId="CommentText">
    <w:name w:val="annotation text"/>
    <w:basedOn w:val="Normal"/>
    <w:link w:val="CommentTextChar"/>
    <w:semiHidden/>
    <w:unhideWhenUsed/>
    <w:qFormat/>
    <w:rsid w:val="00944BBF"/>
    <w:rPr>
      <w:rFonts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semiHidden/>
    <w:qFormat/>
    <w:rsid w:val="00944BBF"/>
    <w:rPr>
      <w:rFonts w:ascii="Times New Roman" w:eastAsia="SimSun" w:hAnsi="Times New Roman" w:cs="Times New Roman"/>
      <w:kern w:val="2"/>
      <w:lang w:eastAsia="zh-CN"/>
    </w:rPr>
  </w:style>
  <w:style w:type="paragraph" w:styleId="Header">
    <w:name w:val="header"/>
    <w:basedOn w:val="Normal"/>
    <w:link w:val="HeaderChar"/>
    <w:uiPriority w:val="99"/>
    <w:unhideWhenUsed/>
    <w:qFormat/>
    <w:rsid w:val="00944B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44BB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944B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44BBF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44BBF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944BB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944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44BBF"/>
    <w:rPr>
      <w:rFonts w:ascii="Times New Roman" w:eastAsia="SimSun" w:hAnsi="Times New Roman" w:cs="Times New Roman"/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44BBF"/>
    <w:rPr>
      <w:rFonts w:ascii="Segoe UI" w:hAnsi="Segoe UI" w:cs="Segoe UI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44BBF"/>
    <w:rPr>
      <w:rFonts w:ascii="Segoe UI" w:eastAsia="SimSun" w:hAnsi="Segoe UI" w:cs="Segoe UI"/>
      <w:kern w:val="2"/>
      <w:sz w:val="18"/>
      <w:szCs w:val="18"/>
      <w:lang w:eastAsia="zh-CN"/>
    </w:rPr>
  </w:style>
  <w:style w:type="character" w:styleId="PlaceholderText">
    <w:name w:val="Placeholder Text"/>
    <w:basedOn w:val="DefaultParagraphFont"/>
    <w:uiPriority w:val="99"/>
    <w:semiHidden/>
    <w:qFormat/>
    <w:rsid w:val="00944BBF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44BBF"/>
    <w:rPr>
      <w:rFonts w:ascii="Times New Roman" w:eastAsia="SimSun" w:hAnsi="Times New Roman" w:cs="SimSun"/>
      <w:kern w:val="2"/>
      <w:sz w:val="21"/>
      <w:szCs w:val="24"/>
    </w:rPr>
  </w:style>
  <w:style w:type="table" w:styleId="TableGrid">
    <w:name w:val="Table Grid"/>
    <w:basedOn w:val="TableNormal"/>
    <w:uiPriority w:val="39"/>
    <w:rsid w:val="003F299F"/>
    <w:rPr>
      <w:rFonts w:eastAsia="SimSu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BBF"/>
    <w:pPr>
      <w:widowControl w:val="0"/>
      <w:jc w:val="both"/>
    </w:pPr>
    <w:rPr>
      <w:rFonts w:ascii="Times New Roman" w:eastAsia="SimSun" w:hAnsi="Times New Roman" w:cs="SimSun"/>
      <w:kern w:val="2"/>
      <w:sz w:val="21"/>
      <w:szCs w:val="24"/>
    </w:rPr>
  </w:style>
  <w:style w:type="paragraph" w:styleId="Heading1">
    <w:name w:val="heading 1"/>
    <w:basedOn w:val="Normal"/>
    <w:link w:val="Heading1Char"/>
    <w:uiPriority w:val="9"/>
    <w:qFormat/>
    <w:rsid w:val="00DD1D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4BBF"/>
    <w:pPr>
      <w:keepNext/>
      <w:keepLines/>
      <w:spacing w:before="260" w:after="260" w:line="416" w:lineRule="auto"/>
      <w:outlineLvl w:val="1"/>
    </w:pPr>
    <w:rPr>
      <w:rFonts w:ascii="DengXian Light" w:eastAsia="DengXian Light" w:hAnsi="DengXian Light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2D3C2C"/>
    <w:pPr>
      <w:spacing w:after="200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qFormat/>
    <w:rsid w:val="00944BBF"/>
    <w:rPr>
      <w:b/>
    </w:rPr>
  </w:style>
  <w:style w:type="paragraph" w:styleId="ListParagraph">
    <w:name w:val="List Paragraph"/>
    <w:basedOn w:val="Normal"/>
    <w:link w:val="ListParagraphChar"/>
    <w:uiPriority w:val="34"/>
    <w:qFormat/>
    <w:rsid w:val="00944BBF"/>
    <w:pPr>
      <w:ind w:firstLineChars="200" w:firstLine="420"/>
    </w:pPr>
  </w:style>
  <w:style w:type="character" w:customStyle="1" w:styleId="Heading1Char">
    <w:name w:val="Heading 1 Char"/>
    <w:basedOn w:val="DefaultParagraphFont"/>
    <w:link w:val="Heading1"/>
    <w:uiPriority w:val="9"/>
    <w:rsid w:val="00DD1DB6"/>
    <w:rPr>
      <w:rFonts w:asciiTheme="majorHAnsi" w:eastAsiaTheme="majorEastAsia" w:hAnsiTheme="majorHAnsi" w:cstheme="majorBidi"/>
      <w:b/>
      <w:bCs/>
      <w:color w:val="2F5496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C0520"/>
    <w:rPr>
      <w:rFonts w:ascii="DengXian Light" w:eastAsia="DengXian Light" w:hAnsi="DengXian Light" w:cstheme="majorBidi"/>
      <w:b/>
      <w:bCs/>
      <w:kern w:val="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DC0520"/>
    <w:rPr>
      <w:i/>
      <w:iCs/>
    </w:rPr>
  </w:style>
  <w:style w:type="paragraph" w:styleId="NoSpacing">
    <w:name w:val="No Spacing"/>
    <w:link w:val="NoSpacingChar"/>
    <w:uiPriority w:val="1"/>
    <w:qFormat/>
    <w:rsid w:val="00944BBF"/>
    <w:pPr>
      <w:widowControl w:val="0"/>
      <w:jc w:val="both"/>
    </w:pPr>
    <w:rPr>
      <w:rFonts w:ascii="Times New Roman" w:eastAsia="SimSun" w:hAnsi="Times New Roman" w:cs="SimSun"/>
      <w:kern w:val="2"/>
      <w:sz w:val="21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C0520"/>
    <w:rPr>
      <w:rFonts w:ascii="Times New Roman" w:eastAsia="SimSun" w:hAnsi="Times New Roman" w:cs="SimSun"/>
      <w:kern w:val="2"/>
      <w:sz w:val="21"/>
      <w:szCs w:val="24"/>
    </w:rPr>
  </w:style>
  <w:style w:type="paragraph" w:styleId="CommentText">
    <w:name w:val="annotation text"/>
    <w:basedOn w:val="Normal"/>
    <w:link w:val="CommentTextChar"/>
    <w:semiHidden/>
    <w:unhideWhenUsed/>
    <w:qFormat/>
    <w:rsid w:val="00944BBF"/>
    <w:rPr>
      <w:rFonts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semiHidden/>
    <w:qFormat/>
    <w:rsid w:val="00944BBF"/>
    <w:rPr>
      <w:rFonts w:ascii="Times New Roman" w:eastAsia="SimSun" w:hAnsi="Times New Roman" w:cs="Times New Roman"/>
      <w:kern w:val="2"/>
      <w:lang w:eastAsia="zh-CN"/>
    </w:rPr>
  </w:style>
  <w:style w:type="paragraph" w:styleId="Header">
    <w:name w:val="header"/>
    <w:basedOn w:val="Normal"/>
    <w:link w:val="HeaderChar"/>
    <w:uiPriority w:val="99"/>
    <w:unhideWhenUsed/>
    <w:qFormat/>
    <w:rsid w:val="00944B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44BB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944B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44BBF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44BBF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944BB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944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44BBF"/>
    <w:rPr>
      <w:rFonts w:ascii="Times New Roman" w:eastAsia="SimSun" w:hAnsi="Times New Roman" w:cs="Times New Roman"/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44BBF"/>
    <w:rPr>
      <w:rFonts w:ascii="Segoe UI" w:hAnsi="Segoe UI" w:cs="Segoe UI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44BBF"/>
    <w:rPr>
      <w:rFonts w:ascii="Segoe UI" w:eastAsia="SimSun" w:hAnsi="Segoe UI" w:cs="Segoe UI"/>
      <w:kern w:val="2"/>
      <w:sz w:val="18"/>
      <w:szCs w:val="18"/>
      <w:lang w:eastAsia="zh-CN"/>
    </w:rPr>
  </w:style>
  <w:style w:type="character" w:styleId="PlaceholderText">
    <w:name w:val="Placeholder Text"/>
    <w:basedOn w:val="DefaultParagraphFont"/>
    <w:uiPriority w:val="99"/>
    <w:semiHidden/>
    <w:qFormat/>
    <w:rsid w:val="00944BBF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44BBF"/>
    <w:rPr>
      <w:rFonts w:ascii="Times New Roman" w:eastAsia="SimSun" w:hAnsi="Times New Roman" w:cs="SimSun"/>
      <w:kern w:val="2"/>
      <w:sz w:val="21"/>
      <w:szCs w:val="24"/>
    </w:rPr>
  </w:style>
  <w:style w:type="table" w:styleId="TableGrid">
    <w:name w:val="Table Grid"/>
    <w:basedOn w:val="TableNormal"/>
    <w:uiPriority w:val="39"/>
    <w:rsid w:val="003F299F"/>
    <w:rPr>
      <w:rFonts w:eastAsia="SimSu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E744616</dc:creator>
  <cp:lastModifiedBy>E744616</cp:lastModifiedBy>
  <cp:revision>1</cp:revision>
  <dcterms:created xsi:type="dcterms:W3CDTF">2023-04-04T02:51:00Z</dcterms:created>
  <dcterms:modified xsi:type="dcterms:W3CDTF">2023-04-04T02:52:00Z</dcterms:modified>
</cp:coreProperties>
</file>