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b/>
          <w:bCs/>
          <w:u w:val="single"/>
          <w:lang w:val="en-GB"/>
        </w:rPr>
      </w:pPr>
      <w:bookmarkStart w:id="0" w:name="_Hlk195266403"/>
      <w:bookmarkStart w:id="1" w:name="_GoBack"/>
      <w:bookmarkEnd w:id="1"/>
      <w:r>
        <w:rPr>
          <w:b/>
          <w:bCs/>
          <w:u w:val="single"/>
          <w:lang w:val="en-GB"/>
        </w:rPr>
        <w:t>Subgroup analysis</w:t>
      </w:r>
    </w:p>
    <w:p>
      <w:pPr>
        <w:rPr>
          <w:b/>
          <w:bCs/>
          <w:lang w:val="en-GB"/>
        </w:rPr>
      </w:pPr>
    </w:p>
    <w:p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Table 8. Subgroup analysis </w:t>
      </w:r>
    </w:p>
    <w:tbl>
      <w:tblPr>
        <w:tblW w:w="1420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1"/>
        <w:gridCol w:w="1308"/>
        <w:gridCol w:w="1628"/>
        <w:gridCol w:w="2693"/>
        <w:gridCol w:w="1064"/>
        <w:gridCol w:w="1701"/>
        <w:gridCol w:w="1409"/>
        <w:gridCol w:w="827"/>
        <w:gridCol w:w="956"/>
      </w:tblGrid>
      <w:tr>
        <w:trPr>
          <w:trHeight w:val="296"/>
        </w:trPr>
        <w:tc>
          <w:tcPr>
            <w:tcW w:w="2621" w:type="dxa"/>
            <w:shd w:val="clear" w:color="auto" w:fill="auto"/>
            <w:noWrap/>
            <w:vAlign w:val="center"/>
            <w:hideMark/>
          </w:tcPr>
          <w:p>
            <w:pPr>
              <w:rPr>
                <w:b/>
                <w:bCs/>
                <w:color w:val="000000"/>
                <w:sz w:val="22"/>
                <w:lang w:val="en-GB"/>
              </w:rPr>
            </w:pPr>
            <w:r>
              <w:rPr>
                <w:b/>
                <w:bCs/>
                <w:color w:val="000000"/>
                <w:sz w:val="22"/>
                <w:lang w:val="en-GB"/>
              </w:rPr>
              <w:t>Study</w:t>
            </w: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b/>
                <w:bCs/>
                <w:color w:val="000000"/>
                <w:sz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Training type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b/>
                <w:bCs/>
                <w:color w:val="000000"/>
                <w:sz w:val="22"/>
                <w:lang w:val="en-GB"/>
              </w:rPr>
            </w:pPr>
            <w:r>
              <w:rPr>
                <w:b/>
                <w:bCs/>
                <w:color w:val="000000"/>
                <w:sz w:val="22"/>
                <w:lang w:val="en-GB"/>
              </w:rPr>
              <w:t>Intervention type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b/>
                <w:bCs/>
                <w:color w:val="000000"/>
                <w:sz w:val="22"/>
                <w:lang w:val="en-GB"/>
              </w:rPr>
            </w:pPr>
            <w:r>
              <w:rPr>
                <w:b/>
                <w:bCs/>
                <w:color w:val="000000"/>
                <w:sz w:val="22"/>
                <w:lang w:val="en-GB"/>
              </w:rPr>
              <w:t>Interventional experience*</w:t>
            </w:r>
          </w:p>
        </w:tc>
        <w:tc>
          <w:tcPr>
            <w:tcW w:w="1064" w:type="dxa"/>
          </w:tcPr>
          <w:p>
            <w:pPr>
              <w:jc w:val="center"/>
              <w:rPr>
                <w:b/>
                <w:bCs/>
                <w:color w:val="000000"/>
                <w:sz w:val="22"/>
                <w:lang w:val="en-GB"/>
              </w:rPr>
            </w:pPr>
            <w:r>
              <w:rPr>
                <w:b/>
                <w:bCs/>
                <w:color w:val="000000"/>
                <w:sz w:val="22"/>
                <w:lang w:val="en-GB"/>
              </w:rPr>
              <w:t>Study size</w:t>
            </w:r>
            <w:r>
              <w:rPr>
                <w:lang w:val="en-GB"/>
              </w:rPr>
              <w:t>°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b/>
                <w:bCs/>
                <w:color w:val="000000"/>
                <w:sz w:val="22"/>
                <w:lang w:val="en-GB"/>
              </w:rPr>
            </w:pPr>
            <w:r>
              <w:rPr>
                <w:b/>
                <w:bCs/>
                <w:color w:val="000000"/>
                <w:sz w:val="22"/>
                <w:lang w:val="en-GB"/>
              </w:rPr>
              <w:t>Simulator type</w:t>
            </w:r>
          </w:p>
        </w:tc>
        <w:tc>
          <w:tcPr>
            <w:tcW w:w="1409" w:type="dxa"/>
            <w:vAlign w:val="center"/>
          </w:tcPr>
          <w:p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color w:val="000000"/>
                <w:sz w:val="22"/>
                <w:lang w:val="en-GB"/>
              </w:rPr>
              <w:t>Study design</w:t>
            </w:r>
          </w:p>
        </w:tc>
        <w:tc>
          <w:tcPr>
            <w:tcW w:w="1783" w:type="dxa"/>
            <w:gridSpan w:val="2"/>
            <w:vAlign w:val="center"/>
          </w:tcPr>
          <w:p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Subgroup analysis</w:t>
            </w:r>
          </w:p>
        </w:tc>
      </w:tr>
      <w:tr>
        <w:trPr>
          <w:trHeight w:val="281"/>
        </w:trPr>
        <w:tc>
          <w:tcPr>
            <w:tcW w:w="2621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2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Cates et al. (2016)</w:t>
            </w: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generic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NA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high</w:t>
            </w:r>
          </w:p>
        </w:tc>
        <w:tc>
          <w:tcPr>
            <w:tcW w:w="1064" w:type="dxa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lang w:val="en-GB"/>
              </w:rPr>
              <w:t>&lt;/=30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VIST</w:t>
            </w:r>
          </w:p>
        </w:tc>
        <w:tc>
          <w:tcPr>
            <w:tcW w:w="1409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randomized</w:t>
            </w: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>PT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FT</w:t>
            </w:r>
          </w:p>
        </w:tc>
      </w:tr>
      <w:tr>
        <w:trPr>
          <w:trHeight w:val="281"/>
        </w:trPr>
        <w:tc>
          <w:tcPr>
            <w:tcW w:w="2621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2"/>
                <w:lang w:val="en-GB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Desender</w:t>
            </w:r>
            <w:proofErr w:type="spellEnd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 xml:space="preserve"> et al. (2016)</w:t>
            </w: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specific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EVAR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high</w:t>
            </w:r>
          </w:p>
        </w:tc>
        <w:tc>
          <w:tcPr>
            <w:tcW w:w="1064" w:type="dxa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lang w:val="en-GB"/>
              </w:rPr>
              <w:t>&gt;30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AM</w:t>
            </w:r>
          </w:p>
        </w:tc>
        <w:tc>
          <w:tcPr>
            <w:tcW w:w="1409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randomized</w:t>
            </w: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>PT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FT</w:t>
            </w:r>
          </w:p>
        </w:tc>
      </w:tr>
      <w:tr>
        <w:trPr>
          <w:trHeight w:val="281"/>
        </w:trPr>
        <w:tc>
          <w:tcPr>
            <w:tcW w:w="2621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2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Jensen et al. (2014)</w:t>
            </w: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generic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CA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low</w:t>
            </w:r>
          </w:p>
        </w:tc>
        <w:tc>
          <w:tcPr>
            <w:tcW w:w="1064" w:type="dxa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lang w:val="en-GB"/>
              </w:rPr>
              <w:t>&gt;30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VIST</w:t>
            </w:r>
          </w:p>
        </w:tc>
        <w:tc>
          <w:tcPr>
            <w:tcW w:w="1409" w:type="dxa"/>
            <w:vAlign w:val="center"/>
          </w:tcPr>
          <w:p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retrospective</w:t>
            </w: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  <w:lang w:val="en-GB"/>
              </w:rPr>
            </w:pPr>
            <w:proofErr w:type="spellStart"/>
            <w:r>
              <w:rPr>
                <w:sz w:val="22"/>
                <w:szCs w:val="22"/>
                <w:lang w:val="en-GB"/>
              </w:rPr>
              <w:t>n.a</w:t>
            </w:r>
            <w:proofErr w:type="spellEnd"/>
            <w:r>
              <w:rPr>
                <w:sz w:val="22"/>
                <w:szCs w:val="22"/>
                <w:lang w:val="en-GB"/>
              </w:rPr>
              <w:t>.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FT</w:t>
            </w:r>
          </w:p>
        </w:tc>
      </w:tr>
      <w:tr>
        <w:trPr>
          <w:trHeight w:val="223"/>
        </w:trPr>
        <w:tc>
          <w:tcPr>
            <w:tcW w:w="2621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2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Jensen et al. (2016)</w:t>
            </w: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generic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CA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low</w:t>
            </w:r>
          </w:p>
        </w:tc>
        <w:tc>
          <w:tcPr>
            <w:tcW w:w="1064" w:type="dxa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lang w:val="en-GB"/>
              </w:rPr>
              <w:t>&lt;/=30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VIST</w:t>
            </w:r>
          </w:p>
        </w:tc>
        <w:tc>
          <w:tcPr>
            <w:tcW w:w="1409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randomized</w:t>
            </w: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>PT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FT</w:t>
            </w:r>
          </w:p>
        </w:tc>
      </w:tr>
      <w:tr>
        <w:trPr>
          <w:trHeight w:val="281"/>
        </w:trPr>
        <w:tc>
          <w:tcPr>
            <w:tcW w:w="2621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2"/>
                <w:lang w:val="en-GB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Kreiser</w:t>
            </w:r>
            <w:proofErr w:type="spellEnd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 xml:space="preserve"> et al. (2020) A</w:t>
            </w: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generic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NA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low</w:t>
            </w:r>
          </w:p>
        </w:tc>
        <w:tc>
          <w:tcPr>
            <w:tcW w:w="1064" w:type="dxa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lang w:val="en-GB"/>
              </w:rPr>
              <w:t>&gt;30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VIST</w:t>
            </w:r>
          </w:p>
        </w:tc>
        <w:tc>
          <w:tcPr>
            <w:tcW w:w="1409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retrospective</w:t>
            </w: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  <w:lang w:val="en-GB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GB"/>
              </w:rPr>
              <w:t>n.a</w:t>
            </w:r>
            <w:proofErr w:type="spellEnd"/>
            <w:r>
              <w:rPr>
                <w:color w:val="000000"/>
                <w:sz w:val="22"/>
                <w:szCs w:val="22"/>
                <w:lang w:val="en-GB"/>
              </w:rPr>
              <w:t>.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FT</w:t>
            </w:r>
          </w:p>
        </w:tc>
      </w:tr>
      <w:tr>
        <w:trPr>
          <w:trHeight w:val="276"/>
        </w:trPr>
        <w:tc>
          <w:tcPr>
            <w:tcW w:w="2621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2"/>
                <w:lang w:val="en-GB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Kreiser</w:t>
            </w:r>
            <w:proofErr w:type="spellEnd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 xml:space="preserve"> et al. (2020) B</w:t>
            </w: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specific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NA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high</w:t>
            </w:r>
          </w:p>
        </w:tc>
        <w:tc>
          <w:tcPr>
            <w:tcW w:w="1064" w:type="dxa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lang w:val="en-GB"/>
              </w:rPr>
              <w:t>&lt;/=30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VIST</w:t>
            </w:r>
          </w:p>
        </w:tc>
        <w:tc>
          <w:tcPr>
            <w:tcW w:w="1409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randomized</w:t>
            </w: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>PT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FT</w:t>
            </w:r>
          </w:p>
        </w:tc>
      </w:tr>
      <w:tr>
        <w:trPr>
          <w:trHeight w:val="281"/>
        </w:trPr>
        <w:tc>
          <w:tcPr>
            <w:tcW w:w="2621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2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Popovic et al. (2019)</w:t>
            </w: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generic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CA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low</w:t>
            </w:r>
          </w:p>
        </w:tc>
        <w:tc>
          <w:tcPr>
            <w:tcW w:w="1064" w:type="dxa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lang w:val="en-GB"/>
              </w:rPr>
              <w:t>&gt;30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AM</w:t>
            </w:r>
          </w:p>
        </w:tc>
        <w:tc>
          <w:tcPr>
            <w:tcW w:w="1409" w:type="dxa"/>
            <w:vAlign w:val="center"/>
          </w:tcPr>
          <w:p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randomized</w:t>
            </w: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PT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FT</w:t>
            </w:r>
          </w:p>
        </w:tc>
      </w:tr>
      <w:tr>
        <w:trPr>
          <w:trHeight w:val="281"/>
        </w:trPr>
        <w:tc>
          <w:tcPr>
            <w:tcW w:w="2621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2"/>
                <w:lang w:val="en-GB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Prenner</w:t>
            </w:r>
            <w:proofErr w:type="spellEnd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 xml:space="preserve"> et al. (2017)</w:t>
            </w: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generic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CA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high</w:t>
            </w:r>
          </w:p>
        </w:tc>
        <w:tc>
          <w:tcPr>
            <w:tcW w:w="1064" w:type="dxa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lang w:val="en-GB"/>
              </w:rPr>
              <w:t>&gt;30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VIST</w:t>
            </w:r>
          </w:p>
        </w:tc>
        <w:tc>
          <w:tcPr>
            <w:tcW w:w="1409" w:type="dxa"/>
            <w:vAlign w:val="center"/>
          </w:tcPr>
          <w:p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retrospective</w:t>
            </w: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PT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FT</w:t>
            </w:r>
          </w:p>
        </w:tc>
      </w:tr>
      <w:tr>
        <w:trPr>
          <w:trHeight w:val="281"/>
        </w:trPr>
        <w:tc>
          <w:tcPr>
            <w:tcW w:w="2621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2"/>
                <w:lang w:val="en-GB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Våpenstad</w:t>
            </w:r>
            <w:proofErr w:type="spellEnd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 xml:space="preserve"> et al. (2021)</w:t>
            </w: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specific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EVAR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high</w:t>
            </w:r>
          </w:p>
        </w:tc>
        <w:tc>
          <w:tcPr>
            <w:tcW w:w="1064" w:type="dxa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lang w:val="en-GB"/>
              </w:rPr>
              <w:t>&lt;/=30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VIST</w:t>
            </w:r>
          </w:p>
        </w:tc>
        <w:tc>
          <w:tcPr>
            <w:tcW w:w="1409" w:type="dxa"/>
            <w:vAlign w:val="center"/>
          </w:tcPr>
          <w:p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retrospective</w:t>
            </w: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PT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FT</w:t>
            </w:r>
          </w:p>
        </w:tc>
      </w:tr>
      <w:tr>
        <w:trPr>
          <w:trHeight w:val="284"/>
        </w:trPr>
        <w:tc>
          <w:tcPr>
            <w:tcW w:w="2621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2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Wooster et al. (2018)</w:t>
            </w: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specific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NA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high</w:t>
            </w:r>
          </w:p>
        </w:tc>
        <w:tc>
          <w:tcPr>
            <w:tcW w:w="1064" w:type="dxa"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lang w:val="en-GB"/>
              </w:rPr>
              <w:t>&lt;/=30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AM</w:t>
            </w:r>
          </w:p>
        </w:tc>
        <w:tc>
          <w:tcPr>
            <w:tcW w:w="1409" w:type="dxa"/>
            <w:vAlign w:val="center"/>
          </w:tcPr>
          <w:p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lang w:val="en-GB"/>
              </w:rPr>
              <w:t>randomized</w:t>
            </w: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PT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FT</w:t>
            </w:r>
          </w:p>
        </w:tc>
      </w:tr>
    </w:tbl>
    <w:p>
      <w:pPr>
        <w:rPr>
          <w:i/>
          <w:iCs/>
          <w:lang w:val="en-GB"/>
        </w:rPr>
      </w:pPr>
      <w:r>
        <w:rPr>
          <w:i/>
          <w:iCs/>
          <w:lang w:val="en-GB"/>
        </w:rPr>
        <w:t>In Table 8, groups for subgroup analysis on training type, intervention type, interventional experience, study size and simulator type were tabulated for procedure time. Abbreviations: AM = Angio Mentor, CA = coronary angiography, EVAR = endovascular aortic repair, NA = neurovascular angiography, PT = procedure time, FT = fluoroscopy time, VIST = vascular interventional simulation trainer.</w:t>
      </w:r>
    </w:p>
    <w:p>
      <w:pPr>
        <w:rPr>
          <w:i/>
          <w:iCs/>
          <w:lang w:val="en-GB"/>
        </w:rPr>
      </w:pPr>
      <w:r>
        <w:rPr>
          <w:i/>
          <w:iCs/>
          <w:lang w:val="en-GB"/>
        </w:rPr>
        <w:t>*Interventional experience was defined as high, if consultants performed/ finished the intervention, and it was defined as low, if residents performed the intervention.</w:t>
      </w:r>
    </w:p>
    <w:p>
      <w:pPr>
        <w:rPr>
          <w:i/>
          <w:iCs/>
          <w:lang w:val="en-GB"/>
        </w:rPr>
      </w:pPr>
      <w:r>
        <w:rPr>
          <w:i/>
          <w:iCs/>
          <w:lang w:val="en-GB"/>
        </w:rPr>
        <w:t>°Subgroups were divided by number of interventions &lt;/=30 and &gt;30 interventions.</w:t>
      </w:r>
    </w:p>
    <w:p>
      <w:pPr>
        <w:rPr>
          <w:b/>
          <w:bCs/>
          <w:lang w:val="en-GB"/>
        </w:rPr>
      </w:pPr>
    </w:p>
    <w:p>
      <w:pPr>
        <w:rPr>
          <w:b/>
          <w:bCs/>
          <w:lang w:val="en-GB"/>
        </w:rPr>
      </w:pPr>
    </w:p>
    <w:p>
      <w:pPr>
        <w:rPr>
          <w:b/>
          <w:bCs/>
          <w:lang w:val="en-GB"/>
        </w:rPr>
      </w:pPr>
    </w:p>
    <w:p>
      <w:pPr>
        <w:rPr>
          <w:b/>
          <w:bCs/>
          <w:lang w:val="en-GB"/>
        </w:rPr>
      </w:pPr>
    </w:p>
    <w:p>
      <w:pPr>
        <w:rPr>
          <w:b/>
          <w:bCs/>
          <w:lang w:val="en-GB"/>
        </w:rPr>
      </w:pPr>
    </w:p>
    <w:p>
      <w:pPr>
        <w:rPr>
          <w:b/>
          <w:bCs/>
          <w:lang w:val="en-GB"/>
        </w:rPr>
      </w:pPr>
    </w:p>
    <w:p>
      <w:pPr>
        <w:rPr>
          <w:b/>
          <w:bCs/>
          <w:lang w:val="en-GB"/>
        </w:rPr>
      </w:pPr>
    </w:p>
    <w:p>
      <w:pPr>
        <w:rPr>
          <w:b/>
          <w:bCs/>
          <w:lang w:val="en-GB"/>
        </w:rPr>
      </w:pPr>
    </w:p>
    <w:p>
      <w:pPr>
        <w:rPr>
          <w:b/>
          <w:bCs/>
          <w:lang w:val="en-GB"/>
        </w:rPr>
      </w:pPr>
    </w:p>
    <w:p>
      <w:pPr>
        <w:rPr>
          <w:b/>
          <w:bCs/>
          <w:lang w:val="en-GB"/>
        </w:rPr>
      </w:pPr>
    </w:p>
    <w:p>
      <w:pPr>
        <w:rPr>
          <w:b/>
          <w:bCs/>
          <w:lang w:val="en-GB"/>
        </w:rPr>
      </w:pPr>
    </w:p>
    <w:p>
      <w:pPr>
        <w:rPr>
          <w:b/>
          <w:bCs/>
          <w:lang w:val="en-GB"/>
        </w:rPr>
      </w:pPr>
    </w:p>
    <w:p>
      <w:pPr>
        <w:rPr>
          <w:b/>
          <w:bCs/>
          <w:lang w:val="en-GB"/>
        </w:rPr>
      </w:pPr>
      <w:r>
        <w:rPr>
          <w:b/>
          <w:bCs/>
          <w:lang w:val="en-GB"/>
        </w:rPr>
        <w:t>Table 9. Subgroup analysis of the procedure time</w:t>
      </w:r>
    </w:p>
    <w:tbl>
      <w:tblPr>
        <w:tblStyle w:val="Tabellenraster"/>
        <w:tblW w:w="12611" w:type="dxa"/>
        <w:tblLook w:val="04A0" w:firstRow="1" w:lastRow="0" w:firstColumn="1" w:lastColumn="0" w:noHBand="0" w:noVBand="1"/>
      </w:tblPr>
      <w:tblGrid>
        <w:gridCol w:w="2961"/>
        <w:gridCol w:w="1603"/>
        <w:gridCol w:w="2398"/>
        <w:gridCol w:w="851"/>
        <w:gridCol w:w="1271"/>
        <w:gridCol w:w="2537"/>
        <w:gridCol w:w="990"/>
      </w:tblGrid>
      <w:tr>
        <w:tc>
          <w:tcPr>
            <w:tcW w:w="4564" w:type="dxa"/>
            <w:gridSpan w:val="2"/>
          </w:tcPr>
          <w:p>
            <w:pPr>
              <w:rPr>
                <w:b/>
                <w:bCs/>
                <w:lang w:val="en-GB"/>
              </w:rPr>
            </w:pPr>
            <w:bookmarkStart w:id="2" w:name="_Hlk195265171"/>
            <w:r>
              <w:rPr>
                <w:b/>
                <w:bCs/>
                <w:lang w:val="en-GB"/>
              </w:rPr>
              <w:t>Subgroup</w:t>
            </w:r>
          </w:p>
        </w:tc>
        <w:tc>
          <w:tcPr>
            <w:tcW w:w="2398" w:type="dxa"/>
          </w:tcPr>
          <w:p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n</w:t>
            </w:r>
          </w:p>
        </w:tc>
        <w:tc>
          <w:tcPr>
            <w:tcW w:w="851" w:type="dxa"/>
          </w:tcPr>
          <w:p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I</w:t>
            </w:r>
            <w:r>
              <w:rPr>
                <w:b/>
                <w:bCs/>
                <w:vertAlign w:val="superscript"/>
                <w:lang w:val="en-GB"/>
              </w:rPr>
              <w:t>2</w:t>
            </w:r>
          </w:p>
        </w:tc>
        <w:tc>
          <w:tcPr>
            <w:tcW w:w="1271" w:type="dxa"/>
          </w:tcPr>
          <w:p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MD</w:t>
            </w:r>
          </w:p>
        </w:tc>
        <w:tc>
          <w:tcPr>
            <w:tcW w:w="2537" w:type="dxa"/>
          </w:tcPr>
          <w:p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95% CI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b/>
                <w:bCs/>
                <w:lang w:val="en-GB"/>
              </w:rPr>
              <w:t>p-value</w:t>
            </w:r>
          </w:p>
        </w:tc>
      </w:tr>
      <w:tr>
        <w:tc>
          <w:tcPr>
            <w:tcW w:w="2961" w:type="dxa"/>
            <w:vMerge w:val="restart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Training type</w:t>
            </w: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generic</w:t>
            </w:r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48%</w:t>
            </w:r>
          </w:p>
        </w:tc>
        <w:tc>
          <w:tcPr>
            <w:tcW w:w="127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-2.08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-4.52 min – 0.36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0.07</w:t>
            </w:r>
          </w:p>
        </w:tc>
      </w:tr>
      <w:tr>
        <w:tc>
          <w:tcPr>
            <w:tcW w:w="2961" w:type="dxa"/>
            <w:vMerge/>
          </w:tcPr>
          <w:p>
            <w:pPr>
              <w:rPr>
                <w:b/>
                <w:bCs/>
                <w:lang w:val="en-GB"/>
              </w:rPr>
            </w:pP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specific</w:t>
            </w:r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32.5%</w:t>
            </w:r>
          </w:p>
        </w:tc>
        <w:tc>
          <w:tcPr>
            <w:tcW w:w="127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-3.29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-10.57 min – 4.00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0.25</w:t>
            </w:r>
          </w:p>
        </w:tc>
      </w:tr>
      <w:tr>
        <w:tc>
          <w:tcPr>
            <w:tcW w:w="2961" w:type="dxa"/>
            <w:vMerge w:val="restart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Intervention type</w:t>
            </w: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CA</w:t>
            </w:r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54.2%</w:t>
            </w:r>
          </w:p>
        </w:tc>
        <w:tc>
          <w:tcPr>
            <w:tcW w:w="127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-1.92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-5.44 min – 1.61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0.14</w:t>
            </w:r>
          </w:p>
        </w:tc>
      </w:tr>
      <w:tr>
        <w:tc>
          <w:tcPr>
            <w:tcW w:w="2961" w:type="dxa"/>
            <w:vMerge/>
          </w:tcPr>
          <w:p>
            <w:pPr>
              <w:rPr>
                <w:b/>
                <w:bCs/>
                <w:lang w:val="en-GB"/>
              </w:rPr>
            </w:pP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EVAR</w:t>
            </w:r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6.7%</w:t>
            </w:r>
          </w:p>
        </w:tc>
        <w:tc>
          <w:tcPr>
            <w:tcW w:w="127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-3.23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-21.61 min – 15.15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0.27</w:t>
            </w:r>
          </w:p>
        </w:tc>
      </w:tr>
      <w:tr>
        <w:tc>
          <w:tcPr>
            <w:tcW w:w="2961" w:type="dxa"/>
            <w:vMerge/>
          </w:tcPr>
          <w:p>
            <w:pPr>
              <w:rPr>
                <w:b/>
                <w:bCs/>
                <w:lang w:val="en-GB"/>
              </w:rPr>
            </w:pP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NA</w:t>
            </w:r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35.2%</w:t>
            </w:r>
          </w:p>
        </w:tc>
        <w:tc>
          <w:tcPr>
            <w:tcW w:w="127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-3.80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-18.99 min – 11.40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0.39</w:t>
            </w:r>
          </w:p>
        </w:tc>
      </w:tr>
      <w:tr>
        <w:tc>
          <w:tcPr>
            <w:tcW w:w="2961" w:type="dxa"/>
            <w:vMerge w:val="restart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Interventional experience</w:t>
            </w: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High*</w:t>
            </w:r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6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49.2%</w:t>
            </w:r>
          </w:p>
        </w:tc>
        <w:tc>
          <w:tcPr>
            <w:tcW w:w="127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-2.51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-5.86 min – 0.84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0.11</w:t>
            </w:r>
          </w:p>
        </w:tc>
      </w:tr>
      <w:tr>
        <w:tc>
          <w:tcPr>
            <w:tcW w:w="2961" w:type="dxa"/>
            <w:vMerge/>
          </w:tcPr>
          <w:p>
            <w:pPr>
              <w:rPr>
                <w:b/>
                <w:bCs/>
                <w:lang w:val="en-GB"/>
              </w:rPr>
            </w:pP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Low*</w:t>
            </w:r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14.1%</w:t>
            </w:r>
          </w:p>
        </w:tc>
        <w:tc>
          <w:tcPr>
            <w:tcW w:w="127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-2.87 min</w:t>
            </w:r>
          </w:p>
        </w:tc>
        <w:tc>
          <w:tcPr>
            <w:tcW w:w="2537" w:type="dxa"/>
          </w:tcPr>
          <w:p>
            <w:pPr>
              <w:jc w:val="center"/>
            </w:pPr>
            <w:r>
              <w:t>-13.63 min – 7.90 min</w:t>
            </w:r>
          </w:p>
        </w:tc>
        <w:tc>
          <w:tcPr>
            <w:tcW w:w="990" w:type="dxa"/>
          </w:tcPr>
          <w:p>
            <w:pPr>
              <w:jc w:val="center"/>
            </w:pPr>
            <w:r>
              <w:t>0.18</w:t>
            </w:r>
          </w:p>
        </w:tc>
      </w:tr>
      <w:tr>
        <w:tc>
          <w:tcPr>
            <w:tcW w:w="2961" w:type="dxa"/>
            <w:vMerge w:val="restart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Study </w:t>
            </w:r>
            <w:proofErr w:type="spellStart"/>
            <w:r>
              <w:rPr>
                <w:b/>
                <w:bCs/>
              </w:rPr>
              <w:t>size</w:t>
            </w:r>
            <w:proofErr w:type="spellEnd"/>
          </w:p>
        </w:tc>
        <w:tc>
          <w:tcPr>
            <w:tcW w:w="1603" w:type="dxa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&lt;/=30°</w:t>
            </w:r>
          </w:p>
        </w:tc>
        <w:tc>
          <w:tcPr>
            <w:tcW w:w="2398" w:type="dxa"/>
          </w:tcPr>
          <w:p>
            <w:pPr>
              <w:jc w:val="center"/>
            </w:pPr>
            <w:r>
              <w:t xml:space="preserve">5 </w:t>
            </w:r>
            <w:proofErr w:type="spellStart"/>
            <w:r>
              <w:t>datasets</w:t>
            </w:r>
            <w:proofErr w:type="spellEnd"/>
          </w:p>
        </w:tc>
        <w:tc>
          <w:tcPr>
            <w:tcW w:w="851" w:type="dxa"/>
          </w:tcPr>
          <w:p>
            <w:pPr>
              <w:jc w:val="center"/>
            </w:pPr>
            <w:r>
              <w:t>25.6%</w:t>
            </w:r>
          </w:p>
        </w:tc>
        <w:tc>
          <w:tcPr>
            <w:tcW w:w="1271" w:type="dxa"/>
          </w:tcPr>
          <w:p>
            <w:pPr>
              <w:jc w:val="center"/>
            </w:pPr>
            <w:r>
              <w:t>-4.41 min</w:t>
            </w:r>
          </w:p>
        </w:tc>
        <w:tc>
          <w:tcPr>
            <w:tcW w:w="2537" w:type="dxa"/>
          </w:tcPr>
          <w:p>
            <w:pPr>
              <w:jc w:val="center"/>
            </w:pPr>
            <w:r>
              <w:t>-9.09 min – 0.28 min</w:t>
            </w:r>
          </w:p>
        </w:tc>
        <w:tc>
          <w:tcPr>
            <w:tcW w:w="990" w:type="dxa"/>
          </w:tcPr>
          <w:p>
            <w:pPr>
              <w:jc w:val="center"/>
            </w:pPr>
            <w:r>
              <w:t>0.06</w:t>
            </w:r>
          </w:p>
        </w:tc>
      </w:tr>
      <w:tr>
        <w:tc>
          <w:tcPr>
            <w:tcW w:w="2961" w:type="dxa"/>
            <w:vMerge/>
          </w:tcPr>
          <w:p>
            <w:pPr>
              <w:rPr>
                <w:b/>
                <w:bCs/>
              </w:rPr>
            </w:pPr>
          </w:p>
        </w:tc>
        <w:tc>
          <w:tcPr>
            <w:tcW w:w="1603" w:type="dxa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&gt;30°</w:t>
            </w:r>
          </w:p>
        </w:tc>
        <w:tc>
          <w:tcPr>
            <w:tcW w:w="2398" w:type="dxa"/>
          </w:tcPr>
          <w:p>
            <w:pPr>
              <w:jc w:val="center"/>
            </w:pPr>
            <w:r>
              <w:t xml:space="preserve">3 </w:t>
            </w:r>
            <w:proofErr w:type="spellStart"/>
            <w:r>
              <w:t>datasets</w:t>
            </w:r>
            <w:proofErr w:type="spellEnd"/>
          </w:p>
        </w:tc>
        <w:tc>
          <w:tcPr>
            <w:tcW w:w="851" w:type="dxa"/>
          </w:tcPr>
          <w:p>
            <w:pPr>
              <w:jc w:val="center"/>
            </w:pPr>
            <w:r>
              <w:t>21.5%</w:t>
            </w:r>
          </w:p>
        </w:tc>
        <w:tc>
          <w:tcPr>
            <w:tcW w:w="1271" w:type="dxa"/>
          </w:tcPr>
          <w:p>
            <w:pPr>
              <w:jc w:val="center"/>
            </w:pPr>
            <w:r>
              <w:t>-1.47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t>-3.56 min – 0.6</w:t>
            </w:r>
            <w:r>
              <w:rPr>
                <w:lang w:val="en-GB"/>
              </w:rPr>
              <w:t>3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0.09</w:t>
            </w:r>
          </w:p>
        </w:tc>
      </w:tr>
      <w:tr>
        <w:tc>
          <w:tcPr>
            <w:tcW w:w="2961" w:type="dxa"/>
            <w:vMerge w:val="restart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Simulator type</w:t>
            </w: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proofErr w:type="spellStart"/>
            <w:r>
              <w:rPr>
                <w:b/>
                <w:bCs/>
                <w:lang w:val="en-GB"/>
              </w:rPr>
              <w:t>AngioMentor</w:t>
            </w:r>
            <w:proofErr w:type="spellEnd"/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52.7%</w:t>
            </w:r>
          </w:p>
        </w:tc>
        <w:tc>
          <w:tcPr>
            <w:tcW w:w="127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-3.00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-8.82 min – 2.82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0.16</w:t>
            </w:r>
          </w:p>
        </w:tc>
      </w:tr>
      <w:tr>
        <w:tc>
          <w:tcPr>
            <w:tcW w:w="2961" w:type="dxa"/>
            <w:vMerge/>
          </w:tcPr>
          <w:p>
            <w:pPr>
              <w:rPr>
                <w:lang w:val="en-GB"/>
              </w:rPr>
            </w:pP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VIST</w:t>
            </w:r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41.6%</w:t>
            </w:r>
          </w:p>
        </w:tc>
        <w:tc>
          <w:tcPr>
            <w:tcW w:w="127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-2.42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-5.79 min – 0.96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0.12</w:t>
            </w:r>
          </w:p>
        </w:tc>
      </w:tr>
      <w:bookmarkEnd w:id="2"/>
      <w:tr>
        <w:tc>
          <w:tcPr>
            <w:tcW w:w="2961" w:type="dxa"/>
            <w:vMerge w:val="restart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Study design</w:t>
            </w: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randomized</w:t>
            </w:r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6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45.1%</w:t>
            </w:r>
          </w:p>
        </w:tc>
        <w:tc>
          <w:tcPr>
            <w:tcW w:w="127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-3.16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-5.73 min – -0.59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0.03</w:t>
            </w:r>
          </w:p>
        </w:tc>
      </w:tr>
      <w:tr>
        <w:tc>
          <w:tcPr>
            <w:tcW w:w="2961" w:type="dxa"/>
            <w:vMerge/>
          </w:tcPr>
          <w:p>
            <w:pPr>
              <w:rPr>
                <w:lang w:val="en-GB"/>
              </w:rPr>
            </w:pP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retrospective</w:t>
            </w:r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20.6%</w:t>
            </w:r>
          </w:p>
        </w:tc>
        <w:tc>
          <w:tcPr>
            <w:tcW w:w="127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-1.66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-26.01 min – 22.68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0.54</w:t>
            </w:r>
          </w:p>
        </w:tc>
      </w:tr>
    </w:tbl>
    <w:p>
      <w:pPr>
        <w:rPr>
          <w:i/>
          <w:iCs/>
          <w:lang w:val="en-GB"/>
        </w:rPr>
      </w:pPr>
      <w:r>
        <w:rPr>
          <w:i/>
          <w:iCs/>
          <w:lang w:val="en-GB"/>
        </w:rPr>
        <w:t xml:space="preserve">In Table 9, subgroup analysis on training type, intervention type, </w:t>
      </w:r>
      <w:bookmarkEnd w:id="0"/>
      <w:r>
        <w:rPr>
          <w:i/>
          <w:iCs/>
          <w:lang w:val="en-GB"/>
        </w:rPr>
        <w:t>interventional experience, study size and simulator type were tabulated for procedure time. Abbreviations: CA = coronary angiography, CI = confidence interval, EVAR = endovascular aortic repair, I</w:t>
      </w:r>
      <w:r>
        <w:rPr>
          <w:i/>
          <w:iCs/>
          <w:vertAlign w:val="superscript"/>
          <w:lang w:val="en-GB"/>
        </w:rPr>
        <w:t>2</w:t>
      </w:r>
      <w:r>
        <w:rPr>
          <w:i/>
          <w:iCs/>
          <w:lang w:val="en-GB"/>
        </w:rPr>
        <w:t xml:space="preserve"> = I-squared, MD = mean difference, n = number, NA = neurovascular angiography, VIST = vascular interventional simulation trainer.</w:t>
      </w:r>
    </w:p>
    <w:p>
      <w:pPr>
        <w:rPr>
          <w:i/>
          <w:iCs/>
          <w:lang w:val="en-GB"/>
        </w:rPr>
      </w:pPr>
      <w:r>
        <w:rPr>
          <w:i/>
          <w:iCs/>
          <w:lang w:val="en-GB"/>
        </w:rPr>
        <w:t>*Interventional experience was defined as high, if consultants performed/ finished the intervention, and it was defined as low, if residents performed the intervention.</w:t>
      </w:r>
    </w:p>
    <w:p>
      <w:pPr>
        <w:rPr>
          <w:i/>
          <w:iCs/>
          <w:lang w:val="en-GB"/>
        </w:rPr>
      </w:pPr>
      <w:r>
        <w:rPr>
          <w:i/>
          <w:iCs/>
          <w:lang w:val="en-GB"/>
        </w:rPr>
        <w:t>°Subgroups were divided by number of interventions &lt;/=30 and &gt;30 interventions.</w:t>
      </w:r>
    </w:p>
    <w:p>
      <w:pPr>
        <w:rPr>
          <w:i/>
          <w:iCs/>
          <w:lang w:val="en-GB"/>
        </w:rPr>
      </w:pPr>
    </w:p>
    <w:p>
      <w:pPr>
        <w:rPr>
          <w:b/>
          <w:bCs/>
          <w:lang w:val="en-GB"/>
        </w:rPr>
      </w:pPr>
      <w:bookmarkStart w:id="3" w:name="_Hlk195267208"/>
      <w:r>
        <w:rPr>
          <w:b/>
          <w:bCs/>
          <w:lang w:val="en-GB"/>
        </w:rPr>
        <w:br w:type="page"/>
      </w:r>
    </w:p>
    <w:p>
      <w:pPr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>Table 10. Subgroup analysis of the fluoroscopy time</w:t>
      </w:r>
    </w:p>
    <w:tbl>
      <w:tblPr>
        <w:tblStyle w:val="Tabellenraster"/>
        <w:tblW w:w="12611" w:type="dxa"/>
        <w:tblLook w:val="04A0" w:firstRow="1" w:lastRow="0" w:firstColumn="1" w:lastColumn="0" w:noHBand="0" w:noVBand="1"/>
      </w:tblPr>
      <w:tblGrid>
        <w:gridCol w:w="2962"/>
        <w:gridCol w:w="1603"/>
        <w:gridCol w:w="2398"/>
        <w:gridCol w:w="851"/>
        <w:gridCol w:w="1270"/>
        <w:gridCol w:w="2537"/>
        <w:gridCol w:w="990"/>
      </w:tblGrid>
      <w:tr>
        <w:tc>
          <w:tcPr>
            <w:tcW w:w="4565" w:type="dxa"/>
            <w:gridSpan w:val="2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Subgroup</w:t>
            </w:r>
          </w:p>
        </w:tc>
        <w:tc>
          <w:tcPr>
            <w:tcW w:w="2398" w:type="dxa"/>
          </w:tcPr>
          <w:p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n</w:t>
            </w:r>
          </w:p>
        </w:tc>
        <w:tc>
          <w:tcPr>
            <w:tcW w:w="851" w:type="dxa"/>
          </w:tcPr>
          <w:p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I</w:t>
            </w:r>
            <w:r>
              <w:rPr>
                <w:b/>
                <w:bCs/>
                <w:vertAlign w:val="superscript"/>
                <w:lang w:val="en-GB"/>
              </w:rPr>
              <w:t>2</w:t>
            </w:r>
          </w:p>
        </w:tc>
        <w:tc>
          <w:tcPr>
            <w:tcW w:w="1270" w:type="dxa"/>
          </w:tcPr>
          <w:p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MD</w:t>
            </w:r>
          </w:p>
        </w:tc>
        <w:tc>
          <w:tcPr>
            <w:tcW w:w="2537" w:type="dxa"/>
          </w:tcPr>
          <w:p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95% CI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b/>
                <w:bCs/>
                <w:lang w:val="en-GB"/>
              </w:rPr>
              <w:t>p-value</w:t>
            </w:r>
          </w:p>
        </w:tc>
      </w:tr>
      <w:tr>
        <w:tc>
          <w:tcPr>
            <w:tcW w:w="2962" w:type="dxa"/>
            <w:vMerge w:val="restart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Training type</w:t>
            </w: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generic</w:t>
            </w:r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6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98.6%</w:t>
            </w:r>
          </w:p>
        </w:tc>
        <w:tc>
          <w:tcPr>
            <w:tcW w:w="127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-1.62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-4.20 min – 0.95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0.17</w:t>
            </w:r>
          </w:p>
        </w:tc>
      </w:tr>
      <w:tr>
        <w:tc>
          <w:tcPr>
            <w:tcW w:w="2962" w:type="dxa"/>
            <w:vMerge/>
          </w:tcPr>
          <w:p>
            <w:pPr>
              <w:rPr>
                <w:b/>
                <w:bCs/>
                <w:lang w:val="en-GB"/>
              </w:rPr>
            </w:pP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specific</w:t>
            </w:r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75.2%</w:t>
            </w:r>
          </w:p>
        </w:tc>
        <w:tc>
          <w:tcPr>
            <w:tcW w:w="127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-0.58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-8.61 min – 7.46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0.83</w:t>
            </w:r>
          </w:p>
        </w:tc>
      </w:tr>
      <w:tr>
        <w:tc>
          <w:tcPr>
            <w:tcW w:w="2962" w:type="dxa"/>
            <w:vMerge w:val="restart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Intervention type</w:t>
            </w: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CA</w:t>
            </w:r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99.3%</w:t>
            </w:r>
          </w:p>
        </w:tc>
        <w:tc>
          <w:tcPr>
            <w:tcW w:w="127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-0.91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-4.88 min – 3.06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0.52</w:t>
            </w:r>
          </w:p>
        </w:tc>
      </w:tr>
      <w:tr>
        <w:tc>
          <w:tcPr>
            <w:tcW w:w="2962" w:type="dxa"/>
            <w:vMerge/>
          </w:tcPr>
          <w:p>
            <w:pPr>
              <w:rPr>
                <w:b/>
                <w:bCs/>
                <w:lang w:val="en-GB"/>
              </w:rPr>
            </w:pP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EVAR</w:t>
            </w:r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28.6%</w:t>
            </w:r>
          </w:p>
        </w:tc>
        <w:tc>
          <w:tcPr>
            <w:tcW w:w="127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0.08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-18.45 min – 18.60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0.97</w:t>
            </w:r>
          </w:p>
        </w:tc>
      </w:tr>
      <w:tr>
        <w:tc>
          <w:tcPr>
            <w:tcW w:w="2962" w:type="dxa"/>
            <w:vMerge/>
          </w:tcPr>
          <w:p>
            <w:pPr>
              <w:rPr>
                <w:b/>
                <w:bCs/>
                <w:lang w:val="en-GB"/>
              </w:rPr>
            </w:pP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NA</w:t>
            </w:r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79.4%</w:t>
            </w:r>
          </w:p>
        </w:tc>
        <w:tc>
          <w:tcPr>
            <w:tcW w:w="127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-2.58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-10.61 min – 5.45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0.38</w:t>
            </w:r>
          </w:p>
        </w:tc>
      </w:tr>
      <w:tr>
        <w:tc>
          <w:tcPr>
            <w:tcW w:w="2962" w:type="dxa"/>
            <w:vMerge w:val="restart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Interventional experience</w:t>
            </w: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High*</w:t>
            </w:r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6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82.3%</w:t>
            </w:r>
          </w:p>
        </w:tc>
        <w:tc>
          <w:tcPr>
            <w:tcW w:w="127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-0.90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-4.92 min – 3.12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0.59</w:t>
            </w:r>
          </w:p>
        </w:tc>
      </w:tr>
      <w:tr>
        <w:tc>
          <w:tcPr>
            <w:tcW w:w="2962" w:type="dxa"/>
            <w:vMerge/>
          </w:tcPr>
          <w:p>
            <w:pPr>
              <w:rPr>
                <w:b/>
                <w:bCs/>
                <w:lang w:val="en-GB"/>
              </w:rPr>
            </w:pP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Low*</w:t>
            </w:r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96.8%</w:t>
            </w:r>
          </w:p>
        </w:tc>
        <w:tc>
          <w:tcPr>
            <w:tcW w:w="127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-1.82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-6.22 min – 2.58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0.28</w:t>
            </w:r>
          </w:p>
        </w:tc>
      </w:tr>
      <w:tr>
        <w:tc>
          <w:tcPr>
            <w:tcW w:w="2962" w:type="dxa"/>
            <w:vMerge w:val="restart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Study size</w:t>
            </w: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&lt;/=30°</w:t>
            </w:r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76.3%</w:t>
            </w:r>
          </w:p>
        </w:tc>
        <w:tc>
          <w:tcPr>
            <w:tcW w:w="127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-2.72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-8.18 min – 2.73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0.24</w:t>
            </w:r>
          </w:p>
        </w:tc>
      </w:tr>
      <w:tr>
        <w:tc>
          <w:tcPr>
            <w:tcW w:w="2962" w:type="dxa"/>
            <w:vMerge/>
          </w:tcPr>
          <w:p>
            <w:pPr>
              <w:rPr>
                <w:b/>
                <w:bCs/>
                <w:lang w:val="en-GB"/>
              </w:rPr>
            </w:pP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&gt;30°</w:t>
            </w:r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98.1%</w:t>
            </w:r>
          </w:p>
        </w:tc>
        <w:tc>
          <w:tcPr>
            <w:tcW w:w="127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-0.31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-2.64 min – 2.02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0.73</w:t>
            </w:r>
          </w:p>
        </w:tc>
      </w:tr>
      <w:tr>
        <w:tc>
          <w:tcPr>
            <w:tcW w:w="2962" w:type="dxa"/>
            <w:vMerge w:val="restart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Simulator type</w:t>
            </w: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proofErr w:type="spellStart"/>
            <w:r>
              <w:rPr>
                <w:b/>
                <w:bCs/>
                <w:lang w:val="en-GB"/>
              </w:rPr>
              <w:t>AngioMentor</w:t>
            </w:r>
            <w:proofErr w:type="spellEnd"/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86.8%</w:t>
            </w:r>
          </w:p>
        </w:tc>
        <w:tc>
          <w:tcPr>
            <w:tcW w:w="127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-1.49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-11.83 min – 8.84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0.60</w:t>
            </w:r>
          </w:p>
        </w:tc>
      </w:tr>
      <w:tr>
        <w:tc>
          <w:tcPr>
            <w:tcW w:w="2962" w:type="dxa"/>
            <w:vMerge/>
          </w:tcPr>
          <w:p>
            <w:pPr>
              <w:rPr>
                <w:lang w:val="en-GB"/>
              </w:rPr>
            </w:pP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VIST</w:t>
            </w:r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7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98.8%</w:t>
            </w:r>
          </w:p>
        </w:tc>
        <w:tc>
          <w:tcPr>
            <w:tcW w:w="127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-1.38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-4.28 min – 1.52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0.29</w:t>
            </w:r>
          </w:p>
        </w:tc>
      </w:tr>
      <w:tr>
        <w:tc>
          <w:tcPr>
            <w:tcW w:w="2962" w:type="dxa"/>
            <w:vMerge w:val="restart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Study design</w:t>
            </w: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randomized</w:t>
            </w:r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6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90.0%</w:t>
            </w:r>
          </w:p>
        </w:tc>
        <w:tc>
          <w:tcPr>
            <w:tcW w:w="127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-1.67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-5.97 min – 2.63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0.36</w:t>
            </w:r>
          </w:p>
        </w:tc>
      </w:tr>
      <w:tr>
        <w:tc>
          <w:tcPr>
            <w:tcW w:w="2962" w:type="dxa"/>
            <w:vMerge/>
          </w:tcPr>
          <w:p>
            <w:pPr>
              <w:rPr>
                <w:lang w:val="en-GB"/>
              </w:rPr>
            </w:pPr>
          </w:p>
        </w:tc>
        <w:tc>
          <w:tcPr>
            <w:tcW w:w="1603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retrospective</w:t>
            </w:r>
          </w:p>
        </w:tc>
        <w:tc>
          <w:tcPr>
            <w:tcW w:w="2398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 datasets</w:t>
            </w:r>
          </w:p>
        </w:tc>
        <w:tc>
          <w:tcPr>
            <w:tcW w:w="851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98.7%</w:t>
            </w:r>
          </w:p>
        </w:tc>
        <w:tc>
          <w:tcPr>
            <w:tcW w:w="127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-0.75 min</w:t>
            </w:r>
          </w:p>
        </w:tc>
        <w:tc>
          <w:tcPr>
            <w:tcW w:w="253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-4.32 min – 2.82 min</w:t>
            </w:r>
          </w:p>
        </w:tc>
        <w:tc>
          <w:tcPr>
            <w:tcW w:w="99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0.55</w:t>
            </w:r>
          </w:p>
        </w:tc>
      </w:tr>
    </w:tbl>
    <w:p>
      <w:pPr>
        <w:rPr>
          <w:i/>
          <w:iCs/>
          <w:lang w:val="en-GB"/>
        </w:rPr>
      </w:pPr>
      <w:r>
        <w:rPr>
          <w:i/>
          <w:iCs/>
          <w:lang w:val="en-GB"/>
        </w:rPr>
        <w:t>In Table 10, subgroup analysis on training type, intervention type, interventional experience, study size and simulator type were tabulated for fluoroscopy time.</w:t>
      </w:r>
      <w:bookmarkEnd w:id="3"/>
      <w:r>
        <w:rPr>
          <w:i/>
          <w:iCs/>
          <w:lang w:val="en-GB"/>
        </w:rPr>
        <w:t xml:space="preserve"> Abbreviations: CA = coronary angiography, CI = confidence interval, EVAR = endovascular aortic repair, I</w:t>
      </w:r>
      <w:r>
        <w:rPr>
          <w:i/>
          <w:iCs/>
          <w:vertAlign w:val="superscript"/>
          <w:lang w:val="en-GB"/>
        </w:rPr>
        <w:t>2</w:t>
      </w:r>
      <w:r>
        <w:rPr>
          <w:i/>
          <w:iCs/>
          <w:lang w:val="en-GB"/>
        </w:rPr>
        <w:t xml:space="preserve"> = I-squared, MD = mean difference, n = number, NA = neurovascular angiography, VIST = vascular interventional simulation trainer.</w:t>
      </w:r>
    </w:p>
    <w:p>
      <w:pPr>
        <w:rPr>
          <w:i/>
          <w:iCs/>
          <w:lang w:val="en-GB"/>
        </w:rPr>
      </w:pPr>
      <w:r>
        <w:rPr>
          <w:i/>
          <w:iCs/>
          <w:lang w:val="en-GB"/>
        </w:rPr>
        <w:t>*Interventional experience was defined as high, if consultants performed/ finished the intervention, and it was defined as low, if residents performed the intervention.</w:t>
      </w:r>
    </w:p>
    <w:p>
      <w:pPr>
        <w:rPr>
          <w:i/>
          <w:iCs/>
          <w:lang w:val="en-GB"/>
        </w:rPr>
        <w:sectPr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  <w:r>
        <w:rPr>
          <w:i/>
          <w:iCs/>
          <w:lang w:val="en-GB"/>
        </w:rPr>
        <w:t>°Subgroups were divided by number of interventions &lt;/=30 and &gt;30 interventions.</w:t>
      </w:r>
    </w:p>
    <w:p>
      <w:pPr>
        <w:rPr>
          <w:i/>
          <w:iCs/>
          <w:u w:val="single"/>
          <w:lang w:val="en-GB"/>
        </w:rPr>
      </w:pPr>
      <w:r>
        <w:rPr>
          <w:b/>
          <w:bCs/>
          <w:u w:val="single"/>
          <w:lang w:val="en-GB"/>
        </w:rPr>
        <w:lastRenderedPageBreak/>
        <w:t>Leave-one-out sensitivity analysis</w:t>
      </w:r>
    </w:p>
    <w:p>
      <w:pPr>
        <w:rPr>
          <w:b/>
          <w:bCs/>
          <w:lang w:val="en-GB"/>
        </w:rPr>
      </w:pPr>
    </w:p>
    <w:p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Table 11. </w:t>
      </w:r>
      <w:bookmarkStart w:id="4" w:name="_Hlk195266410"/>
      <w:r>
        <w:rPr>
          <w:b/>
          <w:bCs/>
          <w:lang w:val="en-GB"/>
        </w:rPr>
        <w:t>Leave-one-out sensitivity analysis of the procedure time</w:t>
      </w:r>
    </w:p>
    <w:tbl>
      <w:tblPr>
        <w:tblStyle w:val="Tabellenraster"/>
        <w:tblW w:w="8642" w:type="dxa"/>
        <w:tblLook w:val="04A0" w:firstRow="1" w:lastRow="0" w:firstColumn="1" w:lastColumn="0" w:noHBand="0" w:noVBand="1"/>
      </w:tblPr>
      <w:tblGrid>
        <w:gridCol w:w="2689"/>
        <w:gridCol w:w="1134"/>
        <w:gridCol w:w="1417"/>
        <w:gridCol w:w="2410"/>
        <w:gridCol w:w="992"/>
      </w:tblGrid>
      <w:tr>
        <w:tc>
          <w:tcPr>
            <w:tcW w:w="2689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Left-out</w:t>
            </w:r>
          </w:p>
        </w:tc>
        <w:tc>
          <w:tcPr>
            <w:tcW w:w="1134" w:type="dxa"/>
          </w:tcPr>
          <w:p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I</w:t>
            </w:r>
            <w:r>
              <w:rPr>
                <w:b/>
                <w:bCs/>
                <w:vertAlign w:val="superscript"/>
                <w:lang w:val="en-GB"/>
              </w:rPr>
              <w:t>2</w:t>
            </w:r>
          </w:p>
        </w:tc>
        <w:tc>
          <w:tcPr>
            <w:tcW w:w="1417" w:type="dxa"/>
          </w:tcPr>
          <w:p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MD</w:t>
            </w:r>
          </w:p>
        </w:tc>
        <w:tc>
          <w:tcPr>
            <w:tcW w:w="2410" w:type="dxa"/>
          </w:tcPr>
          <w:p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95% CI</w:t>
            </w:r>
          </w:p>
        </w:tc>
        <w:tc>
          <w:tcPr>
            <w:tcW w:w="992" w:type="dxa"/>
          </w:tcPr>
          <w:p>
            <w:pPr>
              <w:jc w:val="center"/>
              <w:rPr>
                <w:lang w:val="en-GB"/>
              </w:rPr>
            </w:pPr>
            <w:r>
              <w:rPr>
                <w:b/>
                <w:bCs/>
                <w:lang w:val="en-GB"/>
              </w:rPr>
              <w:t>p-value</w:t>
            </w:r>
          </w:p>
        </w:tc>
      </w:tr>
      <w:tr>
        <w:tc>
          <w:tcPr>
            <w:tcW w:w="2689" w:type="dxa"/>
            <w:vAlign w:val="center"/>
          </w:tcPr>
          <w:p>
            <w:pPr>
              <w:rPr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Cates et al. (2016)</w:t>
            </w:r>
          </w:p>
        </w:tc>
        <w:tc>
          <w:tcPr>
            <w:tcW w:w="1134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67.3%</w:t>
            </w:r>
          </w:p>
        </w:tc>
        <w:tc>
          <w:tcPr>
            <w:tcW w:w="141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-2.51 min</w:t>
            </w:r>
          </w:p>
        </w:tc>
        <w:tc>
          <w:tcPr>
            <w:tcW w:w="241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-4.72 min – -0.29 min</w:t>
            </w:r>
          </w:p>
        </w:tc>
        <w:tc>
          <w:tcPr>
            <w:tcW w:w="992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0.03</w:t>
            </w:r>
          </w:p>
        </w:tc>
      </w:tr>
      <w:tr>
        <w:tc>
          <w:tcPr>
            <w:tcW w:w="2689" w:type="dxa"/>
            <w:vAlign w:val="center"/>
          </w:tcPr>
          <w:p>
            <w:pPr>
              <w:rPr>
                <w:lang w:val="en-GB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Desender</w:t>
            </w:r>
            <w:proofErr w:type="spellEnd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 xml:space="preserve"> et al. (2016)</w:t>
            </w:r>
          </w:p>
        </w:tc>
        <w:tc>
          <w:tcPr>
            <w:tcW w:w="1134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66.1%</w:t>
            </w:r>
          </w:p>
        </w:tc>
        <w:tc>
          <w:tcPr>
            <w:tcW w:w="141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-2.71 min</w:t>
            </w:r>
          </w:p>
        </w:tc>
        <w:tc>
          <w:tcPr>
            <w:tcW w:w="241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-5.21 min – -0.21 min</w:t>
            </w:r>
          </w:p>
        </w:tc>
        <w:tc>
          <w:tcPr>
            <w:tcW w:w="992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0.04</w:t>
            </w:r>
          </w:p>
        </w:tc>
      </w:tr>
      <w:tr>
        <w:tc>
          <w:tcPr>
            <w:tcW w:w="2689" w:type="dxa"/>
            <w:vAlign w:val="center"/>
          </w:tcPr>
          <w:p>
            <w:pPr>
              <w:rPr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Jensen et al. (2014)</w:t>
            </w:r>
          </w:p>
        </w:tc>
        <w:tc>
          <w:tcPr>
            <w:tcW w:w="1134" w:type="dxa"/>
          </w:tcPr>
          <w:p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n.a</w:t>
            </w:r>
            <w:proofErr w:type="spellEnd"/>
            <w:r>
              <w:rPr>
                <w:lang w:val="en-GB"/>
              </w:rPr>
              <w:t>.</w:t>
            </w:r>
          </w:p>
        </w:tc>
        <w:tc>
          <w:tcPr>
            <w:tcW w:w="1417" w:type="dxa"/>
          </w:tcPr>
          <w:p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n.a</w:t>
            </w:r>
            <w:proofErr w:type="spellEnd"/>
            <w:r>
              <w:rPr>
                <w:lang w:val="en-GB"/>
              </w:rPr>
              <w:t>.</w:t>
            </w:r>
          </w:p>
        </w:tc>
        <w:tc>
          <w:tcPr>
            <w:tcW w:w="2410" w:type="dxa"/>
          </w:tcPr>
          <w:p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n.a</w:t>
            </w:r>
            <w:proofErr w:type="spellEnd"/>
            <w:r>
              <w:rPr>
                <w:lang w:val="en-GB"/>
              </w:rPr>
              <w:t>.</w:t>
            </w:r>
          </w:p>
        </w:tc>
        <w:tc>
          <w:tcPr>
            <w:tcW w:w="992" w:type="dxa"/>
          </w:tcPr>
          <w:p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n.a</w:t>
            </w:r>
            <w:proofErr w:type="spellEnd"/>
            <w:r>
              <w:rPr>
                <w:lang w:val="en-GB"/>
              </w:rPr>
              <w:t>.</w:t>
            </w:r>
          </w:p>
        </w:tc>
      </w:tr>
      <w:tr>
        <w:tc>
          <w:tcPr>
            <w:tcW w:w="2689" w:type="dxa"/>
            <w:vAlign w:val="center"/>
          </w:tcPr>
          <w:p>
            <w:pPr>
              <w:rPr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Jensen et al. (2016)</w:t>
            </w:r>
          </w:p>
        </w:tc>
        <w:tc>
          <w:tcPr>
            <w:tcW w:w="1134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65.7%</w:t>
            </w:r>
          </w:p>
        </w:tc>
        <w:tc>
          <w:tcPr>
            <w:tcW w:w="1417" w:type="dxa"/>
          </w:tcPr>
          <w:p>
            <w:pPr>
              <w:jc w:val="center"/>
            </w:pPr>
            <w:r>
              <w:t>-2.38 min</w:t>
            </w:r>
          </w:p>
        </w:tc>
        <w:tc>
          <w:tcPr>
            <w:tcW w:w="2410" w:type="dxa"/>
          </w:tcPr>
          <w:p>
            <w:pPr>
              <w:jc w:val="center"/>
            </w:pPr>
            <w:r>
              <w:t>-4.72 min – -0.05 min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0.05</w:t>
            </w:r>
          </w:p>
        </w:tc>
      </w:tr>
      <w:tr>
        <w:tc>
          <w:tcPr>
            <w:tcW w:w="2689" w:type="dxa"/>
            <w:vAlign w:val="center"/>
          </w:tcPr>
          <w:p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  <w:t>Kreiser</w:t>
            </w:r>
            <w:proofErr w:type="spellEnd"/>
            <w:r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  <w:t xml:space="preserve"> et al. (2020) A</w:t>
            </w:r>
          </w:p>
        </w:tc>
        <w:tc>
          <w:tcPr>
            <w:tcW w:w="1134" w:type="dxa"/>
          </w:tcPr>
          <w:p>
            <w:pPr>
              <w:jc w:val="center"/>
            </w:pPr>
            <w:proofErr w:type="spellStart"/>
            <w:r>
              <w:t>n.a</w:t>
            </w:r>
            <w:proofErr w:type="spellEnd"/>
            <w:r>
              <w:t>.</w:t>
            </w:r>
          </w:p>
        </w:tc>
        <w:tc>
          <w:tcPr>
            <w:tcW w:w="1417" w:type="dxa"/>
          </w:tcPr>
          <w:p>
            <w:pPr>
              <w:jc w:val="center"/>
            </w:pPr>
            <w:proofErr w:type="spellStart"/>
            <w:r>
              <w:t>n.a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>
            <w:pPr>
              <w:jc w:val="center"/>
            </w:pPr>
            <w:proofErr w:type="spellStart"/>
            <w:r>
              <w:t>n.a</w:t>
            </w:r>
            <w:proofErr w:type="spellEnd"/>
            <w:r>
              <w:t>.</w:t>
            </w:r>
          </w:p>
        </w:tc>
        <w:tc>
          <w:tcPr>
            <w:tcW w:w="992" w:type="dxa"/>
          </w:tcPr>
          <w:p>
            <w:pPr>
              <w:jc w:val="center"/>
            </w:pPr>
            <w:proofErr w:type="spellStart"/>
            <w:r>
              <w:t>n.a</w:t>
            </w:r>
            <w:proofErr w:type="spellEnd"/>
            <w:r>
              <w:t>.</w:t>
            </w:r>
          </w:p>
        </w:tc>
      </w:tr>
      <w:tr>
        <w:tc>
          <w:tcPr>
            <w:tcW w:w="2689" w:type="dxa"/>
            <w:vAlign w:val="center"/>
          </w:tcPr>
          <w:p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  <w:t>Kreiser</w:t>
            </w:r>
            <w:proofErr w:type="spellEnd"/>
            <w:r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  <w:t xml:space="preserve"> et al. (2020) B</w:t>
            </w:r>
          </w:p>
        </w:tc>
        <w:tc>
          <w:tcPr>
            <w:tcW w:w="1134" w:type="dxa"/>
          </w:tcPr>
          <w:p>
            <w:pPr>
              <w:jc w:val="center"/>
            </w:pPr>
            <w:r>
              <w:t>53.6%</w:t>
            </w:r>
          </w:p>
        </w:tc>
        <w:tc>
          <w:tcPr>
            <w:tcW w:w="1417" w:type="dxa"/>
          </w:tcPr>
          <w:p>
            <w:pPr>
              <w:jc w:val="center"/>
            </w:pPr>
            <w:r>
              <w:t>-2.65 min</w:t>
            </w:r>
          </w:p>
        </w:tc>
        <w:tc>
          <w:tcPr>
            <w:tcW w:w="2410" w:type="dxa"/>
          </w:tcPr>
          <w:p>
            <w:pPr>
              <w:jc w:val="center"/>
            </w:pPr>
            <w:r>
              <w:t>-4.48 min – -0.81 min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0.01</w:t>
            </w:r>
          </w:p>
        </w:tc>
      </w:tr>
      <w:tr>
        <w:tc>
          <w:tcPr>
            <w:tcW w:w="2689" w:type="dxa"/>
            <w:vAlign w:val="center"/>
          </w:tcPr>
          <w:p>
            <w:pP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  <w:t>Popovi</w:t>
            </w:r>
            <w:proofErr w:type="spellEnd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c et al. (2019)</w:t>
            </w:r>
          </w:p>
        </w:tc>
        <w:tc>
          <w:tcPr>
            <w:tcW w:w="1134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49.7%</w:t>
            </w:r>
          </w:p>
        </w:tc>
        <w:tc>
          <w:tcPr>
            <w:tcW w:w="141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-2.80 min</w:t>
            </w:r>
          </w:p>
        </w:tc>
        <w:tc>
          <w:tcPr>
            <w:tcW w:w="241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-5.41 min – -0.19 min</w:t>
            </w:r>
          </w:p>
        </w:tc>
        <w:tc>
          <w:tcPr>
            <w:tcW w:w="992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0.04</w:t>
            </w:r>
          </w:p>
        </w:tc>
      </w:tr>
      <w:tr>
        <w:tc>
          <w:tcPr>
            <w:tcW w:w="2689" w:type="dxa"/>
            <w:vAlign w:val="center"/>
          </w:tcPr>
          <w:p>
            <w:pP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Prenner</w:t>
            </w:r>
            <w:proofErr w:type="spellEnd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 xml:space="preserve"> et al. (2017)</w:t>
            </w:r>
          </w:p>
        </w:tc>
        <w:tc>
          <w:tcPr>
            <w:tcW w:w="1134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39.5%</w:t>
            </w:r>
          </w:p>
        </w:tc>
        <w:tc>
          <w:tcPr>
            <w:tcW w:w="141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-3.32 min</w:t>
            </w:r>
          </w:p>
        </w:tc>
        <w:tc>
          <w:tcPr>
            <w:tcW w:w="2410" w:type="dxa"/>
          </w:tcPr>
          <w:p>
            <w:pPr>
              <w:jc w:val="center"/>
            </w:pPr>
            <w:r>
              <w:t>-5.61 min – -1.02 min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0.01</w:t>
            </w:r>
          </w:p>
        </w:tc>
      </w:tr>
      <w:tr>
        <w:tc>
          <w:tcPr>
            <w:tcW w:w="2689" w:type="dxa"/>
            <w:vAlign w:val="center"/>
          </w:tcPr>
          <w:p>
            <w:pPr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  <w:t>Våpenstad</w:t>
            </w:r>
            <w:proofErr w:type="spellEnd"/>
            <w:r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  <w:t xml:space="preserve"> et al. (2021)</w:t>
            </w:r>
          </w:p>
        </w:tc>
        <w:tc>
          <w:tcPr>
            <w:tcW w:w="1134" w:type="dxa"/>
          </w:tcPr>
          <w:p>
            <w:pPr>
              <w:jc w:val="center"/>
            </w:pPr>
            <w:r>
              <w:t>64.9%</w:t>
            </w:r>
          </w:p>
        </w:tc>
        <w:tc>
          <w:tcPr>
            <w:tcW w:w="1417" w:type="dxa"/>
          </w:tcPr>
          <w:p>
            <w:pPr>
              <w:jc w:val="center"/>
            </w:pPr>
            <w:r>
              <w:t>-2.50 min</w:t>
            </w:r>
          </w:p>
        </w:tc>
        <w:tc>
          <w:tcPr>
            <w:tcW w:w="2410" w:type="dxa"/>
          </w:tcPr>
          <w:p>
            <w:pPr>
              <w:jc w:val="center"/>
            </w:pPr>
            <w:r>
              <w:t>-4.58 min – -0.42 min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0.03</w:t>
            </w:r>
          </w:p>
        </w:tc>
      </w:tr>
      <w:tr>
        <w:tc>
          <w:tcPr>
            <w:tcW w:w="2689" w:type="dxa"/>
            <w:vAlign w:val="center"/>
          </w:tcPr>
          <w:p>
            <w:pPr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  <w:t>Wooster</w:t>
            </w:r>
            <w:proofErr w:type="spellEnd"/>
            <w:r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  <w:t xml:space="preserve"> et al. (2018)</w:t>
            </w:r>
          </w:p>
        </w:tc>
        <w:tc>
          <w:tcPr>
            <w:tcW w:w="1134" w:type="dxa"/>
          </w:tcPr>
          <w:p>
            <w:pPr>
              <w:jc w:val="center"/>
            </w:pPr>
            <w:r>
              <w:t>51.0%</w:t>
            </w:r>
          </w:p>
        </w:tc>
        <w:tc>
          <w:tcPr>
            <w:tcW w:w="1417" w:type="dxa"/>
          </w:tcPr>
          <w:p>
            <w:pPr>
              <w:jc w:val="center"/>
            </w:pPr>
            <w:r>
              <w:t>-2.30 min</w:t>
            </w:r>
          </w:p>
        </w:tc>
        <w:tc>
          <w:tcPr>
            <w:tcW w:w="2410" w:type="dxa"/>
          </w:tcPr>
          <w:p>
            <w:pPr>
              <w:jc w:val="center"/>
              <w:rPr>
                <w:lang w:val="en-GB"/>
              </w:rPr>
            </w:pPr>
            <w:r>
              <w:t>-4.00 min – -</w:t>
            </w:r>
            <w:r>
              <w:rPr>
                <w:lang w:val="en-GB"/>
              </w:rPr>
              <w:t>0.61 min</w:t>
            </w:r>
          </w:p>
        </w:tc>
        <w:tc>
          <w:tcPr>
            <w:tcW w:w="992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0.02</w:t>
            </w:r>
          </w:p>
        </w:tc>
      </w:tr>
    </w:tbl>
    <w:p>
      <w:pPr>
        <w:rPr>
          <w:i/>
          <w:iCs/>
          <w:lang w:val="en-GB"/>
        </w:rPr>
      </w:pPr>
      <w:r>
        <w:rPr>
          <w:i/>
          <w:iCs/>
          <w:lang w:val="en-GB"/>
        </w:rPr>
        <w:t>In Table 11, leave-one-out sensitivity analysis on were tabulated for procedure time. Abbreviations: CI = confidence interval, I</w:t>
      </w:r>
      <w:r>
        <w:rPr>
          <w:i/>
          <w:iCs/>
          <w:vertAlign w:val="superscript"/>
          <w:lang w:val="en-GB"/>
        </w:rPr>
        <w:t>2</w:t>
      </w:r>
      <w:r>
        <w:rPr>
          <w:i/>
          <w:iCs/>
          <w:lang w:val="en-GB"/>
        </w:rPr>
        <w:t xml:space="preserve"> = I-squared, MD = mean difference, </w:t>
      </w:r>
      <w:proofErr w:type="spellStart"/>
      <w:r>
        <w:rPr>
          <w:i/>
          <w:iCs/>
          <w:lang w:val="en-GB"/>
        </w:rPr>
        <w:t>n.a</w:t>
      </w:r>
      <w:proofErr w:type="spellEnd"/>
      <w:r>
        <w:rPr>
          <w:i/>
          <w:iCs/>
          <w:lang w:val="en-GB"/>
        </w:rPr>
        <w:t>. = not available.</w:t>
      </w:r>
    </w:p>
    <w:bookmarkEnd w:id="4"/>
    <w:p>
      <w:pPr>
        <w:rPr>
          <w:i/>
          <w:iCs/>
          <w:lang w:val="en-GB"/>
        </w:rPr>
      </w:pPr>
    </w:p>
    <w:p>
      <w:pPr>
        <w:rPr>
          <w:b/>
          <w:bCs/>
          <w:lang w:val="en-GB"/>
        </w:rPr>
      </w:pPr>
      <w:bookmarkStart w:id="5" w:name="_Hlk195267214"/>
      <w:r>
        <w:rPr>
          <w:b/>
          <w:bCs/>
          <w:lang w:val="en-GB"/>
        </w:rPr>
        <w:t>Table 12. Leave-one-out sensitivity analysis of the fluoroscopy time</w:t>
      </w:r>
    </w:p>
    <w:tbl>
      <w:tblPr>
        <w:tblStyle w:val="Tabellenraster"/>
        <w:tblW w:w="8642" w:type="dxa"/>
        <w:tblLook w:val="04A0" w:firstRow="1" w:lastRow="0" w:firstColumn="1" w:lastColumn="0" w:noHBand="0" w:noVBand="1"/>
      </w:tblPr>
      <w:tblGrid>
        <w:gridCol w:w="2689"/>
        <w:gridCol w:w="1134"/>
        <w:gridCol w:w="1417"/>
        <w:gridCol w:w="2410"/>
        <w:gridCol w:w="992"/>
      </w:tblGrid>
      <w:tr>
        <w:tc>
          <w:tcPr>
            <w:tcW w:w="2689" w:type="dxa"/>
          </w:tcPr>
          <w:p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Left-out</w:t>
            </w:r>
          </w:p>
        </w:tc>
        <w:tc>
          <w:tcPr>
            <w:tcW w:w="1134" w:type="dxa"/>
          </w:tcPr>
          <w:p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I</w:t>
            </w:r>
            <w:r>
              <w:rPr>
                <w:b/>
                <w:bCs/>
                <w:vertAlign w:val="superscript"/>
                <w:lang w:val="en-GB"/>
              </w:rPr>
              <w:t>2</w:t>
            </w:r>
          </w:p>
        </w:tc>
        <w:tc>
          <w:tcPr>
            <w:tcW w:w="1417" w:type="dxa"/>
          </w:tcPr>
          <w:p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MD</w:t>
            </w:r>
          </w:p>
        </w:tc>
        <w:tc>
          <w:tcPr>
            <w:tcW w:w="2410" w:type="dxa"/>
          </w:tcPr>
          <w:p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95% CI</w:t>
            </w:r>
          </w:p>
        </w:tc>
        <w:tc>
          <w:tcPr>
            <w:tcW w:w="992" w:type="dxa"/>
          </w:tcPr>
          <w:p>
            <w:pPr>
              <w:jc w:val="center"/>
              <w:rPr>
                <w:lang w:val="en-GB"/>
              </w:rPr>
            </w:pPr>
            <w:r>
              <w:rPr>
                <w:b/>
                <w:bCs/>
                <w:lang w:val="en-GB"/>
              </w:rPr>
              <w:t>p-value</w:t>
            </w:r>
          </w:p>
        </w:tc>
      </w:tr>
      <w:tr>
        <w:tc>
          <w:tcPr>
            <w:tcW w:w="2689" w:type="dxa"/>
            <w:vAlign w:val="center"/>
          </w:tcPr>
          <w:p>
            <w:pPr>
              <w:rPr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Cates et al. (2016)</w:t>
            </w:r>
          </w:p>
        </w:tc>
        <w:tc>
          <w:tcPr>
            <w:tcW w:w="1134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98.8%</w:t>
            </w:r>
          </w:p>
        </w:tc>
        <w:tc>
          <w:tcPr>
            <w:tcW w:w="141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-1.11 min</w:t>
            </w:r>
          </w:p>
        </w:tc>
        <w:tc>
          <w:tcPr>
            <w:tcW w:w="241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-3.59 min – 1.37 min</w:t>
            </w:r>
          </w:p>
        </w:tc>
        <w:tc>
          <w:tcPr>
            <w:tcW w:w="992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0.33</w:t>
            </w:r>
          </w:p>
        </w:tc>
      </w:tr>
      <w:tr>
        <w:tc>
          <w:tcPr>
            <w:tcW w:w="2689" w:type="dxa"/>
            <w:vAlign w:val="center"/>
          </w:tcPr>
          <w:p>
            <w:pPr>
              <w:rPr>
                <w:lang w:val="en-GB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Desender</w:t>
            </w:r>
            <w:proofErr w:type="spellEnd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 xml:space="preserve"> et al. (2016)</w:t>
            </w:r>
          </w:p>
        </w:tc>
        <w:tc>
          <w:tcPr>
            <w:tcW w:w="1134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98.7%</w:t>
            </w:r>
          </w:p>
        </w:tc>
        <w:tc>
          <w:tcPr>
            <w:tcW w:w="141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-1.62 min</w:t>
            </w:r>
          </w:p>
        </w:tc>
        <w:tc>
          <w:tcPr>
            <w:tcW w:w="241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-4.09 min – 0.86 min</w:t>
            </w:r>
          </w:p>
        </w:tc>
        <w:tc>
          <w:tcPr>
            <w:tcW w:w="992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0.17</w:t>
            </w:r>
          </w:p>
        </w:tc>
      </w:tr>
      <w:tr>
        <w:tc>
          <w:tcPr>
            <w:tcW w:w="2689" w:type="dxa"/>
            <w:vAlign w:val="center"/>
          </w:tcPr>
          <w:p>
            <w:pPr>
              <w:rPr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Jensen et al. (2014)</w:t>
            </w:r>
          </w:p>
        </w:tc>
        <w:tc>
          <w:tcPr>
            <w:tcW w:w="1134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94.2%</w:t>
            </w:r>
          </w:p>
        </w:tc>
        <w:tc>
          <w:tcPr>
            <w:tcW w:w="141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-1.71 min</w:t>
            </w:r>
          </w:p>
        </w:tc>
        <w:tc>
          <w:tcPr>
            <w:tcW w:w="241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-4.18 min – 0.75 min</w:t>
            </w:r>
          </w:p>
        </w:tc>
        <w:tc>
          <w:tcPr>
            <w:tcW w:w="992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0.15</w:t>
            </w:r>
          </w:p>
        </w:tc>
      </w:tr>
      <w:tr>
        <w:tc>
          <w:tcPr>
            <w:tcW w:w="2689" w:type="dxa"/>
            <w:vAlign w:val="center"/>
          </w:tcPr>
          <w:p>
            <w:pPr>
              <w:rPr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Jensen et al. (2016)</w:t>
            </w:r>
          </w:p>
        </w:tc>
        <w:tc>
          <w:tcPr>
            <w:tcW w:w="1134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98.6%</w:t>
            </w:r>
          </w:p>
        </w:tc>
        <w:tc>
          <w:tcPr>
            <w:tcW w:w="141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-0.86 min</w:t>
            </w:r>
          </w:p>
        </w:tc>
        <w:tc>
          <w:tcPr>
            <w:tcW w:w="241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-3.20 min – 1.47 min</w:t>
            </w:r>
          </w:p>
        </w:tc>
        <w:tc>
          <w:tcPr>
            <w:tcW w:w="992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0.42</w:t>
            </w:r>
          </w:p>
        </w:tc>
      </w:tr>
      <w:tr>
        <w:tc>
          <w:tcPr>
            <w:tcW w:w="2689" w:type="dxa"/>
            <w:vAlign w:val="center"/>
          </w:tcPr>
          <w:p>
            <w:pPr>
              <w:rPr>
                <w:lang w:val="en-GB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Kreiser</w:t>
            </w:r>
            <w:proofErr w:type="spellEnd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 xml:space="preserve"> et al. (2020) A</w:t>
            </w:r>
          </w:p>
        </w:tc>
        <w:tc>
          <w:tcPr>
            <w:tcW w:w="1134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98.7%</w:t>
            </w:r>
          </w:p>
        </w:tc>
        <w:tc>
          <w:tcPr>
            <w:tcW w:w="141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-1.02 min</w:t>
            </w:r>
          </w:p>
        </w:tc>
        <w:tc>
          <w:tcPr>
            <w:tcW w:w="241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-3.50 min – 1.45 min</w:t>
            </w:r>
          </w:p>
        </w:tc>
        <w:tc>
          <w:tcPr>
            <w:tcW w:w="992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0.37</w:t>
            </w:r>
          </w:p>
        </w:tc>
      </w:tr>
      <w:tr>
        <w:tc>
          <w:tcPr>
            <w:tcW w:w="2689" w:type="dxa"/>
            <w:vAlign w:val="center"/>
          </w:tcPr>
          <w:p>
            <w:pPr>
              <w:rPr>
                <w:lang w:val="en-GB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Kreiser</w:t>
            </w:r>
            <w:proofErr w:type="spellEnd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 xml:space="preserve"> et al. (2020) B</w:t>
            </w:r>
          </w:p>
        </w:tc>
        <w:tc>
          <w:tcPr>
            <w:tcW w:w="1134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98.1%</w:t>
            </w:r>
          </w:p>
        </w:tc>
        <w:tc>
          <w:tcPr>
            <w:tcW w:w="141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-1.65 min</w:t>
            </w:r>
          </w:p>
        </w:tc>
        <w:tc>
          <w:tcPr>
            <w:tcW w:w="241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-3.71 min – 0.42 min</w:t>
            </w:r>
          </w:p>
        </w:tc>
        <w:tc>
          <w:tcPr>
            <w:tcW w:w="992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0.10</w:t>
            </w:r>
          </w:p>
        </w:tc>
      </w:tr>
      <w:tr>
        <w:tc>
          <w:tcPr>
            <w:tcW w:w="2689" w:type="dxa"/>
            <w:vAlign w:val="center"/>
          </w:tcPr>
          <w:p>
            <w:pP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Popovic et al. (2019)</w:t>
            </w:r>
          </w:p>
        </w:tc>
        <w:tc>
          <w:tcPr>
            <w:tcW w:w="1134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98.7%</w:t>
            </w:r>
          </w:p>
        </w:tc>
        <w:tc>
          <w:tcPr>
            <w:tcW w:w="1417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-1.45 min</w:t>
            </w:r>
          </w:p>
        </w:tc>
        <w:tc>
          <w:tcPr>
            <w:tcW w:w="241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-4.07 min – 1.16 min</w:t>
            </w:r>
          </w:p>
        </w:tc>
        <w:tc>
          <w:tcPr>
            <w:tcW w:w="992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0.24</w:t>
            </w:r>
          </w:p>
        </w:tc>
      </w:tr>
      <w:tr>
        <w:tc>
          <w:tcPr>
            <w:tcW w:w="2689" w:type="dxa"/>
            <w:vAlign w:val="center"/>
          </w:tcPr>
          <w:p>
            <w:pP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>Prenner</w:t>
            </w:r>
            <w:proofErr w:type="spellEnd"/>
            <w:r>
              <w:rPr>
                <w:rFonts w:asciiTheme="majorBidi" w:hAnsiTheme="majorBidi" w:cstheme="majorBidi"/>
                <w:b/>
                <w:bCs/>
                <w:color w:val="000000"/>
                <w:lang w:val="en-GB" w:eastAsia="zh-CN"/>
              </w:rPr>
              <w:t xml:space="preserve"> et al. (2017)</w:t>
            </w:r>
          </w:p>
        </w:tc>
        <w:tc>
          <w:tcPr>
            <w:tcW w:w="1134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94.5%</w:t>
            </w:r>
          </w:p>
        </w:tc>
        <w:tc>
          <w:tcPr>
            <w:tcW w:w="1417" w:type="dxa"/>
          </w:tcPr>
          <w:p>
            <w:pPr>
              <w:jc w:val="center"/>
            </w:pPr>
            <w:r>
              <w:t>-1.54 min</w:t>
            </w:r>
          </w:p>
        </w:tc>
        <w:tc>
          <w:tcPr>
            <w:tcW w:w="2410" w:type="dxa"/>
          </w:tcPr>
          <w:p>
            <w:pPr>
              <w:jc w:val="center"/>
            </w:pPr>
            <w:r>
              <w:t>-4.13 min – 1.05 min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0.21</w:t>
            </w:r>
          </w:p>
        </w:tc>
      </w:tr>
      <w:tr>
        <w:tc>
          <w:tcPr>
            <w:tcW w:w="2689" w:type="dxa"/>
            <w:vAlign w:val="center"/>
          </w:tcPr>
          <w:p>
            <w:pPr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  <w:t>Våpenstad</w:t>
            </w:r>
            <w:proofErr w:type="spellEnd"/>
            <w:r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  <w:t xml:space="preserve"> et al. (2021)</w:t>
            </w:r>
          </w:p>
        </w:tc>
        <w:tc>
          <w:tcPr>
            <w:tcW w:w="1134" w:type="dxa"/>
          </w:tcPr>
          <w:p>
            <w:pPr>
              <w:jc w:val="center"/>
            </w:pPr>
            <w:r>
              <w:t>98.9%</w:t>
            </w:r>
          </w:p>
        </w:tc>
        <w:tc>
          <w:tcPr>
            <w:tcW w:w="1417" w:type="dxa"/>
          </w:tcPr>
          <w:p>
            <w:pPr>
              <w:jc w:val="center"/>
            </w:pPr>
            <w:r>
              <w:t>-1.29 min</w:t>
            </w:r>
          </w:p>
        </w:tc>
        <w:tc>
          <w:tcPr>
            <w:tcW w:w="2410" w:type="dxa"/>
          </w:tcPr>
          <w:p>
            <w:pPr>
              <w:jc w:val="center"/>
            </w:pPr>
            <w:r>
              <w:t>-3.84 min – 1.27 min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0.28</w:t>
            </w:r>
          </w:p>
        </w:tc>
      </w:tr>
      <w:tr>
        <w:tc>
          <w:tcPr>
            <w:tcW w:w="2689" w:type="dxa"/>
            <w:vAlign w:val="center"/>
          </w:tcPr>
          <w:p>
            <w:pPr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  <w:t>Wooster</w:t>
            </w:r>
            <w:proofErr w:type="spellEnd"/>
            <w:r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  <w:t xml:space="preserve"> et al. (2018)</w:t>
            </w:r>
          </w:p>
        </w:tc>
        <w:tc>
          <w:tcPr>
            <w:tcW w:w="1134" w:type="dxa"/>
          </w:tcPr>
          <w:p>
            <w:pPr>
              <w:jc w:val="center"/>
            </w:pPr>
            <w:r>
              <w:t>98.2%</w:t>
            </w:r>
          </w:p>
        </w:tc>
        <w:tc>
          <w:tcPr>
            <w:tcW w:w="1417" w:type="dxa"/>
          </w:tcPr>
          <w:p>
            <w:pPr>
              <w:jc w:val="center"/>
              <w:rPr>
                <w:lang w:val="en-GB"/>
              </w:rPr>
            </w:pPr>
            <w:r>
              <w:t>-1.</w:t>
            </w:r>
            <w:r>
              <w:rPr>
                <w:lang w:val="en-GB"/>
              </w:rPr>
              <w:t>01 min</w:t>
            </w:r>
          </w:p>
        </w:tc>
        <w:tc>
          <w:tcPr>
            <w:tcW w:w="2410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-3.13 min – 1.11 min</w:t>
            </w:r>
          </w:p>
        </w:tc>
        <w:tc>
          <w:tcPr>
            <w:tcW w:w="992" w:type="dxa"/>
          </w:tcPr>
          <w:p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0.30</w:t>
            </w:r>
          </w:p>
        </w:tc>
      </w:tr>
    </w:tbl>
    <w:p>
      <w:pPr>
        <w:rPr>
          <w:lang w:val="en-GB"/>
        </w:rPr>
      </w:pPr>
      <w:r>
        <w:rPr>
          <w:i/>
          <w:iCs/>
          <w:lang w:val="en-GB"/>
        </w:rPr>
        <w:t>In Table 12, leave-one-out sensitivity analysis on were tabulated for fluoroscopy time. Abbreviations: CI = confidence interval, I</w:t>
      </w:r>
      <w:r>
        <w:rPr>
          <w:i/>
          <w:iCs/>
          <w:vertAlign w:val="superscript"/>
          <w:lang w:val="en-GB"/>
        </w:rPr>
        <w:t>2</w:t>
      </w:r>
      <w:r>
        <w:rPr>
          <w:i/>
          <w:iCs/>
          <w:lang w:val="en-GB"/>
        </w:rPr>
        <w:t xml:space="preserve"> = I-squared, MD = mean difference.</w:t>
      </w:r>
      <w:bookmarkEnd w:id="5"/>
    </w:p>
    <w:sectPr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A5E101-376F-854C-B59A-CA8310C9D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eastAsia="Times New Roman" w:hAnsi="Segoe UI" w:cs="Segoe UI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pPr>
      <w:spacing w:after="200" w:line="276" w:lineRule="auto"/>
      <w:ind w:left="720"/>
      <w:contextualSpacing/>
    </w:pPr>
    <w:rPr>
      <w:rFonts w:eastAsiaTheme="minorEastAsia" w:cstheme="minorBidi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908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Meine, Timo Christian Dr.</cp:lastModifiedBy>
  <cp:revision>3</cp:revision>
  <dcterms:created xsi:type="dcterms:W3CDTF">2025-10-09T14:50:00Z</dcterms:created>
  <dcterms:modified xsi:type="dcterms:W3CDTF">2025-10-09T14:50:00Z</dcterms:modified>
</cp:coreProperties>
</file>