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97DD3" w14:textId="00D7C903" w:rsidR="00AF4C2C" w:rsidRPr="002C3017" w:rsidRDefault="001A70E7">
      <w:pPr>
        <w:rPr>
          <w:rFonts w:ascii="Calibri" w:hAnsi="Calibri" w:cs="Calibri"/>
          <w:b/>
          <w:bCs/>
          <w:sz w:val="22"/>
          <w:szCs w:val="22"/>
          <w:lang w:val="en-US"/>
        </w:rPr>
      </w:pPr>
      <w:r w:rsidRPr="002C3017">
        <w:rPr>
          <w:rFonts w:ascii="Calibri" w:hAnsi="Calibri" w:cs="Calibri"/>
          <w:b/>
          <w:bCs/>
          <w:sz w:val="22"/>
          <w:szCs w:val="22"/>
          <w:lang w:val="en-US"/>
        </w:rPr>
        <w:t>Appendix 1</w:t>
      </w:r>
    </w:p>
    <w:p w14:paraId="5FB14F95" w14:textId="77777777" w:rsidR="002C3017" w:rsidRPr="00A730B3" w:rsidRDefault="002C3017">
      <w:pPr>
        <w:rPr>
          <w:rFonts w:ascii="Calibri" w:hAnsi="Calibri" w:cs="Calibri"/>
          <w:b/>
          <w:bCs/>
          <w:sz w:val="20"/>
          <w:szCs w:val="20"/>
          <w:lang w:val="en-US"/>
        </w:rPr>
      </w:pPr>
    </w:p>
    <w:p w14:paraId="78E7E4A8" w14:textId="57CC7D1A" w:rsidR="00CD60F3" w:rsidRPr="00A730B3" w:rsidRDefault="00A640E2" w:rsidP="2B05B5FD">
      <w:pPr>
        <w:rPr>
          <w:rFonts w:ascii="Calibri" w:eastAsia="Calibri" w:hAnsi="Calibri" w:cs="Calibri"/>
          <w:color w:val="000000" w:themeColor="text1"/>
          <w:sz w:val="20"/>
          <w:szCs w:val="20"/>
          <w:lang w:val="en-US"/>
        </w:rPr>
      </w:pPr>
      <w:r w:rsidRPr="00A730B3">
        <w:rPr>
          <w:rFonts w:ascii="Calibri" w:eastAsia="Calibri" w:hAnsi="Calibri" w:cs="Calibri"/>
          <w:color w:val="000000" w:themeColor="text1"/>
          <w:sz w:val="20"/>
          <w:szCs w:val="20"/>
          <w:lang w:val="en-US"/>
        </w:rPr>
        <w:t>A s</w:t>
      </w:r>
      <w:r w:rsidR="00CD60F3" w:rsidRPr="00A730B3">
        <w:rPr>
          <w:rFonts w:ascii="Calibri" w:eastAsia="Calibri" w:hAnsi="Calibri" w:cs="Calibri"/>
          <w:color w:val="000000" w:themeColor="text1"/>
          <w:sz w:val="20"/>
          <w:szCs w:val="20"/>
          <w:lang w:val="en-US"/>
        </w:rPr>
        <w:t>election of transcription notations for simulation transcripts</w:t>
      </w:r>
      <w:r w:rsidRPr="00A730B3">
        <w:rPr>
          <w:rFonts w:ascii="Calibri" w:eastAsia="Calibri" w:hAnsi="Calibri" w:cs="Calibri"/>
          <w:color w:val="000000" w:themeColor="text1"/>
          <w:sz w:val="20"/>
          <w:szCs w:val="20"/>
          <w:lang w:val="en-US"/>
        </w:rPr>
        <w:t xml:space="preserve"> were used to indicate observations in sequencing, intervals and prosodic features. These are adopted from this reference</w:t>
      </w:r>
      <w:r w:rsidR="00CD60F3" w:rsidRPr="00A730B3">
        <w:rPr>
          <w:rFonts w:ascii="Calibri" w:eastAsia="Calibri" w:hAnsi="Calibri" w:cs="Calibri"/>
          <w:color w:val="000000" w:themeColor="text1"/>
          <w:sz w:val="20"/>
          <w:szCs w:val="20"/>
          <w:lang w:val="en-US"/>
        </w:rPr>
        <w:t>:</w:t>
      </w:r>
    </w:p>
    <w:p w14:paraId="60E2213E" w14:textId="77777777" w:rsidR="002C3017" w:rsidRDefault="002C3017" w:rsidP="2B05B5FD">
      <w:pPr>
        <w:rPr>
          <w:rFonts w:ascii="Calibri" w:eastAsia="Calibri" w:hAnsi="Calibri" w:cs="Calibri"/>
          <w:color w:val="000000" w:themeColor="text1"/>
          <w:sz w:val="20"/>
          <w:szCs w:val="20"/>
          <w:lang w:val="en-US"/>
        </w:rPr>
      </w:pPr>
    </w:p>
    <w:p w14:paraId="5B574FC5" w14:textId="5EFB11AE" w:rsidR="6DC853DD" w:rsidRPr="00A730B3" w:rsidRDefault="6DC853DD" w:rsidP="2B05B5FD">
      <w:pPr>
        <w:rPr>
          <w:rFonts w:ascii="Calibri" w:eastAsia="Calibri" w:hAnsi="Calibri" w:cs="Calibri"/>
          <w:color w:val="000000" w:themeColor="text1"/>
          <w:sz w:val="20"/>
          <w:szCs w:val="20"/>
          <w:lang w:val="en-US"/>
        </w:rPr>
      </w:pPr>
      <w:r w:rsidRPr="00A730B3">
        <w:rPr>
          <w:rFonts w:ascii="Calibri" w:eastAsia="Calibri" w:hAnsi="Calibri" w:cs="Calibri"/>
          <w:color w:val="000000" w:themeColor="text1"/>
          <w:sz w:val="20"/>
          <w:szCs w:val="20"/>
          <w:lang w:val="en-US"/>
        </w:rPr>
        <w:t>White SJ. Conversation Analysis: An Introduction to Methodology, Data Collection, and Analysis. In: Liamputtong P, editors. Handbook of Research Methods in Health Social Sciences. Singapore: Springer; 2019:471-490.</w:t>
      </w:r>
    </w:p>
    <w:p w14:paraId="77930A32" w14:textId="77777777" w:rsidR="002C3017" w:rsidRDefault="002C3017" w:rsidP="2B05B5FD">
      <w:pPr>
        <w:rPr>
          <w:rFonts w:ascii="Calibri" w:eastAsia="Calibri" w:hAnsi="Calibri" w:cs="Calibri"/>
          <w:color w:val="000000" w:themeColor="text1"/>
          <w:sz w:val="20"/>
          <w:szCs w:val="20"/>
          <w:lang w:val="en-US"/>
        </w:rPr>
      </w:pPr>
    </w:p>
    <w:p w14:paraId="4687C3D4" w14:textId="45C6D2D5" w:rsidR="00A730B3" w:rsidRPr="00A730B3" w:rsidRDefault="00A730B3" w:rsidP="2B05B5FD">
      <w:pPr>
        <w:rPr>
          <w:rFonts w:ascii="Calibri" w:eastAsia="Calibri" w:hAnsi="Calibri" w:cs="Calibri"/>
          <w:color w:val="000000" w:themeColor="text1"/>
          <w:sz w:val="20"/>
          <w:szCs w:val="20"/>
          <w:lang w:val="en-US"/>
        </w:rPr>
      </w:pPr>
      <w:r w:rsidRPr="00A730B3">
        <w:rPr>
          <w:rFonts w:ascii="Calibri" w:eastAsia="Calibri" w:hAnsi="Calibri" w:cs="Calibri"/>
          <w:color w:val="000000" w:themeColor="text1"/>
          <w:sz w:val="20"/>
          <w:szCs w:val="20"/>
          <w:lang w:val="en-US"/>
        </w:rPr>
        <w:t>On their turn, these notations are based on the Jeffersonian transcription system, and taken from:</w:t>
      </w:r>
    </w:p>
    <w:p w14:paraId="154FD142" w14:textId="77777777" w:rsidR="002C3017" w:rsidRDefault="002C3017" w:rsidP="00A730B3">
      <w:pPr>
        <w:rPr>
          <w:rStyle w:val="t"/>
          <w:rFonts w:ascii="Calibri" w:eastAsiaTheme="majorEastAsia" w:hAnsi="Calibri" w:cs="Calibri"/>
          <w:color w:val="000000"/>
          <w:sz w:val="20"/>
          <w:szCs w:val="20"/>
          <w:shd w:val="clear" w:color="auto" w:fill="FFFFFF"/>
          <w:lang w:val="en-US"/>
        </w:rPr>
      </w:pPr>
    </w:p>
    <w:p w14:paraId="079C0663" w14:textId="185BD039" w:rsidR="00A730B3" w:rsidRPr="00A730B3" w:rsidRDefault="00A730B3" w:rsidP="00A730B3">
      <w:pPr>
        <w:rPr>
          <w:rFonts w:ascii="Calibri" w:hAnsi="Calibri" w:cs="Calibri"/>
          <w:color w:val="141413"/>
          <w:sz w:val="20"/>
          <w:szCs w:val="20"/>
          <w:shd w:val="clear" w:color="auto" w:fill="FFFFFF"/>
        </w:rPr>
      </w:pPr>
      <w:r w:rsidRPr="00A730B3">
        <w:rPr>
          <w:rStyle w:val="t"/>
          <w:rFonts w:ascii="Calibri" w:eastAsiaTheme="majorEastAsia" w:hAnsi="Calibri" w:cs="Calibri"/>
          <w:color w:val="000000"/>
          <w:sz w:val="20"/>
          <w:szCs w:val="20"/>
          <w:shd w:val="clear" w:color="auto" w:fill="FFFFFF"/>
          <w:lang w:val="en-US"/>
        </w:rPr>
        <w:t xml:space="preserve">Gardner R. Conversation analysis. In: Davies A, Elder C, editors. </w:t>
      </w:r>
      <w:r w:rsidRPr="00A730B3">
        <w:rPr>
          <w:rStyle w:val="t"/>
          <w:rFonts w:ascii="Calibri" w:eastAsiaTheme="majorEastAsia" w:hAnsi="Calibri" w:cs="Calibri"/>
          <w:color w:val="000000"/>
          <w:sz w:val="20"/>
          <w:szCs w:val="20"/>
          <w:shd w:val="clear" w:color="auto" w:fill="FFFFFF"/>
        </w:rPr>
        <w:t xml:space="preserve">The </w:t>
      </w:r>
      <w:proofErr w:type="spellStart"/>
      <w:r w:rsidRPr="00A730B3">
        <w:rPr>
          <w:rStyle w:val="t"/>
          <w:rFonts w:ascii="Calibri" w:eastAsiaTheme="majorEastAsia" w:hAnsi="Calibri" w:cs="Calibri"/>
          <w:color w:val="000000"/>
          <w:sz w:val="20"/>
          <w:szCs w:val="20"/>
          <w:shd w:val="clear" w:color="auto" w:fill="FFFFFF"/>
        </w:rPr>
        <w:t>handbook</w:t>
      </w:r>
      <w:proofErr w:type="spellEnd"/>
      <w:r w:rsidRPr="00A730B3">
        <w:rPr>
          <w:rStyle w:val="t"/>
          <w:rFonts w:ascii="Calibri" w:eastAsiaTheme="majorEastAsia" w:hAnsi="Calibri" w:cs="Calibri"/>
          <w:color w:val="000000"/>
          <w:sz w:val="20"/>
          <w:szCs w:val="20"/>
          <w:shd w:val="clear" w:color="auto" w:fill="FFFFFF"/>
        </w:rPr>
        <w:t xml:space="preserve"> of </w:t>
      </w:r>
      <w:proofErr w:type="spellStart"/>
      <w:r w:rsidRPr="00A730B3">
        <w:rPr>
          <w:rStyle w:val="t"/>
          <w:rFonts w:ascii="Calibri" w:eastAsiaTheme="majorEastAsia" w:hAnsi="Calibri" w:cs="Calibri"/>
          <w:color w:val="000000"/>
          <w:sz w:val="20"/>
          <w:szCs w:val="20"/>
          <w:shd w:val="clear" w:color="auto" w:fill="FFFFFF"/>
        </w:rPr>
        <w:t>applied</w:t>
      </w:r>
      <w:proofErr w:type="spellEnd"/>
      <w:r w:rsidRPr="00A730B3">
        <w:rPr>
          <w:rStyle w:val="t"/>
          <w:rFonts w:ascii="Calibri" w:eastAsiaTheme="majorEastAsia" w:hAnsi="Calibri" w:cs="Calibri"/>
          <w:color w:val="000000"/>
          <w:sz w:val="20"/>
          <w:szCs w:val="20"/>
          <w:shd w:val="clear" w:color="auto" w:fill="FFFFFF"/>
        </w:rPr>
        <w:t xml:space="preserve"> </w:t>
      </w:r>
    </w:p>
    <w:p w14:paraId="3F31EBD1" w14:textId="07ADC887" w:rsidR="00A730B3" w:rsidRPr="00A730B3" w:rsidRDefault="00A730B3" w:rsidP="00A730B3">
      <w:pPr>
        <w:rPr>
          <w:rStyle w:val="t"/>
          <w:rFonts w:ascii="Calibri" w:eastAsiaTheme="majorEastAsia" w:hAnsi="Calibri" w:cs="Calibri"/>
          <w:color w:val="000000"/>
          <w:sz w:val="20"/>
          <w:szCs w:val="20"/>
          <w:shd w:val="clear" w:color="auto" w:fill="FFFFFF"/>
        </w:rPr>
      </w:pPr>
      <w:proofErr w:type="spellStart"/>
      <w:r w:rsidRPr="00A730B3">
        <w:rPr>
          <w:rStyle w:val="t"/>
          <w:rFonts w:ascii="Calibri" w:eastAsiaTheme="majorEastAsia" w:hAnsi="Calibri" w:cs="Calibri"/>
          <w:color w:val="000000"/>
          <w:sz w:val="20"/>
          <w:szCs w:val="20"/>
          <w:shd w:val="clear" w:color="auto" w:fill="FFFFFF"/>
        </w:rPr>
        <w:t>linguistics</w:t>
      </w:r>
      <w:proofErr w:type="spellEnd"/>
      <w:r w:rsidRPr="00A730B3">
        <w:rPr>
          <w:rStyle w:val="t"/>
          <w:rFonts w:ascii="Calibri" w:eastAsiaTheme="majorEastAsia" w:hAnsi="Calibri" w:cs="Calibri"/>
          <w:color w:val="000000"/>
          <w:sz w:val="20"/>
          <w:szCs w:val="20"/>
          <w:shd w:val="clear" w:color="auto" w:fill="FFFFFF"/>
        </w:rPr>
        <w:t>. Oxford: Blackwell; 2004. p. 262–84.</w:t>
      </w:r>
    </w:p>
    <w:p w14:paraId="660E184B" w14:textId="77777777" w:rsidR="002C3017" w:rsidRDefault="002C3017" w:rsidP="00A730B3">
      <w:pPr>
        <w:rPr>
          <w:rFonts w:ascii="Calibri" w:eastAsia="Calibri" w:hAnsi="Calibri" w:cs="Calibri"/>
          <w:color w:val="000000" w:themeColor="text1"/>
          <w:sz w:val="20"/>
          <w:szCs w:val="20"/>
          <w:lang w:val="en-US"/>
        </w:rPr>
      </w:pPr>
    </w:p>
    <w:p w14:paraId="5AA02DFF" w14:textId="321B8D72" w:rsidR="00A730B3" w:rsidRPr="002C3017" w:rsidRDefault="00A730B3" w:rsidP="00A730B3">
      <w:pPr>
        <w:rPr>
          <w:rFonts w:ascii="Calibri" w:eastAsia="Calibri" w:hAnsi="Calibri" w:cs="Calibri"/>
          <w:color w:val="000000" w:themeColor="text1"/>
          <w:sz w:val="20"/>
          <w:szCs w:val="20"/>
          <w:lang w:val="en-US"/>
        </w:rPr>
      </w:pPr>
      <w:r w:rsidRPr="00A730B3">
        <w:rPr>
          <w:rFonts w:ascii="Calibri" w:eastAsia="Calibri" w:hAnsi="Calibri" w:cs="Calibri"/>
          <w:color w:val="000000" w:themeColor="text1"/>
          <w:sz w:val="20"/>
          <w:szCs w:val="20"/>
          <w:lang w:val="en-US"/>
        </w:rPr>
        <w:t xml:space="preserve">ten Have P. Doing conversation analysis. </w:t>
      </w:r>
      <w:r w:rsidRPr="002C3017">
        <w:rPr>
          <w:rFonts w:ascii="Calibri" w:eastAsia="Calibri" w:hAnsi="Calibri" w:cs="Calibri"/>
          <w:color w:val="000000" w:themeColor="text1"/>
          <w:sz w:val="20"/>
          <w:szCs w:val="20"/>
          <w:lang w:val="en-US"/>
        </w:rPr>
        <w:t>London: Sage; 1999.</w:t>
      </w:r>
    </w:p>
    <w:p w14:paraId="3C865B84" w14:textId="77777777" w:rsidR="00A730B3" w:rsidRPr="00A730B3" w:rsidRDefault="00A730B3" w:rsidP="00A730B3">
      <w:pPr>
        <w:rPr>
          <w:rFonts w:ascii="Calibri" w:eastAsia="Calibri" w:hAnsi="Calibri" w:cs="Calibri"/>
          <w:color w:val="000000" w:themeColor="text1"/>
          <w:sz w:val="20"/>
          <w:szCs w:val="20"/>
          <w:lang w:val="en-US"/>
        </w:rPr>
      </w:pPr>
    </w:p>
    <w:tbl>
      <w:tblPr>
        <w:tblStyle w:val="Rastertabel1licht-Accent1"/>
        <w:tblW w:w="9024" w:type="dxa"/>
        <w:tblInd w:w="421" w:type="dxa"/>
        <w:tblLook w:val="04A0" w:firstRow="1" w:lastRow="0" w:firstColumn="1" w:lastColumn="0" w:noHBand="0" w:noVBand="1"/>
      </w:tblPr>
      <w:tblGrid>
        <w:gridCol w:w="1848"/>
        <w:gridCol w:w="7176"/>
      </w:tblGrid>
      <w:tr w:rsidR="00377F2C" w:rsidRPr="00A730B3" w14:paraId="56BA5365" w14:textId="77777777" w:rsidTr="2B05B5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</w:tcPr>
          <w:p w14:paraId="06C8AE8F" w14:textId="47DADB20" w:rsidR="00377F2C" w:rsidRPr="00A730B3" w:rsidRDefault="00377F2C" w:rsidP="00D57EA0">
            <w:pPr>
              <w:jc w:val="both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A730B3">
              <w:rPr>
                <w:rFonts w:ascii="Calibri" w:hAnsi="Calibri" w:cs="Calibri"/>
                <w:sz w:val="20"/>
                <w:szCs w:val="20"/>
                <w:lang w:val="en-US"/>
              </w:rPr>
              <w:t>Transcription notations</w:t>
            </w:r>
          </w:p>
        </w:tc>
        <w:tc>
          <w:tcPr>
            <w:tcW w:w="7176" w:type="dxa"/>
          </w:tcPr>
          <w:p w14:paraId="5BDD600A" w14:textId="77777777" w:rsidR="00377F2C" w:rsidRPr="00A730B3" w:rsidRDefault="00377F2C" w:rsidP="00D57EA0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A730B3">
              <w:rPr>
                <w:rFonts w:ascii="Calibri" w:hAnsi="Calibri" w:cs="Calibri"/>
                <w:sz w:val="20"/>
                <w:szCs w:val="20"/>
                <w:lang w:val="en-US"/>
              </w:rPr>
              <w:t>Description</w:t>
            </w:r>
          </w:p>
        </w:tc>
      </w:tr>
      <w:tr w:rsidR="00377F2C" w:rsidRPr="00A730B3" w14:paraId="33EC200C" w14:textId="77777777" w:rsidTr="2B05B5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4" w:type="dxa"/>
            <w:gridSpan w:val="2"/>
          </w:tcPr>
          <w:p w14:paraId="451E3BE2" w14:textId="02A2CD9E" w:rsidR="00377F2C" w:rsidRPr="00A730B3" w:rsidRDefault="00377F2C" w:rsidP="00D57EA0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A730B3">
              <w:rPr>
                <w:rFonts w:ascii="Calibri" w:hAnsi="Calibri" w:cs="Calibri"/>
                <w:sz w:val="20"/>
                <w:szCs w:val="20"/>
                <w:lang w:val="en-US"/>
              </w:rPr>
              <w:t>Transcriber’s doubts notations</w:t>
            </w:r>
          </w:p>
        </w:tc>
      </w:tr>
      <w:tr w:rsidR="00377F2C" w:rsidRPr="00A730B3" w14:paraId="0D6C73A8" w14:textId="77777777" w:rsidTr="2B05B5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</w:tcPr>
          <w:p w14:paraId="04964920" w14:textId="77777777" w:rsidR="00377F2C" w:rsidRPr="00A730B3" w:rsidRDefault="00377F2C" w:rsidP="00D57EA0">
            <w:pPr>
              <w:jc w:val="both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A730B3">
              <w:rPr>
                <w:rFonts w:ascii="Calibri" w:hAnsi="Calibri" w:cs="Calibri"/>
                <w:sz w:val="20"/>
                <w:szCs w:val="20"/>
                <w:lang w:val="en-US"/>
              </w:rPr>
              <w:t>( )</w:t>
            </w:r>
          </w:p>
        </w:tc>
        <w:tc>
          <w:tcPr>
            <w:tcW w:w="7176" w:type="dxa"/>
          </w:tcPr>
          <w:p w14:paraId="147FFF29" w14:textId="27486D6D" w:rsidR="00377F2C" w:rsidRPr="00A730B3" w:rsidRDefault="00CD60F3" w:rsidP="00D57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A730B3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P</w:t>
            </w:r>
            <w:r w:rsidR="00377F2C" w:rsidRPr="00A730B3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 xml:space="preserve">arentheses </w:t>
            </w:r>
            <w:r w:rsidRPr="00A730B3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are used when</w:t>
            </w:r>
            <w:r w:rsidR="00377F2C" w:rsidRPr="00A730B3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A730B3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a part of the conversation</w:t>
            </w:r>
            <w:r w:rsidR="00377F2C" w:rsidRPr="00A730B3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A730B3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 xml:space="preserve">was unclear to </w:t>
            </w:r>
            <w:r w:rsidR="00377F2C" w:rsidRPr="00A730B3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 xml:space="preserve">the transcriber. </w:t>
            </w:r>
          </w:p>
        </w:tc>
      </w:tr>
      <w:tr w:rsidR="00377F2C" w:rsidRPr="00A730B3" w14:paraId="05A3E55E" w14:textId="77777777" w:rsidTr="2B05B5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4" w:type="dxa"/>
            <w:gridSpan w:val="2"/>
          </w:tcPr>
          <w:p w14:paraId="24665A53" w14:textId="77777777" w:rsidR="00377F2C" w:rsidRPr="00A730B3" w:rsidRDefault="00377F2C" w:rsidP="00D57EA0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A730B3">
              <w:rPr>
                <w:rFonts w:ascii="Calibri" w:hAnsi="Calibri" w:cs="Calibri"/>
                <w:sz w:val="20"/>
                <w:szCs w:val="20"/>
                <w:lang w:val="en-US"/>
              </w:rPr>
              <w:t>SEQUENCING notations</w:t>
            </w:r>
          </w:p>
        </w:tc>
      </w:tr>
      <w:tr w:rsidR="00377F2C" w:rsidRPr="00A730B3" w14:paraId="4592FA67" w14:textId="77777777" w:rsidTr="2B05B5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</w:tcPr>
          <w:p w14:paraId="7BA2F800" w14:textId="77777777" w:rsidR="00377F2C" w:rsidRPr="00A730B3" w:rsidRDefault="00377F2C" w:rsidP="00D57EA0">
            <w:pPr>
              <w:jc w:val="both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A730B3">
              <w:rPr>
                <w:rFonts w:ascii="Calibri" w:hAnsi="Calibri" w:cs="Calibri"/>
                <w:sz w:val="20"/>
                <w:szCs w:val="20"/>
                <w:lang w:val="en-US"/>
              </w:rPr>
              <w:t>[</w:t>
            </w:r>
          </w:p>
        </w:tc>
        <w:tc>
          <w:tcPr>
            <w:tcW w:w="7176" w:type="dxa"/>
          </w:tcPr>
          <w:p w14:paraId="36110253" w14:textId="6F889283" w:rsidR="00377F2C" w:rsidRPr="00A730B3" w:rsidRDefault="00377F2C" w:rsidP="09635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sz w:val="20"/>
                <w:szCs w:val="20"/>
                <w:highlight w:val="yellow"/>
                <w:lang w:val="en-US"/>
              </w:rPr>
            </w:pPr>
            <w:r w:rsidRPr="00A730B3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 xml:space="preserve">A left bracket </w:t>
            </w:r>
            <w:r w:rsidR="00CD60F3" w:rsidRPr="00A730B3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is used to indicate the start of observable overlap in conversation between two or more speakers.</w:t>
            </w:r>
          </w:p>
        </w:tc>
      </w:tr>
      <w:tr w:rsidR="00377F2C" w:rsidRPr="00A730B3" w14:paraId="195CA59C" w14:textId="77777777" w:rsidTr="2B05B5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</w:tcPr>
          <w:p w14:paraId="329D0980" w14:textId="77777777" w:rsidR="00377F2C" w:rsidRPr="00A730B3" w:rsidRDefault="00377F2C" w:rsidP="00D57EA0">
            <w:pPr>
              <w:jc w:val="both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A730B3">
              <w:rPr>
                <w:rFonts w:ascii="Calibri" w:hAnsi="Calibri" w:cs="Calibri"/>
                <w:sz w:val="20"/>
                <w:szCs w:val="20"/>
                <w:lang w:val="en-US"/>
              </w:rPr>
              <w:t>]</w:t>
            </w:r>
          </w:p>
        </w:tc>
        <w:tc>
          <w:tcPr>
            <w:tcW w:w="7176" w:type="dxa"/>
          </w:tcPr>
          <w:p w14:paraId="4D82434C" w14:textId="6574D416" w:rsidR="00377F2C" w:rsidRPr="00A730B3" w:rsidRDefault="00CD60F3" w:rsidP="00D57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A730B3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A</w:t>
            </w:r>
            <w:r w:rsidRPr="00A730B3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 xml:space="preserve"> right</w:t>
            </w:r>
            <w:r w:rsidRPr="00A730B3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 xml:space="preserve"> bracket is used to indicate the </w:t>
            </w:r>
            <w:r w:rsidRPr="00A730B3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end</w:t>
            </w:r>
            <w:r w:rsidRPr="00A730B3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 xml:space="preserve"> of observable overlap in conversation between two or more speakers.</w:t>
            </w:r>
          </w:p>
        </w:tc>
      </w:tr>
      <w:tr w:rsidR="00377F2C" w:rsidRPr="00A730B3" w14:paraId="5B02B847" w14:textId="77777777" w:rsidTr="2B05B5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</w:tcPr>
          <w:p w14:paraId="124A13D6" w14:textId="77777777" w:rsidR="00377F2C" w:rsidRPr="00A730B3" w:rsidRDefault="00377F2C" w:rsidP="00D57EA0">
            <w:pPr>
              <w:jc w:val="both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A730B3">
              <w:rPr>
                <w:rFonts w:ascii="Calibri" w:hAnsi="Calibri" w:cs="Calibri"/>
                <w:sz w:val="20"/>
                <w:szCs w:val="20"/>
                <w:lang w:val="en-US"/>
              </w:rPr>
              <w:t>=</w:t>
            </w:r>
          </w:p>
        </w:tc>
        <w:tc>
          <w:tcPr>
            <w:tcW w:w="7176" w:type="dxa"/>
          </w:tcPr>
          <w:p w14:paraId="3EE7BB21" w14:textId="250576E2" w:rsidR="00377F2C" w:rsidRPr="00A730B3" w:rsidRDefault="00377F2C" w:rsidP="00D57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A730B3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Equal signs</w:t>
            </w:r>
            <w:r w:rsidR="00CD60F3" w:rsidRPr="00A730B3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 xml:space="preserve"> are used when there is no gap in turn-taking.</w:t>
            </w:r>
            <w:r w:rsidRPr="00A730B3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 xml:space="preserve"> </w:t>
            </w:r>
            <w:r w:rsidR="00CD60F3" w:rsidRPr="00A730B3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O</w:t>
            </w:r>
            <w:r w:rsidRPr="00A730B3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 xml:space="preserve">ne </w:t>
            </w:r>
            <w:r w:rsidR="00CD60F3" w:rsidRPr="00A730B3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 xml:space="preserve">equal sign is placed </w:t>
            </w:r>
            <w:r w:rsidRPr="00A730B3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at the end of one line and one at the beginning of the next</w:t>
            </w:r>
            <w:r w:rsidR="00CD60F3" w:rsidRPr="00A730B3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 xml:space="preserve"> line</w:t>
            </w:r>
            <w:r w:rsidRPr="00A730B3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 xml:space="preserve">. (latching) </w:t>
            </w:r>
          </w:p>
        </w:tc>
      </w:tr>
      <w:tr w:rsidR="00377F2C" w:rsidRPr="00A730B3" w14:paraId="31B9B10C" w14:textId="77777777" w:rsidTr="2B05B5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4" w:type="dxa"/>
            <w:gridSpan w:val="2"/>
          </w:tcPr>
          <w:p w14:paraId="12646D16" w14:textId="77777777" w:rsidR="00377F2C" w:rsidRPr="00A730B3" w:rsidRDefault="00377F2C" w:rsidP="00D57EA0">
            <w:pPr>
              <w:rPr>
                <w:rFonts w:ascii="Calibri" w:hAnsi="Calibri" w:cs="Calibri"/>
                <w:color w:val="808080" w:themeColor="background1" w:themeShade="80"/>
                <w:sz w:val="20"/>
                <w:szCs w:val="20"/>
                <w:lang w:val="en-US"/>
              </w:rPr>
            </w:pPr>
            <w:r w:rsidRPr="00A730B3">
              <w:rPr>
                <w:rFonts w:ascii="Calibri" w:hAnsi="Calibri" w:cs="Calibri"/>
                <w:sz w:val="20"/>
                <w:szCs w:val="20"/>
                <w:lang w:val="en-US"/>
              </w:rPr>
              <w:t xml:space="preserve">INTERVAL notations </w:t>
            </w:r>
          </w:p>
        </w:tc>
      </w:tr>
      <w:tr w:rsidR="00377F2C" w:rsidRPr="00A730B3" w14:paraId="5299B873" w14:textId="77777777" w:rsidTr="2B05B5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</w:tcPr>
          <w:p w14:paraId="3BC9DAD9" w14:textId="77777777" w:rsidR="00377F2C" w:rsidRPr="00A730B3" w:rsidRDefault="00377F2C" w:rsidP="00D57EA0">
            <w:pPr>
              <w:jc w:val="both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A730B3">
              <w:rPr>
                <w:rFonts w:ascii="Calibri" w:hAnsi="Calibri" w:cs="Calibri"/>
                <w:sz w:val="20"/>
                <w:szCs w:val="20"/>
                <w:lang w:val="en-US"/>
              </w:rPr>
              <w:t>(0.0)</w:t>
            </w:r>
          </w:p>
        </w:tc>
        <w:tc>
          <w:tcPr>
            <w:tcW w:w="7176" w:type="dxa"/>
          </w:tcPr>
          <w:p w14:paraId="49DD873B" w14:textId="65FBAD13" w:rsidR="00377F2C" w:rsidRPr="00A730B3" w:rsidRDefault="00377F2C" w:rsidP="2B05B5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</w:pPr>
            <w:r w:rsidRPr="00A730B3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 xml:space="preserve">Numbers in parentheses </w:t>
            </w:r>
            <w:r w:rsidR="00CD60F3" w:rsidRPr="00A730B3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are used to indicate</w:t>
            </w:r>
            <w:r w:rsidRPr="00A730B3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 xml:space="preserve"> </w:t>
            </w:r>
            <w:r w:rsidR="624D43A9" w:rsidRPr="00A730B3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the duration of silence</w:t>
            </w:r>
            <w:r w:rsidR="00CD60F3" w:rsidRPr="00A730B3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s in between utterances of the same or different speakers. In the coding process durations are grouped.</w:t>
            </w:r>
          </w:p>
        </w:tc>
      </w:tr>
      <w:tr w:rsidR="00377F2C" w:rsidRPr="00A730B3" w14:paraId="0EBBF56A" w14:textId="77777777" w:rsidTr="2B05B5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4" w:type="dxa"/>
            <w:gridSpan w:val="2"/>
          </w:tcPr>
          <w:p w14:paraId="6E4601B2" w14:textId="77777777" w:rsidR="00377F2C" w:rsidRPr="00A730B3" w:rsidRDefault="00377F2C" w:rsidP="00D57EA0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A730B3">
              <w:rPr>
                <w:rFonts w:ascii="Calibri" w:hAnsi="Calibri" w:cs="Calibri"/>
                <w:sz w:val="20"/>
                <w:szCs w:val="20"/>
                <w:lang w:val="en-US"/>
              </w:rPr>
              <w:t>PROSODIC FEATURES notations</w:t>
            </w:r>
          </w:p>
        </w:tc>
      </w:tr>
      <w:tr w:rsidR="00377F2C" w:rsidRPr="00A730B3" w14:paraId="69B4295C" w14:textId="77777777" w:rsidTr="2B05B5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</w:tcPr>
          <w:p w14:paraId="5BC29EC6" w14:textId="77777777" w:rsidR="00377F2C" w:rsidRPr="00A730B3" w:rsidRDefault="00377F2C" w:rsidP="00D57EA0">
            <w:pPr>
              <w:jc w:val="both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A730B3">
              <w:rPr>
                <w:rFonts w:ascii="Calibri" w:hAnsi="Calibri" w:cs="Calibri"/>
                <w:sz w:val="20"/>
                <w:szCs w:val="20"/>
                <w:lang w:val="en-US"/>
              </w:rPr>
              <w:t>-</w:t>
            </w:r>
          </w:p>
        </w:tc>
        <w:tc>
          <w:tcPr>
            <w:tcW w:w="7176" w:type="dxa"/>
          </w:tcPr>
          <w:p w14:paraId="545205C5" w14:textId="519BE594" w:rsidR="00377F2C" w:rsidRPr="00A730B3" w:rsidRDefault="00377F2C" w:rsidP="00D57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A730B3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A dash indicates a cutoff</w:t>
            </w:r>
            <w:r w:rsidR="00A640E2" w:rsidRPr="00A730B3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 xml:space="preserve"> in a conversation when o</w:t>
            </w:r>
            <w:r w:rsidRPr="00A730B3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 xml:space="preserve">ne </w:t>
            </w:r>
            <w:r w:rsidR="042C53FD" w:rsidRPr="00A730B3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stops</w:t>
            </w:r>
            <w:r w:rsidRPr="00A730B3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 xml:space="preserve"> talking. (interruption)</w:t>
            </w:r>
          </w:p>
        </w:tc>
      </w:tr>
      <w:tr w:rsidR="00377F2C" w:rsidRPr="00A730B3" w14:paraId="3C35FA92" w14:textId="77777777" w:rsidTr="2B05B5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</w:tcPr>
          <w:p w14:paraId="3FA3A39C" w14:textId="77777777" w:rsidR="00377F2C" w:rsidRPr="00A730B3" w:rsidRDefault="00377F2C" w:rsidP="00D57EA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730B3">
              <w:rPr>
                <w:rFonts w:ascii="Calibri" w:hAnsi="Calibri" w:cs="Calibri"/>
                <w:sz w:val="20"/>
                <w:szCs w:val="20"/>
              </w:rPr>
              <w:t>°word°</w:t>
            </w:r>
          </w:p>
        </w:tc>
        <w:tc>
          <w:tcPr>
            <w:tcW w:w="7176" w:type="dxa"/>
          </w:tcPr>
          <w:p w14:paraId="03C874D0" w14:textId="4155322F" w:rsidR="00377F2C" w:rsidRPr="00A730B3" w:rsidRDefault="00A640E2" w:rsidP="00D57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A730B3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To indicate more quiet u</w:t>
            </w:r>
            <w:r w:rsidR="00377F2C" w:rsidRPr="00A730B3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 xml:space="preserve">tterances or </w:t>
            </w:r>
            <w:r w:rsidRPr="00A730B3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 xml:space="preserve">parts of a conversation, </w:t>
            </w:r>
            <w:r w:rsidR="00377F2C" w:rsidRPr="00A730B3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 xml:space="preserve">degree signs are </w:t>
            </w:r>
            <w:r w:rsidRPr="00A730B3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 xml:space="preserve"> used to bracket the more quiet parts.</w:t>
            </w:r>
            <w:r w:rsidR="00377F2C" w:rsidRPr="00A730B3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 xml:space="preserve"> </w:t>
            </w:r>
          </w:p>
        </w:tc>
      </w:tr>
      <w:tr w:rsidR="00377F2C" w:rsidRPr="00A730B3" w14:paraId="3A29B3E2" w14:textId="77777777" w:rsidTr="2B05B5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</w:tcPr>
          <w:p w14:paraId="7DDA96EA" w14:textId="77777777" w:rsidR="00377F2C" w:rsidRPr="00A730B3" w:rsidRDefault="00377F2C" w:rsidP="00D57EA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730B3">
              <w:rPr>
                <w:rFonts w:ascii="Calibri" w:hAnsi="Calibri" w:cs="Calibri"/>
                <w:sz w:val="20"/>
                <w:szCs w:val="20"/>
              </w:rPr>
              <w:t>WORD</w:t>
            </w:r>
          </w:p>
        </w:tc>
        <w:tc>
          <w:tcPr>
            <w:tcW w:w="7176" w:type="dxa"/>
          </w:tcPr>
          <w:p w14:paraId="45DC9415" w14:textId="0E41C2EC" w:rsidR="00377F2C" w:rsidRPr="00A730B3" w:rsidRDefault="00A640E2" w:rsidP="00A640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highlight w:val="yellow"/>
                <w:lang w:val="en-US"/>
              </w:rPr>
            </w:pPr>
            <w:r w:rsidRPr="00A730B3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 xml:space="preserve">To indicate more </w:t>
            </w:r>
            <w:r w:rsidRPr="00A730B3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loud</w:t>
            </w:r>
            <w:r w:rsidRPr="00A730B3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 xml:space="preserve"> utterances or parts of a conversation, </w:t>
            </w:r>
            <w:r w:rsidR="00377F2C" w:rsidRPr="00A730B3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 xml:space="preserve">capital letters are </w:t>
            </w:r>
            <w:r w:rsidRPr="00A730B3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used.</w:t>
            </w:r>
          </w:p>
        </w:tc>
      </w:tr>
      <w:tr w:rsidR="00377F2C" w:rsidRPr="00A730B3" w14:paraId="279AA2D8" w14:textId="77777777" w:rsidTr="2B05B5FD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</w:tcPr>
          <w:p w14:paraId="6CE6BF2A" w14:textId="77777777" w:rsidR="00377F2C" w:rsidRPr="00A730B3" w:rsidRDefault="00377F2C" w:rsidP="00D57EA0">
            <w:pPr>
              <w:jc w:val="both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A730B3">
              <w:rPr>
                <w:rFonts w:ascii="Calibri" w:hAnsi="Calibri" w:cs="Calibri"/>
                <w:sz w:val="20"/>
                <w:szCs w:val="20"/>
                <w:lang w:val="en-US"/>
              </w:rPr>
              <w:t>&lt;word&gt;</w:t>
            </w:r>
          </w:p>
        </w:tc>
        <w:tc>
          <w:tcPr>
            <w:tcW w:w="7176" w:type="dxa"/>
          </w:tcPr>
          <w:p w14:paraId="6B4094D5" w14:textId="4269CE04" w:rsidR="00377F2C" w:rsidRPr="00A730B3" w:rsidRDefault="00A640E2" w:rsidP="772AB4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</w:pPr>
            <w:r w:rsidRPr="00A730B3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To indicate slower speech, l</w:t>
            </w:r>
            <w:r w:rsidR="00377F2C" w:rsidRPr="00A730B3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 xml:space="preserve">eft/right carats </w:t>
            </w:r>
            <w:r w:rsidRPr="00A730B3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 xml:space="preserve">are used to </w:t>
            </w:r>
            <w:r w:rsidR="00377F2C" w:rsidRPr="00A730B3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 xml:space="preserve">bracket an utterance or part </w:t>
            </w:r>
            <w:r w:rsidRPr="00A730B3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of a conversation.</w:t>
            </w:r>
          </w:p>
        </w:tc>
      </w:tr>
      <w:tr w:rsidR="00377F2C" w:rsidRPr="00A730B3" w14:paraId="66C738EE" w14:textId="77777777" w:rsidTr="2B05B5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</w:tcPr>
          <w:p w14:paraId="72660EDC" w14:textId="77777777" w:rsidR="00377F2C" w:rsidRPr="00A730B3" w:rsidRDefault="00377F2C" w:rsidP="00D57EA0">
            <w:pPr>
              <w:jc w:val="both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A730B3">
              <w:rPr>
                <w:rFonts w:ascii="Calibri" w:hAnsi="Calibri" w:cs="Calibri"/>
                <w:sz w:val="20"/>
                <w:szCs w:val="20"/>
                <w:lang w:val="en-US"/>
              </w:rPr>
              <w:t>&gt;word&lt;</w:t>
            </w:r>
          </w:p>
        </w:tc>
        <w:tc>
          <w:tcPr>
            <w:tcW w:w="7176" w:type="dxa"/>
          </w:tcPr>
          <w:p w14:paraId="5054F852" w14:textId="1B86E5A9" w:rsidR="00377F2C" w:rsidRPr="00A730B3" w:rsidRDefault="00A640E2" w:rsidP="00D57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A730B3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 xml:space="preserve">To indicate </w:t>
            </w:r>
            <w:r w:rsidRPr="00A730B3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faster</w:t>
            </w:r>
            <w:r w:rsidRPr="00A730B3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 xml:space="preserve"> speech, right</w:t>
            </w:r>
            <w:r w:rsidRPr="00A730B3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/left</w:t>
            </w:r>
            <w:r w:rsidRPr="00A730B3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 xml:space="preserve"> carats are used to bracket an utterance or part of a conversation.</w:t>
            </w:r>
          </w:p>
        </w:tc>
      </w:tr>
    </w:tbl>
    <w:p w14:paraId="503FE3CA" w14:textId="77777777" w:rsidR="001A70E7" w:rsidRPr="00A730B3" w:rsidRDefault="001A70E7">
      <w:pPr>
        <w:rPr>
          <w:rFonts w:ascii="Calibri" w:hAnsi="Calibri" w:cs="Calibri"/>
          <w:sz w:val="20"/>
          <w:szCs w:val="20"/>
          <w:lang w:val="en-US"/>
        </w:rPr>
      </w:pPr>
    </w:p>
    <w:sectPr w:rsidR="001A70E7" w:rsidRPr="00A730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F827BE"/>
    <w:multiLevelType w:val="hybridMultilevel"/>
    <w:tmpl w:val="52CCB398"/>
    <w:lvl w:ilvl="0" w:tplc="407C4AEE">
      <w:start w:val="1"/>
      <w:numFmt w:val="decimal"/>
      <w:lvlText w:val="%1."/>
      <w:lvlJc w:val="left"/>
      <w:pPr>
        <w:ind w:left="720" w:hanging="360"/>
      </w:pPr>
    </w:lvl>
    <w:lvl w:ilvl="1" w:tplc="F56CFB62">
      <w:start w:val="1"/>
      <w:numFmt w:val="lowerLetter"/>
      <w:lvlText w:val="%2."/>
      <w:lvlJc w:val="left"/>
      <w:pPr>
        <w:ind w:left="1440" w:hanging="360"/>
      </w:pPr>
    </w:lvl>
    <w:lvl w:ilvl="2" w:tplc="6D56186C">
      <w:start w:val="1"/>
      <w:numFmt w:val="lowerRoman"/>
      <w:lvlText w:val="%3."/>
      <w:lvlJc w:val="right"/>
      <w:pPr>
        <w:ind w:left="2160" w:hanging="180"/>
      </w:pPr>
    </w:lvl>
    <w:lvl w:ilvl="3" w:tplc="4F32AB42">
      <w:start w:val="1"/>
      <w:numFmt w:val="decimal"/>
      <w:lvlText w:val="%4."/>
      <w:lvlJc w:val="left"/>
      <w:pPr>
        <w:ind w:left="2880" w:hanging="360"/>
      </w:pPr>
    </w:lvl>
    <w:lvl w:ilvl="4" w:tplc="B820467A">
      <w:start w:val="1"/>
      <w:numFmt w:val="lowerLetter"/>
      <w:lvlText w:val="%5."/>
      <w:lvlJc w:val="left"/>
      <w:pPr>
        <w:ind w:left="3600" w:hanging="360"/>
      </w:pPr>
    </w:lvl>
    <w:lvl w:ilvl="5" w:tplc="1EB8CBD4">
      <w:start w:val="1"/>
      <w:numFmt w:val="lowerRoman"/>
      <w:lvlText w:val="%6."/>
      <w:lvlJc w:val="right"/>
      <w:pPr>
        <w:ind w:left="4320" w:hanging="180"/>
      </w:pPr>
    </w:lvl>
    <w:lvl w:ilvl="6" w:tplc="240081D0">
      <w:start w:val="1"/>
      <w:numFmt w:val="decimal"/>
      <w:lvlText w:val="%7."/>
      <w:lvlJc w:val="left"/>
      <w:pPr>
        <w:ind w:left="5040" w:hanging="360"/>
      </w:pPr>
    </w:lvl>
    <w:lvl w:ilvl="7" w:tplc="90C0943E">
      <w:start w:val="1"/>
      <w:numFmt w:val="lowerLetter"/>
      <w:lvlText w:val="%8."/>
      <w:lvlJc w:val="left"/>
      <w:pPr>
        <w:ind w:left="5760" w:hanging="360"/>
      </w:pPr>
    </w:lvl>
    <w:lvl w:ilvl="8" w:tplc="8408B274">
      <w:start w:val="1"/>
      <w:numFmt w:val="lowerRoman"/>
      <w:lvlText w:val="%9."/>
      <w:lvlJc w:val="right"/>
      <w:pPr>
        <w:ind w:left="6480" w:hanging="180"/>
      </w:pPr>
    </w:lvl>
  </w:abstractNum>
  <w:num w:numId="1" w16cid:durableId="1107237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0E7"/>
    <w:rsid w:val="001A70E7"/>
    <w:rsid w:val="002C3017"/>
    <w:rsid w:val="00377F2C"/>
    <w:rsid w:val="00586787"/>
    <w:rsid w:val="008753F0"/>
    <w:rsid w:val="00A640E2"/>
    <w:rsid w:val="00A730B3"/>
    <w:rsid w:val="00AF4C2C"/>
    <w:rsid w:val="00C9358E"/>
    <w:rsid w:val="00CD60F3"/>
    <w:rsid w:val="00DA4DD5"/>
    <w:rsid w:val="042C53FD"/>
    <w:rsid w:val="075A11CF"/>
    <w:rsid w:val="07ECEB48"/>
    <w:rsid w:val="09635134"/>
    <w:rsid w:val="0F6204F5"/>
    <w:rsid w:val="11E5FC0A"/>
    <w:rsid w:val="1D3D2318"/>
    <w:rsid w:val="2B05B5FD"/>
    <w:rsid w:val="33603C5A"/>
    <w:rsid w:val="37B3B522"/>
    <w:rsid w:val="37FD6A96"/>
    <w:rsid w:val="4AE48241"/>
    <w:rsid w:val="55E1EE83"/>
    <w:rsid w:val="624D43A9"/>
    <w:rsid w:val="6DC853DD"/>
    <w:rsid w:val="772AB494"/>
    <w:rsid w:val="7D89A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D311B"/>
  <w15:chartTrackingRefBased/>
  <w15:docId w15:val="{1BD03361-2FE1-43A8-BFC3-72F1E5119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730B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BE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1A70E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A70E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A70E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A70E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A70E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A70E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A70E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A70E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A70E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A70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A70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A70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A70E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A70E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A70E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A70E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A70E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A70E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A70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1A70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A70E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A70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A70E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1A70E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A70E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1A70E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A70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A70E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A70E7"/>
    <w:rPr>
      <w:b/>
      <w:bCs/>
      <w:smallCaps/>
      <w:color w:val="0F4761" w:themeColor="accent1" w:themeShade="BF"/>
      <w:spacing w:val="5"/>
    </w:rPr>
  </w:style>
  <w:style w:type="table" w:styleId="Rastertabel1licht-Accent1">
    <w:name w:val="Grid Table 1 Light Accent 1"/>
    <w:basedOn w:val="Standaardtabel"/>
    <w:uiPriority w:val="46"/>
    <w:rsid w:val="00377F2C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after="160"/>
    </w:pPr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character" w:customStyle="1" w:styleId="t">
    <w:name w:val="t"/>
    <w:basedOn w:val="Standaardalinea-lettertype"/>
    <w:rsid w:val="00A730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43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4E4D2FE7F960449F4AED96B744A29A" ma:contentTypeVersion="12" ma:contentTypeDescription="Een nieuw document maken." ma:contentTypeScope="" ma:versionID="d70334ca0d7f49c6446efd6e972127eb">
  <xsd:schema xmlns:xsd="http://www.w3.org/2001/XMLSchema" xmlns:xs="http://www.w3.org/2001/XMLSchema" xmlns:p="http://schemas.microsoft.com/office/2006/metadata/properties" xmlns:ns2="4b0bcb76-a265-4fa6-8b13-5e919089c7d8" xmlns:ns3="87d7f7f9-bdae-4681-8fec-406b84c3eccc" targetNamespace="http://schemas.microsoft.com/office/2006/metadata/properties" ma:root="true" ma:fieldsID="edad1d404dfb7bdee49d37428ef9e52c" ns2:_="" ns3:_="">
    <xsd:import namespace="4b0bcb76-a265-4fa6-8b13-5e919089c7d8"/>
    <xsd:import namespace="87d7f7f9-bdae-4681-8fec-406b84c3ec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0bcb76-a265-4fa6-8b13-5e919089c7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b6fc0cd-01fe-45a4-a6f7-42bcc5426b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d7f7f9-bdae-4681-8fec-406b84c3ecc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68ff2be-41a5-436a-82c9-fcd8a75007e9}" ma:internalName="TaxCatchAll" ma:showField="CatchAllData" ma:web="87d7f7f9-bdae-4681-8fec-406b84c3ec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7d7f7f9-bdae-4681-8fec-406b84c3eccc" xsi:nil="true"/>
    <lcf76f155ced4ddcb4097134ff3c332f xmlns="4b0bcb76-a265-4fa6-8b13-5e919089c7d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26DA455-BD12-4100-932B-643D9749E3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0716F7-4003-44CE-9DFA-9C9E06613B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0bcb76-a265-4fa6-8b13-5e919089c7d8"/>
    <ds:schemaRef ds:uri="87d7f7f9-bdae-4681-8fec-406b84c3ec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2D493A0-6EE4-4608-A8E4-1194DD30D9AC}">
  <ds:schemaRefs>
    <ds:schemaRef ds:uri="http://schemas.microsoft.com/office/2006/metadata/properties"/>
    <ds:schemaRef ds:uri="http://schemas.microsoft.com/office/infopath/2007/PartnerControls"/>
    <ds:schemaRef ds:uri="87d7f7f9-bdae-4681-8fec-406b84c3eccc"/>
    <ds:schemaRef ds:uri="4b0bcb76-a265-4fa6-8b13-5e919089c7d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KU Leuven</Company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Lotte Cools</dc:creator>
  <cp:keywords/>
  <dc:description/>
  <cp:lastModifiedBy>Lotte Cools</cp:lastModifiedBy>
  <cp:revision>8</cp:revision>
  <dcterms:created xsi:type="dcterms:W3CDTF">2025-04-15T08:13:00Z</dcterms:created>
  <dcterms:modified xsi:type="dcterms:W3CDTF">2025-06-17T13:40:00Z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0x010100024E4D2FE7F960449F4AED96B744A29A</vt:lpwstr>
  </property>
  <property fmtid="{D5CDD505-2E9C-101B-9397-08002B2CF9AE}" pid="3" name="MediaServiceImageTags">
    <vt:lpwstr/>
  </property>
</Properties>
</file>