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97BFC2" w14:textId="77777777" w:rsidR="00390933" w:rsidRDefault="00000000">
      <w:pPr>
        <w:pStyle w:val="FirstParagraph"/>
      </w:pPr>
      <w:r>
        <w:rPr>
          <w:b/>
          <w:bCs/>
        </w:rPr>
        <w:t>STROBE Statement—Checklist of items that should be included in reports of cross-sectional studies</w:t>
      </w:r>
    </w:p>
    <w:p w14:paraId="23A46306" w14:textId="77777777" w:rsidR="00390933" w:rsidRDefault="00000000">
      <w:pPr>
        <w:pStyle w:val="a0"/>
      </w:pPr>
      <w:r>
        <w:rPr>
          <w:b/>
          <w:bCs/>
        </w:rPr>
        <w:t>Manuscript: “Staphylococcus lugdunensis in blood cultures of dialysis patients: a single-center retrospective observational study of detection rate, antimicrobial susceptibility, and clinical significance”</w:t>
      </w:r>
      <w:r/>
      <w:r>
        <w:rPr>
          <w:i/>
          <w:iCs/>
        </w:rPr>
      </w:r>
      <w:r/>
    </w:p>
    <w:p w14:paraId="7477A615" w14:textId="77777777" w:rsidR="00390933" w:rsidRDefault="00000000">
      <w:pPr>
        <w:pStyle w:val="a0"/>
      </w:pPr>
      <w:r>
        <w:rPr>
          <w:i/>
          <w:iCs/>
        </w:rPr>
        <w:t xml:space="preserve">Locations refer to the section headings of the main manuscript file submitted to Renal Replacement Therapy. </w:t>
      </w:r>
      <w:r>
        <w:t xml:space="preserve">Where line numbers are given, they refer to the revised manuscript without highlighting.</w:t>
      </w:r>
    </w:p>
    <w:tbl>
      <w:tblPr>
        <w:tblStyle w:val="Table"/>
        <w:tblW w:w="5000" w:type="pct"/>
        <w:tblLook w:val="0020" w:firstRow="1" w:lastRow="0" w:firstColumn="0" w:lastColumn="0" w:noHBand="0" w:noVBand="0"/>
      </w:tblPr>
      <w:tblGrid>
        <w:gridCol w:w="2065"/>
        <w:gridCol w:w="739"/>
        <w:gridCol w:w="2865"/>
        <w:gridCol w:w="3385"/>
      </w:tblGrid>
      <w:tr w:rsidR="00390933" w14:paraId="5AB6FFC7" w14:textId="77777777" w:rsidTr="00390933">
        <w:trPr>
          <w:cnfStyle w:val="100000000000" w:firstRow="1" w:lastRow="0" w:firstColumn="0" w:lastColumn="0" w:oddVBand="0" w:evenVBand="0" w:oddHBand="0" w:evenHBand="0" w:firstRowFirstColumn="0" w:firstRowLastColumn="0" w:lastRowFirstColumn="0" w:lastRowLastColumn="0"/>
          <w:tblHeader/>
        </w:trPr>
        <w:tc>
          <w:tcPr>
            <w:tcW w:w="0" w:type="auto"/>
          </w:tcPr>
          <w:p w14:paraId="2D2B69B8" w14:textId="77777777" w:rsidR="00390933" w:rsidRDefault="00000000">
            <w:pPr>
              <w:pStyle w:val="Compact"/>
            </w:pPr>
            <w:r>
              <w:rPr>
                <w:b/>
                <w:bCs/>
              </w:rPr>
              <w:t>Section / Topic</w:t>
            </w:r>
          </w:p>
        </w:tc>
        <w:tc>
          <w:tcPr>
            <w:tcW w:w="0" w:type="auto"/>
          </w:tcPr>
          <w:p w14:paraId="75837582" w14:textId="77777777" w:rsidR="00390933" w:rsidRDefault="00000000">
            <w:pPr>
              <w:pStyle w:val="Compact"/>
            </w:pPr>
            <w:r>
              <w:rPr>
                <w:b/>
                <w:bCs/>
              </w:rPr>
              <w:t>Item</w:t>
            </w:r>
          </w:p>
        </w:tc>
        <w:tc>
          <w:tcPr>
            <w:tcW w:w="0" w:type="auto"/>
          </w:tcPr>
          <w:p w14:paraId="4F3FE8DF" w14:textId="77777777" w:rsidR="00390933" w:rsidRDefault="00000000">
            <w:pPr>
              <w:pStyle w:val="Compact"/>
            </w:pPr>
            <w:r>
              <w:rPr>
                <w:b/>
                <w:bCs/>
              </w:rPr>
              <w:t>Recommendation</w:t>
            </w:r>
          </w:p>
        </w:tc>
        <w:tc>
          <w:tcPr>
            <w:tcW w:w="0" w:type="auto"/>
          </w:tcPr>
          <w:p w14:paraId="61D59B63" w14:textId="77777777" w:rsidR="00390933" w:rsidRDefault="00000000">
            <w:pPr>
              <w:pStyle w:val="Compact"/>
            </w:pPr>
            <w:r>
              <w:rPr>
                <w:b/>
                <w:bCs/>
              </w:rPr>
              <w:t>Reported in</w:t>
            </w:r>
          </w:p>
        </w:tc>
      </w:tr>
      <w:tr w:rsidR="00390933" w14:paraId="671A877F" w14:textId="77777777">
        <w:tc>
          <w:tcPr>
            <w:tcW w:w="0" w:type="auto"/>
          </w:tcPr>
          <w:p w14:paraId="397F54D4" w14:textId="77777777" w:rsidR="00390933" w:rsidRDefault="00000000">
            <w:pPr>
              <w:pStyle w:val="Compact"/>
            </w:pPr>
            <w:r>
              <w:rPr>
                <w:b/>
                <w:bCs/>
              </w:rPr>
              <w:t>Title and abstract</w:t>
            </w:r>
          </w:p>
        </w:tc>
        <w:tc>
          <w:tcPr>
            <w:tcW w:w="0" w:type="auto"/>
          </w:tcPr>
          <w:p w14:paraId="64E61331" w14:textId="77777777" w:rsidR="00390933" w:rsidRDefault="00000000">
            <w:pPr>
              <w:pStyle w:val="Compact"/>
            </w:pPr>
            <w:r>
              <w:rPr>
                <w:b/>
                <w:bCs/>
              </w:rPr>
              <w:t>1 (a)</w:t>
            </w:r>
          </w:p>
        </w:tc>
        <w:tc>
          <w:tcPr>
            <w:tcW w:w="0" w:type="auto"/>
          </w:tcPr>
          <w:p w14:paraId="697B3842" w14:textId="77777777" w:rsidR="00390933" w:rsidRDefault="00000000">
            <w:pPr>
              <w:pStyle w:val="Compact"/>
            </w:pPr>
            <w:r>
              <w:t>Indicate the study’s design with a commonly used term in the title or the abstract.</w:t>
            </w:r>
          </w:p>
        </w:tc>
        <w:tc>
          <w:tcPr>
            <w:tcW w:w="0" w:type="auto"/>
          </w:tcPr>
          <w:p w14:paraId="372A26AD" w14:textId="77777777" w:rsidR="00390933" w:rsidRDefault="00000000">
            <w:pPr>
              <w:pStyle w:val="Compact"/>
            </w:pPr>
            <w:r>
              <w:t>Title (“single-center retrospective… study”); Abstract (“We retrospectively analyzed…”)</w:t>
            </w:r>
          </w:p>
        </w:tc>
      </w:tr>
      <w:tr w:rsidR="00390933" w14:paraId="3DC4262C" w14:textId="77777777">
        <w:tc>
          <w:tcPr>
            <w:tcW w:w="0" w:type="auto"/>
          </w:tcPr>
          <w:p w14:paraId="7FCD0C5E" w14:textId="77777777" w:rsidR="00390933" w:rsidRDefault="00390933">
            <w:pPr>
              <w:pStyle w:val="Compact"/>
            </w:pPr>
          </w:p>
        </w:tc>
        <w:tc>
          <w:tcPr>
            <w:tcW w:w="0" w:type="auto"/>
          </w:tcPr>
          <w:p w14:paraId="78606E4D" w14:textId="77777777" w:rsidR="00390933" w:rsidRDefault="00000000">
            <w:pPr>
              <w:pStyle w:val="Compact"/>
            </w:pPr>
            <w:r>
              <w:rPr>
                <w:b/>
                <w:bCs/>
              </w:rPr>
              <w:t>1 (b)</w:t>
            </w:r>
          </w:p>
        </w:tc>
        <w:tc>
          <w:tcPr>
            <w:tcW w:w="0" w:type="auto"/>
          </w:tcPr>
          <w:p w14:paraId="26747F6D" w14:textId="77777777" w:rsidR="00390933" w:rsidRDefault="00000000">
            <w:pPr>
              <w:pStyle w:val="Compact"/>
            </w:pPr>
            <w:r>
              <w:t>Provide in the abstract an informative and balanced summary of what was done and what was found.</w:t>
            </w:r>
          </w:p>
        </w:tc>
        <w:tc>
          <w:tcPr>
            <w:tcW w:w="0" w:type="auto"/>
          </w:tcPr>
          <w:p w14:paraId="5E495163" w14:textId="77777777" w:rsidR="00390933" w:rsidRDefault="00000000">
            <w:pPr>
              <w:pStyle w:val="Compact"/>
            </w:pPr>
            <w:r>
              <w:t>Abstract</w:t>
            </w:r>
          </w:p>
        </w:tc>
      </w:tr>
      <w:tr w:rsidR="00390933" w14:paraId="4D0772E4" w14:textId="77777777">
        <w:tc>
          <w:tcPr>
            <w:tcW w:w="0" w:type="auto"/>
          </w:tcPr>
          <w:p w14:paraId="28F92C58" w14:textId="77777777" w:rsidR="00390933" w:rsidRDefault="00000000">
            <w:pPr>
              <w:pStyle w:val="Compact"/>
            </w:pPr>
            <w:r>
              <w:rPr>
                <w:b/>
                <w:bCs/>
              </w:rPr>
              <w:t>Background / rationale</w:t>
            </w:r>
          </w:p>
        </w:tc>
        <w:tc>
          <w:tcPr>
            <w:tcW w:w="0" w:type="auto"/>
          </w:tcPr>
          <w:p w14:paraId="7A26F4F2" w14:textId="77777777" w:rsidR="00390933" w:rsidRDefault="00000000">
            <w:pPr>
              <w:pStyle w:val="Compact"/>
            </w:pPr>
            <w:r>
              <w:rPr>
                <w:b/>
                <w:bCs/>
              </w:rPr>
              <w:t>2</w:t>
            </w:r>
          </w:p>
        </w:tc>
        <w:tc>
          <w:tcPr>
            <w:tcW w:w="0" w:type="auto"/>
          </w:tcPr>
          <w:p w14:paraId="438FE4F8" w14:textId="77777777" w:rsidR="00390933" w:rsidRDefault="00000000">
            <w:pPr>
              <w:pStyle w:val="Compact"/>
            </w:pPr>
            <w:r>
              <w:t>Explain the scientific background and rationale for the investigation being reported.</w:t>
            </w:r>
          </w:p>
        </w:tc>
        <w:tc>
          <w:tcPr>
            <w:tcW w:w="0" w:type="auto"/>
          </w:tcPr>
          <w:p w14:paraId="024FDE15" w14:textId="77777777" w:rsidR="00390933" w:rsidRDefault="00000000">
            <w:pPr>
              <w:pStyle w:val="Compact"/>
            </w:pPr>
            <w:r>
              <w:t>Background</w:t>
            </w:r>
          </w:p>
        </w:tc>
      </w:tr>
      <w:tr w:rsidR="00390933" w14:paraId="49660980" w14:textId="77777777">
        <w:tc>
          <w:tcPr>
            <w:tcW w:w="0" w:type="auto"/>
          </w:tcPr>
          <w:p w14:paraId="31CF7590" w14:textId="77777777" w:rsidR="00390933" w:rsidRDefault="00000000">
            <w:pPr>
              <w:pStyle w:val="Compact"/>
            </w:pPr>
            <w:r>
              <w:rPr>
                <w:b/>
                <w:bCs/>
              </w:rPr>
              <w:t>Objectives</w:t>
            </w:r>
          </w:p>
        </w:tc>
        <w:tc>
          <w:tcPr>
            <w:tcW w:w="0" w:type="auto"/>
          </w:tcPr>
          <w:p w14:paraId="7EDDF2E5" w14:textId="77777777" w:rsidR="00390933" w:rsidRDefault="00000000">
            <w:pPr>
              <w:pStyle w:val="Compact"/>
            </w:pPr>
            <w:r>
              <w:rPr>
                <w:b/>
                <w:bCs/>
              </w:rPr>
              <w:t>3</w:t>
            </w:r>
          </w:p>
        </w:tc>
        <w:tc>
          <w:tcPr>
            <w:tcW w:w="0" w:type="auto"/>
          </w:tcPr>
          <w:p w14:paraId="23BC3660" w14:textId="77777777" w:rsidR="00390933" w:rsidRDefault="00000000">
            <w:pPr>
              <w:pStyle w:val="Compact"/>
            </w:pPr>
            <w:r>
              <w:t>State specific objectives, including any prespecified hypotheses.</w:t>
            </w:r>
          </w:p>
        </w:tc>
        <w:tc>
          <w:tcPr>
            <w:tcW w:w="0" w:type="auto"/>
          </w:tcPr>
          <w:p w14:paraId="067ECC08" w14:textId="77777777" w:rsidR="00390933" w:rsidRDefault="00000000">
            <w:pPr>
              <w:pStyle w:val="Compact"/>
            </w:pPr>
            <w:r>
              <w:t>Background, final paragraph: detection rate, antimicrobial susceptibility, and clinical features of S. lugdunensis</w:t>
            </w:r>
            <w:r>
              <w:rPr>
                <w:i/>
                <w:iCs/>
              </w:rPr>
            </w:r>
          </w:p>
        </w:tc>
      </w:tr>
      <w:tr w:rsidR="00390933" w14:paraId="191AF5D9" w14:textId="77777777">
        <w:tc>
          <w:tcPr>
            <w:tcW w:w="0" w:type="auto"/>
          </w:tcPr>
          <w:p w14:paraId="6A874EFC" w14:textId="77777777" w:rsidR="00390933" w:rsidRDefault="00000000">
            <w:pPr>
              <w:pStyle w:val="Compact"/>
            </w:pPr>
            <w:r>
              <w:rPr>
                <w:b/>
                <w:bCs/>
              </w:rPr>
              <w:t>Study design</w:t>
            </w:r>
          </w:p>
        </w:tc>
        <w:tc>
          <w:tcPr>
            <w:tcW w:w="0" w:type="auto"/>
          </w:tcPr>
          <w:p w14:paraId="63EE116E" w14:textId="77777777" w:rsidR="00390933" w:rsidRDefault="00000000">
            <w:pPr>
              <w:pStyle w:val="Compact"/>
            </w:pPr>
            <w:r>
              <w:rPr>
                <w:b/>
                <w:bCs/>
              </w:rPr>
              <w:t>4</w:t>
            </w:r>
          </w:p>
        </w:tc>
        <w:tc>
          <w:tcPr>
            <w:tcW w:w="0" w:type="auto"/>
          </w:tcPr>
          <w:p w14:paraId="3F1F9AC7" w14:textId="77777777" w:rsidR="00390933" w:rsidRDefault="00000000">
            <w:pPr>
              <w:pStyle w:val="Compact"/>
            </w:pPr>
            <w:r>
              <w:t>Present key elements of study design early in the paper.</w:t>
            </w:r>
          </w:p>
        </w:tc>
        <w:tc>
          <w:tcPr>
            <w:tcW w:w="0" w:type="auto"/>
          </w:tcPr>
          <w:p w14:paraId="3A819AC3" w14:textId="77777777" w:rsidR="00390933" w:rsidRDefault="00000000">
            <w:pPr>
              <w:pStyle w:val="Compact"/>
            </w:pPr>
            <w:r>
              <w:t>Methods (Study design and setting): single-center retrospective observational study</w:t>
            </w:r>
          </w:p>
        </w:tc>
      </w:tr>
      <w:tr w:rsidR="00390933" w14:paraId="4FFB529D" w14:textId="77777777">
        <w:tc>
          <w:tcPr>
            <w:tcW w:w="0" w:type="auto"/>
          </w:tcPr>
          <w:p w14:paraId="3A56327D" w14:textId="77777777" w:rsidR="00390933" w:rsidRDefault="00000000">
            <w:pPr>
              <w:pStyle w:val="Compact"/>
            </w:pPr>
            <w:r>
              <w:rPr>
                <w:b/>
                <w:bCs/>
              </w:rPr>
              <w:t>Setting</w:t>
            </w:r>
          </w:p>
        </w:tc>
        <w:tc>
          <w:tcPr>
            <w:tcW w:w="0" w:type="auto"/>
          </w:tcPr>
          <w:p w14:paraId="17DBC924" w14:textId="77777777" w:rsidR="00390933" w:rsidRDefault="00000000">
            <w:pPr>
              <w:pStyle w:val="Compact"/>
            </w:pPr>
            <w:r>
              <w:rPr>
                <w:b/>
                <w:bCs/>
              </w:rPr>
              <w:t>5</w:t>
            </w:r>
          </w:p>
        </w:tc>
        <w:tc>
          <w:tcPr>
            <w:tcW w:w="0" w:type="auto"/>
          </w:tcPr>
          <w:p w14:paraId="65C03AD9" w14:textId="77777777" w:rsidR="00390933" w:rsidRDefault="00000000">
            <w:pPr>
              <w:pStyle w:val="Compact"/>
            </w:pPr>
            <w:r>
              <w:t>Describe the setting, locations, and relevant dates, including periods of recruitment, exposure, follow-up, and data collection.</w:t>
            </w:r>
          </w:p>
        </w:tc>
        <w:tc>
          <w:tcPr>
            <w:tcW w:w="0" w:type="auto"/>
          </w:tcPr>
          <w:p w14:paraId="1A9E8FB2" w14:textId="77777777" w:rsidR="00390933" w:rsidRDefault="00000000">
            <w:pPr>
              <w:pStyle w:val="Compact"/>
            </w:pPr>
            <w:r>
              <w:t>Methods (Study design and setting): Rakuwakai Otowa Memorial Hospital; April 2020–December 2022</w:t>
            </w:r>
          </w:p>
        </w:tc>
      </w:tr>
      <w:tr w:rsidR="00390933" w14:paraId="25C288FD" w14:textId="77777777">
        <w:tc>
          <w:tcPr>
            <w:tcW w:w="0" w:type="auto"/>
          </w:tcPr>
          <w:p w14:paraId="779D3EA7" w14:textId="77777777" w:rsidR="00390933" w:rsidRDefault="00000000">
            <w:pPr>
              <w:pStyle w:val="Compact"/>
            </w:pPr>
            <w:r>
              <w:rPr>
                <w:b/>
                <w:bCs/>
              </w:rPr>
              <w:t>Participants</w:t>
            </w:r>
          </w:p>
        </w:tc>
        <w:tc>
          <w:tcPr>
            <w:tcW w:w="0" w:type="auto"/>
          </w:tcPr>
          <w:p w14:paraId="667982E7" w14:textId="77777777" w:rsidR="00390933" w:rsidRDefault="00000000">
            <w:pPr>
              <w:pStyle w:val="Compact"/>
            </w:pPr>
            <w:r>
              <w:rPr>
                <w:b/>
                <w:bCs/>
              </w:rPr>
              <w:t>6 (a)</w:t>
            </w:r>
          </w:p>
        </w:tc>
        <w:tc>
          <w:tcPr>
            <w:tcW w:w="0" w:type="auto"/>
          </w:tcPr>
          <w:p w14:paraId="5E9FC9E2" w14:textId="77777777" w:rsidR="00390933" w:rsidRDefault="00000000">
            <w:pPr>
              <w:pStyle w:val="Compact"/>
            </w:pPr>
            <w:r>
              <w:t xml:space="preserve">Cross-sectional study—Give the eligibility </w:t>
              <w:lastRenderedPageBreak/>
              <w:t>criteria, and the sources and methods of selection of participants.</w:t>
            </w:r>
          </w:p>
        </w:tc>
        <w:tc>
          <w:tcPr>
            <w:tcW w:w="0" w:type="auto"/>
          </w:tcPr>
          <w:p w14:paraId="3310C782" w14:textId="77777777" w:rsidR="00390933" w:rsidRDefault="00000000">
            <w:pPr>
              <w:pStyle w:val="Compact"/>
            </w:pPr>
            <w:r>
              <w:t>Methods (Study design and setting; Units of analysis and denominators): dialysis patients with suspected bacteremia; culture ordered at physician discretion; denominator and numerator definitions</w:t>
            </w:r>
          </w:p>
        </w:tc>
      </w:tr>
      <w:tr w:rsidR="00390933" w14:paraId="419C218F" w14:textId="77777777">
        <w:tc>
          <w:tcPr>
            <w:tcW w:w="0" w:type="auto"/>
          </w:tcPr>
          <w:p w14:paraId="330E25AE" w14:textId="77777777" w:rsidR="00390933" w:rsidRDefault="00000000">
            <w:pPr>
              <w:pStyle w:val="Compact"/>
            </w:pPr>
            <w:r>
              <w:rPr>
                <w:b/>
                <w:bCs/>
              </w:rPr>
              <w:lastRenderedPageBreak/>
              <w:t>Variables</w:t>
            </w:r>
          </w:p>
        </w:tc>
        <w:tc>
          <w:tcPr>
            <w:tcW w:w="0" w:type="auto"/>
          </w:tcPr>
          <w:p w14:paraId="40C860E6" w14:textId="77777777" w:rsidR="00390933" w:rsidRDefault="00000000">
            <w:pPr>
              <w:pStyle w:val="Compact"/>
            </w:pPr>
            <w:r>
              <w:rPr>
                <w:b/>
                <w:bCs/>
              </w:rPr>
              <w:t>7</w:t>
            </w:r>
          </w:p>
        </w:tc>
        <w:tc>
          <w:tcPr>
            <w:tcW w:w="0" w:type="auto"/>
          </w:tcPr>
          <w:p w14:paraId="623A257A" w14:textId="77777777" w:rsidR="00390933" w:rsidRDefault="00000000">
            <w:pPr>
              <w:pStyle w:val="Compact"/>
            </w:pPr>
            <w:r>
              <w:t>Clearly define all outcomes, exposures, predictors, potential confounders, and effect modifiers. Give diagnostic criteria, if applicable.</w:t>
            </w:r>
          </w:p>
        </w:tc>
        <w:tc>
          <w:tcPr>
            <w:tcW w:w="0" w:type="auto"/>
          </w:tcPr>
          <w:p w14:paraId="6BBCB5EC" w14:textId="77777777" w:rsidR="00390933" w:rsidRDefault="00000000">
            <w:pPr>
              <w:pStyle w:val="Compact"/>
            </w:pPr>
            <w:r>
              <w:t xml:space="preserve">Methods (Microbiological methods and definitions): </w:t>
            </w:r>
            <w:r>
              <w:t xml:space="preserve">case definitions for indwelling foreign material (involved in the infection or present only) and vascular access infection</w:t>
            </w:r>
            <w:r>
              <w:t xml:space="preserve">; Methods (Units of analysis and denominators): </w:t>
            </w:r>
            <w:r>
              <w:t xml:space="preserve">operational definition of an episode; clinical diagnoses as recorded by attending physicians</w:t>
            </w:r>
          </w:p>
        </w:tc>
      </w:tr>
      <w:tr w:rsidR="00390933" w14:paraId="1EBADECA" w14:textId="77777777">
        <w:tc>
          <w:tcPr>
            <w:tcW w:w="0" w:type="auto"/>
          </w:tcPr>
          <w:p w14:paraId="1DC04A56" w14:textId="77777777" w:rsidR="00390933" w:rsidRDefault="00000000">
            <w:pPr>
              <w:pStyle w:val="Compact"/>
            </w:pPr>
            <w:r>
              <w:rPr>
                <w:b/>
                <w:bCs/>
              </w:rPr>
              <w:t>Data sources / measurement</w:t>
            </w:r>
          </w:p>
        </w:tc>
        <w:tc>
          <w:tcPr>
            <w:tcW w:w="0" w:type="auto"/>
          </w:tcPr>
          <w:p w14:paraId="74F0817B" w14:textId="77777777" w:rsidR="00390933" w:rsidRDefault="00000000">
            <w:pPr>
              <w:pStyle w:val="Compact"/>
            </w:pPr>
            <w:r>
              <w:rPr>
                <w:b/>
                <w:bCs/>
              </w:rPr>
              <w:t>8</w:t>
            </w:r>
          </w:p>
        </w:tc>
        <w:tc>
          <w:tcPr>
            <w:tcW w:w="0" w:type="auto"/>
          </w:tcPr>
          <w:p w14:paraId="49A44D62" w14:textId="77777777" w:rsidR="00390933" w:rsidRDefault="00000000">
            <w:pPr>
              <w:pStyle w:val="Compact"/>
            </w:pPr>
            <w:r>
              <w:t>For each variable of interest, give sources of data and details of methods of assessment (measurement).</w:t>
            </w:r>
          </w:p>
        </w:tc>
        <w:tc>
          <w:tcPr>
            <w:tcW w:w="0" w:type="auto"/>
          </w:tcPr>
          <w:p w14:paraId="3F3992A0" w14:textId="77777777" w:rsidR="00390933" w:rsidRDefault="00000000">
            <w:pPr>
              <w:pStyle w:val="Compact"/>
            </w:pPr>
            <w:r>
              <w:t xml:space="preserve">Methods (Microbiological methods and definitions): MicroScan WalkAway 96 Plus (Pos Combo 1J); CLSI M100-ED30 (2020) breakpoints; </w:t>
            </w:r>
            <w:r>
              <w:t xml:space="preserve">oxacillin (</w:t>
            </w:r>
            <w:r>
              <w:rPr>
                <w:i/>
                <w:iCs/>
              </w:rPr>
              <w:t xml:space="preserve">S. aureus</w:t>
            </w:r>
            <w:r>
              <w:t xml:space="preserve">/</w:t>
            </w:r>
            <w:r>
              <w:rPr>
                <w:i/>
                <w:iCs/>
              </w:rPr>
              <w:t xml:space="preserve">S. lugdunensis</w:t>
            </w:r>
            <w:r>
              <w:t xml:space="preserve"> breakpoints) and cefoxitin for methicillin resistance; categories reported by the automated system for β-lactam agents without CLSI breakpoints not used</w:t>
            </w:r>
          </w:p>
        </w:tc>
      </w:tr>
      <w:tr w:rsidR="00390933" w14:paraId="40162EF1" w14:textId="77777777">
        <w:tc>
          <w:tcPr>
            <w:tcW w:w="0" w:type="auto"/>
          </w:tcPr>
          <w:p w14:paraId="0201BCFC" w14:textId="77777777" w:rsidR="00390933" w:rsidRDefault="00000000">
            <w:pPr>
              <w:pStyle w:val="Compact"/>
            </w:pPr>
            <w:r>
              <w:rPr>
                <w:b/>
                <w:bCs/>
              </w:rPr>
              <w:t>Bias</w:t>
            </w:r>
          </w:p>
        </w:tc>
        <w:tc>
          <w:tcPr>
            <w:tcW w:w="0" w:type="auto"/>
          </w:tcPr>
          <w:p w14:paraId="17BBBB9C" w14:textId="77777777" w:rsidR="00390933" w:rsidRDefault="00000000">
            <w:pPr>
              <w:pStyle w:val="Compact"/>
            </w:pPr>
            <w:r>
              <w:rPr>
                <w:b/>
                <w:bCs/>
              </w:rPr>
              <w:t>9</w:t>
            </w:r>
          </w:p>
        </w:tc>
        <w:tc>
          <w:tcPr>
            <w:tcW w:w="0" w:type="auto"/>
          </w:tcPr>
          <w:p w14:paraId="1818FBA9" w14:textId="77777777" w:rsidR="00390933" w:rsidRDefault="00000000">
            <w:pPr>
              <w:pStyle w:val="Compact"/>
            </w:pPr>
            <w:r>
              <w:t>Describe any efforts to address potential sources of bias.</w:t>
            </w:r>
          </w:p>
        </w:tc>
        <w:tc>
          <w:tcPr>
            <w:tcW w:w="0" w:type="auto"/>
          </w:tcPr>
          <w:p w14:paraId="117B3E6A" w14:textId="77777777" w:rsidR="00390933" w:rsidRDefault="00000000">
            <w:pPr>
              <w:pStyle w:val="Compact"/>
            </w:pPr>
            <w:r>
              <w:t>Methods (Units of analysis and denominators): use of set/episode/patient units and matched denominators to bound contamination; no post hoc adjudication. See also Discussion, limitations paragraph</w:t>
            </w:r>
          </w:p>
        </w:tc>
      </w:tr>
      <w:tr w:rsidR="00390933" w14:paraId="7CB90CA1" w14:textId="77777777">
        <w:tc>
          <w:tcPr>
            <w:tcW w:w="0" w:type="auto"/>
          </w:tcPr>
          <w:p w14:paraId="2E13A380" w14:textId="77777777" w:rsidR="00390933" w:rsidRDefault="00000000">
            <w:pPr>
              <w:pStyle w:val="Compact"/>
            </w:pPr>
            <w:r>
              <w:rPr>
                <w:b/>
                <w:bCs/>
              </w:rPr>
              <w:t>Study size</w:t>
            </w:r>
          </w:p>
        </w:tc>
        <w:tc>
          <w:tcPr>
            <w:tcW w:w="0" w:type="auto"/>
          </w:tcPr>
          <w:p w14:paraId="42743812" w14:textId="77777777" w:rsidR="00390933" w:rsidRDefault="00000000">
            <w:pPr>
              <w:pStyle w:val="Compact"/>
            </w:pPr>
            <w:r>
              <w:rPr>
                <w:b/>
                <w:bCs/>
              </w:rPr>
              <w:t>10</w:t>
            </w:r>
          </w:p>
        </w:tc>
        <w:tc>
          <w:tcPr>
            <w:tcW w:w="0" w:type="auto"/>
          </w:tcPr>
          <w:p w14:paraId="7F97EAD2" w14:textId="77777777" w:rsidR="00390933" w:rsidRDefault="00000000">
            <w:pPr>
              <w:pStyle w:val="Compact"/>
            </w:pPr>
            <w:r>
              <w:t>Explain how the study size was arrived at.</w:t>
            </w:r>
          </w:p>
        </w:tc>
        <w:tc>
          <w:tcPr>
            <w:tcW w:w="0" w:type="auto"/>
          </w:tcPr>
          <w:p w14:paraId="021863CB" w14:textId="77777777" w:rsidR="00390933" w:rsidRDefault="00000000">
            <w:pPr>
              <w:pStyle w:val="Compact"/>
            </w:pPr>
            <w:r>
              <w:t>Methods (Study design and setting): all 5826 consecutive blood culture sets in the period were analyzed; no formal sample-size calculation (retrospective)</w:t>
            </w:r>
          </w:p>
        </w:tc>
      </w:tr>
      <w:tr w:rsidR="00390933" w14:paraId="12DBCDCD" w14:textId="77777777">
        <w:tc>
          <w:tcPr>
            <w:tcW w:w="0" w:type="auto"/>
          </w:tcPr>
          <w:p w14:paraId="62266AEF" w14:textId="77777777" w:rsidR="00390933" w:rsidRDefault="00000000">
            <w:pPr>
              <w:pStyle w:val="Compact"/>
            </w:pPr>
            <w:r>
              <w:rPr>
                <w:b/>
                <w:bCs/>
              </w:rPr>
              <w:t>Quantitative variables</w:t>
            </w:r>
          </w:p>
        </w:tc>
        <w:tc>
          <w:tcPr>
            <w:tcW w:w="0" w:type="auto"/>
          </w:tcPr>
          <w:p w14:paraId="76E1398C" w14:textId="77777777" w:rsidR="00390933" w:rsidRDefault="00000000">
            <w:pPr>
              <w:pStyle w:val="Compact"/>
            </w:pPr>
            <w:r>
              <w:rPr>
                <w:b/>
                <w:bCs/>
              </w:rPr>
              <w:t>11</w:t>
            </w:r>
          </w:p>
        </w:tc>
        <w:tc>
          <w:tcPr>
            <w:tcW w:w="0" w:type="auto"/>
          </w:tcPr>
          <w:p w14:paraId="3969B130" w14:textId="77777777" w:rsidR="00390933" w:rsidRDefault="00000000">
            <w:pPr>
              <w:pStyle w:val="Compact"/>
            </w:pPr>
            <w:r>
              <w:t>Explain how quantitative variables were handled in the analyses.</w:t>
            </w:r>
          </w:p>
        </w:tc>
        <w:tc>
          <w:tcPr>
            <w:tcW w:w="0" w:type="auto"/>
          </w:tcPr>
          <w:p w14:paraId="26BF458C" w14:textId="77777777" w:rsidR="00390933" w:rsidRDefault="00000000">
            <w:pPr>
              <w:pStyle w:val="Compact"/>
            </w:pPr>
            <w:r>
              <w:t>Methods (Statistical analysis): categorical variables as counts and proportions with exact 95% confidence intervals; continuous variables as medians and ranges</w:t>
            </w:r>
          </w:p>
        </w:tc>
      </w:tr>
      <w:tr w:rsidR="00390933" w14:paraId="2ADE9070" w14:textId="77777777">
        <w:tc>
          <w:tcPr>
            <w:tcW w:w="0" w:type="auto"/>
          </w:tcPr>
          <w:p w14:paraId="1572DEF5" w14:textId="77777777" w:rsidR="00390933" w:rsidRDefault="00000000">
            <w:pPr>
              <w:pStyle w:val="Compact"/>
            </w:pPr>
            <w:r>
              <w:rPr>
                <w:b/>
                <w:bCs/>
              </w:rPr>
              <w:t>Statistical methods</w:t>
            </w:r>
          </w:p>
        </w:tc>
        <w:tc>
          <w:tcPr>
            <w:tcW w:w="0" w:type="auto"/>
          </w:tcPr>
          <w:p w14:paraId="72E01A4B" w14:textId="77777777" w:rsidR="00390933" w:rsidRDefault="00000000">
            <w:pPr>
              <w:pStyle w:val="Compact"/>
            </w:pPr>
            <w:r>
              <w:rPr>
                <w:b/>
                <w:bCs/>
              </w:rPr>
              <w:t>12 (a)</w:t>
            </w:r>
          </w:p>
        </w:tc>
        <w:tc>
          <w:tcPr>
            <w:tcW w:w="0" w:type="auto"/>
          </w:tcPr>
          <w:p w14:paraId="1A5D9F6B" w14:textId="77777777" w:rsidR="00390933" w:rsidRDefault="00000000">
            <w:pPr>
              <w:pStyle w:val="Compact"/>
            </w:pPr>
            <w:r>
              <w:t>Describe all statistical methods, including those used to control for confounding.</w:t>
            </w:r>
          </w:p>
        </w:tc>
        <w:tc>
          <w:tcPr>
            <w:tcW w:w="0" w:type="auto"/>
          </w:tcPr>
          <w:p w14:paraId="14B97C34" w14:textId="77777777" w:rsidR="00390933" w:rsidRDefault="00000000">
            <w:pPr>
              <w:pStyle w:val="Compact"/>
            </w:pPr>
            <w:r>
              <w:t xml:space="preserve">Methods (Statistical analysis): exact (Clopper–Pearson) 95% confidence intervals; </w:t>
            </w:r>
            <w:r>
              <w:t xml:space="preserve">Cochran–Armitage test for trend at the set level, regarded as exploratory;</w:t>
            </w:r>
            <w:r>
              <w:t xml:space="preserve"> R 4.6.1; two-sided P &lt; 0.05</w:t>
            </w:r>
            <w:r>
              <w:rPr>
                <w:i/>
                <w:iCs/>
              </w:rPr>
            </w:r>
            <w:r/>
          </w:p>
        </w:tc>
      </w:tr>
      <w:tr w:rsidR="00390933" w14:paraId="4D3E4173" w14:textId="77777777">
        <w:tc>
          <w:tcPr>
            <w:tcW w:w="0" w:type="auto"/>
          </w:tcPr>
          <w:p w14:paraId="3757DF59" w14:textId="77777777" w:rsidR="00390933" w:rsidRDefault="00390933">
            <w:pPr>
              <w:pStyle w:val="Compact"/>
            </w:pPr>
          </w:p>
        </w:tc>
        <w:tc>
          <w:tcPr>
            <w:tcW w:w="0" w:type="auto"/>
          </w:tcPr>
          <w:p w14:paraId="412017D3" w14:textId="77777777" w:rsidR="00390933" w:rsidRDefault="00000000">
            <w:pPr>
              <w:pStyle w:val="Compact"/>
            </w:pPr>
            <w:r>
              <w:rPr>
                <w:b/>
                <w:bCs/>
              </w:rPr>
              <w:t>12 (b)</w:t>
            </w:r>
          </w:p>
        </w:tc>
        <w:tc>
          <w:tcPr>
            <w:tcW w:w="0" w:type="auto"/>
          </w:tcPr>
          <w:p w14:paraId="073EBFDD" w14:textId="77777777" w:rsidR="00390933" w:rsidRDefault="00000000">
            <w:pPr>
              <w:pStyle w:val="Compact"/>
            </w:pPr>
            <w:r>
              <w:t>Describe any methods used to examine subgroups and interactions.</w:t>
            </w:r>
          </w:p>
        </w:tc>
        <w:tc>
          <w:tcPr>
            <w:tcW w:w="0" w:type="auto"/>
          </w:tcPr>
          <w:p w14:paraId="0D533C55" w14:textId="77777777" w:rsidR="00390933" w:rsidRDefault="00000000">
            <w:pPr>
              <w:pStyle w:val="Compact"/>
            </w:pPr>
            <w:r>
              <w:t>Results (Patient characteristics and clinical features; Temporal trend and recurrent episodes)</w:t>
            </w:r>
          </w:p>
        </w:tc>
      </w:tr>
      <w:tr w:rsidR="00390933" w14:paraId="70506EE3" w14:textId="77777777">
        <w:tc>
          <w:tcPr>
            <w:tcW w:w="0" w:type="auto"/>
          </w:tcPr>
          <w:p w14:paraId="6861B7EF" w14:textId="77777777" w:rsidR="00390933" w:rsidRDefault="00390933">
            <w:pPr>
              <w:pStyle w:val="Compact"/>
            </w:pPr>
          </w:p>
        </w:tc>
        <w:tc>
          <w:tcPr>
            <w:tcW w:w="0" w:type="auto"/>
          </w:tcPr>
          <w:p w14:paraId="07DA3FE4" w14:textId="77777777" w:rsidR="00390933" w:rsidRDefault="00000000">
            <w:pPr>
              <w:pStyle w:val="Compact"/>
            </w:pPr>
            <w:r>
              <w:rPr>
                <w:b/>
                <w:bCs/>
              </w:rPr>
              <w:t>12 (c)</w:t>
            </w:r>
          </w:p>
        </w:tc>
        <w:tc>
          <w:tcPr>
            <w:tcW w:w="0" w:type="auto"/>
          </w:tcPr>
          <w:p w14:paraId="5AD1CF2A" w14:textId="77777777" w:rsidR="00390933" w:rsidRDefault="00000000">
            <w:pPr>
              <w:pStyle w:val="Compact"/>
            </w:pPr>
            <w:r>
              <w:t>Explain how missing data were addressed.</w:t>
            </w:r>
          </w:p>
        </w:tc>
        <w:tc>
          <w:tcPr>
            <w:tcW w:w="0" w:type="auto"/>
          </w:tcPr>
          <w:p w14:paraId="3E056715" w14:textId="77777777" w:rsidR="00390933" w:rsidRDefault="00000000">
            <w:pPr>
              <w:pStyle w:val="Compact"/>
            </w:pPr>
            <w:r>
              <w:t>Not applicable: complete-case descriptive data from laboratory and clinical records; no imputation performed</w:t>
            </w:r>
          </w:p>
        </w:tc>
      </w:tr>
      <w:tr w:rsidR="00390933" w14:paraId="6E6C61DB" w14:textId="77777777">
        <w:tc>
          <w:tcPr>
            <w:tcW w:w="0" w:type="auto"/>
          </w:tcPr>
          <w:p w14:paraId="58BAE7A2" w14:textId="77777777" w:rsidR="00390933" w:rsidRDefault="00390933">
            <w:pPr>
              <w:pStyle w:val="Compact"/>
            </w:pPr>
          </w:p>
        </w:tc>
        <w:tc>
          <w:tcPr>
            <w:tcW w:w="0" w:type="auto"/>
          </w:tcPr>
          <w:p w14:paraId="155524B8" w14:textId="77777777" w:rsidR="00390933" w:rsidRDefault="00000000">
            <w:pPr>
              <w:pStyle w:val="Compact"/>
            </w:pPr>
            <w:r>
              <w:rPr>
                <w:b/>
                <w:bCs/>
              </w:rPr>
              <w:t>12 (d)</w:t>
            </w:r>
          </w:p>
        </w:tc>
        <w:tc>
          <w:tcPr>
            <w:tcW w:w="0" w:type="auto"/>
          </w:tcPr>
          <w:p w14:paraId="7E6E6BC6" w14:textId="77777777" w:rsidR="00390933" w:rsidRDefault="00000000">
            <w:pPr>
              <w:pStyle w:val="Compact"/>
            </w:pPr>
            <w:r>
              <w:t>Cross-sectional study—If applicable, describe analytical methods taking account of sampling strategy.</w:t>
            </w:r>
          </w:p>
        </w:tc>
        <w:tc>
          <w:tcPr>
            <w:tcW w:w="0" w:type="auto"/>
          </w:tcPr>
          <w:p w14:paraId="6D298F53" w14:textId="77777777" w:rsidR="00390933" w:rsidRDefault="00000000">
            <w:pPr>
              <w:pStyle w:val="Compact"/>
            </w:pPr>
            <w:r>
              <w:t>Not applicable: consecutive sets; no complex sampling</w:t>
            </w:r>
          </w:p>
        </w:tc>
      </w:tr>
      <w:tr w:rsidR="00390933" w14:paraId="3574B1B2" w14:textId="77777777">
        <w:tc>
          <w:tcPr>
            <w:tcW w:w="0" w:type="auto"/>
          </w:tcPr>
          <w:p w14:paraId="4EF2EE64" w14:textId="77777777" w:rsidR="00390933" w:rsidRDefault="00390933">
            <w:pPr>
              <w:pStyle w:val="Compact"/>
            </w:pPr>
          </w:p>
        </w:tc>
        <w:tc>
          <w:tcPr>
            <w:tcW w:w="0" w:type="auto"/>
          </w:tcPr>
          <w:p w14:paraId="58B05874" w14:textId="77777777" w:rsidR="00390933" w:rsidRDefault="00000000">
            <w:pPr>
              <w:pStyle w:val="Compact"/>
            </w:pPr>
            <w:r>
              <w:rPr>
                <w:b/>
                <w:bCs/>
              </w:rPr>
              <w:t>12 (e)</w:t>
            </w:r>
          </w:p>
        </w:tc>
        <w:tc>
          <w:tcPr>
            <w:tcW w:w="0" w:type="auto"/>
          </w:tcPr>
          <w:p w14:paraId="003E4A16" w14:textId="77777777" w:rsidR="00390933" w:rsidRDefault="00000000">
            <w:pPr>
              <w:pStyle w:val="Compact"/>
            </w:pPr>
            <w:r>
              <w:t>Describe any sensitivity analyses.</w:t>
            </w:r>
          </w:p>
        </w:tc>
        <w:tc>
          <w:tcPr>
            <w:tcW w:w="0" w:type="auto"/>
          </w:tcPr>
          <w:p w14:paraId="70ACEFB4" w14:textId="77777777" w:rsidR="00390933" w:rsidRDefault="00000000">
            <w:pPr>
              <w:pStyle w:val="Compact"/>
            </w:pPr>
            <w:r>
              <w:t xml:space="preserve">Methods (Units of analysis and denominators) and Results (Detection rate): multiple denominator definitions (≥1 set; organism in ≥2 sets; species-matched) </w:t>
            </w:r>
            <w:r>
              <w:t xml:space="preserve">reported in parallel; no sensitivity analysis of the temporal trend was performed</w:t>
            </w:r>
          </w:p>
        </w:tc>
      </w:tr>
      <w:tr w:rsidR="00390933" w14:paraId="3946B129" w14:textId="77777777">
        <w:tc>
          <w:tcPr>
            <w:tcW w:w="0" w:type="auto"/>
          </w:tcPr>
          <w:p w14:paraId="58D1D1B4" w14:textId="77777777" w:rsidR="00390933" w:rsidRDefault="00000000">
            <w:pPr>
              <w:pStyle w:val="Compact"/>
            </w:pPr>
            <w:r>
              <w:rPr>
                <w:b/>
                <w:bCs/>
              </w:rPr>
              <w:t>Participants</w:t>
            </w:r>
          </w:p>
        </w:tc>
        <w:tc>
          <w:tcPr>
            <w:tcW w:w="0" w:type="auto"/>
          </w:tcPr>
          <w:p w14:paraId="0466D0A5" w14:textId="77777777" w:rsidR="00390933" w:rsidRDefault="00000000">
            <w:pPr>
              <w:pStyle w:val="Compact"/>
            </w:pPr>
            <w:r>
              <w:rPr>
                <w:b/>
                <w:bCs/>
              </w:rPr>
              <w:t>13 (a)</w:t>
            </w:r>
          </w:p>
        </w:tc>
        <w:tc>
          <w:tcPr>
            <w:tcW w:w="0" w:type="auto"/>
          </w:tcPr>
          <w:p w14:paraId="775EECC8" w14:textId="77777777" w:rsidR="00390933" w:rsidRDefault="00000000">
            <w:pPr>
              <w:pStyle w:val="Compact"/>
            </w:pPr>
            <w:r>
              <w:t>Report numbers of individuals at each stage of study.</w:t>
            </w:r>
          </w:p>
        </w:tc>
        <w:tc>
          <w:tcPr>
            <w:tcW w:w="0" w:type="auto"/>
          </w:tcPr>
          <w:p w14:paraId="0FAEA042" w14:textId="77777777" w:rsidR="00390933" w:rsidRDefault="00000000">
            <w:pPr>
              <w:pStyle w:val="Compact"/>
            </w:pPr>
            <w:r>
              <w:t>Results (Detection rate): 5826 sets → 980 positive → 42 sets with S. lugdunensis → 21 patients / 23 episodes; 288-patient denominator</w:t>
            </w:r>
            <w:r>
              <w:rPr>
                <w:i/>
                <w:iCs/>
              </w:rPr>
            </w:r>
            <w:r/>
          </w:p>
        </w:tc>
      </w:tr>
      <w:tr w:rsidR="00390933" w14:paraId="35D70741" w14:textId="77777777">
        <w:tc>
          <w:tcPr>
            <w:tcW w:w="0" w:type="auto"/>
          </w:tcPr>
          <w:p w14:paraId="680739AC" w14:textId="77777777" w:rsidR="00390933" w:rsidRDefault="00390933">
            <w:pPr>
              <w:pStyle w:val="Compact"/>
            </w:pPr>
          </w:p>
        </w:tc>
        <w:tc>
          <w:tcPr>
            <w:tcW w:w="0" w:type="auto"/>
          </w:tcPr>
          <w:p w14:paraId="783C7C22" w14:textId="77777777" w:rsidR="00390933" w:rsidRDefault="00000000">
            <w:pPr>
              <w:pStyle w:val="Compact"/>
            </w:pPr>
            <w:r>
              <w:rPr>
                <w:b/>
                <w:bCs/>
              </w:rPr>
              <w:t>13 (b)</w:t>
            </w:r>
          </w:p>
        </w:tc>
        <w:tc>
          <w:tcPr>
            <w:tcW w:w="0" w:type="auto"/>
          </w:tcPr>
          <w:p w14:paraId="43731FD5" w14:textId="77777777" w:rsidR="00390933" w:rsidRDefault="00000000">
            <w:pPr>
              <w:pStyle w:val="Compact"/>
            </w:pPr>
            <w:r>
              <w:t>Give reasons for non-participation at each stage.</w:t>
            </w:r>
          </w:p>
        </w:tc>
        <w:tc>
          <w:tcPr>
            <w:tcW w:w="0" w:type="auto"/>
          </w:tcPr>
          <w:p w14:paraId="32991568" w14:textId="77777777" w:rsidR="00390933" w:rsidRDefault="00000000">
            <w:pPr>
              <w:pStyle w:val="Compact"/>
            </w:pPr>
            <w:r>
              <w:t>Not applicable: laboratory-based analysis of all submitted sets; no participant refusal stage</w:t>
            </w:r>
          </w:p>
        </w:tc>
      </w:tr>
      <w:tr w:rsidR="00390933" w14:paraId="76CE70E5" w14:textId="77777777">
        <w:tc>
          <w:tcPr>
            <w:tcW w:w="0" w:type="auto"/>
          </w:tcPr>
          <w:p w14:paraId="153E259A" w14:textId="77777777" w:rsidR="00390933" w:rsidRDefault="00390933">
            <w:pPr>
              <w:pStyle w:val="Compact"/>
            </w:pPr>
          </w:p>
        </w:tc>
        <w:tc>
          <w:tcPr>
            <w:tcW w:w="0" w:type="auto"/>
          </w:tcPr>
          <w:p w14:paraId="0C354862" w14:textId="77777777" w:rsidR="00390933" w:rsidRDefault="00000000">
            <w:pPr>
              <w:pStyle w:val="Compact"/>
            </w:pPr>
            <w:r>
              <w:rPr>
                <w:b/>
                <w:bCs/>
              </w:rPr>
              <w:t>13 (c)</w:t>
            </w:r>
          </w:p>
        </w:tc>
        <w:tc>
          <w:tcPr>
            <w:tcW w:w="0" w:type="auto"/>
          </w:tcPr>
          <w:p w14:paraId="73269D5B" w14:textId="77777777" w:rsidR="00390933" w:rsidRDefault="00000000">
            <w:pPr>
              <w:pStyle w:val="Compact"/>
            </w:pPr>
            <w:r>
              <w:t>Consider use of a flow diagram.</w:t>
            </w:r>
          </w:p>
        </w:tc>
        <w:tc>
          <w:tcPr>
            <w:tcW w:w="0" w:type="auto"/>
          </w:tcPr>
          <w:p w14:paraId="2B6FB062" w14:textId="77777777" w:rsidR="00390933" w:rsidRDefault="00000000">
            <w:pPr>
              <w:pStyle w:val="Compact"/>
            </w:pPr>
            <w:r>
              <w:t>Numerical flow given in Results (Detection rate); no separate flow diagram</w:t>
            </w:r>
          </w:p>
        </w:tc>
      </w:tr>
      <w:tr w:rsidR="00390933" w14:paraId="79F59348" w14:textId="77777777">
        <w:tc>
          <w:tcPr>
            <w:tcW w:w="0" w:type="auto"/>
          </w:tcPr>
          <w:p w14:paraId="68CE0477" w14:textId="77777777" w:rsidR="00390933" w:rsidRDefault="00000000">
            <w:pPr>
              <w:pStyle w:val="Compact"/>
            </w:pPr>
            <w:r>
              <w:rPr>
                <w:b/>
                <w:bCs/>
              </w:rPr>
              <w:t>Descriptive data</w:t>
            </w:r>
          </w:p>
        </w:tc>
        <w:tc>
          <w:tcPr>
            <w:tcW w:w="0" w:type="auto"/>
          </w:tcPr>
          <w:p w14:paraId="428E2C10" w14:textId="77777777" w:rsidR="00390933" w:rsidRDefault="00000000">
            <w:pPr>
              <w:pStyle w:val="Compact"/>
            </w:pPr>
            <w:r>
              <w:rPr>
                <w:b/>
                <w:bCs/>
              </w:rPr>
              <w:t>14 (a)</w:t>
            </w:r>
          </w:p>
        </w:tc>
        <w:tc>
          <w:tcPr>
            <w:tcW w:w="0" w:type="auto"/>
          </w:tcPr>
          <w:p w14:paraId="633D2BB1" w14:textId="77777777" w:rsidR="00390933" w:rsidRDefault="00000000">
            <w:pPr>
              <w:pStyle w:val="Compact"/>
            </w:pPr>
            <w:r>
              <w:t>Give characteristics of study participants and information on exposures and potential confounders.</w:t>
            </w:r>
          </w:p>
        </w:tc>
        <w:tc>
          <w:tcPr>
            <w:tcW w:w="0" w:type="auto"/>
          </w:tcPr>
          <w:p w14:paraId="3CC202E3" w14:textId="77777777" w:rsidR="00390933" w:rsidRDefault="00000000">
            <w:pPr>
              <w:pStyle w:val="Compact"/>
            </w:pPr>
            <w:r>
              <w:t xml:space="preserve">Results (Patient characteristics and clinical features) and Table 1: age, sex, dialysis vintage, primary kidney disease, </w:t>
            </w:r>
            <w:r>
              <w:t xml:space="preserve">indwelling foreign material and its involvement in the infection</w:t>
            </w:r>
          </w:p>
        </w:tc>
      </w:tr>
      <w:tr w:rsidR="00390933" w14:paraId="05200AB1" w14:textId="77777777">
        <w:tc>
          <w:tcPr>
            <w:tcW w:w="0" w:type="auto"/>
          </w:tcPr>
          <w:p w14:paraId="5D2022AC" w14:textId="77777777" w:rsidR="00390933" w:rsidRDefault="00390933">
            <w:pPr>
              <w:pStyle w:val="Compact"/>
            </w:pPr>
          </w:p>
        </w:tc>
        <w:tc>
          <w:tcPr>
            <w:tcW w:w="0" w:type="auto"/>
          </w:tcPr>
          <w:p w14:paraId="34DF0184" w14:textId="77777777" w:rsidR="00390933" w:rsidRDefault="00000000">
            <w:pPr>
              <w:pStyle w:val="Compact"/>
            </w:pPr>
            <w:r>
              <w:rPr>
                <w:b/>
                <w:bCs/>
              </w:rPr>
              <w:t>14 (b)</w:t>
            </w:r>
          </w:p>
        </w:tc>
        <w:tc>
          <w:tcPr>
            <w:tcW w:w="0" w:type="auto"/>
          </w:tcPr>
          <w:p w14:paraId="6A4A0768" w14:textId="77777777" w:rsidR="00390933" w:rsidRDefault="00000000">
            <w:pPr>
              <w:pStyle w:val="Compact"/>
            </w:pPr>
            <w:r>
              <w:t>Indicate number of participants with missing data for each variable of interest.</w:t>
            </w:r>
          </w:p>
        </w:tc>
        <w:tc>
          <w:tcPr>
            <w:tcW w:w="0" w:type="auto"/>
          </w:tcPr>
          <w:p w14:paraId="350B148C" w14:textId="77777777" w:rsidR="00390933" w:rsidRDefault="00000000">
            <w:pPr>
              <w:pStyle w:val="Compact"/>
            </w:pPr>
            <w:r>
              <w:t>No missing data for the reported variables; individual-level data shown in Table 1</w:t>
            </w:r>
          </w:p>
        </w:tc>
      </w:tr>
      <w:tr w:rsidR="00390933" w14:paraId="08304717" w14:textId="77777777">
        <w:tc>
          <w:tcPr>
            <w:tcW w:w="0" w:type="auto"/>
          </w:tcPr>
          <w:p w14:paraId="3946D4E2" w14:textId="77777777" w:rsidR="00390933" w:rsidRDefault="00000000">
            <w:pPr>
              <w:pStyle w:val="Compact"/>
            </w:pPr>
            <w:r>
              <w:rPr>
                <w:b/>
                <w:bCs/>
              </w:rPr>
              <w:t>Outcome data</w:t>
            </w:r>
          </w:p>
        </w:tc>
        <w:tc>
          <w:tcPr>
            <w:tcW w:w="0" w:type="auto"/>
          </w:tcPr>
          <w:p w14:paraId="6D61BEDC" w14:textId="77777777" w:rsidR="00390933" w:rsidRDefault="00000000">
            <w:pPr>
              <w:pStyle w:val="Compact"/>
            </w:pPr>
            <w:r>
              <w:rPr>
                <w:b/>
                <w:bCs/>
              </w:rPr>
              <w:t>15</w:t>
            </w:r>
          </w:p>
        </w:tc>
        <w:tc>
          <w:tcPr>
            <w:tcW w:w="0" w:type="auto"/>
          </w:tcPr>
          <w:p w14:paraId="59E3F92D" w14:textId="77777777" w:rsidR="00390933" w:rsidRDefault="00000000">
            <w:pPr>
              <w:pStyle w:val="Compact"/>
            </w:pPr>
            <w:r>
              <w:t>Cross-sectional study—Report numbers of outcome events or summary measures.</w:t>
            </w:r>
          </w:p>
        </w:tc>
        <w:tc>
          <w:tcPr>
            <w:tcW w:w="0" w:type="auto"/>
          </w:tcPr>
          <w:p w14:paraId="19DB2BE9" w14:textId="77777777" w:rsidR="00390933" w:rsidRDefault="00000000">
            <w:pPr>
              <w:pStyle w:val="Compact"/>
            </w:pPr>
            <w:r>
              <w:t>Results (all subsections); Tables 1–3; Fig. 1: detection rates, susceptibility, outcomes (deaths, access and foreign-material involvement)</w:t>
            </w:r>
          </w:p>
        </w:tc>
      </w:tr>
      <w:tr w:rsidR="00390933" w14:paraId="661A1142" w14:textId="77777777">
        <w:tc>
          <w:tcPr>
            <w:tcW w:w="0" w:type="auto"/>
          </w:tcPr>
          <w:p w14:paraId="3F23EEBC" w14:textId="77777777" w:rsidR="00390933" w:rsidRDefault="00000000">
            <w:pPr>
              <w:pStyle w:val="Compact"/>
            </w:pPr>
            <w:r>
              <w:rPr>
                <w:b/>
                <w:bCs/>
              </w:rPr>
              <w:t>Main results</w:t>
            </w:r>
          </w:p>
        </w:tc>
        <w:tc>
          <w:tcPr>
            <w:tcW w:w="0" w:type="auto"/>
          </w:tcPr>
          <w:p w14:paraId="608A70AC" w14:textId="77777777" w:rsidR="00390933" w:rsidRDefault="00000000">
            <w:pPr>
              <w:pStyle w:val="Compact"/>
            </w:pPr>
            <w:r>
              <w:rPr>
                <w:b/>
                <w:bCs/>
              </w:rPr>
              <w:t xml:space="preserve">16 </w:t>
              <w:lastRenderedPageBreak/>
              <w:t>(a)</w:t>
            </w:r>
          </w:p>
        </w:tc>
        <w:tc>
          <w:tcPr>
            <w:tcW w:w="0" w:type="auto"/>
          </w:tcPr>
          <w:p w14:paraId="3A11502D" w14:textId="77777777" w:rsidR="00390933" w:rsidRDefault="00000000">
            <w:pPr>
              <w:pStyle w:val="Compact"/>
            </w:pPr>
            <w:r>
              <w:lastRenderedPageBreak/>
              <w:t xml:space="preserve">Give unadjusted </w:t>
              <w:lastRenderedPageBreak/>
              <w:t>estimates and, if applicable, confounder-adjusted estimates and their precision.</w:t>
            </w:r>
          </w:p>
        </w:tc>
        <w:tc>
          <w:tcPr>
            <w:tcW w:w="0" w:type="auto"/>
          </w:tcPr>
          <w:p w14:paraId="453D9215" w14:textId="77777777" w:rsidR="00390933" w:rsidRDefault="00000000">
            <w:pPr>
              <w:pStyle w:val="Compact"/>
            </w:pPr>
            <w:r>
              <w:t xml:space="preserve">Results (all subsections): proportions with numerators and denominators; </w:t>
            </w:r>
            <w:r>
              <w:t xml:space="preserve">exploratory set-level trend P = 0.003</w:t>
            </w:r>
            <w:r>
              <w:t xml:space="preserve">. Descriptive study; no multivariable adjustment</w:t>
            </w:r>
            <w:r>
              <w:rPr>
                <w:i/>
                <w:iCs/>
              </w:rPr>
            </w:r>
            <w:r/>
          </w:p>
        </w:tc>
      </w:tr>
      <w:tr w:rsidR="00390933" w14:paraId="53860771" w14:textId="77777777">
        <w:tc>
          <w:tcPr>
            <w:tcW w:w="0" w:type="auto"/>
          </w:tcPr>
          <w:p w14:paraId="111504D2" w14:textId="77777777" w:rsidR="00390933" w:rsidRDefault="00390933">
            <w:pPr>
              <w:pStyle w:val="Compact"/>
            </w:pPr>
          </w:p>
        </w:tc>
        <w:tc>
          <w:tcPr>
            <w:tcW w:w="0" w:type="auto"/>
          </w:tcPr>
          <w:p w14:paraId="6E6698B8" w14:textId="77777777" w:rsidR="00390933" w:rsidRDefault="00000000">
            <w:pPr>
              <w:pStyle w:val="Compact"/>
            </w:pPr>
            <w:r>
              <w:rPr>
                <w:b/>
                <w:bCs/>
              </w:rPr>
              <w:t>16 (b)</w:t>
            </w:r>
          </w:p>
        </w:tc>
        <w:tc>
          <w:tcPr>
            <w:tcW w:w="0" w:type="auto"/>
          </w:tcPr>
          <w:p w14:paraId="70FDC007" w14:textId="77777777" w:rsidR="00390933" w:rsidRDefault="00000000">
            <w:pPr>
              <w:pStyle w:val="Compact"/>
            </w:pPr>
            <w:r>
              <w:t>Report category boundaries when continuous variables were categorized.</w:t>
            </w:r>
          </w:p>
        </w:tc>
        <w:tc>
          <w:tcPr>
            <w:tcW w:w="0" w:type="auto"/>
          </w:tcPr>
          <w:p w14:paraId="51BCD00B" w14:textId="77777777" w:rsidR="00390933" w:rsidRDefault="00000000">
            <w:pPr>
              <w:pStyle w:val="Compact"/>
            </w:pPr>
            <w:r>
              <w:t>Susceptibility categories per CLSI M100-ED30; yearly strata defined by calendar year (Fig. 1)</w:t>
            </w:r>
          </w:p>
        </w:tc>
      </w:tr>
      <w:tr w:rsidR="00390933" w14:paraId="10D0809B" w14:textId="77777777">
        <w:tc>
          <w:tcPr>
            <w:tcW w:w="0" w:type="auto"/>
          </w:tcPr>
          <w:p w14:paraId="57D864E6" w14:textId="77777777" w:rsidR="00390933" w:rsidRDefault="00390933">
            <w:pPr>
              <w:pStyle w:val="Compact"/>
            </w:pPr>
          </w:p>
        </w:tc>
        <w:tc>
          <w:tcPr>
            <w:tcW w:w="0" w:type="auto"/>
          </w:tcPr>
          <w:p w14:paraId="23A3A625" w14:textId="77777777" w:rsidR="00390933" w:rsidRDefault="00000000">
            <w:pPr>
              <w:pStyle w:val="Compact"/>
            </w:pPr>
            <w:r>
              <w:rPr>
                <w:b/>
                <w:bCs/>
              </w:rPr>
              <w:t>16 (c)</w:t>
            </w:r>
          </w:p>
        </w:tc>
        <w:tc>
          <w:tcPr>
            <w:tcW w:w="0" w:type="auto"/>
          </w:tcPr>
          <w:p w14:paraId="5829A412" w14:textId="77777777" w:rsidR="00390933" w:rsidRDefault="00000000">
            <w:pPr>
              <w:pStyle w:val="Compact"/>
            </w:pPr>
            <w:r>
              <w:t>If relevant, consider translating estimates of relative risk into absolute risk.</w:t>
            </w:r>
          </w:p>
        </w:tc>
        <w:tc>
          <w:tcPr>
            <w:tcW w:w="0" w:type="auto"/>
          </w:tcPr>
          <w:p w14:paraId="50881D15" w14:textId="77777777" w:rsidR="00390933" w:rsidRDefault="00000000">
            <w:pPr>
              <w:pStyle w:val="Compact"/>
            </w:pPr>
            <w:r>
              <w:t>Not applicable: descriptive proportions; no relative-risk estimation</w:t>
            </w:r>
          </w:p>
        </w:tc>
      </w:tr>
      <w:tr w:rsidR="00390933" w14:paraId="1A43DACC" w14:textId="77777777">
        <w:tc>
          <w:tcPr>
            <w:tcW w:w="0" w:type="auto"/>
          </w:tcPr>
          <w:p w14:paraId="29E262D9" w14:textId="77777777" w:rsidR="00390933" w:rsidRDefault="00000000">
            <w:pPr>
              <w:pStyle w:val="Compact"/>
            </w:pPr>
            <w:r>
              <w:rPr>
                <w:b/>
                <w:bCs/>
              </w:rPr>
              <w:t>Other analyses</w:t>
            </w:r>
          </w:p>
        </w:tc>
        <w:tc>
          <w:tcPr>
            <w:tcW w:w="0" w:type="auto"/>
          </w:tcPr>
          <w:p w14:paraId="6CF6DC92" w14:textId="77777777" w:rsidR="00390933" w:rsidRDefault="00000000">
            <w:pPr>
              <w:pStyle w:val="Compact"/>
            </w:pPr>
            <w:r>
              <w:rPr>
                <w:b/>
                <w:bCs/>
              </w:rPr>
              <w:t>17</w:t>
            </w:r>
          </w:p>
        </w:tc>
        <w:tc>
          <w:tcPr>
            <w:tcW w:w="0" w:type="auto"/>
          </w:tcPr>
          <w:p w14:paraId="5578C0A7" w14:textId="77777777" w:rsidR="00390933" w:rsidRDefault="00000000">
            <w:pPr>
              <w:pStyle w:val="Compact"/>
            </w:pPr>
            <w:r>
              <w:t>Report other analyses done—e.g., analyses of subgroups and interactions, and sensitivity analyses.</w:t>
            </w:r>
          </w:p>
        </w:tc>
        <w:tc>
          <w:tcPr>
            <w:tcW w:w="0" w:type="auto"/>
          </w:tcPr>
          <w:p w14:paraId="1483AB00" w14:textId="77777777" w:rsidR="00390933" w:rsidRDefault="00000000">
            <w:pPr>
              <w:pStyle w:val="Compact"/>
            </w:pPr>
            <w:r>
              <w:t>Results (Patient characteristics and clinical features; Temporal trend and recurrent episodes, Case F)</w:t>
            </w:r>
          </w:p>
        </w:tc>
      </w:tr>
      <w:tr w:rsidR="00390933" w14:paraId="69FA6A90" w14:textId="77777777">
        <w:tc>
          <w:tcPr>
            <w:tcW w:w="0" w:type="auto"/>
          </w:tcPr>
          <w:p w14:paraId="382D75A3" w14:textId="77777777" w:rsidR="00390933" w:rsidRDefault="00000000">
            <w:pPr>
              <w:pStyle w:val="Compact"/>
            </w:pPr>
            <w:r>
              <w:rPr>
                <w:b/>
                <w:bCs/>
              </w:rPr>
              <w:t>Key results</w:t>
            </w:r>
          </w:p>
        </w:tc>
        <w:tc>
          <w:tcPr>
            <w:tcW w:w="0" w:type="auto"/>
          </w:tcPr>
          <w:p w14:paraId="4306CA87" w14:textId="77777777" w:rsidR="00390933" w:rsidRDefault="00000000">
            <w:pPr>
              <w:pStyle w:val="Compact"/>
            </w:pPr>
            <w:r>
              <w:rPr>
                <w:b/>
                <w:bCs/>
              </w:rPr>
              <w:t>18</w:t>
            </w:r>
          </w:p>
        </w:tc>
        <w:tc>
          <w:tcPr>
            <w:tcW w:w="0" w:type="auto"/>
          </w:tcPr>
          <w:p w14:paraId="76946E7D" w14:textId="77777777" w:rsidR="00390933" w:rsidRDefault="00000000">
            <w:pPr>
              <w:pStyle w:val="Compact"/>
            </w:pPr>
            <w:r>
              <w:t>Summarise key results with reference to study objectives.</w:t>
            </w:r>
          </w:p>
        </w:tc>
        <w:tc>
          <w:tcPr>
            <w:tcW w:w="0" w:type="auto"/>
          </w:tcPr>
          <w:p w14:paraId="375F9C42" w14:textId="77777777" w:rsidR="00390933" w:rsidRDefault="00000000">
            <w:pPr>
              <w:pStyle w:val="Compact"/>
            </w:pPr>
            <w:r>
              <w:t>Discussion, first paragraph</w:t>
            </w:r>
          </w:p>
        </w:tc>
      </w:tr>
      <w:tr w:rsidR="00390933" w14:paraId="30F2048F" w14:textId="77777777">
        <w:tc>
          <w:tcPr>
            <w:tcW w:w="0" w:type="auto"/>
          </w:tcPr>
          <w:p w14:paraId="46D7074E" w14:textId="77777777" w:rsidR="00390933" w:rsidRDefault="00000000">
            <w:pPr>
              <w:pStyle w:val="Compact"/>
            </w:pPr>
            <w:r>
              <w:rPr>
                <w:b/>
                <w:bCs/>
              </w:rPr>
              <w:t>Limitations</w:t>
            </w:r>
          </w:p>
        </w:tc>
        <w:tc>
          <w:tcPr>
            <w:tcW w:w="0" w:type="auto"/>
          </w:tcPr>
          <w:p w14:paraId="424011E1" w14:textId="77777777" w:rsidR="00390933" w:rsidRDefault="00000000">
            <w:pPr>
              <w:pStyle w:val="Compact"/>
            </w:pPr>
            <w:r>
              <w:rPr>
                <w:b/>
                <w:bCs/>
              </w:rPr>
              <w:t>19</w:t>
            </w:r>
          </w:p>
        </w:tc>
        <w:tc>
          <w:tcPr>
            <w:tcW w:w="0" w:type="auto"/>
          </w:tcPr>
          <w:p w14:paraId="2EFAB6B6" w14:textId="77777777" w:rsidR="00390933" w:rsidRDefault="00000000">
            <w:pPr>
              <w:pStyle w:val="Compact"/>
            </w:pPr>
            <w:r>
              <w:t>Discuss limitations of the study, taking into account sources of potential bias or imprecision.</w:t>
            </w:r>
          </w:p>
        </w:tc>
        <w:tc>
          <w:tcPr>
            <w:tcW w:w="0" w:type="auto"/>
          </w:tcPr>
          <w:p w14:paraId="63403304" w14:textId="77777777" w:rsidR="00390933" w:rsidRDefault="00000000">
            <w:pPr>
              <w:pStyle w:val="Compact"/>
            </w:pPr>
            <w:r>
              <w:t xml:space="preserve">Discussion, limitations paragraph: single-center, retrospective, limited episodes; automated identification without MALDI-TOF/16S; no molecular typing; </w:t>
            </w:r>
            <w:r>
              <w:t xml:space="preserve">exploratory temporal data (non-independent sets; possible changes in case mix or sampling practice); episode boundaries determined by the attending physician; no follow-up blood cultures or organism-specific confirmation; possible under-ascertainment of endocarditis; judgment-based classification of foreign-material involvement; unverifiable β-lactam categories reported by the automated system</w:t>
            </w:r>
          </w:p>
        </w:tc>
      </w:tr>
      <w:tr w:rsidR="00390933" w14:paraId="49E38E9F" w14:textId="77777777">
        <w:tc>
          <w:tcPr>
            <w:tcW w:w="0" w:type="auto"/>
          </w:tcPr>
          <w:p w14:paraId="4FA5AF33" w14:textId="77777777" w:rsidR="00390933" w:rsidRDefault="00000000">
            <w:pPr>
              <w:pStyle w:val="Compact"/>
            </w:pPr>
            <w:r>
              <w:rPr>
                <w:b/>
                <w:bCs/>
              </w:rPr>
              <w:t>Interpretation</w:t>
            </w:r>
          </w:p>
        </w:tc>
        <w:tc>
          <w:tcPr>
            <w:tcW w:w="0" w:type="auto"/>
          </w:tcPr>
          <w:p w14:paraId="223F1BC9" w14:textId="77777777" w:rsidR="00390933" w:rsidRDefault="00000000">
            <w:pPr>
              <w:pStyle w:val="Compact"/>
            </w:pPr>
            <w:r>
              <w:rPr>
                <w:b/>
                <w:bCs/>
              </w:rPr>
              <w:t>20</w:t>
            </w:r>
          </w:p>
        </w:tc>
        <w:tc>
          <w:tcPr>
            <w:tcW w:w="0" w:type="auto"/>
          </w:tcPr>
          <w:p w14:paraId="6A19A2D7" w14:textId="77777777" w:rsidR="00390933" w:rsidRDefault="00000000">
            <w:pPr>
              <w:pStyle w:val="Compact"/>
            </w:pPr>
            <w:r>
              <w:t>Give a cautious overall interpretation of results.</w:t>
            </w:r>
          </w:p>
        </w:tc>
        <w:tc>
          <w:tcPr>
            <w:tcW w:w="0" w:type="auto"/>
          </w:tcPr>
          <w:p w14:paraId="7489147A" w14:textId="77777777" w:rsidR="00390933" w:rsidRDefault="00000000">
            <w:pPr>
              <w:pStyle w:val="Compact"/>
            </w:pPr>
            <w:r>
              <w:t xml:space="preserve">The results are interpreted cautiously in the Discussion (lines 264–415), followed by the Limitations (lines 416–449) and Conclusions (lines 451–471). Comparisons with previous cohorts are qualified by differences in case definition, sampling practice, observation period, and patient characteristics (lines 264–298). The temporal data are presented descriptively, and the set-level trend test is regarded as exploratory (lines 299–309). Episodes with a single positive set are described as clinically suspected infections, and the extrapolation of findings from other cohorts to dialysis patients is qualified (lines 334–373). Recommendations on therapy and device removal are conditional on the site of infection, evidence of device involvement, persistence or recurrence, and the feasibility of preserving the access (lines 374–396 and 463–466).</w:t>
            </w:r>
          </w:p>
        </w:tc>
      </w:tr>
      <w:tr w:rsidR="00390933" w14:paraId="5B1B9DCF" w14:textId="77777777">
        <w:tc>
          <w:tcPr>
            <w:tcW w:w="0" w:type="auto"/>
          </w:tcPr>
          <w:p w14:paraId="39E33ECE" w14:textId="77777777" w:rsidR="00390933" w:rsidRDefault="00000000">
            <w:pPr>
              <w:pStyle w:val="Compact"/>
            </w:pPr>
            <w:r>
              <w:rPr>
                <w:b/>
                <w:bCs/>
              </w:rPr>
              <w:t>Generalisability</w:t>
            </w:r>
          </w:p>
        </w:tc>
        <w:tc>
          <w:tcPr>
            <w:tcW w:w="0" w:type="auto"/>
          </w:tcPr>
          <w:p w14:paraId="5DED44E4" w14:textId="77777777" w:rsidR="00390933" w:rsidRDefault="00000000">
            <w:pPr>
              <w:pStyle w:val="Compact"/>
            </w:pPr>
            <w:r>
              <w:rPr>
                <w:b/>
                <w:bCs/>
              </w:rPr>
              <w:t>21</w:t>
            </w:r>
          </w:p>
        </w:tc>
        <w:tc>
          <w:tcPr>
            <w:tcW w:w="0" w:type="auto"/>
          </w:tcPr>
          <w:p w14:paraId="7278D9C8" w14:textId="77777777" w:rsidR="00390933" w:rsidRDefault="00000000">
            <w:pPr>
              <w:pStyle w:val="Compact"/>
            </w:pPr>
            <w:r>
              <w:t>Discuss the generalisability (external validity) of the study results.</w:t>
            </w:r>
          </w:p>
        </w:tc>
        <w:tc>
          <w:tcPr>
            <w:tcW w:w="0" w:type="auto"/>
          </w:tcPr>
          <w:p w14:paraId="2147D0A2" w14:textId="77777777" w:rsidR="00390933" w:rsidRDefault="00000000">
            <w:pPr>
              <w:pStyle w:val="Compact"/>
            </w:pPr>
            <w:r>
              <w:t xml:space="preserve">Discussion, first and second paragraphs: data from a single facility treating only patients on maintenance dialysis, whose representativeness requires confirmation in other units; differences from previous cohorts in case definition, sampling practice, observation period, and patient characteristics; clonal spread within the unit not excluded; “specific to this facility until it is reproduced in other dialysis units.” Conclusions: confirmation in other dialysis units required</w:t>
            </w:r>
          </w:p>
        </w:tc>
      </w:tr>
      <w:tr w:rsidR="00390933" w14:paraId="5064A885" w14:textId="77777777">
        <w:tc>
          <w:tcPr>
            <w:tcW w:w="0" w:type="auto"/>
          </w:tcPr>
          <w:p w14:paraId="4D81E890" w14:textId="77777777" w:rsidR="00390933" w:rsidRDefault="00000000">
            <w:pPr>
              <w:pStyle w:val="Compact"/>
            </w:pPr>
            <w:r>
              <w:rPr>
                <w:b/>
                <w:bCs/>
              </w:rPr>
              <w:lastRenderedPageBreak/>
              <w:t>Funding</w:t>
            </w:r>
          </w:p>
        </w:tc>
        <w:tc>
          <w:tcPr>
            <w:tcW w:w="0" w:type="auto"/>
          </w:tcPr>
          <w:p w14:paraId="0BC3B867" w14:textId="77777777" w:rsidR="00390933" w:rsidRDefault="00000000">
            <w:pPr>
              <w:pStyle w:val="Compact"/>
            </w:pPr>
            <w:r>
              <w:rPr>
                <w:b/>
                <w:bCs/>
              </w:rPr>
              <w:t>22</w:t>
            </w:r>
          </w:p>
        </w:tc>
        <w:tc>
          <w:tcPr>
            <w:tcW w:w="0" w:type="auto"/>
          </w:tcPr>
          <w:p w14:paraId="6E8603F5" w14:textId="77777777" w:rsidR="00390933" w:rsidRDefault="00000000">
            <w:pPr>
              <w:pStyle w:val="Compact"/>
            </w:pPr>
            <w:r>
              <w:t>Give the source of funding and the role of the funders.</w:t>
            </w:r>
          </w:p>
        </w:tc>
        <w:tc>
          <w:tcPr>
            <w:tcW w:w="0" w:type="auto"/>
          </w:tcPr>
          <w:p w14:paraId="2652C537" w14:textId="77777777" w:rsidR="00390933" w:rsidRDefault="00000000">
            <w:pPr>
              <w:pStyle w:val="Compact"/>
            </w:pPr>
            <w:r>
              <w:t>Funding section: no specific grant from any funding agency</w:t>
            </w:r>
          </w:p>
        </w:tc>
      </w:tr>
    </w:tbl>
    <w:p w14:paraId="1B147C32" w14:textId="62BBD0BD" w:rsidR="00390933" w:rsidRDefault="00390933">
      <w:pPr>
        <w:pStyle w:val="a0"/>
      </w:pPr>
    </w:p>
    <w:sectPr w:rsidR="00390933">
      <w:pgSz w:w="12240" w:h="15840"/>
      <w:pgMar w:top="1985" w:right="1701"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213306" w14:textId="77777777" w:rsidR="00054F2C" w:rsidRDefault="00054F2C">
      <w:pPr>
        <w:spacing w:after="0"/>
      </w:pPr>
      <w:r>
        <w:separator/>
      </w:r>
    </w:p>
  </w:endnote>
  <w:endnote w:type="continuationSeparator" w:id="0">
    <w:p w14:paraId="1DA33839" w14:textId="77777777" w:rsidR="00054F2C" w:rsidRDefault="00054F2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DD6075" w14:textId="77777777" w:rsidR="00054F2C" w:rsidRDefault="00054F2C">
      <w:r>
        <w:separator/>
      </w:r>
    </w:p>
  </w:footnote>
  <w:footnote w:type="continuationSeparator" w:id="0">
    <w:p w14:paraId="545D72CA" w14:textId="77777777" w:rsidR="00054F2C" w:rsidRDefault="00054F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B546F58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3156437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90933"/>
    <w:rsid w:val="00054F2C"/>
    <w:rsid w:val="00092D78"/>
    <w:rsid w:val="00390933"/>
    <w:rsid w:val="00F527FC"/>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322809A"/>
  <w15:docId w15:val="{21F4542E-78BB-E946-AFBD-69FFBD8AB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uiPriority w:val="9"/>
    <w:qFormat/>
    <w:pPr>
      <w:keepNext/>
      <w:keepLines/>
      <w:spacing w:before="480" w:after="0"/>
      <w:outlineLvl w:val="0"/>
    </w:pPr>
    <w:rPr>
      <w:rFonts w:asciiTheme="majorHAnsi" w:eastAsiaTheme="majorEastAsia" w:hAnsiTheme="majorHAnsi" w:cstheme="majorBidi"/>
      <w:b/>
      <w:bCs/>
      <w:color w:val="000000"/>
      <w:sz w:val="32"/>
      <w:szCs w:val="32"/>
    </w:rPr>
  </w:style>
  <w:style w:type="paragraph" w:styleId="2">
    <w:name w:val="heading 2"/>
    <w:basedOn w:val="a"/>
    <w:next w:val="a0"/>
    <w:uiPriority w:val="9"/>
    <w:unhideWhenUsed/>
    <w:qFormat/>
    <w:pPr>
      <w:keepNext/>
      <w:keepLines/>
      <w:spacing w:before="200" w:after="0"/>
      <w:outlineLvl w:val="1"/>
    </w:pPr>
    <w:rPr>
      <w:rFonts w:asciiTheme="majorHAnsi" w:eastAsiaTheme="majorEastAsia" w:hAnsiTheme="majorHAnsi" w:cstheme="majorBidi"/>
      <w:b/>
      <w:bCs/>
      <w:color w:val="000000"/>
      <w:sz w:val="28"/>
      <w:szCs w:val="28"/>
    </w:rPr>
  </w:style>
  <w:style w:type="paragraph" w:styleId="3">
    <w:name w:val="heading 3"/>
    <w:basedOn w:val="a"/>
    <w:next w:val="a0"/>
    <w:uiPriority w:val="9"/>
    <w:unhideWhenUsed/>
    <w:qFormat/>
    <w:pPr>
      <w:keepNext/>
      <w:keepLines/>
      <w:spacing w:before="200" w:after="0"/>
      <w:outlineLvl w:val="2"/>
    </w:pPr>
    <w:rPr>
      <w:rFonts w:asciiTheme="majorHAnsi" w:eastAsiaTheme="majorEastAsia" w:hAnsiTheme="majorHAnsi" w:cstheme="majorBidi"/>
      <w:b/>
      <w:bCs/>
      <w:color w:val="000000"/>
    </w:rPr>
  </w:style>
  <w:style w:type="paragraph" w:styleId="4">
    <w:name w:val="heading 4"/>
    <w:basedOn w:val="a"/>
    <w:next w:val="a0"/>
    <w:uiPriority w:val="9"/>
    <w:unhideWhenUsed/>
    <w:qFormat/>
    <w:pPr>
      <w:keepNext/>
      <w:keepLines/>
      <w:spacing w:before="200" w:after="0"/>
      <w:outlineLvl w:val="3"/>
    </w:pPr>
    <w:rPr>
      <w:rFonts w:asciiTheme="majorHAnsi" w:eastAsiaTheme="majorEastAsia" w:hAnsiTheme="majorHAnsi" w:cstheme="majorBidi"/>
      <w:bCs/>
      <w:i/>
      <w:color w:val="000000"/>
    </w:rPr>
  </w:style>
  <w:style w:type="paragraph" w:styleId="5">
    <w:name w:val="heading 5"/>
    <w:basedOn w:val="a"/>
    <w:next w:val="a0"/>
    <w:uiPriority w:val="9"/>
    <w:unhideWhenUsed/>
    <w:qFormat/>
    <w:pPr>
      <w:keepNext/>
      <w:keepLines/>
      <w:spacing w:before="200" w:after="0"/>
      <w:outlineLvl w:val="4"/>
    </w:pPr>
    <w:rPr>
      <w:rFonts w:asciiTheme="majorHAnsi" w:eastAsiaTheme="majorEastAsia" w:hAnsiTheme="majorHAnsi" w:cstheme="majorBidi"/>
      <w:iCs/>
      <w:color w:val="000000"/>
    </w:rPr>
  </w:style>
  <w:style w:type="paragraph" w:styleId="6">
    <w:name w:val="heading 6"/>
    <w:basedOn w:val="a"/>
    <w:next w:val="a0"/>
    <w:uiPriority w:val="9"/>
    <w:unhideWhenUsed/>
    <w:qFormat/>
    <w:pPr>
      <w:keepNext/>
      <w:keepLines/>
      <w:spacing w:before="200" w:after="0"/>
      <w:outlineLvl w:val="5"/>
    </w:pPr>
    <w:rPr>
      <w:rFonts w:asciiTheme="majorHAnsi" w:eastAsiaTheme="majorEastAsia" w:hAnsiTheme="majorHAnsi" w:cstheme="majorBidi"/>
      <w:color w:val="000000"/>
    </w:rPr>
  </w:style>
  <w:style w:type="paragraph" w:styleId="7">
    <w:name w:val="heading 7"/>
    <w:basedOn w:val="a"/>
    <w:next w:val="a0"/>
    <w:uiPriority w:val="9"/>
    <w:unhideWhenUsed/>
    <w:qFormat/>
    <w:pPr>
      <w:keepNext/>
      <w:keepLines/>
      <w:spacing w:before="200" w:after="0"/>
      <w:outlineLvl w:val="6"/>
    </w:pPr>
    <w:rPr>
      <w:rFonts w:asciiTheme="majorHAnsi" w:eastAsiaTheme="majorEastAsia" w:hAnsiTheme="majorHAnsi" w:cstheme="majorBidi"/>
      <w:color w:val="000000"/>
    </w:rPr>
  </w:style>
  <w:style w:type="paragraph" w:styleId="8">
    <w:name w:val="heading 8"/>
    <w:basedOn w:val="a"/>
    <w:next w:val="a0"/>
    <w:uiPriority w:val="9"/>
    <w:unhideWhenUsed/>
    <w:qFormat/>
    <w:pPr>
      <w:keepNext/>
      <w:keepLines/>
      <w:spacing w:before="200" w:after="0"/>
      <w:outlineLvl w:val="7"/>
    </w:pPr>
    <w:rPr>
      <w:rFonts w:asciiTheme="majorHAnsi" w:eastAsiaTheme="majorEastAsia" w:hAnsiTheme="majorHAnsi" w:cstheme="majorBidi"/>
      <w:color w:val="000000"/>
    </w:rPr>
  </w:style>
  <w:style w:type="paragraph" w:styleId="9">
    <w:name w:val="heading 9"/>
    <w:basedOn w:val="a"/>
    <w:next w:val="a0"/>
    <w:uiPriority w:val="9"/>
    <w:unhideWhenUsed/>
    <w:qFormat/>
    <w:pPr>
      <w:keepNext/>
      <w:keepLines/>
      <w:spacing w:before="200" w:after="0"/>
      <w:outlineLvl w:val="8"/>
    </w:pPr>
    <w:rPr>
      <w:rFonts w:asciiTheme="majorHAnsi" w:eastAsiaTheme="majorEastAsia" w:hAnsiTheme="majorHAnsi" w:cstheme="majorBidi"/>
      <w:color w:val="00000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qFormat/>
    <w:pPr>
      <w:keepNext/>
      <w:keepLines/>
      <w:spacing w:before="480" w:after="240"/>
      <w:jc w:val="center"/>
    </w:pPr>
    <w:rPr>
      <w:rFonts w:asciiTheme="majorHAnsi" w:eastAsiaTheme="majorEastAsia" w:hAnsiTheme="majorHAnsi" w:cstheme="majorBidi"/>
      <w:b/>
      <w:bCs/>
      <w:color w:val="000000"/>
      <w:sz w:val="36"/>
      <w:szCs w:val="36"/>
    </w:rPr>
  </w:style>
  <w:style w:type="paragraph" w:styleId="a5">
    <w:name w:val="Subtitle"/>
    <w:basedOn w:val="a4"/>
    <w:next w:val="a0"/>
    <w:qFormat/>
    <w:pPr>
      <w:spacing w:before="240"/>
    </w:pPr>
    <w:rPr>
      <w:sz w:val="30"/>
      <w:szCs w:val="30"/>
    </w:rPr>
  </w:style>
  <w:style w:type="paragraph" w:customStyle="1" w:styleId="Author">
    <w:name w:val="Author"/>
    <w:next w:val="a0"/>
    <w:qFormat/>
    <w:pPr>
      <w:keepNext/>
      <w:keepLines/>
      <w:jc w:val="center"/>
    </w:pPr>
  </w:style>
  <w:style w:type="paragraph" w:styleId="a6">
    <w:name w:val="Date"/>
    <w:next w:val="a0"/>
    <w:qFormat/>
    <w:pPr>
      <w:keepNext/>
      <w:keepLines/>
      <w:jc w:val="center"/>
    </w:pPr>
  </w:style>
  <w:style w:type="paragraph" w:customStyle="1" w:styleId="AbstractTitle">
    <w:name w:val="Abstract Title"/>
    <w:basedOn w:val="a"/>
    <w:next w:val="Abstract"/>
    <w:qFormat/>
    <w:pPr>
      <w:keepNext/>
      <w:keepLines/>
      <w:spacing w:before="300" w:after="0"/>
      <w:jc w:val="center"/>
    </w:pPr>
    <w:rPr>
      <w:b/>
      <w:color w:val="000000"/>
      <w:sz w:val="20"/>
      <w:szCs w:val="20"/>
    </w:rPr>
  </w:style>
  <w:style w:type="paragraph" w:customStyle="1" w:styleId="Abstract">
    <w:name w:val="Abstract"/>
    <w:basedOn w:val="a"/>
    <w:next w:val="a0"/>
    <w:qFormat/>
    <w:pPr>
      <w:keepNext/>
      <w:keepLines/>
      <w:spacing w:before="100" w:after="300"/>
    </w:pPr>
    <w:rPr>
      <w:sz w:val="20"/>
      <w:szCs w:val="20"/>
    </w:rPr>
  </w:style>
  <w:style w:type="paragraph" w:styleId="a7">
    <w:name w:val="Bibliography"/>
    <w:basedOn w:val="a"/>
    <w:qFormat/>
  </w:style>
  <w:style w:type="paragraph" w:styleId="a8">
    <w:name w:val="Block Text"/>
    <w:basedOn w:val="a0"/>
    <w:next w:val="a0"/>
    <w:uiPriority w:val="9"/>
    <w:unhideWhenUsed/>
    <w:qFormat/>
    <w:pPr>
      <w:spacing w:before="100" w:after="100"/>
      <w:ind w:left="480" w:right="480"/>
    </w:pPr>
  </w:style>
  <w:style w:type="paragraph" w:styleId="a9">
    <w:name w:val="footnote text"/>
    <w:basedOn w:val="a"/>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a">
    <w:name w:val="caption"/>
    <w:basedOn w:val="a"/>
    <w:link w:val="ab"/>
    <w:pPr>
      <w:spacing w:after="120"/>
    </w:pPr>
    <w:rPr>
      <w:i/>
    </w:rPr>
  </w:style>
  <w:style w:type="paragraph" w:customStyle="1" w:styleId="TableCaption">
    <w:name w:val="Table Caption"/>
    <w:basedOn w:val="aa"/>
    <w:pPr>
      <w:keepNext/>
    </w:pPr>
  </w:style>
  <w:style w:type="paragraph" w:customStyle="1" w:styleId="ImageCaption">
    <w:name w:val="Image Caption"/>
    <w:basedOn w:val="aa"/>
  </w:style>
  <w:style w:type="paragraph" w:customStyle="1" w:styleId="Figure">
    <w:name w:val="Figure"/>
    <w:basedOn w:val="a"/>
  </w:style>
  <w:style w:type="paragraph" w:customStyle="1" w:styleId="CaptionedFigure">
    <w:name w:val="Captioned Figure"/>
    <w:basedOn w:val="Figure"/>
    <w:pPr>
      <w:keepNext/>
    </w:pPr>
  </w:style>
  <w:style w:type="character" w:customStyle="1" w:styleId="ab">
    <w:name w:val="図表番号 (文字)"/>
    <w:basedOn w:val="a1"/>
    <w:link w:val="aa"/>
  </w:style>
  <w:style w:type="character" w:customStyle="1" w:styleId="VerbatimChar">
    <w:name w:val="Verbatim Char"/>
    <w:basedOn w:val="ab"/>
    <w:link w:val="SourceCode"/>
    <w:rPr>
      <w:rFonts w:ascii="Consolas" w:hAnsi="Consolas"/>
      <w:sz w:val="22"/>
    </w:rPr>
  </w:style>
  <w:style w:type="character" w:customStyle="1" w:styleId="SectionNumber">
    <w:name w:val="Section Number"/>
    <w:basedOn w:val="ab"/>
  </w:style>
  <w:style w:type="character" w:styleId="ac">
    <w:name w:val="footnote reference"/>
    <w:basedOn w:val="ab"/>
    <w:rPr>
      <w:vertAlign w:val="superscript"/>
    </w:rPr>
  </w:style>
  <w:style w:type="character" w:styleId="ad">
    <w:name w:val="Hyperlink"/>
    <w:basedOn w:val="ab"/>
    <w:rPr>
      <w:color w:val="000000"/>
    </w:rPr>
  </w:style>
  <w:style w:type="paragraph" w:styleId="ae">
    <w:name w:val="TOC Heading"/>
    <w:basedOn w:val="1"/>
    <w:next w:val="a0"/>
    <w:uiPriority w:val="39"/>
    <w:unhideWhenUsed/>
    <w:qFormat/>
    <w:pPr>
      <w:spacing w:before="240" w:line="259" w:lineRule="auto"/>
      <w:outlineLvl w:val="9"/>
    </w:pPr>
    <w:rPr>
      <w:b w:val="0"/>
      <w:bCs w:val="0"/>
    </w:r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0000"/>
      <w:sz w:val="22"/>
    </w:rPr>
  </w:style>
  <w:style w:type="character" w:customStyle="1" w:styleId="DataTypeTok">
    <w:name w:val="DataTypeTok"/>
    <w:basedOn w:val="VerbatimChar"/>
    <w:rPr>
      <w:rFonts w:ascii="Consolas" w:hAnsi="Consolas"/>
      <w:color w:val="000000"/>
      <w:sz w:val="22"/>
    </w:rPr>
  </w:style>
  <w:style w:type="character" w:customStyle="1" w:styleId="DecValTok">
    <w:name w:val="DecValTok"/>
    <w:basedOn w:val="VerbatimChar"/>
    <w:rPr>
      <w:rFonts w:ascii="Consolas" w:hAnsi="Consolas"/>
      <w:color w:val="000000"/>
      <w:sz w:val="22"/>
    </w:rPr>
  </w:style>
  <w:style w:type="character" w:customStyle="1" w:styleId="BaseNTok">
    <w:name w:val="BaseNTok"/>
    <w:basedOn w:val="VerbatimChar"/>
    <w:rPr>
      <w:rFonts w:ascii="Consolas" w:hAnsi="Consolas"/>
      <w:color w:val="000000"/>
      <w:sz w:val="22"/>
    </w:rPr>
  </w:style>
  <w:style w:type="character" w:customStyle="1" w:styleId="FloatTok">
    <w:name w:val="FloatTok"/>
    <w:basedOn w:val="VerbatimChar"/>
    <w:rPr>
      <w:rFonts w:ascii="Consolas" w:hAnsi="Consolas"/>
      <w:color w:val="000000"/>
      <w:sz w:val="22"/>
    </w:rPr>
  </w:style>
  <w:style w:type="character" w:customStyle="1" w:styleId="ConstantTok">
    <w:name w:val="ConstantTok"/>
    <w:basedOn w:val="VerbatimChar"/>
    <w:rPr>
      <w:rFonts w:ascii="Consolas" w:hAnsi="Consolas"/>
      <w:color w:val="000000"/>
      <w:sz w:val="22"/>
    </w:rPr>
  </w:style>
  <w:style w:type="character" w:customStyle="1" w:styleId="CharTok">
    <w:name w:val="CharTok"/>
    <w:basedOn w:val="VerbatimChar"/>
    <w:rPr>
      <w:rFonts w:ascii="Consolas" w:hAnsi="Consolas"/>
      <w:color w:val="000000"/>
      <w:sz w:val="22"/>
    </w:rPr>
  </w:style>
  <w:style w:type="character" w:customStyle="1" w:styleId="SpecialCharTok">
    <w:name w:val="SpecialCharTok"/>
    <w:basedOn w:val="VerbatimChar"/>
    <w:rPr>
      <w:rFonts w:ascii="Consolas" w:hAnsi="Consolas"/>
      <w:color w:val="000000"/>
      <w:sz w:val="22"/>
    </w:rPr>
  </w:style>
  <w:style w:type="character" w:customStyle="1" w:styleId="StringTok">
    <w:name w:val="StringTok"/>
    <w:basedOn w:val="VerbatimChar"/>
    <w:rPr>
      <w:rFonts w:ascii="Consolas" w:hAnsi="Consolas"/>
      <w:color w:val="000000"/>
      <w:sz w:val="22"/>
    </w:rPr>
  </w:style>
  <w:style w:type="character" w:customStyle="1" w:styleId="VerbatimStringTok">
    <w:name w:val="VerbatimStringTok"/>
    <w:basedOn w:val="VerbatimChar"/>
    <w:rPr>
      <w:rFonts w:ascii="Consolas" w:hAnsi="Consolas"/>
      <w:color w:val="000000"/>
      <w:sz w:val="22"/>
    </w:rPr>
  </w:style>
  <w:style w:type="character" w:customStyle="1" w:styleId="SpecialStringTok">
    <w:name w:val="SpecialStringTok"/>
    <w:basedOn w:val="VerbatimChar"/>
    <w:rPr>
      <w:rFonts w:ascii="Consolas" w:hAnsi="Consolas"/>
      <w:color w:val="000000"/>
      <w:sz w:val="22"/>
    </w:rPr>
  </w:style>
  <w:style w:type="character" w:customStyle="1" w:styleId="ImportTok">
    <w:name w:val="ImportTok"/>
    <w:basedOn w:val="VerbatimChar"/>
    <w:rPr>
      <w:rFonts w:ascii="Consolas" w:hAnsi="Consolas"/>
      <w:b/>
      <w:color w:val="000000"/>
      <w:sz w:val="22"/>
    </w:rPr>
  </w:style>
  <w:style w:type="character" w:customStyle="1" w:styleId="CommentTok">
    <w:name w:val="CommentTok"/>
    <w:basedOn w:val="VerbatimChar"/>
    <w:rPr>
      <w:rFonts w:ascii="Consolas" w:hAnsi="Consolas"/>
      <w:i/>
      <w:color w:val="000000"/>
      <w:sz w:val="22"/>
    </w:rPr>
  </w:style>
  <w:style w:type="character" w:customStyle="1" w:styleId="DocumentationTok">
    <w:name w:val="DocumentationTok"/>
    <w:basedOn w:val="VerbatimChar"/>
    <w:rPr>
      <w:rFonts w:ascii="Consolas" w:hAnsi="Consolas"/>
      <w:i/>
      <w:color w:val="000000"/>
      <w:sz w:val="22"/>
    </w:rPr>
  </w:style>
  <w:style w:type="character" w:customStyle="1" w:styleId="AnnotationTok">
    <w:name w:val="AnnotationTok"/>
    <w:basedOn w:val="VerbatimChar"/>
    <w:rPr>
      <w:rFonts w:ascii="Consolas" w:hAnsi="Consolas"/>
      <w:b/>
      <w:i/>
      <w:color w:val="000000"/>
      <w:sz w:val="22"/>
    </w:rPr>
  </w:style>
  <w:style w:type="character" w:customStyle="1" w:styleId="CommentVarTok">
    <w:name w:val="CommentVarTok"/>
    <w:basedOn w:val="VerbatimChar"/>
    <w:rPr>
      <w:rFonts w:ascii="Consolas" w:hAnsi="Consolas"/>
      <w:b/>
      <w:i/>
      <w:color w:val="000000"/>
      <w:sz w:val="22"/>
    </w:rPr>
  </w:style>
  <w:style w:type="character" w:customStyle="1" w:styleId="OtherTok">
    <w:name w:val="OtherTok"/>
    <w:basedOn w:val="VerbatimChar"/>
    <w:rPr>
      <w:rFonts w:ascii="Consolas" w:hAnsi="Consolas"/>
      <w:color w:val="000000"/>
      <w:sz w:val="22"/>
    </w:rPr>
  </w:style>
  <w:style w:type="character" w:customStyle="1" w:styleId="FunctionTok">
    <w:name w:val="FunctionTok"/>
    <w:basedOn w:val="VerbatimChar"/>
    <w:rPr>
      <w:rFonts w:ascii="Consolas" w:hAnsi="Consolas"/>
      <w:color w:val="000000"/>
      <w:sz w:val="22"/>
    </w:rPr>
  </w:style>
  <w:style w:type="character" w:customStyle="1" w:styleId="VariableTok">
    <w:name w:val="VariableTok"/>
    <w:basedOn w:val="VerbatimChar"/>
    <w:rPr>
      <w:rFonts w:ascii="Consolas" w:hAnsi="Consolas"/>
      <w:color w:val="000000"/>
      <w:sz w:val="22"/>
    </w:rPr>
  </w:style>
  <w:style w:type="character" w:customStyle="1" w:styleId="ControlFlowTok">
    <w:name w:val="ControlFlowTok"/>
    <w:basedOn w:val="VerbatimChar"/>
    <w:rPr>
      <w:rFonts w:ascii="Consolas" w:hAnsi="Consolas"/>
      <w:b/>
      <w:color w:val="000000"/>
      <w:sz w:val="22"/>
    </w:rPr>
  </w:style>
  <w:style w:type="character" w:customStyle="1" w:styleId="OperatorTok">
    <w:name w:val="OperatorTok"/>
    <w:basedOn w:val="VerbatimChar"/>
    <w:rPr>
      <w:rFonts w:ascii="Consolas" w:hAnsi="Consolas"/>
      <w:color w:val="000000"/>
      <w:sz w:val="22"/>
    </w:rPr>
  </w:style>
  <w:style w:type="character" w:customStyle="1" w:styleId="BuiltInTok">
    <w:name w:val="BuiltInTok"/>
    <w:basedOn w:val="VerbatimChar"/>
    <w:rPr>
      <w:rFonts w:ascii="Consolas" w:hAnsi="Consolas"/>
      <w:color w:val="000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000000"/>
      <w:sz w:val="22"/>
    </w:rPr>
  </w:style>
  <w:style w:type="character" w:customStyle="1" w:styleId="AttributeTok">
    <w:name w:val="AttributeTok"/>
    <w:basedOn w:val="VerbatimChar"/>
    <w:rPr>
      <w:rFonts w:ascii="Consolas" w:hAnsi="Consolas"/>
      <w:color w:val="000000"/>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000000"/>
      <w:sz w:val="22"/>
    </w:rPr>
  </w:style>
  <w:style w:type="character" w:customStyle="1" w:styleId="WarningTok">
    <w:name w:val="WarningTok"/>
    <w:basedOn w:val="VerbatimChar"/>
    <w:rPr>
      <w:rFonts w:ascii="Consolas" w:hAnsi="Consolas"/>
      <w:b/>
      <w:i/>
      <w:color w:val="000000"/>
      <w:sz w:val="22"/>
    </w:rPr>
  </w:style>
  <w:style w:type="character" w:customStyle="1" w:styleId="AlertTok">
    <w:name w:val="AlertTok"/>
    <w:basedOn w:val="VerbatimChar"/>
    <w:rPr>
      <w:rFonts w:ascii="Consolas" w:hAnsi="Consolas"/>
      <w:b/>
      <w:color w:val="000000"/>
      <w:sz w:val="22"/>
    </w:rPr>
  </w:style>
  <w:style w:type="character" w:customStyle="1" w:styleId="ErrorTok">
    <w:name w:val="ErrorTok"/>
    <w:basedOn w:val="VerbatimChar"/>
    <w:rPr>
      <w:rFonts w:ascii="Consolas" w:hAnsi="Consolas"/>
      <w:b/>
      <w:color w:val="00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981</Words>
  <Characters>5595</Characters>
  <Application>Microsoft Office Word</Application>
  <DocSecurity>0</DocSecurity>
  <Lines>46</Lines>
  <Paragraphs>13</Paragraphs>
  <ScaleCrop>false</ScaleCrop>
  <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覚知 泰志 (洛和会音羽病院 腎臓内科 リウマチ科 洛和会京都腎臓病センター 音羽病院 透析センター)</cp:lastModifiedBy>
  <cp:revision>2</cp:revision>
  <dcterms:created xsi:type="dcterms:W3CDTF">2026-08-17T12:56:00Z</dcterms:created>
  <dcterms:modified xsi:type="dcterms:W3CDTF">2026-08-24T13:22:00Z</dcterms:modified>
</cp:coreProperties>
</file>