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2C91E" w14:textId="77777777" w:rsidR="005C24E2" w:rsidRPr="00BC0E59" w:rsidRDefault="005C24E2" w:rsidP="005C24E2">
      <w:pPr>
        <w:pStyle w:val="MDPI62BackMatter"/>
        <w:spacing w:before="240" w:line="276" w:lineRule="auto"/>
        <w:ind w:left="0"/>
        <w:rPr>
          <w:rFonts w:ascii="Times New Roman" w:hAnsi="Times New Roman"/>
          <w:sz w:val="20"/>
        </w:rPr>
      </w:pPr>
      <w:r w:rsidRPr="00BC0E59">
        <w:rPr>
          <w:rFonts w:ascii="Times New Roman" w:hAnsi="Times New Roman"/>
          <w:b/>
          <w:sz w:val="20"/>
        </w:rPr>
        <w:t xml:space="preserve">Supplementary Materials: </w:t>
      </w:r>
    </w:p>
    <w:p w14:paraId="065A3295" w14:textId="77777777" w:rsidR="005C24E2" w:rsidRPr="00BC0E59" w:rsidRDefault="005C24E2" w:rsidP="005C24E2">
      <w:pPr>
        <w:pStyle w:val="MDPI31text"/>
        <w:spacing w:line="276" w:lineRule="auto"/>
        <w:ind w:left="0" w:firstLine="720"/>
        <w:rPr>
          <w:rFonts w:ascii="Times New Roman" w:hAnsi="Times New Roman"/>
          <w:szCs w:val="20"/>
        </w:rPr>
      </w:pPr>
      <w:r w:rsidRPr="00BC0E59">
        <w:rPr>
          <w:rFonts w:ascii="Times New Roman" w:hAnsi="Times New Roman"/>
          <w:szCs w:val="20"/>
        </w:rPr>
        <w:t xml:space="preserve">The enriched pathways demonstrating the most important pathways involved are visualized in Table.  12 pathways were identified as significantly enriched. These pathways included amino acids, lipids and glutathione metabolism, suggesting that different biological pathways were affected by HSFD and the tomato oleoresin. </w:t>
      </w:r>
    </w:p>
    <w:p w14:paraId="4D5337D3" w14:textId="77777777" w:rsidR="005C24E2" w:rsidRPr="00BC0E59" w:rsidRDefault="005C24E2" w:rsidP="005C24E2">
      <w:pPr>
        <w:pStyle w:val="MDPI31text"/>
        <w:rPr>
          <w:rFonts w:ascii="Times New Roman" w:hAnsi="Times New Roman"/>
          <w:szCs w:val="20"/>
        </w:rPr>
      </w:pPr>
    </w:p>
    <w:p w14:paraId="0C916E40" w14:textId="77777777" w:rsidR="005C24E2" w:rsidRPr="00BC0E59" w:rsidRDefault="005C24E2" w:rsidP="005C24E2">
      <w:pPr>
        <w:pStyle w:val="MDPI31text"/>
        <w:ind w:left="0" w:firstLine="0"/>
        <w:rPr>
          <w:rFonts w:ascii="Times New Roman" w:hAnsi="Times New Roman"/>
          <w:szCs w:val="20"/>
        </w:rPr>
      </w:pPr>
      <w:r w:rsidRPr="00BC0E59">
        <w:rPr>
          <w:rFonts w:ascii="Times New Roman" w:hAnsi="Times New Roman"/>
          <w:b/>
          <w:bCs/>
          <w:szCs w:val="20"/>
        </w:rPr>
        <w:t>Table S1.</w:t>
      </w:r>
      <w:r w:rsidRPr="00BC0E59">
        <w:rPr>
          <w:rFonts w:ascii="Times New Roman" w:hAnsi="Times New Roman"/>
          <w:szCs w:val="20"/>
        </w:rPr>
        <w:t xml:space="preserve"> Enrichment pathway analyses demonstrating the most important pathways involved within the experiment.</w:t>
      </w:r>
    </w:p>
    <w:tbl>
      <w:tblPr>
        <w:tblW w:w="8110" w:type="dxa"/>
        <w:tblCellMar>
          <w:left w:w="0" w:type="dxa"/>
          <w:right w:w="0" w:type="dxa"/>
        </w:tblCellMar>
        <w:tblLook w:val="0600" w:firstRow="0" w:lastRow="0" w:firstColumn="0" w:lastColumn="0" w:noHBand="1" w:noVBand="1"/>
      </w:tblPr>
      <w:tblGrid>
        <w:gridCol w:w="3117"/>
        <w:gridCol w:w="1840"/>
        <w:gridCol w:w="991"/>
        <w:gridCol w:w="1417"/>
        <w:gridCol w:w="745"/>
      </w:tblGrid>
      <w:tr w:rsidR="005C24E2" w:rsidRPr="00BC0E59" w14:paraId="2B394021" w14:textId="77777777" w:rsidTr="003F2E28">
        <w:trPr>
          <w:trHeight w:val="531"/>
        </w:trPr>
        <w:tc>
          <w:tcPr>
            <w:tcW w:w="3117" w:type="dxa"/>
            <w:tcBorders>
              <w:top w:val="single" w:sz="4" w:space="0" w:color="000000"/>
              <w:left w:val="nil"/>
              <w:bottom w:val="single" w:sz="4" w:space="0" w:color="000000"/>
              <w:right w:val="nil"/>
            </w:tcBorders>
            <w:shd w:val="clear" w:color="auto" w:fill="auto"/>
            <w:tcMar>
              <w:top w:w="10" w:type="dxa"/>
              <w:left w:w="10" w:type="dxa"/>
              <w:bottom w:w="0" w:type="dxa"/>
              <w:right w:w="10" w:type="dxa"/>
            </w:tcMar>
            <w:vAlign w:val="center"/>
            <w:hideMark/>
          </w:tcPr>
          <w:p w14:paraId="423F4380" w14:textId="77777777" w:rsidR="005C24E2" w:rsidRPr="00BC0E59" w:rsidRDefault="005C24E2" w:rsidP="003F2E28">
            <w:pPr>
              <w:spacing w:line="360" w:lineRule="auto"/>
              <w:ind w:firstLine="720"/>
              <w:jc w:val="both"/>
              <w:rPr>
                <w:rFonts w:ascii="Times New Roman" w:hAnsi="Times New Roman" w:cs="Times New Roman"/>
                <w:sz w:val="20"/>
                <w:szCs w:val="20"/>
              </w:rPr>
            </w:pPr>
          </w:p>
        </w:tc>
        <w:tc>
          <w:tcPr>
            <w:tcW w:w="1840" w:type="dxa"/>
            <w:tcBorders>
              <w:top w:val="single" w:sz="4" w:space="0" w:color="000000"/>
              <w:left w:val="nil"/>
              <w:bottom w:val="single" w:sz="4" w:space="0" w:color="000000"/>
              <w:right w:val="nil"/>
            </w:tcBorders>
            <w:shd w:val="clear" w:color="auto" w:fill="auto"/>
            <w:tcMar>
              <w:top w:w="10" w:type="dxa"/>
              <w:left w:w="10" w:type="dxa"/>
              <w:bottom w:w="0" w:type="dxa"/>
              <w:right w:w="10" w:type="dxa"/>
            </w:tcMar>
            <w:vAlign w:val="center"/>
            <w:hideMark/>
          </w:tcPr>
          <w:p w14:paraId="100D4C76" w14:textId="77777777" w:rsidR="005C24E2" w:rsidRPr="00BC0E59" w:rsidRDefault="005C24E2" w:rsidP="003F2E28">
            <w:pPr>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 xml:space="preserve">Pathway </w:t>
            </w:r>
            <w:r w:rsidRPr="00BC0E59">
              <w:rPr>
                <w:rFonts w:ascii="Times New Roman" w:hAnsi="Times New Roman" w:cs="Times New Roman"/>
                <w:b/>
                <w:bCs/>
                <w:sz w:val="20"/>
                <w:szCs w:val="20"/>
                <w:lang w:val="pt-BR"/>
              </w:rPr>
              <w:br/>
              <w:t>total compounds</w:t>
            </w:r>
          </w:p>
        </w:tc>
        <w:tc>
          <w:tcPr>
            <w:tcW w:w="991" w:type="dxa"/>
            <w:tcBorders>
              <w:top w:val="single" w:sz="4" w:space="0" w:color="000000"/>
              <w:left w:val="nil"/>
              <w:bottom w:val="single" w:sz="4" w:space="0" w:color="000000"/>
              <w:right w:val="nil"/>
            </w:tcBorders>
            <w:shd w:val="clear" w:color="auto" w:fill="auto"/>
            <w:tcMar>
              <w:top w:w="10" w:type="dxa"/>
              <w:left w:w="10" w:type="dxa"/>
              <w:bottom w:w="0" w:type="dxa"/>
              <w:right w:w="10" w:type="dxa"/>
            </w:tcMar>
            <w:vAlign w:val="center"/>
            <w:hideMark/>
          </w:tcPr>
          <w:p w14:paraId="693AFEDE" w14:textId="77777777" w:rsidR="005C24E2" w:rsidRPr="00BC0E59" w:rsidRDefault="005C24E2" w:rsidP="003F2E28">
            <w:pPr>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Total hits</w:t>
            </w:r>
          </w:p>
        </w:tc>
        <w:tc>
          <w:tcPr>
            <w:tcW w:w="1417" w:type="dxa"/>
            <w:tcBorders>
              <w:top w:val="single" w:sz="4" w:space="0" w:color="000000"/>
              <w:left w:val="nil"/>
              <w:bottom w:val="single" w:sz="4" w:space="0" w:color="000000"/>
              <w:right w:val="nil"/>
            </w:tcBorders>
            <w:shd w:val="clear" w:color="auto" w:fill="auto"/>
            <w:tcMar>
              <w:top w:w="10" w:type="dxa"/>
              <w:left w:w="10" w:type="dxa"/>
              <w:bottom w:w="0" w:type="dxa"/>
              <w:right w:w="10" w:type="dxa"/>
            </w:tcMar>
            <w:vAlign w:val="center"/>
            <w:hideMark/>
          </w:tcPr>
          <w:p w14:paraId="175066BD" w14:textId="77777777" w:rsidR="005C24E2" w:rsidRPr="00BC0E59" w:rsidRDefault="005C24E2" w:rsidP="003F2E28">
            <w:pPr>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 xml:space="preserve">Significant </w:t>
            </w:r>
          </w:p>
          <w:p w14:paraId="02821D35" w14:textId="77777777" w:rsidR="005C24E2" w:rsidRPr="00BC0E59" w:rsidRDefault="005C24E2" w:rsidP="003F2E28">
            <w:pPr>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hits</w:t>
            </w:r>
          </w:p>
        </w:tc>
        <w:tc>
          <w:tcPr>
            <w:tcW w:w="745" w:type="dxa"/>
            <w:tcBorders>
              <w:top w:val="single" w:sz="4" w:space="0" w:color="000000"/>
              <w:left w:val="nil"/>
              <w:bottom w:val="single" w:sz="4" w:space="0" w:color="000000"/>
              <w:right w:val="nil"/>
            </w:tcBorders>
            <w:shd w:val="clear" w:color="auto" w:fill="auto"/>
            <w:tcMar>
              <w:top w:w="10" w:type="dxa"/>
              <w:left w:w="10" w:type="dxa"/>
              <w:bottom w:w="0" w:type="dxa"/>
              <w:right w:w="10" w:type="dxa"/>
            </w:tcMar>
            <w:vAlign w:val="center"/>
            <w:hideMark/>
          </w:tcPr>
          <w:p w14:paraId="54A724BD" w14:textId="77777777" w:rsidR="005C24E2" w:rsidRPr="00BC0E59" w:rsidRDefault="005C24E2" w:rsidP="003F2E28">
            <w:pPr>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P value</w:t>
            </w:r>
          </w:p>
        </w:tc>
      </w:tr>
      <w:tr w:rsidR="005C24E2" w:rsidRPr="00BC0E59" w14:paraId="568CD040" w14:textId="77777777" w:rsidTr="003F2E28">
        <w:trPr>
          <w:trHeight w:val="269"/>
        </w:trPr>
        <w:tc>
          <w:tcPr>
            <w:tcW w:w="3117" w:type="dxa"/>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4E5DF7D2"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Arginine and proline metabolism</w:t>
            </w:r>
          </w:p>
        </w:tc>
        <w:tc>
          <w:tcPr>
            <w:tcW w:w="1840" w:type="dxa"/>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05F91839"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44</w:t>
            </w:r>
          </w:p>
        </w:tc>
        <w:tc>
          <w:tcPr>
            <w:tcW w:w="991" w:type="dxa"/>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4022E985"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w:t>
            </w:r>
          </w:p>
        </w:tc>
        <w:tc>
          <w:tcPr>
            <w:tcW w:w="1417" w:type="dxa"/>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1665709B"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w:t>
            </w:r>
          </w:p>
        </w:tc>
        <w:tc>
          <w:tcPr>
            <w:tcW w:w="745" w:type="dxa"/>
            <w:tcBorders>
              <w:top w:val="single" w:sz="4" w:space="0" w:color="000000"/>
              <w:left w:val="nil"/>
              <w:bottom w:val="nil"/>
              <w:right w:val="nil"/>
            </w:tcBorders>
            <w:shd w:val="clear" w:color="auto" w:fill="auto"/>
            <w:tcMar>
              <w:top w:w="10" w:type="dxa"/>
              <w:left w:w="10" w:type="dxa"/>
              <w:bottom w:w="0" w:type="dxa"/>
              <w:right w:w="10" w:type="dxa"/>
            </w:tcMar>
            <w:vAlign w:val="bottom"/>
            <w:hideMark/>
          </w:tcPr>
          <w:p w14:paraId="4C9DA341"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0.00003</w:t>
            </w:r>
          </w:p>
        </w:tc>
      </w:tr>
      <w:tr w:rsidR="005C24E2" w:rsidRPr="00BC0E59" w14:paraId="46D3C58F" w14:textId="77777777" w:rsidTr="003F2E28">
        <w:trPr>
          <w:trHeight w:val="270"/>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731E06B5"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Cysteine and methionine metabolism</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61F43753"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28</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70FB68CE"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77F09820"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6408F60A"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0.00005</w:t>
            </w:r>
          </w:p>
        </w:tc>
      </w:tr>
      <w:tr w:rsidR="005C24E2" w:rsidRPr="00BC0E59" w14:paraId="3CAF3FF9" w14:textId="77777777" w:rsidTr="003F2E28">
        <w:trPr>
          <w:trHeight w:val="273"/>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454ED651"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Purine metabolism</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7C80B352"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68</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706C3F15"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03BCF0DC"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0270CE84"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0.00012</w:t>
            </w:r>
          </w:p>
        </w:tc>
      </w:tr>
      <w:tr w:rsidR="005C24E2" w:rsidRPr="00BC0E59" w14:paraId="4ACD9210" w14:textId="77777777" w:rsidTr="003F2E28">
        <w:trPr>
          <w:trHeight w:val="277"/>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2A35F8C5"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Aminoacyl-tRNA biosynthesis</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739568B7"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67</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45DF3BCD"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2006031D"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21B228A2"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0.00013</w:t>
            </w:r>
          </w:p>
        </w:tc>
      </w:tr>
      <w:tr w:rsidR="005C24E2" w:rsidRPr="00BC0E59" w14:paraId="1072A2E3" w14:textId="77777777" w:rsidTr="003F2E28">
        <w:trPr>
          <w:trHeight w:val="268"/>
        </w:trPr>
        <w:tc>
          <w:tcPr>
            <w:tcW w:w="3117" w:type="dxa"/>
            <w:tcBorders>
              <w:top w:val="nil"/>
              <w:left w:val="nil"/>
              <w:right w:val="nil"/>
            </w:tcBorders>
            <w:shd w:val="clear" w:color="auto" w:fill="auto"/>
            <w:tcMar>
              <w:top w:w="10" w:type="dxa"/>
              <w:left w:w="10" w:type="dxa"/>
              <w:bottom w:w="0" w:type="dxa"/>
              <w:right w:w="10" w:type="dxa"/>
            </w:tcMar>
            <w:vAlign w:val="bottom"/>
            <w:hideMark/>
          </w:tcPr>
          <w:p w14:paraId="4B694707"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Steroid biosynthesis</w:t>
            </w:r>
          </w:p>
        </w:tc>
        <w:tc>
          <w:tcPr>
            <w:tcW w:w="1840" w:type="dxa"/>
            <w:tcBorders>
              <w:top w:val="nil"/>
              <w:left w:val="nil"/>
              <w:right w:val="nil"/>
            </w:tcBorders>
            <w:shd w:val="clear" w:color="auto" w:fill="auto"/>
            <w:tcMar>
              <w:top w:w="10" w:type="dxa"/>
              <w:left w:w="10" w:type="dxa"/>
              <w:bottom w:w="0" w:type="dxa"/>
              <w:right w:w="10" w:type="dxa"/>
            </w:tcMar>
            <w:vAlign w:val="bottom"/>
            <w:hideMark/>
          </w:tcPr>
          <w:p w14:paraId="20D6C1DE"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35</w:t>
            </w:r>
          </w:p>
        </w:tc>
        <w:tc>
          <w:tcPr>
            <w:tcW w:w="991" w:type="dxa"/>
            <w:tcBorders>
              <w:top w:val="nil"/>
              <w:left w:val="nil"/>
              <w:right w:val="nil"/>
            </w:tcBorders>
            <w:shd w:val="clear" w:color="auto" w:fill="auto"/>
            <w:tcMar>
              <w:top w:w="10" w:type="dxa"/>
              <w:left w:w="10" w:type="dxa"/>
              <w:bottom w:w="0" w:type="dxa"/>
              <w:right w:w="10" w:type="dxa"/>
            </w:tcMar>
            <w:vAlign w:val="bottom"/>
            <w:hideMark/>
          </w:tcPr>
          <w:p w14:paraId="69D831D2"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1417" w:type="dxa"/>
            <w:tcBorders>
              <w:top w:val="nil"/>
              <w:left w:val="nil"/>
              <w:right w:val="nil"/>
            </w:tcBorders>
            <w:shd w:val="clear" w:color="auto" w:fill="auto"/>
            <w:tcMar>
              <w:top w:w="10" w:type="dxa"/>
              <w:left w:w="10" w:type="dxa"/>
              <w:bottom w:w="0" w:type="dxa"/>
              <w:right w:w="10" w:type="dxa"/>
            </w:tcMar>
            <w:vAlign w:val="bottom"/>
            <w:hideMark/>
          </w:tcPr>
          <w:p w14:paraId="25FC2CC4"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745" w:type="dxa"/>
            <w:tcBorders>
              <w:top w:val="nil"/>
              <w:left w:val="nil"/>
              <w:right w:val="nil"/>
            </w:tcBorders>
            <w:shd w:val="clear" w:color="auto" w:fill="auto"/>
            <w:tcMar>
              <w:top w:w="10" w:type="dxa"/>
              <w:left w:w="10" w:type="dxa"/>
              <w:bottom w:w="0" w:type="dxa"/>
              <w:right w:w="10" w:type="dxa"/>
            </w:tcMar>
            <w:vAlign w:val="bottom"/>
            <w:hideMark/>
          </w:tcPr>
          <w:p w14:paraId="564E2F1F"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0.00039</w:t>
            </w:r>
          </w:p>
        </w:tc>
      </w:tr>
      <w:tr w:rsidR="005C24E2" w:rsidRPr="00BC0E59" w14:paraId="73237E63" w14:textId="77777777" w:rsidTr="003F2E28">
        <w:trPr>
          <w:trHeight w:val="268"/>
        </w:trPr>
        <w:tc>
          <w:tcPr>
            <w:tcW w:w="3117" w:type="dxa"/>
            <w:tcBorders>
              <w:top w:val="single" w:sz="4" w:space="0" w:color="auto"/>
              <w:left w:val="nil"/>
              <w:bottom w:val="single" w:sz="4" w:space="0" w:color="auto"/>
              <w:right w:val="nil"/>
            </w:tcBorders>
            <w:shd w:val="clear" w:color="auto" w:fill="auto"/>
            <w:tcMar>
              <w:top w:w="10" w:type="dxa"/>
              <w:left w:w="10" w:type="dxa"/>
              <w:bottom w:w="0" w:type="dxa"/>
              <w:right w:w="10" w:type="dxa"/>
            </w:tcMar>
            <w:vAlign w:val="center"/>
          </w:tcPr>
          <w:p w14:paraId="18DFA427" w14:textId="77777777" w:rsidR="005C24E2" w:rsidRPr="00BC0E59" w:rsidRDefault="005C24E2" w:rsidP="003F2E28">
            <w:pPr>
              <w:spacing w:line="360" w:lineRule="auto"/>
              <w:jc w:val="both"/>
              <w:rPr>
                <w:rFonts w:ascii="Times New Roman" w:hAnsi="Times New Roman" w:cs="Times New Roman"/>
                <w:b/>
                <w:bCs/>
                <w:sz w:val="20"/>
                <w:szCs w:val="20"/>
                <w:lang w:val="pt-BR"/>
              </w:rPr>
            </w:pPr>
          </w:p>
        </w:tc>
        <w:tc>
          <w:tcPr>
            <w:tcW w:w="1840" w:type="dxa"/>
            <w:tcBorders>
              <w:top w:val="single" w:sz="4" w:space="0" w:color="auto"/>
              <w:left w:val="nil"/>
              <w:bottom w:val="single" w:sz="4" w:space="0" w:color="auto"/>
              <w:right w:val="nil"/>
            </w:tcBorders>
            <w:shd w:val="clear" w:color="auto" w:fill="auto"/>
            <w:tcMar>
              <w:top w:w="10" w:type="dxa"/>
              <w:left w:w="10" w:type="dxa"/>
              <w:bottom w:w="0" w:type="dxa"/>
              <w:right w:w="10" w:type="dxa"/>
            </w:tcMar>
            <w:vAlign w:val="center"/>
          </w:tcPr>
          <w:p w14:paraId="56A91CCC"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b/>
                <w:bCs/>
                <w:sz w:val="20"/>
                <w:szCs w:val="20"/>
                <w:lang w:val="pt-BR"/>
              </w:rPr>
              <w:t xml:space="preserve">Pathway </w:t>
            </w:r>
            <w:r w:rsidRPr="00BC0E59">
              <w:rPr>
                <w:rFonts w:ascii="Times New Roman" w:hAnsi="Times New Roman" w:cs="Times New Roman"/>
                <w:b/>
                <w:bCs/>
                <w:sz w:val="20"/>
                <w:szCs w:val="20"/>
                <w:lang w:val="pt-BR"/>
              </w:rPr>
              <w:br/>
              <w:t>total compounds</w:t>
            </w:r>
          </w:p>
        </w:tc>
        <w:tc>
          <w:tcPr>
            <w:tcW w:w="991" w:type="dxa"/>
            <w:tcBorders>
              <w:top w:val="single" w:sz="4" w:space="0" w:color="auto"/>
              <w:left w:val="nil"/>
              <w:bottom w:val="single" w:sz="4" w:space="0" w:color="auto"/>
              <w:right w:val="nil"/>
            </w:tcBorders>
            <w:shd w:val="clear" w:color="auto" w:fill="auto"/>
            <w:tcMar>
              <w:top w:w="10" w:type="dxa"/>
              <w:left w:w="10" w:type="dxa"/>
              <w:bottom w:w="0" w:type="dxa"/>
              <w:right w:w="10" w:type="dxa"/>
            </w:tcMar>
            <w:vAlign w:val="center"/>
          </w:tcPr>
          <w:p w14:paraId="30C29387"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b/>
                <w:bCs/>
                <w:sz w:val="20"/>
                <w:szCs w:val="20"/>
                <w:lang w:val="pt-BR"/>
              </w:rPr>
              <w:t>Total hits</w:t>
            </w:r>
          </w:p>
        </w:tc>
        <w:tc>
          <w:tcPr>
            <w:tcW w:w="1417" w:type="dxa"/>
            <w:tcBorders>
              <w:top w:val="single" w:sz="4" w:space="0" w:color="auto"/>
              <w:left w:val="nil"/>
              <w:bottom w:val="single" w:sz="4" w:space="0" w:color="auto"/>
              <w:right w:val="nil"/>
            </w:tcBorders>
            <w:shd w:val="clear" w:color="auto" w:fill="auto"/>
            <w:tcMar>
              <w:top w:w="10" w:type="dxa"/>
              <w:left w:w="10" w:type="dxa"/>
              <w:bottom w:w="0" w:type="dxa"/>
              <w:right w:w="10" w:type="dxa"/>
            </w:tcMar>
            <w:vAlign w:val="center"/>
          </w:tcPr>
          <w:p w14:paraId="33A27E95" w14:textId="77777777" w:rsidR="005C24E2" w:rsidRPr="00BC0E59" w:rsidRDefault="005C24E2" w:rsidP="003F2E28">
            <w:pPr>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 xml:space="preserve">Significant </w:t>
            </w:r>
          </w:p>
          <w:p w14:paraId="7BDEDA1D"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b/>
                <w:bCs/>
                <w:sz w:val="20"/>
                <w:szCs w:val="20"/>
                <w:lang w:val="pt-BR"/>
              </w:rPr>
              <w:t>hits</w:t>
            </w:r>
          </w:p>
        </w:tc>
        <w:tc>
          <w:tcPr>
            <w:tcW w:w="745" w:type="dxa"/>
            <w:tcBorders>
              <w:top w:val="single" w:sz="4" w:space="0" w:color="auto"/>
              <w:left w:val="nil"/>
              <w:bottom w:val="single" w:sz="4" w:space="0" w:color="auto"/>
              <w:right w:val="nil"/>
            </w:tcBorders>
            <w:shd w:val="clear" w:color="auto" w:fill="auto"/>
            <w:tcMar>
              <w:top w:w="10" w:type="dxa"/>
              <w:left w:w="10" w:type="dxa"/>
              <w:bottom w:w="0" w:type="dxa"/>
              <w:right w:w="10" w:type="dxa"/>
            </w:tcMar>
            <w:vAlign w:val="center"/>
          </w:tcPr>
          <w:p w14:paraId="2F628F62"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b/>
                <w:bCs/>
                <w:sz w:val="20"/>
                <w:szCs w:val="20"/>
                <w:lang w:val="pt-BR"/>
              </w:rPr>
              <w:t>P value</w:t>
            </w:r>
          </w:p>
        </w:tc>
      </w:tr>
      <w:tr w:rsidR="005C24E2" w:rsidRPr="00BC0E59" w14:paraId="72369A5F" w14:textId="77777777" w:rsidTr="003F2E28">
        <w:trPr>
          <w:trHeight w:val="272"/>
        </w:trPr>
        <w:tc>
          <w:tcPr>
            <w:tcW w:w="3117" w:type="dxa"/>
            <w:tcBorders>
              <w:top w:val="single" w:sz="4" w:space="0" w:color="auto"/>
              <w:left w:val="nil"/>
              <w:bottom w:val="single" w:sz="4" w:space="0" w:color="FFFFFF"/>
              <w:right w:val="nil"/>
            </w:tcBorders>
            <w:shd w:val="clear" w:color="auto" w:fill="auto"/>
            <w:tcMar>
              <w:top w:w="10" w:type="dxa"/>
              <w:left w:w="10" w:type="dxa"/>
              <w:bottom w:w="0" w:type="dxa"/>
              <w:right w:w="10" w:type="dxa"/>
            </w:tcMar>
            <w:vAlign w:val="bottom"/>
            <w:hideMark/>
          </w:tcPr>
          <w:p w14:paraId="33B4895C"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Primary bile acid biosynthesis</w:t>
            </w:r>
          </w:p>
        </w:tc>
        <w:tc>
          <w:tcPr>
            <w:tcW w:w="1840" w:type="dxa"/>
            <w:tcBorders>
              <w:top w:val="single" w:sz="4" w:space="0" w:color="auto"/>
              <w:left w:val="nil"/>
              <w:bottom w:val="single" w:sz="4" w:space="0" w:color="FFFFFF"/>
              <w:right w:val="nil"/>
            </w:tcBorders>
            <w:shd w:val="clear" w:color="auto" w:fill="auto"/>
            <w:tcMar>
              <w:top w:w="10" w:type="dxa"/>
              <w:left w:w="10" w:type="dxa"/>
              <w:bottom w:w="0" w:type="dxa"/>
              <w:right w:w="10" w:type="dxa"/>
            </w:tcMar>
            <w:vAlign w:val="bottom"/>
            <w:hideMark/>
          </w:tcPr>
          <w:p w14:paraId="30066FC1"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46</w:t>
            </w:r>
          </w:p>
        </w:tc>
        <w:tc>
          <w:tcPr>
            <w:tcW w:w="991" w:type="dxa"/>
            <w:tcBorders>
              <w:top w:val="single" w:sz="4" w:space="0" w:color="auto"/>
              <w:left w:val="nil"/>
              <w:bottom w:val="single" w:sz="4" w:space="0" w:color="FFFFFF"/>
              <w:right w:val="nil"/>
            </w:tcBorders>
            <w:shd w:val="clear" w:color="auto" w:fill="auto"/>
            <w:tcMar>
              <w:top w:w="10" w:type="dxa"/>
              <w:left w:w="10" w:type="dxa"/>
              <w:bottom w:w="0" w:type="dxa"/>
              <w:right w:w="10" w:type="dxa"/>
            </w:tcMar>
            <w:vAlign w:val="bottom"/>
            <w:hideMark/>
          </w:tcPr>
          <w:p w14:paraId="01FA1715"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1417" w:type="dxa"/>
            <w:tcBorders>
              <w:top w:val="single" w:sz="4" w:space="0" w:color="auto"/>
              <w:left w:val="nil"/>
              <w:bottom w:val="single" w:sz="4" w:space="0" w:color="FFFFFF"/>
              <w:right w:val="nil"/>
            </w:tcBorders>
            <w:shd w:val="clear" w:color="auto" w:fill="auto"/>
            <w:tcMar>
              <w:top w:w="10" w:type="dxa"/>
              <w:left w:w="10" w:type="dxa"/>
              <w:bottom w:w="0" w:type="dxa"/>
              <w:right w:w="10" w:type="dxa"/>
            </w:tcMar>
            <w:vAlign w:val="bottom"/>
            <w:hideMark/>
          </w:tcPr>
          <w:p w14:paraId="72543D8B"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745" w:type="dxa"/>
            <w:tcBorders>
              <w:top w:val="single" w:sz="4" w:space="0" w:color="auto"/>
              <w:left w:val="nil"/>
              <w:bottom w:val="single" w:sz="4" w:space="0" w:color="FFFFFF"/>
              <w:right w:val="nil"/>
            </w:tcBorders>
            <w:shd w:val="clear" w:color="auto" w:fill="auto"/>
            <w:tcMar>
              <w:top w:w="10" w:type="dxa"/>
              <w:left w:w="10" w:type="dxa"/>
              <w:bottom w:w="0" w:type="dxa"/>
              <w:right w:w="10" w:type="dxa"/>
            </w:tcMar>
            <w:vAlign w:val="bottom"/>
            <w:hideMark/>
          </w:tcPr>
          <w:p w14:paraId="24C9F131"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0.00045</w:t>
            </w:r>
          </w:p>
        </w:tc>
      </w:tr>
      <w:tr w:rsidR="005C24E2" w:rsidRPr="00BC0E59" w14:paraId="634E2A1C" w14:textId="77777777" w:rsidTr="003F2E28">
        <w:trPr>
          <w:trHeight w:val="264"/>
        </w:trPr>
        <w:tc>
          <w:tcPr>
            <w:tcW w:w="3117" w:type="dxa"/>
            <w:tcBorders>
              <w:top w:val="single" w:sz="4" w:space="0" w:color="FFFFFF"/>
              <w:left w:val="nil"/>
              <w:bottom w:val="nil"/>
              <w:right w:val="nil"/>
            </w:tcBorders>
            <w:shd w:val="clear" w:color="auto" w:fill="auto"/>
            <w:tcMar>
              <w:top w:w="10" w:type="dxa"/>
              <w:left w:w="10" w:type="dxa"/>
              <w:bottom w:w="0" w:type="dxa"/>
              <w:right w:w="10" w:type="dxa"/>
            </w:tcMar>
            <w:vAlign w:val="bottom"/>
            <w:hideMark/>
          </w:tcPr>
          <w:p w14:paraId="33CD29D8" w14:textId="77777777" w:rsidR="005C24E2" w:rsidRPr="00BC0E59" w:rsidRDefault="005C24E2" w:rsidP="003F2E28">
            <w:pPr>
              <w:spacing w:line="360" w:lineRule="auto"/>
              <w:jc w:val="both"/>
              <w:rPr>
                <w:rFonts w:ascii="Times New Roman" w:hAnsi="Times New Roman" w:cs="Times New Roman"/>
                <w:b/>
                <w:bCs/>
                <w:sz w:val="20"/>
                <w:szCs w:val="20"/>
              </w:rPr>
            </w:pPr>
            <w:r w:rsidRPr="00BC0E59">
              <w:rPr>
                <w:rFonts w:ascii="Times New Roman" w:hAnsi="Times New Roman" w:cs="Times New Roman"/>
                <w:b/>
                <w:bCs/>
                <w:sz w:val="20"/>
                <w:szCs w:val="20"/>
              </w:rPr>
              <w:t>Biosynthesis of unsaturated fatty acids</w:t>
            </w:r>
          </w:p>
        </w:tc>
        <w:tc>
          <w:tcPr>
            <w:tcW w:w="1840" w:type="dxa"/>
            <w:tcBorders>
              <w:top w:val="single" w:sz="4" w:space="0" w:color="FFFFFF"/>
              <w:left w:val="nil"/>
              <w:bottom w:val="nil"/>
              <w:right w:val="nil"/>
            </w:tcBorders>
            <w:shd w:val="clear" w:color="auto" w:fill="auto"/>
            <w:tcMar>
              <w:top w:w="10" w:type="dxa"/>
              <w:left w:w="10" w:type="dxa"/>
              <w:bottom w:w="0" w:type="dxa"/>
              <w:right w:w="10" w:type="dxa"/>
            </w:tcMar>
            <w:vAlign w:val="bottom"/>
            <w:hideMark/>
          </w:tcPr>
          <w:p w14:paraId="60CB1CB5"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42</w:t>
            </w:r>
          </w:p>
        </w:tc>
        <w:tc>
          <w:tcPr>
            <w:tcW w:w="991" w:type="dxa"/>
            <w:tcBorders>
              <w:top w:val="single" w:sz="4" w:space="0" w:color="FFFFFF"/>
              <w:left w:val="nil"/>
              <w:bottom w:val="nil"/>
              <w:right w:val="nil"/>
            </w:tcBorders>
            <w:shd w:val="clear" w:color="auto" w:fill="auto"/>
            <w:tcMar>
              <w:top w:w="10" w:type="dxa"/>
              <w:left w:w="10" w:type="dxa"/>
              <w:bottom w:w="0" w:type="dxa"/>
              <w:right w:w="10" w:type="dxa"/>
            </w:tcMar>
            <w:vAlign w:val="bottom"/>
            <w:hideMark/>
          </w:tcPr>
          <w:p w14:paraId="6B193267"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1417" w:type="dxa"/>
            <w:tcBorders>
              <w:top w:val="single" w:sz="4" w:space="0" w:color="FFFFFF"/>
              <w:left w:val="nil"/>
              <w:bottom w:val="nil"/>
              <w:right w:val="nil"/>
            </w:tcBorders>
            <w:shd w:val="clear" w:color="auto" w:fill="auto"/>
            <w:tcMar>
              <w:top w:w="10" w:type="dxa"/>
              <w:left w:w="10" w:type="dxa"/>
              <w:bottom w:w="0" w:type="dxa"/>
              <w:right w:w="10" w:type="dxa"/>
            </w:tcMar>
            <w:vAlign w:val="bottom"/>
            <w:hideMark/>
          </w:tcPr>
          <w:p w14:paraId="40AF93C7"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745" w:type="dxa"/>
            <w:tcBorders>
              <w:top w:val="single" w:sz="4" w:space="0" w:color="FFFFFF"/>
              <w:left w:val="nil"/>
              <w:bottom w:val="nil"/>
              <w:right w:val="nil"/>
            </w:tcBorders>
            <w:shd w:val="clear" w:color="auto" w:fill="auto"/>
            <w:tcMar>
              <w:top w:w="10" w:type="dxa"/>
              <w:left w:w="10" w:type="dxa"/>
              <w:bottom w:w="0" w:type="dxa"/>
              <w:right w:w="10" w:type="dxa"/>
            </w:tcMar>
            <w:vAlign w:val="bottom"/>
            <w:hideMark/>
          </w:tcPr>
          <w:p w14:paraId="2AC50499"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0.00045</w:t>
            </w:r>
          </w:p>
        </w:tc>
      </w:tr>
      <w:tr w:rsidR="005C24E2" w:rsidRPr="00BC0E59" w14:paraId="5049195B" w14:textId="77777777" w:rsidTr="003F2E28">
        <w:trPr>
          <w:trHeight w:val="125"/>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48B26DC8" w14:textId="77777777" w:rsidR="005C24E2" w:rsidRPr="00BC0E59" w:rsidRDefault="005C24E2" w:rsidP="003F2E28">
            <w:pPr>
              <w:spacing w:line="360" w:lineRule="auto"/>
              <w:jc w:val="both"/>
              <w:rPr>
                <w:rFonts w:ascii="Times New Roman" w:hAnsi="Times New Roman" w:cs="Times New Roman"/>
                <w:b/>
                <w:bCs/>
                <w:sz w:val="20"/>
                <w:szCs w:val="20"/>
              </w:rPr>
            </w:pPr>
            <w:proofErr w:type="gramStart"/>
            <w:r w:rsidRPr="00BC0E59">
              <w:rPr>
                <w:rFonts w:ascii="Times New Roman" w:hAnsi="Times New Roman" w:cs="Times New Roman"/>
                <w:b/>
                <w:bCs/>
                <w:sz w:val="20"/>
                <w:szCs w:val="20"/>
              </w:rPr>
              <w:t>Valine,  leucine</w:t>
            </w:r>
            <w:proofErr w:type="gramEnd"/>
            <w:r w:rsidRPr="00BC0E59">
              <w:rPr>
                <w:rFonts w:ascii="Times New Roman" w:hAnsi="Times New Roman" w:cs="Times New Roman"/>
                <w:b/>
                <w:bCs/>
                <w:sz w:val="20"/>
                <w:szCs w:val="20"/>
              </w:rPr>
              <w:t xml:space="preserve"> and isoleucine biosynthesis</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002A63EF"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11</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754865DE"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7578EFA1"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3B8DF6FD"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0.00084</w:t>
            </w:r>
          </w:p>
        </w:tc>
      </w:tr>
      <w:tr w:rsidR="005C24E2" w:rsidRPr="00BC0E59" w14:paraId="1E0F42B3" w14:textId="77777777" w:rsidTr="003F2E28">
        <w:trPr>
          <w:trHeight w:val="189"/>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1F5EA2E9"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Fatty acid metabolism</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0C9C78DF"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39</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69D5CDA3"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4A3EE31F"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699BEE3B"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0.00103</w:t>
            </w:r>
          </w:p>
        </w:tc>
      </w:tr>
      <w:tr w:rsidR="005C24E2" w:rsidRPr="00BC0E59" w14:paraId="6ECC4A64" w14:textId="77777777" w:rsidTr="003F2E28">
        <w:trPr>
          <w:trHeight w:val="236"/>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4A7E8AC5" w14:textId="77777777" w:rsidR="005C24E2" w:rsidRPr="00BC0E59" w:rsidRDefault="005C24E2" w:rsidP="003F2E28">
            <w:pPr>
              <w:spacing w:line="360" w:lineRule="auto"/>
              <w:jc w:val="both"/>
              <w:rPr>
                <w:rFonts w:ascii="Times New Roman" w:hAnsi="Times New Roman" w:cs="Times New Roman"/>
                <w:b/>
                <w:bCs/>
                <w:sz w:val="20"/>
                <w:szCs w:val="20"/>
              </w:rPr>
            </w:pPr>
            <w:r w:rsidRPr="00BC0E59">
              <w:rPr>
                <w:rFonts w:ascii="Times New Roman" w:hAnsi="Times New Roman" w:cs="Times New Roman"/>
                <w:b/>
                <w:bCs/>
                <w:sz w:val="20"/>
                <w:szCs w:val="20"/>
              </w:rPr>
              <w:t>Fatty acid elongation in mitochondria</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739E74D1"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27</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20F45A2F"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5934720C"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4C08204F"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0.00097</w:t>
            </w:r>
          </w:p>
        </w:tc>
      </w:tr>
      <w:tr w:rsidR="005C24E2" w:rsidRPr="00BC0E59" w14:paraId="6243790E" w14:textId="77777777" w:rsidTr="003F2E28">
        <w:trPr>
          <w:trHeight w:val="268"/>
        </w:trPr>
        <w:tc>
          <w:tcPr>
            <w:tcW w:w="3117" w:type="dxa"/>
            <w:tcBorders>
              <w:top w:val="nil"/>
              <w:left w:val="nil"/>
              <w:bottom w:val="nil"/>
              <w:right w:val="nil"/>
            </w:tcBorders>
            <w:shd w:val="clear" w:color="auto" w:fill="auto"/>
            <w:tcMar>
              <w:top w:w="10" w:type="dxa"/>
              <w:left w:w="10" w:type="dxa"/>
              <w:bottom w:w="0" w:type="dxa"/>
              <w:right w:w="10" w:type="dxa"/>
            </w:tcMar>
            <w:vAlign w:val="bottom"/>
            <w:hideMark/>
          </w:tcPr>
          <w:p w14:paraId="2E4EDA69"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Glutathione metabolism</w:t>
            </w:r>
          </w:p>
        </w:tc>
        <w:tc>
          <w:tcPr>
            <w:tcW w:w="1840" w:type="dxa"/>
            <w:tcBorders>
              <w:top w:val="nil"/>
              <w:left w:val="nil"/>
              <w:bottom w:val="nil"/>
              <w:right w:val="nil"/>
            </w:tcBorders>
            <w:shd w:val="clear" w:color="auto" w:fill="auto"/>
            <w:tcMar>
              <w:top w:w="10" w:type="dxa"/>
              <w:left w:w="10" w:type="dxa"/>
              <w:bottom w:w="0" w:type="dxa"/>
              <w:right w:w="10" w:type="dxa"/>
            </w:tcMar>
            <w:vAlign w:val="bottom"/>
            <w:hideMark/>
          </w:tcPr>
          <w:p w14:paraId="221DC031"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26</w:t>
            </w:r>
          </w:p>
        </w:tc>
        <w:tc>
          <w:tcPr>
            <w:tcW w:w="991" w:type="dxa"/>
            <w:tcBorders>
              <w:top w:val="nil"/>
              <w:left w:val="nil"/>
              <w:bottom w:val="nil"/>
              <w:right w:val="nil"/>
            </w:tcBorders>
            <w:shd w:val="clear" w:color="auto" w:fill="auto"/>
            <w:tcMar>
              <w:top w:w="10" w:type="dxa"/>
              <w:left w:w="10" w:type="dxa"/>
              <w:bottom w:w="0" w:type="dxa"/>
              <w:right w:w="10" w:type="dxa"/>
            </w:tcMar>
            <w:vAlign w:val="bottom"/>
            <w:hideMark/>
          </w:tcPr>
          <w:p w14:paraId="6A62EDAB"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1417" w:type="dxa"/>
            <w:tcBorders>
              <w:top w:val="nil"/>
              <w:left w:val="nil"/>
              <w:bottom w:val="nil"/>
              <w:right w:val="nil"/>
            </w:tcBorders>
            <w:shd w:val="clear" w:color="auto" w:fill="auto"/>
            <w:tcMar>
              <w:top w:w="10" w:type="dxa"/>
              <w:left w:w="10" w:type="dxa"/>
              <w:bottom w:w="0" w:type="dxa"/>
              <w:right w:w="10" w:type="dxa"/>
            </w:tcMar>
            <w:vAlign w:val="bottom"/>
            <w:hideMark/>
          </w:tcPr>
          <w:p w14:paraId="7044991A"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745" w:type="dxa"/>
            <w:tcBorders>
              <w:top w:val="nil"/>
              <w:left w:val="nil"/>
              <w:bottom w:val="nil"/>
              <w:right w:val="nil"/>
            </w:tcBorders>
            <w:shd w:val="clear" w:color="auto" w:fill="auto"/>
            <w:tcMar>
              <w:top w:w="10" w:type="dxa"/>
              <w:left w:w="10" w:type="dxa"/>
              <w:bottom w:w="0" w:type="dxa"/>
              <w:right w:w="10" w:type="dxa"/>
            </w:tcMar>
            <w:vAlign w:val="bottom"/>
            <w:hideMark/>
          </w:tcPr>
          <w:p w14:paraId="12B26E70"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0.00109</w:t>
            </w:r>
          </w:p>
        </w:tc>
      </w:tr>
      <w:tr w:rsidR="005C24E2" w:rsidRPr="00BC0E59" w14:paraId="14725C8F" w14:textId="77777777" w:rsidTr="003F2E28">
        <w:trPr>
          <w:trHeight w:val="272"/>
        </w:trPr>
        <w:tc>
          <w:tcPr>
            <w:tcW w:w="3117"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5187FB08" w14:textId="77777777" w:rsidR="005C24E2" w:rsidRPr="00BC0E59" w:rsidRDefault="005C24E2" w:rsidP="003F2E28">
            <w:pPr>
              <w:spacing w:line="360" w:lineRule="auto"/>
              <w:jc w:val="both"/>
              <w:rPr>
                <w:rFonts w:ascii="Times New Roman" w:hAnsi="Times New Roman" w:cs="Times New Roman"/>
                <w:b/>
                <w:bCs/>
                <w:sz w:val="20"/>
                <w:szCs w:val="20"/>
                <w:lang w:val="pt-BR"/>
              </w:rPr>
            </w:pPr>
            <w:r w:rsidRPr="00BC0E59">
              <w:rPr>
                <w:rFonts w:ascii="Times New Roman" w:hAnsi="Times New Roman" w:cs="Times New Roman"/>
                <w:b/>
                <w:bCs/>
                <w:sz w:val="20"/>
                <w:szCs w:val="20"/>
                <w:lang w:val="pt-BR"/>
              </w:rPr>
              <w:t>Sphingolipid metabolism</w:t>
            </w:r>
          </w:p>
        </w:tc>
        <w:tc>
          <w:tcPr>
            <w:tcW w:w="1840"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68B63FCA"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21</w:t>
            </w:r>
          </w:p>
        </w:tc>
        <w:tc>
          <w:tcPr>
            <w:tcW w:w="991"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32BA1913"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1417"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2860CEF0"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1</w:t>
            </w:r>
          </w:p>
        </w:tc>
        <w:tc>
          <w:tcPr>
            <w:tcW w:w="745" w:type="dxa"/>
            <w:tcBorders>
              <w:top w:val="nil"/>
              <w:left w:val="nil"/>
              <w:bottom w:val="single" w:sz="4" w:space="0" w:color="000000"/>
              <w:right w:val="nil"/>
            </w:tcBorders>
            <w:shd w:val="clear" w:color="auto" w:fill="auto"/>
            <w:tcMar>
              <w:top w:w="10" w:type="dxa"/>
              <w:left w:w="10" w:type="dxa"/>
              <w:bottom w:w="0" w:type="dxa"/>
              <w:right w:w="10" w:type="dxa"/>
            </w:tcMar>
            <w:vAlign w:val="bottom"/>
            <w:hideMark/>
          </w:tcPr>
          <w:p w14:paraId="24EF8948" w14:textId="77777777" w:rsidR="005C24E2" w:rsidRPr="00BC0E59" w:rsidRDefault="005C24E2" w:rsidP="003F2E28">
            <w:pPr>
              <w:spacing w:line="360" w:lineRule="auto"/>
              <w:jc w:val="both"/>
              <w:rPr>
                <w:rFonts w:ascii="Times New Roman" w:hAnsi="Times New Roman" w:cs="Times New Roman"/>
                <w:sz w:val="20"/>
                <w:szCs w:val="20"/>
                <w:lang w:val="pt-BR"/>
              </w:rPr>
            </w:pPr>
            <w:r w:rsidRPr="00BC0E59">
              <w:rPr>
                <w:rFonts w:ascii="Times New Roman" w:hAnsi="Times New Roman" w:cs="Times New Roman"/>
                <w:sz w:val="20"/>
                <w:szCs w:val="20"/>
                <w:lang w:val="pt-BR"/>
              </w:rPr>
              <w:t>0.00122</w:t>
            </w:r>
          </w:p>
        </w:tc>
      </w:tr>
    </w:tbl>
    <w:p w14:paraId="1FD32D09" w14:textId="77777777" w:rsidR="00EA621B" w:rsidRPr="005C24E2" w:rsidRDefault="00EA621B" w:rsidP="005C24E2"/>
    <w:sectPr w:rsidR="00EA621B" w:rsidRPr="005C24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4E2"/>
    <w:rsid w:val="005C24E2"/>
    <w:rsid w:val="00B40BCC"/>
    <w:rsid w:val="00EA6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015B9"/>
  <w15:chartTrackingRefBased/>
  <w15:docId w15:val="{0339A90D-B18F-4B5B-9EAF-D6BAEA8C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C24E2"/>
    <w:pPr>
      <w:widowControl w:val="0"/>
      <w:spacing w:after="0" w:line="240" w:lineRule="auto"/>
    </w:pPr>
    <w:rPr>
      <w:kern w:val="0"/>
      <w:lang w:val="en-US"/>
      <w14:ligatures w14:val="none"/>
    </w:rPr>
  </w:style>
  <w:style w:type="paragraph" w:styleId="Heading1">
    <w:name w:val="heading 1"/>
    <w:basedOn w:val="Normal"/>
    <w:next w:val="Normal"/>
    <w:link w:val="Heading1Char"/>
    <w:uiPriority w:val="9"/>
    <w:qFormat/>
    <w:rsid w:val="005C24E2"/>
    <w:pPr>
      <w:keepNext/>
      <w:keepLines/>
      <w:widowControl/>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5C24E2"/>
    <w:pPr>
      <w:keepNext/>
      <w:keepLines/>
      <w:widowControl/>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C24E2"/>
    <w:pPr>
      <w:keepNext/>
      <w:keepLines/>
      <w:widowControl/>
      <w:spacing w:before="160" w:after="80" w:line="259"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C24E2"/>
    <w:pPr>
      <w:keepNext/>
      <w:keepLines/>
      <w:widowControl/>
      <w:spacing w:before="80" w:after="40" w:line="259" w:lineRule="auto"/>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5C24E2"/>
    <w:pPr>
      <w:keepNext/>
      <w:keepLines/>
      <w:widowControl/>
      <w:spacing w:before="80" w:after="40" w:line="259" w:lineRule="auto"/>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5C24E2"/>
    <w:pPr>
      <w:keepNext/>
      <w:keepLines/>
      <w:widowControl/>
      <w:spacing w:before="40" w:line="259" w:lineRule="auto"/>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5C24E2"/>
    <w:pPr>
      <w:keepNext/>
      <w:keepLines/>
      <w:widowControl/>
      <w:spacing w:before="40" w:line="259" w:lineRule="auto"/>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5C24E2"/>
    <w:pPr>
      <w:keepNext/>
      <w:keepLines/>
      <w:widowControl/>
      <w:spacing w:line="259" w:lineRule="auto"/>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5C24E2"/>
    <w:pPr>
      <w:keepNext/>
      <w:keepLines/>
      <w:widowControl/>
      <w:spacing w:line="259" w:lineRule="auto"/>
      <w:outlineLvl w:val="8"/>
    </w:pPr>
    <w:rPr>
      <w:rFonts w:eastAsiaTheme="majorEastAsia"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24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24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24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24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24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2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2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2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24E2"/>
    <w:rPr>
      <w:rFonts w:eastAsiaTheme="majorEastAsia" w:cstheme="majorBidi"/>
      <w:color w:val="272727" w:themeColor="text1" w:themeTint="D8"/>
    </w:rPr>
  </w:style>
  <w:style w:type="paragraph" w:styleId="Title">
    <w:name w:val="Title"/>
    <w:basedOn w:val="Normal"/>
    <w:next w:val="Normal"/>
    <w:link w:val="TitleChar"/>
    <w:uiPriority w:val="10"/>
    <w:qFormat/>
    <w:rsid w:val="005C24E2"/>
    <w:pPr>
      <w:widowControl/>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C2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24E2"/>
    <w:pPr>
      <w:widowControl/>
      <w:numPr>
        <w:ilvl w:val="1"/>
      </w:numPr>
      <w:spacing w:after="160" w:line="259"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C2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24E2"/>
    <w:pPr>
      <w:widowControl/>
      <w:spacing w:before="160" w:after="160" w:line="259" w:lineRule="auto"/>
      <w:jc w:val="center"/>
    </w:pPr>
    <w:rPr>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5C24E2"/>
    <w:rPr>
      <w:i/>
      <w:iCs/>
      <w:color w:val="404040" w:themeColor="text1" w:themeTint="BF"/>
    </w:rPr>
  </w:style>
  <w:style w:type="paragraph" w:styleId="ListParagraph">
    <w:name w:val="List Paragraph"/>
    <w:basedOn w:val="Normal"/>
    <w:uiPriority w:val="34"/>
    <w:qFormat/>
    <w:rsid w:val="005C24E2"/>
    <w:pPr>
      <w:widowControl/>
      <w:spacing w:after="160" w:line="259" w:lineRule="auto"/>
      <w:ind w:left="720"/>
      <w:contextualSpacing/>
    </w:pPr>
    <w:rPr>
      <w:kern w:val="2"/>
      <w:lang w:val="en-GB"/>
      <w14:ligatures w14:val="standardContextual"/>
    </w:rPr>
  </w:style>
  <w:style w:type="character" w:styleId="IntenseEmphasis">
    <w:name w:val="Intense Emphasis"/>
    <w:basedOn w:val="DefaultParagraphFont"/>
    <w:uiPriority w:val="21"/>
    <w:qFormat/>
    <w:rsid w:val="005C24E2"/>
    <w:rPr>
      <w:i/>
      <w:iCs/>
      <w:color w:val="0F4761" w:themeColor="accent1" w:themeShade="BF"/>
    </w:rPr>
  </w:style>
  <w:style w:type="paragraph" w:styleId="IntenseQuote">
    <w:name w:val="Intense Quote"/>
    <w:basedOn w:val="Normal"/>
    <w:next w:val="Normal"/>
    <w:link w:val="IntenseQuoteChar"/>
    <w:uiPriority w:val="30"/>
    <w:qFormat/>
    <w:rsid w:val="005C24E2"/>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5C24E2"/>
    <w:rPr>
      <w:i/>
      <w:iCs/>
      <w:color w:val="0F4761" w:themeColor="accent1" w:themeShade="BF"/>
    </w:rPr>
  </w:style>
  <w:style w:type="character" w:styleId="IntenseReference">
    <w:name w:val="Intense Reference"/>
    <w:basedOn w:val="DefaultParagraphFont"/>
    <w:uiPriority w:val="32"/>
    <w:qFormat/>
    <w:rsid w:val="005C24E2"/>
    <w:rPr>
      <w:b/>
      <w:bCs/>
      <w:smallCaps/>
      <w:color w:val="0F4761" w:themeColor="accent1" w:themeShade="BF"/>
      <w:spacing w:val="5"/>
    </w:rPr>
  </w:style>
  <w:style w:type="paragraph" w:customStyle="1" w:styleId="MDPI31text">
    <w:name w:val="MDPI_3.1_text"/>
    <w:qFormat/>
    <w:rsid w:val="005C24E2"/>
    <w:pPr>
      <w:adjustRightInd w:val="0"/>
      <w:snapToGrid w:val="0"/>
      <w:spacing w:after="0" w:line="228" w:lineRule="auto"/>
      <w:ind w:left="2608" w:firstLine="425"/>
      <w:jc w:val="both"/>
    </w:pPr>
    <w:rPr>
      <w:rFonts w:ascii="Palatino Linotype" w:eastAsia="Times New Roman" w:hAnsi="Palatino Linotype" w:cs="Times New Roman"/>
      <w:color w:val="000000"/>
      <w:kern w:val="0"/>
      <w:sz w:val="20"/>
      <w:lang w:val="en-US" w:eastAsia="de-DE" w:bidi="en-US"/>
      <w14:ligatures w14:val="none"/>
    </w:rPr>
  </w:style>
  <w:style w:type="paragraph" w:customStyle="1" w:styleId="MDPI21heading1">
    <w:name w:val="MDPI_2.1_heading1"/>
    <w:qFormat/>
    <w:rsid w:val="005C24E2"/>
    <w:pPr>
      <w:adjustRightInd w:val="0"/>
      <w:snapToGrid w:val="0"/>
      <w:spacing w:before="240" w:after="60" w:line="228" w:lineRule="auto"/>
      <w:ind w:left="2608"/>
      <w:outlineLvl w:val="0"/>
    </w:pPr>
    <w:rPr>
      <w:rFonts w:ascii="Palatino Linotype" w:eastAsia="Times New Roman" w:hAnsi="Palatino Linotype" w:cs="Times New Roman"/>
      <w:b/>
      <w:color w:val="000000"/>
      <w:kern w:val="0"/>
      <w:sz w:val="20"/>
      <w:lang w:val="en-US" w:eastAsia="de-DE" w:bidi="en-US"/>
      <w14:ligatures w14:val="none"/>
    </w:rPr>
  </w:style>
  <w:style w:type="paragraph" w:customStyle="1" w:styleId="MDPI62BackMatter">
    <w:name w:val="MDPI_6.2_BackMatter"/>
    <w:qFormat/>
    <w:rsid w:val="005C24E2"/>
    <w:pPr>
      <w:adjustRightInd w:val="0"/>
      <w:snapToGrid w:val="0"/>
      <w:spacing w:after="120" w:line="228" w:lineRule="auto"/>
      <w:ind w:left="2608"/>
      <w:jc w:val="both"/>
    </w:pPr>
    <w:rPr>
      <w:rFonts w:ascii="Palatino Linotype" w:eastAsia="Times New Roman" w:hAnsi="Palatino Linotype" w:cs="Times New Roman"/>
      <w:snapToGrid w:val="0"/>
      <w:color w:val="000000"/>
      <w:kern w:val="0"/>
      <w:sz w:val="18"/>
      <w:szCs w:val="2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969</Characters>
  <Application>Microsoft Office Word</Application>
  <DocSecurity>0</DocSecurity>
  <Lines>8</Lines>
  <Paragraphs>2</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Siqueira</dc:creator>
  <cp:keywords/>
  <dc:description/>
  <cp:lastModifiedBy>Juliana Siqueira</cp:lastModifiedBy>
  <cp:revision>1</cp:revision>
  <dcterms:created xsi:type="dcterms:W3CDTF">2025-01-14T17:33:00Z</dcterms:created>
  <dcterms:modified xsi:type="dcterms:W3CDTF">2025-01-14T17:39:00Z</dcterms:modified>
</cp:coreProperties>
</file>