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5CF" w:rsidRPr="006B6C80" w:rsidRDefault="00C825CF" w:rsidP="00C825CF">
      <w:pPr>
        <w:jc w:val="both"/>
        <w:rPr>
          <w:rFonts w:ascii="Times New Roman" w:hAnsi="Times New Roman" w:cs="Times New Roman"/>
          <w:b/>
          <w:i/>
          <w:iCs/>
          <w:sz w:val="24"/>
          <w:szCs w:val="24"/>
          <w:lang w:val="en-US"/>
        </w:rPr>
      </w:pPr>
      <w:r w:rsidRPr="006B6C80">
        <w:rPr>
          <w:rFonts w:ascii="Times New Roman" w:hAnsi="Times New Roman" w:cs="Times New Roman"/>
          <w:b/>
          <w:i/>
          <w:iCs/>
          <w:sz w:val="24"/>
          <w:szCs w:val="24"/>
          <w:lang w:val="en-US"/>
        </w:rPr>
        <w:t xml:space="preserve">Supplementary Material: Sensitivity Analysis on </w:t>
      </w:r>
      <w:proofErr w:type="spellStart"/>
      <w:r w:rsidRPr="006B6C80">
        <w:rPr>
          <w:rFonts w:ascii="Times New Roman" w:hAnsi="Times New Roman" w:cs="Times New Roman"/>
          <w:b/>
          <w:i/>
          <w:iCs/>
          <w:sz w:val="24"/>
          <w:szCs w:val="24"/>
          <w:lang w:val="en-US"/>
        </w:rPr>
        <w:t>SyDAs</w:t>
      </w:r>
      <w:proofErr w:type="spellEnd"/>
      <w:r w:rsidRPr="006B6C80">
        <w:rPr>
          <w:rFonts w:ascii="Times New Roman" w:hAnsi="Times New Roman" w:cs="Times New Roman"/>
          <w:b/>
          <w:i/>
          <w:iCs/>
          <w:sz w:val="24"/>
          <w:szCs w:val="24"/>
          <w:lang w:val="en-US"/>
        </w:rPr>
        <w:t xml:space="preserve"> Reduction Thresholds</w:t>
      </w:r>
    </w:p>
    <w:p w:rsidR="00C825CF" w:rsidRDefault="00C825CF" w:rsidP="00C825CF">
      <w:pPr>
        <w:jc w:val="both"/>
        <w:rPr>
          <w:rFonts w:ascii="Times New Roman" w:hAnsi="Times New Roman" w:cs="Times New Roman"/>
          <w:bCs/>
          <w:sz w:val="24"/>
          <w:szCs w:val="24"/>
          <w:lang w:val="en-US"/>
        </w:rPr>
      </w:pPr>
      <w:r w:rsidRPr="00C977F2">
        <w:rPr>
          <w:rFonts w:ascii="Times New Roman" w:hAnsi="Times New Roman" w:cs="Times New Roman"/>
          <w:bCs/>
          <w:sz w:val="24"/>
          <w:szCs w:val="24"/>
          <w:lang w:val="en-US"/>
        </w:rPr>
        <w:t xml:space="preserve">This appendix reports the results of the sensitivity analysis conducted on the </w:t>
      </w:r>
      <w:proofErr w:type="spellStart"/>
      <w:r w:rsidRPr="00C977F2">
        <w:rPr>
          <w:rFonts w:ascii="Times New Roman" w:hAnsi="Times New Roman" w:cs="Times New Roman"/>
          <w:bCs/>
          <w:sz w:val="24"/>
          <w:szCs w:val="24"/>
          <w:lang w:val="en-US"/>
        </w:rPr>
        <w:t>SyDAs</w:t>
      </w:r>
      <w:proofErr w:type="spellEnd"/>
      <w:r w:rsidRPr="00C977F2">
        <w:rPr>
          <w:rFonts w:ascii="Times New Roman" w:hAnsi="Times New Roman" w:cs="Times New Roman"/>
          <w:bCs/>
          <w:sz w:val="24"/>
          <w:szCs w:val="24"/>
          <w:lang w:val="en-US"/>
        </w:rPr>
        <w:t xml:space="preserve"> Reduction outcome. For each of the five threshold specifications — Δβ% ≤ −5%, ≤ −10%, ≤ −20%, ≤ −30%, and ≤ −40% — a separate table is presented for each of the three regions. Each table cross-classifies municipalities in systemic depopulation during the first period (1994–2014) according to their SNAI economic advancement category (0–4) and their </w:t>
      </w:r>
      <w:proofErr w:type="spellStart"/>
      <w:r w:rsidRPr="00C977F2">
        <w:rPr>
          <w:rFonts w:ascii="Times New Roman" w:hAnsi="Times New Roman" w:cs="Times New Roman"/>
          <w:bCs/>
          <w:sz w:val="24"/>
          <w:szCs w:val="24"/>
          <w:lang w:val="en-US"/>
        </w:rPr>
        <w:t>SyDAs</w:t>
      </w:r>
      <w:proofErr w:type="spellEnd"/>
      <w:r w:rsidRPr="00C977F2">
        <w:rPr>
          <w:rFonts w:ascii="Times New Roman" w:hAnsi="Times New Roman" w:cs="Times New Roman"/>
          <w:bCs/>
          <w:sz w:val="24"/>
          <w:szCs w:val="24"/>
          <w:lang w:val="en-US"/>
        </w:rPr>
        <w:t xml:space="preserve"> Reduction </w:t>
      </w:r>
      <w:r>
        <w:rPr>
          <w:rFonts w:ascii="Times New Roman" w:hAnsi="Times New Roman" w:cs="Times New Roman"/>
          <w:bCs/>
          <w:sz w:val="24"/>
          <w:szCs w:val="24"/>
          <w:lang w:val="en-US"/>
        </w:rPr>
        <w:t xml:space="preserve">(in the second period) </w:t>
      </w:r>
      <w:r w:rsidRPr="00C977F2">
        <w:rPr>
          <w:rFonts w:ascii="Times New Roman" w:hAnsi="Times New Roman" w:cs="Times New Roman"/>
          <w:bCs/>
          <w:sz w:val="24"/>
          <w:szCs w:val="24"/>
          <w:lang w:val="en-US"/>
        </w:rPr>
        <w:t xml:space="preserve">status under the given threshold, distinguishing between municipalities that remained in a state of systemic depopulation and those that exhibited a reduction in its intensity. The Z-statistic and p-value of the Cochran–Armitage trend test are reported below each table, providing a formal assessment of whether higher levels of SNAI economic implementation are systematically associated with a greater likelihood of demographic attenuation under each threshold specification. For threshold specifications under which no municipality recorded a </w:t>
      </w:r>
      <w:proofErr w:type="spellStart"/>
      <w:r w:rsidRPr="00C977F2">
        <w:rPr>
          <w:rFonts w:ascii="Times New Roman" w:hAnsi="Times New Roman" w:cs="Times New Roman"/>
          <w:bCs/>
          <w:sz w:val="24"/>
          <w:szCs w:val="24"/>
          <w:lang w:val="en-US"/>
        </w:rPr>
        <w:t>SyDAs</w:t>
      </w:r>
      <w:proofErr w:type="spellEnd"/>
      <w:r w:rsidRPr="00C977F2">
        <w:rPr>
          <w:rFonts w:ascii="Times New Roman" w:hAnsi="Times New Roman" w:cs="Times New Roman"/>
          <w:bCs/>
          <w:sz w:val="24"/>
          <w:szCs w:val="24"/>
          <w:lang w:val="en-US"/>
        </w:rPr>
        <w:t xml:space="preserve"> Reduction — rendering the application of the trend test uninformative — the test was not performed and the result is accordingly omitted. Taken together, the results of this sensitivity analysis confirm the robustness of the primary findings reported in the main text across all threshold specifications and all three regional contexts.</w:t>
      </w: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Default="00C825CF" w:rsidP="00C825CF">
      <w:pPr>
        <w:jc w:val="both"/>
        <w:rPr>
          <w:rFonts w:ascii="Times New Roman" w:hAnsi="Times New Roman" w:cs="Times New Roman"/>
          <w:b/>
          <w:sz w:val="18"/>
          <w:szCs w:val="18"/>
          <w:highlight w:val="yellow"/>
          <w:lang w:val="en-US"/>
        </w:rPr>
      </w:pPr>
    </w:p>
    <w:p w:rsidR="00C825CF" w:rsidRPr="003457F3" w:rsidRDefault="00C825CF" w:rsidP="00C825CF">
      <w:pPr>
        <w:jc w:val="both"/>
        <w:rPr>
          <w:rFonts w:ascii="Times New Roman" w:hAnsi="Times New Roman" w:cs="Times New Roman"/>
          <w:sz w:val="20"/>
          <w:szCs w:val="20"/>
          <w:lang w:val="en-US"/>
        </w:rPr>
      </w:pPr>
      <w:r w:rsidRPr="00A14603">
        <w:rPr>
          <w:rFonts w:ascii="Times New Roman" w:hAnsi="Times New Roman" w:cs="Times New Roman"/>
          <w:b/>
          <w:sz w:val="20"/>
          <w:szCs w:val="20"/>
          <w:lang w:val="en-US"/>
        </w:rPr>
        <w:lastRenderedPageBreak/>
        <w:t>Table 1.</w:t>
      </w:r>
      <w:r w:rsidRPr="00A14603">
        <w:rPr>
          <w:rFonts w:ascii="Times New Roman" w:hAnsi="Times New Roman" w:cs="Times New Roman"/>
          <w:sz w:val="20"/>
          <w:szCs w:val="20"/>
          <w:lang w:val="en-US"/>
        </w:rPr>
        <w:t xml:space="preserve"> Municipalities that show a reduction in the intensity of systemic depopulation between the first and second periods based on changes in slope coefficients.</w:t>
      </w:r>
      <w:r w:rsidRPr="00A14603">
        <w:rPr>
          <w:sz w:val="20"/>
          <w:szCs w:val="20"/>
          <w:lang w:val="en-US"/>
        </w:rPr>
        <w:t xml:space="preserve"> </w:t>
      </w:r>
      <w:r w:rsidRPr="00A14603">
        <w:rPr>
          <w:rFonts w:ascii="Times New Roman" w:hAnsi="Times New Roman" w:cs="Times New Roman"/>
          <w:sz w:val="20"/>
          <w:szCs w:val="20"/>
          <w:lang w:val="en-US"/>
        </w:rPr>
        <w:t>Reference threshold for the percentage change in the slope coefficient: Δβ% ≤ −5%</w:t>
      </w:r>
    </w:p>
    <w:p w:rsidR="00C825CF" w:rsidRPr="00C977F2" w:rsidRDefault="00C825CF" w:rsidP="00C825CF">
      <w:pPr>
        <w:jc w:val="both"/>
        <w:rPr>
          <w:rFonts w:ascii="Times New Roman" w:hAnsi="Times New Roman" w:cs="Times New Roman"/>
          <w:bCs/>
          <w:sz w:val="24"/>
          <w:szCs w:val="24"/>
          <w:lang w:val="en-US"/>
        </w:rPr>
      </w:pPr>
    </w:p>
    <w:tbl>
      <w:tblPr>
        <w:tblW w:w="8050" w:type="dxa"/>
        <w:jc w:val="center"/>
        <w:tblLayout w:type="fixed"/>
        <w:tblCellMar>
          <w:left w:w="70" w:type="dxa"/>
          <w:right w:w="70" w:type="dxa"/>
        </w:tblCellMar>
        <w:tblLook w:val="04A0" w:firstRow="1" w:lastRow="0" w:firstColumn="1" w:lastColumn="0" w:noHBand="0" w:noVBand="1"/>
      </w:tblPr>
      <w:tblGrid>
        <w:gridCol w:w="1134"/>
        <w:gridCol w:w="1375"/>
        <w:gridCol w:w="2262"/>
        <w:gridCol w:w="2262"/>
        <w:gridCol w:w="642"/>
        <w:gridCol w:w="375"/>
      </w:tblGrid>
      <w:tr w:rsidR="00C825CF" w:rsidRPr="003900E6" w:rsidTr="00970534">
        <w:trPr>
          <w:trHeight w:val="600"/>
          <w:jc w:val="center"/>
        </w:trPr>
        <w:tc>
          <w:tcPr>
            <w:tcW w:w="1134"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val="en-US" w:eastAsia="it-IT"/>
              </w:rPr>
            </w:pPr>
            <w:r w:rsidRPr="00BF700B">
              <w:rPr>
                <w:rFonts w:ascii="Times New Roman" w:eastAsia="Times New Roman" w:hAnsi="Times New Roman" w:cs="Times New Roman"/>
                <w:color w:val="000000"/>
                <w:sz w:val="20"/>
                <w:szCs w:val="20"/>
                <w:lang w:val="en-US" w:eastAsia="it-IT"/>
              </w:rPr>
              <w:t> </w:t>
            </w:r>
          </w:p>
        </w:tc>
        <w:tc>
          <w:tcPr>
            <w:tcW w:w="1375" w:type="dxa"/>
            <w:tcBorders>
              <w:top w:val="nil"/>
              <w:left w:val="nil"/>
              <w:bottom w:val="nil"/>
              <w:right w:val="nil"/>
            </w:tcBorders>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val="en-US" w:eastAsia="it-IT"/>
              </w:rPr>
            </w:pPr>
          </w:p>
        </w:tc>
        <w:tc>
          <w:tcPr>
            <w:tcW w:w="5166" w:type="dxa"/>
            <w:gridSpan w:val="3"/>
            <w:tcBorders>
              <w:top w:val="nil"/>
              <w:left w:val="nil"/>
              <w:bottom w:val="single" w:sz="4" w:space="0" w:color="auto"/>
              <w:right w:val="nil"/>
            </w:tcBorders>
            <w:shd w:val="clear" w:color="000000" w:fill="FFFFFF"/>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val="en-US" w:eastAsia="it-IT"/>
              </w:rPr>
            </w:pPr>
            <w:r w:rsidRPr="00BF700B">
              <w:rPr>
                <w:rFonts w:ascii="Times New Roman" w:eastAsia="Times New Roman" w:hAnsi="Times New Roman" w:cs="Times New Roman"/>
                <w:i/>
                <w:color w:val="000000"/>
                <w:sz w:val="20"/>
                <w:szCs w:val="20"/>
                <w:lang w:val="en-US" w:eastAsia="it-IT"/>
              </w:rPr>
              <w:t xml:space="preserve">Municipalities in systemic depopulation in the first period (1994-2014) according to </w:t>
            </w:r>
            <w:proofErr w:type="spellStart"/>
            <w:r w:rsidRPr="00BF700B">
              <w:rPr>
                <w:rFonts w:ascii="Times New Roman" w:eastAsia="Times New Roman" w:hAnsi="Times New Roman" w:cs="Times New Roman"/>
                <w:i/>
                <w:color w:val="000000"/>
                <w:sz w:val="20"/>
                <w:szCs w:val="20"/>
                <w:lang w:val="en-US" w:eastAsia="it-IT"/>
              </w:rPr>
              <w:t>SyDAs</w:t>
            </w:r>
            <w:proofErr w:type="spellEnd"/>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val="en-US" w:eastAsia="it-IT"/>
              </w:rPr>
            </w:pPr>
            <w:r w:rsidRPr="00BF700B">
              <w:rPr>
                <w:rFonts w:ascii="Times New Roman" w:eastAsia="Times New Roman" w:hAnsi="Times New Roman" w:cs="Times New Roman"/>
                <w:color w:val="000000"/>
                <w:sz w:val="20"/>
                <w:szCs w:val="20"/>
                <w:lang w:val="en-US" w:eastAsia="it-IT"/>
              </w:rPr>
              <w:t> </w:t>
            </w:r>
          </w:p>
        </w:tc>
      </w:tr>
      <w:tr w:rsidR="00C825CF" w:rsidRPr="00BF700B" w:rsidTr="00970534">
        <w:trPr>
          <w:trHeight w:val="612"/>
          <w:jc w:val="center"/>
        </w:trPr>
        <w:tc>
          <w:tcPr>
            <w:tcW w:w="1134" w:type="dxa"/>
            <w:tcBorders>
              <w:top w:val="nil"/>
              <w:left w:val="nil"/>
              <w:bottom w:val="single" w:sz="8" w:space="0" w:color="auto"/>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Region</w:t>
            </w:r>
          </w:p>
        </w:tc>
        <w:tc>
          <w:tcPr>
            <w:tcW w:w="1375" w:type="dxa"/>
            <w:tcBorders>
              <w:top w:val="nil"/>
              <w:left w:val="nil"/>
              <w:bottom w:val="single" w:sz="8" w:space="0" w:color="auto"/>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SNAI Advancement Category</w:t>
            </w:r>
          </w:p>
        </w:tc>
        <w:tc>
          <w:tcPr>
            <w:tcW w:w="2262" w:type="dxa"/>
            <w:tcBorders>
              <w:top w:val="nil"/>
              <w:left w:val="nil"/>
              <w:bottom w:val="single" w:sz="8" w:space="0" w:color="auto"/>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val="en-US" w:eastAsia="it-IT"/>
              </w:rPr>
            </w:pPr>
            <w:r w:rsidRPr="00BF700B">
              <w:rPr>
                <w:rFonts w:ascii="Times New Roman" w:eastAsia="Times New Roman" w:hAnsi="Times New Roman" w:cs="Times New Roman"/>
                <w:b/>
                <w:color w:val="000000"/>
                <w:sz w:val="20"/>
                <w:szCs w:val="20"/>
                <w:lang w:val="en-US" w:eastAsia="it-IT"/>
              </w:rPr>
              <w:t xml:space="preserve">Remained in a state of Systemic Depopulation </w:t>
            </w:r>
          </w:p>
        </w:tc>
        <w:tc>
          <w:tcPr>
            <w:tcW w:w="2262" w:type="dxa"/>
            <w:tcBorders>
              <w:top w:val="nil"/>
              <w:left w:val="nil"/>
              <w:bottom w:val="single" w:sz="8" w:space="0" w:color="auto"/>
              <w:right w:val="nil"/>
            </w:tcBorders>
            <w:shd w:val="clear" w:color="000000" w:fill="FFFFFF"/>
            <w:vAlign w:val="center"/>
            <w:hideMark/>
          </w:tcPr>
          <w:p w:rsidR="00C825CF" w:rsidRPr="000B21AF" w:rsidRDefault="00C825CF" w:rsidP="00970534">
            <w:pPr>
              <w:spacing w:after="0" w:line="240" w:lineRule="auto"/>
              <w:jc w:val="center"/>
              <w:rPr>
                <w:rFonts w:ascii="Times New Roman" w:eastAsia="Times New Roman" w:hAnsi="Times New Roman" w:cs="Times New Roman"/>
                <w:b/>
                <w:color w:val="000000"/>
                <w:sz w:val="20"/>
                <w:szCs w:val="20"/>
                <w:lang w:val="en-US" w:eastAsia="it-IT"/>
              </w:rPr>
            </w:pPr>
            <w:r w:rsidRPr="000B21AF">
              <w:rPr>
                <w:rFonts w:ascii="Times New Roman" w:eastAsia="Times New Roman" w:hAnsi="Times New Roman" w:cs="Times New Roman"/>
                <w:b/>
                <w:color w:val="000000"/>
                <w:sz w:val="20"/>
                <w:szCs w:val="20"/>
                <w:lang w:val="en-US" w:eastAsia="it-IT"/>
              </w:rPr>
              <w:t>Reduction of Systemic Depopulation Status</w:t>
            </w:r>
            <w:r>
              <w:rPr>
                <w:rFonts w:ascii="Times New Roman" w:eastAsia="Times New Roman" w:hAnsi="Times New Roman" w:cs="Times New Roman"/>
                <w:b/>
                <w:color w:val="000000"/>
                <w:sz w:val="20"/>
                <w:szCs w:val="20"/>
                <w:lang w:val="en-US" w:eastAsia="it-IT"/>
              </w:rPr>
              <w:t xml:space="preserve"> </w:t>
            </w:r>
          </w:p>
        </w:tc>
        <w:tc>
          <w:tcPr>
            <w:tcW w:w="642" w:type="dxa"/>
            <w:tcBorders>
              <w:top w:val="nil"/>
              <w:left w:val="nil"/>
              <w:bottom w:val="single" w:sz="8" w:space="0" w:color="auto"/>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Total</w:t>
            </w:r>
          </w:p>
        </w:tc>
        <w:tc>
          <w:tcPr>
            <w:tcW w:w="375" w:type="dxa"/>
            <w:tcBorders>
              <w:top w:val="nil"/>
              <w:left w:val="nil"/>
              <w:bottom w:val="nil"/>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val="restart"/>
            <w:tcBorders>
              <w:top w:val="single" w:sz="8" w:space="0" w:color="auto"/>
              <w:left w:val="nil"/>
              <w:bottom w:val="double" w:sz="6" w:space="0" w:color="000000"/>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Abruzzo</w:t>
            </w: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5</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2</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7</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5</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2</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12</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3</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2</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19</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3</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Total</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44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12</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56</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88"/>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double" w:sz="6"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Percentage</w:t>
            </w:r>
          </w:p>
        </w:tc>
        <w:tc>
          <w:tcPr>
            <w:tcW w:w="226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78</w:t>
            </w:r>
            <w:r w:rsidRPr="00BF700B">
              <w:rPr>
                <w:rFonts w:ascii="Times New Roman" w:eastAsia="Times New Roman" w:hAnsi="Times New Roman" w:cs="Times New Roman"/>
                <w:i/>
                <w:color w:val="000000"/>
                <w:sz w:val="20"/>
                <w:szCs w:val="20"/>
                <w:lang w:eastAsia="it-IT"/>
              </w:rPr>
              <w:t>.</w:t>
            </w:r>
            <w:r>
              <w:rPr>
                <w:rFonts w:ascii="Times New Roman" w:eastAsia="Times New Roman" w:hAnsi="Times New Roman" w:cs="Times New Roman"/>
                <w:i/>
                <w:color w:val="000000"/>
                <w:sz w:val="20"/>
                <w:szCs w:val="20"/>
                <w:lang w:eastAsia="it-IT"/>
              </w:rPr>
              <w:t>6%</w:t>
            </w:r>
          </w:p>
        </w:tc>
        <w:tc>
          <w:tcPr>
            <w:tcW w:w="226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21</w:t>
            </w:r>
            <w:r w:rsidRPr="00BF700B">
              <w:rPr>
                <w:rFonts w:ascii="Times New Roman" w:eastAsia="Times New Roman" w:hAnsi="Times New Roman" w:cs="Times New Roman"/>
                <w:i/>
                <w:color w:val="000000"/>
                <w:sz w:val="20"/>
                <w:szCs w:val="20"/>
                <w:lang w:eastAsia="it-IT"/>
              </w:rPr>
              <w:t>.</w:t>
            </w:r>
            <w:r>
              <w:rPr>
                <w:rFonts w:ascii="Times New Roman" w:eastAsia="Times New Roman" w:hAnsi="Times New Roman" w:cs="Times New Roman"/>
                <w:i/>
                <w:color w:val="000000"/>
                <w:sz w:val="20"/>
                <w:szCs w:val="20"/>
                <w:lang w:eastAsia="it-IT"/>
              </w:rPr>
              <w:t>4%</w:t>
            </w:r>
          </w:p>
        </w:tc>
        <w:tc>
          <w:tcPr>
            <w:tcW w:w="64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100</w:t>
            </w:r>
            <w:r>
              <w:rPr>
                <w:rFonts w:ascii="Times New Roman" w:eastAsia="Times New Roman" w:hAnsi="Times New Roman" w:cs="Times New Roman"/>
                <w:i/>
                <w:color w:val="000000"/>
                <w:sz w:val="20"/>
                <w:szCs w:val="20"/>
                <w:lang w:eastAsia="it-IT"/>
              </w:rPr>
              <w:t>%</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 </w:t>
            </w:r>
          </w:p>
        </w:tc>
      </w:tr>
      <w:tr w:rsidR="00C825CF" w:rsidRPr="00BF700B" w:rsidTr="00970534">
        <w:trPr>
          <w:trHeight w:val="288"/>
          <w:jc w:val="center"/>
        </w:trPr>
        <w:tc>
          <w:tcPr>
            <w:tcW w:w="1134" w:type="dxa"/>
            <w:vMerge w:val="restart"/>
            <w:tcBorders>
              <w:top w:val="nil"/>
              <w:left w:val="nil"/>
              <w:bottom w:val="double" w:sz="6" w:space="0" w:color="000000"/>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Emilia-Romagna</w:t>
            </w: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11</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2</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3</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4</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Total</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12</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14</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2</w:t>
            </w:r>
            <w:r>
              <w:rPr>
                <w:rFonts w:ascii="Times New Roman" w:eastAsia="Times New Roman" w:hAnsi="Times New Roman" w:cs="Times New Roman"/>
                <w:b/>
                <w:color w:val="000000"/>
                <w:sz w:val="20"/>
                <w:szCs w:val="20"/>
                <w:lang w:eastAsia="it-IT"/>
              </w:rPr>
              <w:t>6</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 </w:t>
            </w:r>
          </w:p>
        </w:tc>
      </w:tr>
      <w:tr w:rsidR="00C825CF" w:rsidRPr="00BF700B" w:rsidTr="00970534">
        <w:trPr>
          <w:trHeight w:val="288"/>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double" w:sz="6"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Percentage</w:t>
            </w:r>
          </w:p>
        </w:tc>
        <w:tc>
          <w:tcPr>
            <w:tcW w:w="226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46</w:t>
            </w:r>
            <w:r w:rsidRPr="00BF700B">
              <w:rPr>
                <w:rFonts w:ascii="Times New Roman" w:eastAsia="Times New Roman" w:hAnsi="Times New Roman" w:cs="Times New Roman"/>
                <w:i/>
                <w:color w:val="000000"/>
                <w:sz w:val="20"/>
                <w:szCs w:val="20"/>
                <w:lang w:eastAsia="it-IT"/>
              </w:rPr>
              <w:t>.</w:t>
            </w:r>
            <w:r>
              <w:rPr>
                <w:rFonts w:ascii="Times New Roman" w:eastAsia="Times New Roman" w:hAnsi="Times New Roman" w:cs="Times New Roman"/>
                <w:i/>
                <w:color w:val="000000"/>
                <w:sz w:val="20"/>
                <w:szCs w:val="20"/>
                <w:lang w:eastAsia="it-IT"/>
              </w:rPr>
              <w:t>2%</w:t>
            </w:r>
          </w:p>
        </w:tc>
        <w:tc>
          <w:tcPr>
            <w:tcW w:w="226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53.8%</w:t>
            </w:r>
          </w:p>
        </w:tc>
        <w:tc>
          <w:tcPr>
            <w:tcW w:w="64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100</w:t>
            </w:r>
            <w:r>
              <w:rPr>
                <w:rFonts w:ascii="Times New Roman" w:eastAsia="Times New Roman" w:hAnsi="Times New Roman" w:cs="Times New Roman"/>
                <w:i/>
                <w:color w:val="000000"/>
                <w:sz w:val="20"/>
                <w:szCs w:val="20"/>
                <w:lang w:eastAsia="it-IT"/>
              </w:rPr>
              <w:t>%</w:t>
            </w:r>
          </w:p>
        </w:tc>
        <w:tc>
          <w:tcPr>
            <w:tcW w:w="375"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 </w:t>
            </w:r>
          </w:p>
        </w:tc>
      </w:tr>
      <w:tr w:rsidR="00C825CF" w:rsidRPr="00BF700B" w:rsidTr="00970534">
        <w:trPr>
          <w:trHeight w:val="288"/>
          <w:jc w:val="center"/>
        </w:trPr>
        <w:tc>
          <w:tcPr>
            <w:tcW w:w="1134" w:type="dxa"/>
            <w:vMerge w:val="restart"/>
            <w:tcBorders>
              <w:top w:val="double" w:sz="6" w:space="0" w:color="auto"/>
              <w:left w:val="nil"/>
              <w:bottom w:val="single" w:sz="8" w:space="0" w:color="000000"/>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Basilicata</w:t>
            </w: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12</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32</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2</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3</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5</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12</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2</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5</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Total</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40</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20</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6</w:t>
            </w:r>
            <w:r>
              <w:rPr>
                <w:rFonts w:ascii="Times New Roman" w:eastAsia="Times New Roman" w:hAnsi="Times New Roman" w:cs="Times New Roman"/>
                <w:b/>
                <w:color w:val="000000"/>
                <w:sz w:val="20"/>
                <w:szCs w:val="20"/>
                <w:lang w:eastAsia="it-IT"/>
              </w:rPr>
              <w:t>0</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 </w:t>
            </w:r>
          </w:p>
        </w:tc>
      </w:tr>
      <w:tr w:rsidR="00C825CF" w:rsidRPr="00BF700B" w:rsidTr="00970534">
        <w:trPr>
          <w:trHeight w:val="288"/>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8"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Percentage</w:t>
            </w:r>
          </w:p>
        </w:tc>
        <w:tc>
          <w:tcPr>
            <w:tcW w:w="2262" w:type="dxa"/>
            <w:tcBorders>
              <w:top w:val="nil"/>
              <w:left w:val="nil"/>
              <w:bottom w:val="single" w:sz="8"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66.7%</w:t>
            </w:r>
          </w:p>
        </w:tc>
        <w:tc>
          <w:tcPr>
            <w:tcW w:w="2262" w:type="dxa"/>
            <w:tcBorders>
              <w:top w:val="nil"/>
              <w:left w:val="nil"/>
              <w:bottom w:val="single" w:sz="8"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33.3%</w:t>
            </w:r>
          </w:p>
        </w:tc>
        <w:tc>
          <w:tcPr>
            <w:tcW w:w="642" w:type="dxa"/>
            <w:tcBorders>
              <w:top w:val="nil"/>
              <w:left w:val="nil"/>
              <w:bottom w:val="single" w:sz="8"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100</w:t>
            </w:r>
            <w:r>
              <w:rPr>
                <w:rFonts w:ascii="Times New Roman" w:eastAsia="Times New Roman" w:hAnsi="Times New Roman" w:cs="Times New Roman"/>
                <w:i/>
                <w:color w:val="000000"/>
                <w:sz w:val="20"/>
                <w:szCs w:val="20"/>
                <w:lang w:eastAsia="it-IT"/>
              </w:rPr>
              <w:t>%</w:t>
            </w:r>
          </w:p>
        </w:tc>
        <w:tc>
          <w:tcPr>
            <w:tcW w:w="375" w:type="dxa"/>
            <w:tcBorders>
              <w:top w:val="nil"/>
              <w:left w:val="nil"/>
              <w:bottom w:val="single" w:sz="8"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 </w:t>
            </w:r>
          </w:p>
        </w:tc>
      </w:tr>
    </w:tbl>
    <w:p w:rsidR="00C825CF" w:rsidRDefault="00C825CF" w:rsidP="00C825CF">
      <w:pPr>
        <w:jc w:val="both"/>
        <w:rPr>
          <w:rFonts w:ascii="Times New Roman" w:hAnsi="Times New Roman" w:cs="Times New Roman"/>
          <w:b/>
          <w:sz w:val="24"/>
          <w:szCs w:val="24"/>
          <w:lang w:val="en-US"/>
        </w:rPr>
      </w:pPr>
    </w:p>
    <w:p w:rsidR="00C825CF" w:rsidRDefault="00C825CF" w:rsidP="00C825CF">
      <w:pPr>
        <w:jc w:val="right"/>
        <w:rPr>
          <w:rFonts w:ascii="Times New Roman" w:hAnsi="Times New Roman" w:cs="Times New Roman"/>
          <w:bCs/>
          <w:sz w:val="24"/>
          <w:szCs w:val="24"/>
          <w:lang w:val="en-US"/>
        </w:rPr>
      </w:pPr>
      <w:r w:rsidRPr="00542B69">
        <w:rPr>
          <w:rFonts w:ascii="Times New Roman" w:hAnsi="Times New Roman" w:cs="Times New Roman"/>
          <w:i/>
          <w:sz w:val="20"/>
          <w:lang w:val="en-US"/>
        </w:rPr>
        <w:t xml:space="preserve">Source: own estimation on </w:t>
      </w:r>
      <w:proofErr w:type="spellStart"/>
      <w:r w:rsidRPr="00542B69">
        <w:rPr>
          <w:rFonts w:ascii="Times New Roman" w:hAnsi="Times New Roman" w:cs="Times New Roman"/>
          <w:i/>
          <w:sz w:val="20"/>
          <w:lang w:val="en-US"/>
        </w:rPr>
        <w:t>OpenCoesione</w:t>
      </w:r>
      <w:proofErr w:type="spellEnd"/>
      <w:r w:rsidRPr="00542B69">
        <w:rPr>
          <w:rFonts w:ascii="Times New Roman" w:hAnsi="Times New Roman" w:cs="Times New Roman"/>
          <w:i/>
          <w:sz w:val="20"/>
          <w:lang w:val="en-US"/>
        </w:rPr>
        <w:t xml:space="preserve"> and ISTAT data</w:t>
      </w:r>
    </w:p>
    <w:p w:rsidR="00C825CF" w:rsidRPr="003457F3" w:rsidRDefault="00C825CF" w:rsidP="00C825CF">
      <w:pPr>
        <w:jc w:val="both"/>
        <w:rPr>
          <w:rFonts w:ascii="Times New Roman" w:hAnsi="Times New Roman" w:cs="Times New Roman"/>
          <w:b/>
          <w:sz w:val="20"/>
          <w:szCs w:val="20"/>
          <w:lang w:val="en-US"/>
        </w:rPr>
      </w:pPr>
      <w:r>
        <w:rPr>
          <w:rFonts w:ascii="Times New Roman" w:hAnsi="Times New Roman" w:cs="Times New Roman"/>
          <w:b/>
          <w:sz w:val="20"/>
          <w:szCs w:val="20"/>
          <w:lang w:val="en-US"/>
        </w:rPr>
        <w:t xml:space="preserve">Table 2. </w:t>
      </w:r>
      <w:r w:rsidRPr="003457F3">
        <w:rPr>
          <w:rFonts w:ascii="Times New Roman" w:hAnsi="Times New Roman" w:cs="Times New Roman"/>
          <w:b/>
          <w:sz w:val="20"/>
          <w:szCs w:val="20"/>
          <w:lang w:val="en-US"/>
        </w:rPr>
        <w:t>Results of Cochran-</w:t>
      </w:r>
      <w:proofErr w:type="spellStart"/>
      <w:r w:rsidRPr="003457F3">
        <w:rPr>
          <w:rFonts w:ascii="Times New Roman" w:hAnsi="Times New Roman" w:cs="Times New Roman"/>
          <w:b/>
          <w:sz w:val="20"/>
          <w:szCs w:val="20"/>
          <w:lang w:val="en-US"/>
        </w:rPr>
        <w:t>Armitrage</w:t>
      </w:r>
      <w:proofErr w:type="spellEnd"/>
      <w:r w:rsidRPr="003457F3">
        <w:rPr>
          <w:rFonts w:ascii="Times New Roman" w:hAnsi="Times New Roman" w:cs="Times New Roman"/>
          <w:b/>
          <w:sz w:val="20"/>
          <w:szCs w:val="20"/>
          <w:lang w:val="en-US"/>
        </w:rPr>
        <w:t xml:space="preserve"> test.</w:t>
      </w:r>
    </w:p>
    <w:tbl>
      <w:tblPr>
        <w:tblStyle w:val="TableGrid"/>
        <w:tblW w:w="0" w:type="auto"/>
        <w:tblLook w:val="04A0" w:firstRow="1" w:lastRow="0" w:firstColumn="1" w:lastColumn="0" w:noHBand="0" w:noVBand="1"/>
      </w:tblPr>
      <w:tblGrid>
        <w:gridCol w:w="2269"/>
        <w:gridCol w:w="2233"/>
        <w:gridCol w:w="2233"/>
        <w:gridCol w:w="2281"/>
      </w:tblGrid>
      <w:tr w:rsidR="00C825CF" w:rsidTr="00970534">
        <w:tc>
          <w:tcPr>
            <w:tcW w:w="2407" w:type="dxa"/>
          </w:tcPr>
          <w:p w:rsidR="00C825CF" w:rsidRPr="00806261" w:rsidRDefault="00C825CF" w:rsidP="00970534">
            <w:pPr>
              <w:jc w:val="center"/>
              <w:rPr>
                <w:rFonts w:ascii="Times New Roman" w:hAnsi="Times New Roman" w:cs="Times New Roman"/>
                <w:b/>
                <w:i/>
                <w:iCs/>
                <w:sz w:val="20"/>
                <w:szCs w:val="20"/>
                <w:lang w:val="en-US"/>
              </w:rPr>
            </w:pPr>
            <w:r w:rsidRPr="00806261">
              <w:rPr>
                <w:rFonts w:ascii="Times New Roman" w:hAnsi="Times New Roman" w:cs="Times New Roman"/>
                <w:b/>
                <w:i/>
                <w:iCs/>
                <w:sz w:val="20"/>
                <w:szCs w:val="20"/>
                <w:lang w:val="en-US"/>
              </w:rPr>
              <w:t>REGION</w:t>
            </w:r>
          </w:p>
          <w:p w:rsidR="00C825CF" w:rsidRPr="00806261" w:rsidRDefault="00C825CF" w:rsidP="00970534">
            <w:pPr>
              <w:jc w:val="center"/>
              <w:rPr>
                <w:rFonts w:ascii="Times New Roman" w:hAnsi="Times New Roman" w:cs="Times New Roman"/>
                <w:b/>
                <w:i/>
                <w:iCs/>
                <w:sz w:val="20"/>
                <w:szCs w:val="20"/>
                <w:lang w:val="en-US"/>
              </w:rPr>
            </w:pPr>
          </w:p>
        </w:tc>
        <w:tc>
          <w:tcPr>
            <w:tcW w:w="2407" w:type="dxa"/>
          </w:tcPr>
          <w:p w:rsidR="00C825CF" w:rsidRPr="00806261" w:rsidRDefault="00C825CF" w:rsidP="00970534">
            <w:pPr>
              <w:jc w:val="center"/>
              <w:rPr>
                <w:rFonts w:ascii="Times New Roman" w:hAnsi="Times New Roman" w:cs="Times New Roman"/>
                <w:b/>
                <w:i/>
                <w:iCs/>
                <w:sz w:val="20"/>
                <w:szCs w:val="20"/>
                <w:lang w:val="en-US"/>
              </w:rPr>
            </w:pPr>
            <w:r w:rsidRPr="00806261">
              <w:rPr>
                <w:rFonts w:ascii="Times New Roman" w:hAnsi="Times New Roman" w:cs="Times New Roman"/>
                <w:b/>
                <w:i/>
                <w:iCs/>
                <w:sz w:val="20"/>
                <w:szCs w:val="20"/>
                <w:lang w:val="en-US"/>
              </w:rPr>
              <w:t>p-value</w:t>
            </w:r>
          </w:p>
        </w:tc>
        <w:tc>
          <w:tcPr>
            <w:tcW w:w="2407" w:type="dxa"/>
          </w:tcPr>
          <w:p w:rsidR="00C825CF" w:rsidRPr="00806261" w:rsidRDefault="00C825CF" w:rsidP="00970534">
            <w:pPr>
              <w:jc w:val="center"/>
              <w:rPr>
                <w:rFonts w:ascii="Times New Roman" w:hAnsi="Times New Roman" w:cs="Times New Roman"/>
                <w:b/>
                <w:i/>
                <w:iCs/>
                <w:sz w:val="20"/>
                <w:szCs w:val="20"/>
                <w:lang w:val="en-US"/>
              </w:rPr>
            </w:pPr>
            <w:r w:rsidRPr="00806261">
              <w:rPr>
                <w:rFonts w:ascii="Times New Roman" w:hAnsi="Times New Roman" w:cs="Times New Roman"/>
                <w:b/>
                <w:i/>
                <w:iCs/>
                <w:sz w:val="20"/>
                <w:szCs w:val="20"/>
                <w:lang w:val="en-US"/>
              </w:rPr>
              <w:t>Z value</w:t>
            </w:r>
          </w:p>
        </w:tc>
        <w:tc>
          <w:tcPr>
            <w:tcW w:w="2407" w:type="dxa"/>
          </w:tcPr>
          <w:p w:rsidR="00C825CF" w:rsidRPr="00806261" w:rsidRDefault="00C825CF" w:rsidP="00970534">
            <w:pPr>
              <w:jc w:val="center"/>
              <w:rPr>
                <w:rFonts w:ascii="Times New Roman" w:hAnsi="Times New Roman" w:cs="Times New Roman"/>
                <w:b/>
                <w:i/>
                <w:iCs/>
                <w:sz w:val="20"/>
                <w:szCs w:val="20"/>
              </w:rPr>
            </w:pPr>
            <w:r w:rsidRPr="00806261">
              <w:rPr>
                <w:rFonts w:ascii="Times New Roman" w:hAnsi="Times New Roman" w:cs="Times New Roman"/>
                <w:b/>
                <w:i/>
                <w:iCs/>
                <w:sz w:val="20"/>
                <w:szCs w:val="20"/>
              </w:rPr>
              <w:t>Overall trend observed</w:t>
            </w:r>
          </w:p>
          <w:p w:rsidR="00C825CF" w:rsidRPr="00806261" w:rsidRDefault="00C825CF" w:rsidP="00970534">
            <w:pPr>
              <w:jc w:val="center"/>
              <w:rPr>
                <w:rFonts w:ascii="Times New Roman" w:hAnsi="Times New Roman" w:cs="Times New Roman"/>
                <w:b/>
                <w:i/>
                <w:iCs/>
                <w:sz w:val="20"/>
                <w:szCs w:val="20"/>
                <w:lang w:val="en-US"/>
              </w:rPr>
            </w:pPr>
          </w:p>
        </w:tc>
      </w:tr>
      <w:tr w:rsidR="00C825CF" w:rsidTr="00970534">
        <w:tc>
          <w:tcPr>
            <w:tcW w:w="2407" w:type="dxa"/>
          </w:tcPr>
          <w:p w:rsidR="00C825CF" w:rsidRDefault="00C825CF" w:rsidP="00970534">
            <w:pPr>
              <w:jc w:val="center"/>
              <w:rPr>
                <w:rFonts w:ascii="Times New Roman" w:hAnsi="Times New Roman" w:cs="Times New Roman"/>
                <w:bCs/>
                <w:i/>
                <w:iCs/>
                <w:sz w:val="20"/>
                <w:szCs w:val="20"/>
                <w:lang w:val="en-US"/>
              </w:rPr>
            </w:pPr>
          </w:p>
          <w:p w:rsidR="00C825CF"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Abruzzo</w:t>
            </w:r>
          </w:p>
          <w:p w:rsidR="00C825CF" w:rsidRPr="00806261" w:rsidRDefault="00C825CF" w:rsidP="00970534">
            <w:pPr>
              <w:jc w:val="center"/>
              <w:rPr>
                <w:rFonts w:ascii="Times New Roman" w:hAnsi="Times New Roman" w:cs="Times New Roman"/>
                <w:bCs/>
                <w:i/>
                <w:iCs/>
                <w:sz w:val="20"/>
                <w:szCs w:val="20"/>
                <w:lang w:val="en-US"/>
              </w:rPr>
            </w:pP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0.22</w:t>
            </w: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-1.22</w:t>
            </w: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decreasing, not significant</w:t>
            </w:r>
          </w:p>
        </w:tc>
      </w:tr>
      <w:tr w:rsidR="00C825CF" w:rsidTr="00970534">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Emilia-Romagna</w:t>
            </w:r>
          </w:p>
          <w:p w:rsidR="00C825CF" w:rsidRPr="00806261" w:rsidRDefault="00C825CF" w:rsidP="00970534">
            <w:pPr>
              <w:jc w:val="center"/>
              <w:rPr>
                <w:rFonts w:ascii="Times New Roman" w:hAnsi="Times New Roman" w:cs="Times New Roman"/>
                <w:bCs/>
                <w:i/>
                <w:iCs/>
                <w:sz w:val="20"/>
                <w:szCs w:val="20"/>
                <w:lang w:val="en-US"/>
              </w:rPr>
            </w:pP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0.34</w:t>
            </w: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0.95</w:t>
            </w:r>
          </w:p>
        </w:tc>
        <w:tc>
          <w:tcPr>
            <w:tcW w:w="2407" w:type="dxa"/>
          </w:tcPr>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Increasing, not significant</w:t>
            </w:r>
          </w:p>
        </w:tc>
      </w:tr>
      <w:tr w:rsidR="00C825CF" w:rsidTr="00970534">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Basilicata</w:t>
            </w:r>
          </w:p>
          <w:p w:rsidR="00C825CF" w:rsidRPr="00806261" w:rsidRDefault="00C825CF" w:rsidP="00970534">
            <w:pPr>
              <w:jc w:val="center"/>
              <w:rPr>
                <w:rFonts w:ascii="Times New Roman" w:hAnsi="Times New Roman" w:cs="Times New Roman"/>
                <w:bCs/>
                <w:i/>
                <w:iCs/>
                <w:sz w:val="20"/>
                <w:szCs w:val="20"/>
                <w:lang w:val="en-US"/>
              </w:rPr>
            </w:pP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0.39</w:t>
            </w: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0.87</w:t>
            </w:r>
          </w:p>
        </w:tc>
        <w:tc>
          <w:tcPr>
            <w:tcW w:w="2407" w:type="dxa"/>
          </w:tcPr>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Increasing, not significant</w:t>
            </w:r>
          </w:p>
        </w:tc>
      </w:tr>
    </w:tbl>
    <w:p w:rsidR="00C825CF" w:rsidRDefault="00C825CF" w:rsidP="00C825CF">
      <w:pPr>
        <w:jc w:val="right"/>
        <w:rPr>
          <w:rFonts w:ascii="Times New Roman" w:hAnsi="Times New Roman" w:cs="Times New Roman"/>
          <w:bCs/>
          <w:i/>
          <w:iCs/>
          <w:sz w:val="20"/>
          <w:szCs w:val="20"/>
          <w:lang w:val="en-US"/>
        </w:rPr>
      </w:pPr>
    </w:p>
    <w:p w:rsidR="00C825CF" w:rsidRPr="003457F3" w:rsidRDefault="00C825CF" w:rsidP="00C825CF">
      <w:pPr>
        <w:jc w:val="right"/>
        <w:rPr>
          <w:rFonts w:ascii="Times New Roman" w:hAnsi="Times New Roman" w:cs="Times New Roman"/>
          <w:bCs/>
          <w:i/>
          <w:iCs/>
          <w:sz w:val="20"/>
          <w:szCs w:val="20"/>
          <w:lang w:val="en-US"/>
        </w:rPr>
      </w:pPr>
      <w:r w:rsidRPr="003457F3">
        <w:rPr>
          <w:rFonts w:ascii="Times New Roman" w:hAnsi="Times New Roman" w:cs="Times New Roman"/>
          <w:bCs/>
          <w:i/>
          <w:iCs/>
          <w:sz w:val="20"/>
          <w:szCs w:val="20"/>
          <w:lang w:val="en-US"/>
        </w:rPr>
        <w:t xml:space="preserve">Source: own estimation on </w:t>
      </w:r>
      <w:proofErr w:type="spellStart"/>
      <w:r w:rsidRPr="003457F3">
        <w:rPr>
          <w:rFonts w:ascii="Times New Roman" w:hAnsi="Times New Roman" w:cs="Times New Roman"/>
          <w:bCs/>
          <w:i/>
          <w:iCs/>
          <w:sz w:val="20"/>
          <w:szCs w:val="20"/>
          <w:lang w:val="en-US"/>
        </w:rPr>
        <w:t>OpenCoesione</w:t>
      </w:r>
      <w:proofErr w:type="spellEnd"/>
      <w:r w:rsidRPr="003457F3">
        <w:rPr>
          <w:rFonts w:ascii="Times New Roman" w:hAnsi="Times New Roman" w:cs="Times New Roman"/>
          <w:bCs/>
          <w:i/>
          <w:iCs/>
          <w:sz w:val="20"/>
          <w:szCs w:val="20"/>
          <w:lang w:val="en-US"/>
        </w:rPr>
        <w:t xml:space="preserve"> and ISTAT data</w:t>
      </w:r>
    </w:p>
    <w:p w:rsidR="00C825CF" w:rsidRPr="003457F3" w:rsidRDefault="00C825CF" w:rsidP="00C825CF">
      <w:pPr>
        <w:jc w:val="both"/>
        <w:rPr>
          <w:rFonts w:ascii="Times New Roman" w:hAnsi="Times New Roman" w:cs="Times New Roman"/>
          <w:bCs/>
          <w:sz w:val="24"/>
          <w:szCs w:val="24"/>
          <w:lang w:val="en-US"/>
        </w:rPr>
      </w:pPr>
      <w:r w:rsidRPr="003457F3">
        <w:rPr>
          <w:rFonts w:ascii="Times New Roman" w:hAnsi="Times New Roman" w:cs="Times New Roman"/>
          <w:bCs/>
          <w:sz w:val="24"/>
          <w:szCs w:val="24"/>
          <w:lang w:val="en-US"/>
        </w:rPr>
        <w:lastRenderedPageBreak/>
        <w:t>Even when using a relatively lenient threshold (5%) for reducing the negative slope, the results of the Cochran‑Armitage tests conducted for the three regions are as follows.</w:t>
      </w:r>
    </w:p>
    <w:p w:rsidR="00C825CF" w:rsidRPr="003457F3" w:rsidRDefault="00C825CF" w:rsidP="00C825CF">
      <w:pPr>
        <w:pStyle w:val="ListParagraph"/>
        <w:numPr>
          <w:ilvl w:val="0"/>
          <w:numId w:val="1"/>
        </w:numPr>
        <w:jc w:val="both"/>
        <w:rPr>
          <w:rFonts w:ascii="Times New Roman" w:hAnsi="Times New Roman" w:cs="Times New Roman"/>
          <w:bCs/>
          <w:sz w:val="24"/>
          <w:szCs w:val="24"/>
          <w:lang w:val="en-US"/>
        </w:rPr>
      </w:pPr>
      <w:r w:rsidRPr="003457F3">
        <w:rPr>
          <w:rFonts w:ascii="Times New Roman" w:hAnsi="Times New Roman" w:cs="Times New Roman"/>
          <w:bCs/>
          <w:sz w:val="24"/>
          <w:szCs w:val="24"/>
          <w:lang w:val="en-US"/>
        </w:rPr>
        <w:t>Abruzzo: the trend is negative (in the hypothesized direction, i.e., less depopulation with greater SNAI fund exposure), but the p‑value is 0.224, above the 5% threshold. Therefore, the observed reduction cannot be considered statistically significant.</w:t>
      </w:r>
    </w:p>
    <w:p w:rsidR="00C825CF" w:rsidRPr="003457F3" w:rsidRDefault="00C825CF" w:rsidP="00C825CF">
      <w:pPr>
        <w:pStyle w:val="ListParagraph"/>
        <w:numPr>
          <w:ilvl w:val="0"/>
          <w:numId w:val="1"/>
        </w:numPr>
        <w:jc w:val="both"/>
        <w:rPr>
          <w:rFonts w:ascii="Times New Roman" w:hAnsi="Times New Roman" w:cs="Times New Roman"/>
          <w:bCs/>
          <w:sz w:val="24"/>
          <w:szCs w:val="24"/>
          <w:lang w:val="en-US"/>
        </w:rPr>
      </w:pPr>
      <w:r w:rsidRPr="003457F3">
        <w:rPr>
          <w:rFonts w:ascii="Times New Roman" w:hAnsi="Times New Roman" w:cs="Times New Roman"/>
          <w:bCs/>
          <w:sz w:val="24"/>
          <w:szCs w:val="24"/>
          <w:lang w:val="en-US"/>
        </w:rPr>
        <w:t>Basilicata: the trend is positive (as exposure increases, the proportion of municipalities with systemic depopulation increases), with a p‑value of 0.386, which is not significant.</w:t>
      </w:r>
    </w:p>
    <w:p w:rsidR="00C825CF" w:rsidRPr="003457F3" w:rsidRDefault="00C825CF" w:rsidP="00C825CF">
      <w:pPr>
        <w:pStyle w:val="ListParagraph"/>
        <w:numPr>
          <w:ilvl w:val="0"/>
          <w:numId w:val="1"/>
        </w:numPr>
        <w:jc w:val="both"/>
        <w:rPr>
          <w:rFonts w:ascii="Times New Roman" w:hAnsi="Times New Roman" w:cs="Times New Roman"/>
          <w:bCs/>
          <w:sz w:val="24"/>
          <w:szCs w:val="24"/>
          <w:lang w:val="en-US"/>
        </w:rPr>
      </w:pPr>
      <w:r w:rsidRPr="003457F3">
        <w:rPr>
          <w:rFonts w:ascii="Times New Roman" w:hAnsi="Times New Roman" w:cs="Times New Roman"/>
          <w:bCs/>
          <w:sz w:val="24"/>
          <w:szCs w:val="24"/>
          <w:lang w:val="en-US"/>
        </w:rPr>
        <w:t>Emilia‑Romagna: here too the trend is positive, with a p‑value of 0.344, not significant.</w:t>
      </w:r>
    </w:p>
    <w:p w:rsidR="00C825CF" w:rsidRDefault="00C825CF" w:rsidP="00C825CF">
      <w:pPr>
        <w:jc w:val="both"/>
        <w:rPr>
          <w:rFonts w:ascii="Times New Roman" w:hAnsi="Times New Roman" w:cs="Times New Roman"/>
          <w:bCs/>
          <w:sz w:val="24"/>
          <w:szCs w:val="24"/>
          <w:lang w:val="en-US"/>
        </w:rPr>
      </w:pPr>
      <w:r w:rsidRPr="003457F3">
        <w:rPr>
          <w:rFonts w:ascii="Times New Roman" w:hAnsi="Times New Roman" w:cs="Times New Roman"/>
          <w:bCs/>
          <w:sz w:val="24"/>
          <w:szCs w:val="24"/>
          <w:lang w:val="en-US"/>
        </w:rPr>
        <w:t>Thus, for none of the three regions is there a statistically significant linear association between SNAI fund exposure and a reduction in systemic depopulation. The results do not support the claim that higher exposure corresponds to a significant reduction in the phenomenon.</w:t>
      </w:r>
    </w:p>
    <w:p w:rsidR="00C825CF" w:rsidRPr="003457F3" w:rsidRDefault="00C825CF" w:rsidP="00C825CF">
      <w:pPr>
        <w:jc w:val="both"/>
        <w:rPr>
          <w:rFonts w:ascii="Times New Roman" w:hAnsi="Times New Roman" w:cs="Times New Roman"/>
          <w:bCs/>
          <w:sz w:val="24"/>
          <w:szCs w:val="24"/>
          <w:lang w:val="en-US"/>
        </w:rPr>
      </w:pPr>
    </w:p>
    <w:p w:rsidR="00C825CF" w:rsidRPr="003457F3" w:rsidRDefault="00C825CF" w:rsidP="00C825CF">
      <w:pPr>
        <w:jc w:val="both"/>
        <w:rPr>
          <w:rFonts w:ascii="Times New Roman" w:hAnsi="Times New Roman" w:cs="Times New Roman"/>
          <w:sz w:val="20"/>
          <w:szCs w:val="20"/>
          <w:lang w:val="en-US"/>
        </w:rPr>
      </w:pPr>
      <w:r w:rsidRPr="003457F3">
        <w:rPr>
          <w:rFonts w:ascii="Times New Roman" w:hAnsi="Times New Roman" w:cs="Times New Roman"/>
          <w:b/>
          <w:sz w:val="20"/>
          <w:szCs w:val="20"/>
          <w:highlight w:val="yellow"/>
          <w:lang w:val="en-US"/>
        </w:rPr>
        <w:t xml:space="preserve">Table </w:t>
      </w:r>
      <w:r>
        <w:rPr>
          <w:rFonts w:ascii="Times New Roman" w:hAnsi="Times New Roman" w:cs="Times New Roman"/>
          <w:b/>
          <w:sz w:val="20"/>
          <w:szCs w:val="20"/>
          <w:lang w:val="en-US"/>
        </w:rPr>
        <w:t>3</w:t>
      </w:r>
      <w:r w:rsidRPr="003457F3">
        <w:rPr>
          <w:rFonts w:ascii="Times New Roman" w:hAnsi="Times New Roman" w:cs="Times New Roman"/>
          <w:b/>
          <w:sz w:val="20"/>
          <w:szCs w:val="20"/>
          <w:lang w:val="en-US"/>
        </w:rPr>
        <w:t>.</w:t>
      </w:r>
      <w:r w:rsidRPr="003457F3">
        <w:rPr>
          <w:rFonts w:ascii="Times New Roman" w:hAnsi="Times New Roman" w:cs="Times New Roman"/>
          <w:sz w:val="20"/>
          <w:szCs w:val="20"/>
          <w:lang w:val="en-US"/>
        </w:rPr>
        <w:t xml:space="preserve"> Municipalities that show a reduction in the intensity of systemic depopulation between the first and second periods based on changes in slope coefficients.</w:t>
      </w:r>
      <w:r w:rsidRPr="003457F3">
        <w:rPr>
          <w:sz w:val="20"/>
          <w:szCs w:val="20"/>
          <w:lang w:val="en-US"/>
        </w:rPr>
        <w:t xml:space="preserve"> </w:t>
      </w:r>
      <w:r w:rsidRPr="003457F3">
        <w:rPr>
          <w:rFonts w:ascii="Times New Roman" w:hAnsi="Times New Roman" w:cs="Times New Roman"/>
          <w:sz w:val="20"/>
          <w:szCs w:val="20"/>
          <w:lang w:val="en-US"/>
        </w:rPr>
        <w:t>Reference threshold for the percentage change in the slope coefficient: Δβ% ≤ −</w:t>
      </w:r>
      <w:r>
        <w:rPr>
          <w:rFonts w:ascii="Times New Roman" w:hAnsi="Times New Roman" w:cs="Times New Roman"/>
          <w:sz w:val="20"/>
          <w:szCs w:val="20"/>
          <w:lang w:val="en-US"/>
        </w:rPr>
        <w:t>10</w:t>
      </w:r>
      <w:r w:rsidRPr="003457F3">
        <w:rPr>
          <w:rFonts w:ascii="Times New Roman" w:hAnsi="Times New Roman" w:cs="Times New Roman"/>
          <w:sz w:val="20"/>
          <w:szCs w:val="20"/>
          <w:lang w:val="en-US"/>
        </w:rPr>
        <w:t>%</w:t>
      </w:r>
    </w:p>
    <w:p w:rsidR="00C825CF" w:rsidRDefault="00C825CF" w:rsidP="00C825CF">
      <w:pPr>
        <w:jc w:val="both"/>
        <w:rPr>
          <w:rFonts w:ascii="Times New Roman" w:hAnsi="Times New Roman" w:cs="Times New Roman"/>
          <w:b/>
          <w:sz w:val="24"/>
          <w:szCs w:val="24"/>
          <w:lang w:val="en-US"/>
        </w:rPr>
      </w:pPr>
    </w:p>
    <w:tbl>
      <w:tblPr>
        <w:tblW w:w="8050" w:type="dxa"/>
        <w:jc w:val="center"/>
        <w:tblLayout w:type="fixed"/>
        <w:tblCellMar>
          <w:left w:w="70" w:type="dxa"/>
          <w:right w:w="70" w:type="dxa"/>
        </w:tblCellMar>
        <w:tblLook w:val="04A0" w:firstRow="1" w:lastRow="0" w:firstColumn="1" w:lastColumn="0" w:noHBand="0" w:noVBand="1"/>
      </w:tblPr>
      <w:tblGrid>
        <w:gridCol w:w="1134"/>
        <w:gridCol w:w="1375"/>
        <w:gridCol w:w="2262"/>
        <w:gridCol w:w="2262"/>
        <w:gridCol w:w="642"/>
        <w:gridCol w:w="375"/>
      </w:tblGrid>
      <w:tr w:rsidR="00C825CF" w:rsidRPr="003900E6" w:rsidTr="00970534">
        <w:trPr>
          <w:trHeight w:val="600"/>
          <w:jc w:val="center"/>
        </w:trPr>
        <w:tc>
          <w:tcPr>
            <w:tcW w:w="1134"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val="en-US" w:eastAsia="it-IT"/>
              </w:rPr>
            </w:pPr>
            <w:r w:rsidRPr="00BF700B">
              <w:rPr>
                <w:rFonts w:ascii="Times New Roman" w:eastAsia="Times New Roman" w:hAnsi="Times New Roman" w:cs="Times New Roman"/>
                <w:color w:val="000000"/>
                <w:sz w:val="20"/>
                <w:szCs w:val="20"/>
                <w:lang w:val="en-US" w:eastAsia="it-IT"/>
              </w:rPr>
              <w:t> </w:t>
            </w:r>
          </w:p>
        </w:tc>
        <w:tc>
          <w:tcPr>
            <w:tcW w:w="1375" w:type="dxa"/>
            <w:tcBorders>
              <w:top w:val="nil"/>
              <w:left w:val="nil"/>
              <w:bottom w:val="nil"/>
              <w:right w:val="nil"/>
            </w:tcBorders>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val="en-US" w:eastAsia="it-IT"/>
              </w:rPr>
            </w:pPr>
          </w:p>
        </w:tc>
        <w:tc>
          <w:tcPr>
            <w:tcW w:w="5166" w:type="dxa"/>
            <w:gridSpan w:val="3"/>
            <w:tcBorders>
              <w:top w:val="nil"/>
              <w:left w:val="nil"/>
              <w:bottom w:val="single" w:sz="4" w:space="0" w:color="auto"/>
              <w:right w:val="nil"/>
            </w:tcBorders>
            <w:shd w:val="clear" w:color="000000" w:fill="FFFFFF"/>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val="en-US" w:eastAsia="it-IT"/>
              </w:rPr>
            </w:pPr>
            <w:r w:rsidRPr="00BF700B">
              <w:rPr>
                <w:rFonts w:ascii="Times New Roman" w:eastAsia="Times New Roman" w:hAnsi="Times New Roman" w:cs="Times New Roman"/>
                <w:i/>
                <w:color w:val="000000"/>
                <w:sz w:val="20"/>
                <w:szCs w:val="20"/>
                <w:lang w:val="en-US" w:eastAsia="it-IT"/>
              </w:rPr>
              <w:t xml:space="preserve">Municipalities in systemic depopulation in the first period (1994-2014) according to </w:t>
            </w:r>
            <w:proofErr w:type="spellStart"/>
            <w:r w:rsidRPr="00BF700B">
              <w:rPr>
                <w:rFonts w:ascii="Times New Roman" w:eastAsia="Times New Roman" w:hAnsi="Times New Roman" w:cs="Times New Roman"/>
                <w:i/>
                <w:color w:val="000000"/>
                <w:sz w:val="20"/>
                <w:szCs w:val="20"/>
                <w:lang w:val="en-US" w:eastAsia="it-IT"/>
              </w:rPr>
              <w:t>SyDAs</w:t>
            </w:r>
            <w:proofErr w:type="spellEnd"/>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val="en-US" w:eastAsia="it-IT"/>
              </w:rPr>
            </w:pPr>
            <w:r w:rsidRPr="00BF700B">
              <w:rPr>
                <w:rFonts w:ascii="Times New Roman" w:eastAsia="Times New Roman" w:hAnsi="Times New Roman" w:cs="Times New Roman"/>
                <w:color w:val="000000"/>
                <w:sz w:val="20"/>
                <w:szCs w:val="20"/>
                <w:lang w:val="en-US" w:eastAsia="it-IT"/>
              </w:rPr>
              <w:t> </w:t>
            </w:r>
          </w:p>
        </w:tc>
      </w:tr>
      <w:tr w:rsidR="00C825CF" w:rsidRPr="00BF700B" w:rsidTr="00970534">
        <w:trPr>
          <w:trHeight w:val="612"/>
          <w:jc w:val="center"/>
        </w:trPr>
        <w:tc>
          <w:tcPr>
            <w:tcW w:w="1134" w:type="dxa"/>
            <w:tcBorders>
              <w:top w:val="nil"/>
              <w:left w:val="nil"/>
              <w:bottom w:val="single" w:sz="8" w:space="0" w:color="auto"/>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Region</w:t>
            </w:r>
          </w:p>
        </w:tc>
        <w:tc>
          <w:tcPr>
            <w:tcW w:w="1375" w:type="dxa"/>
            <w:tcBorders>
              <w:top w:val="nil"/>
              <w:left w:val="nil"/>
              <w:bottom w:val="single" w:sz="8" w:space="0" w:color="auto"/>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SNAI Advancement Category</w:t>
            </w:r>
          </w:p>
        </w:tc>
        <w:tc>
          <w:tcPr>
            <w:tcW w:w="2262" w:type="dxa"/>
            <w:tcBorders>
              <w:top w:val="nil"/>
              <w:left w:val="nil"/>
              <w:bottom w:val="single" w:sz="8" w:space="0" w:color="auto"/>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val="en-US" w:eastAsia="it-IT"/>
              </w:rPr>
            </w:pPr>
            <w:r w:rsidRPr="00BF700B">
              <w:rPr>
                <w:rFonts w:ascii="Times New Roman" w:eastAsia="Times New Roman" w:hAnsi="Times New Roman" w:cs="Times New Roman"/>
                <w:b/>
                <w:color w:val="000000"/>
                <w:sz w:val="20"/>
                <w:szCs w:val="20"/>
                <w:lang w:val="en-US" w:eastAsia="it-IT"/>
              </w:rPr>
              <w:t xml:space="preserve">Remained in a state of Systemic Depopulation </w:t>
            </w:r>
          </w:p>
        </w:tc>
        <w:tc>
          <w:tcPr>
            <w:tcW w:w="2262" w:type="dxa"/>
            <w:tcBorders>
              <w:top w:val="nil"/>
              <w:left w:val="nil"/>
              <w:bottom w:val="single" w:sz="8" w:space="0" w:color="auto"/>
              <w:right w:val="nil"/>
            </w:tcBorders>
            <w:shd w:val="clear" w:color="000000" w:fill="FFFFFF"/>
            <w:vAlign w:val="center"/>
            <w:hideMark/>
          </w:tcPr>
          <w:p w:rsidR="00C825CF" w:rsidRPr="000B21AF" w:rsidRDefault="00C825CF" w:rsidP="00970534">
            <w:pPr>
              <w:spacing w:after="0" w:line="240" w:lineRule="auto"/>
              <w:jc w:val="center"/>
              <w:rPr>
                <w:rFonts w:ascii="Times New Roman" w:eastAsia="Times New Roman" w:hAnsi="Times New Roman" w:cs="Times New Roman"/>
                <w:b/>
                <w:color w:val="000000"/>
                <w:sz w:val="20"/>
                <w:szCs w:val="20"/>
                <w:lang w:val="en-US" w:eastAsia="it-IT"/>
              </w:rPr>
            </w:pPr>
            <w:r w:rsidRPr="000B21AF">
              <w:rPr>
                <w:rFonts w:ascii="Times New Roman" w:eastAsia="Times New Roman" w:hAnsi="Times New Roman" w:cs="Times New Roman"/>
                <w:b/>
                <w:color w:val="000000"/>
                <w:sz w:val="20"/>
                <w:szCs w:val="20"/>
                <w:lang w:val="en-US" w:eastAsia="it-IT"/>
              </w:rPr>
              <w:t>Reduction of Systemic Depopulation Status</w:t>
            </w:r>
            <w:r>
              <w:rPr>
                <w:rFonts w:ascii="Times New Roman" w:eastAsia="Times New Roman" w:hAnsi="Times New Roman" w:cs="Times New Roman"/>
                <w:b/>
                <w:color w:val="000000"/>
                <w:sz w:val="20"/>
                <w:szCs w:val="20"/>
                <w:lang w:val="en-US" w:eastAsia="it-IT"/>
              </w:rPr>
              <w:t xml:space="preserve"> </w:t>
            </w:r>
          </w:p>
        </w:tc>
        <w:tc>
          <w:tcPr>
            <w:tcW w:w="642" w:type="dxa"/>
            <w:tcBorders>
              <w:top w:val="nil"/>
              <w:left w:val="nil"/>
              <w:bottom w:val="single" w:sz="8" w:space="0" w:color="auto"/>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Total</w:t>
            </w:r>
          </w:p>
        </w:tc>
        <w:tc>
          <w:tcPr>
            <w:tcW w:w="375" w:type="dxa"/>
            <w:tcBorders>
              <w:top w:val="nil"/>
              <w:left w:val="nil"/>
              <w:bottom w:val="nil"/>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val="restart"/>
            <w:tcBorders>
              <w:top w:val="single" w:sz="8" w:space="0" w:color="auto"/>
              <w:left w:val="nil"/>
              <w:bottom w:val="double" w:sz="6" w:space="0" w:color="000000"/>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Abruzzo</w:t>
            </w: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5</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2</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7</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5</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2</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12</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3</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5</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19</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3</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Total</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48</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8</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56</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88"/>
          <w:jc w:val="center"/>
        </w:trPr>
        <w:tc>
          <w:tcPr>
            <w:tcW w:w="1134" w:type="dxa"/>
            <w:vMerge/>
            <w:tcBorders>
              <w:top w:val="single" w:sz="8" w:space="0" w:color="auto"/>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double" w:sz="6"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Percentage</w:t>
            </w:r>
          </w:p>
        </w:tc>
        <w:tc>
          <w:tcPr>
            <w:tcW w:w="226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85</w:t>
            </w:r>
            <w:r w:rsidRPr="00BF700B">
              <w:rPr>
                <w:rFonts w:ascii="Times New Roman" w:eastAsia="Times New Roman" w:hAnsi="Times New Roman" w:cs="Times New Roman"/>
                <w:i/>
                <w:color w:val="000000"/>
                <w:sz w:val="20"/>
                <w:szCs w:val="20"/>
                <w:lang w:eastAsia="it-IT"/>
              </w:rPr>
              <w:t>.</w:t>
            </w:r>
            <w:r>
              <w:rPr>
                <w:rFonts w:ascii="Times New Roman" w:eastAsia="Times New Roman" w:hAnsi="Times New Roman" w:cs="Times New Roman"/>
                <w:i/>
                <w:color w:val="000000"/>
                <w:sz w:val="20"/>
                <w:szCs w:val="20"/>
                <w:lang w:eastAsia="it-IT"/>
              </w:rPr>
              <w:t>7%</w:t>
            </w:r>
          </w:p>
        </w:tc>
        <w:tc>
          <w:tcPr>
            <w:tcW w:w="226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14</w:t>
            </w:r>
            <w:r w:rsidRPr="00BF700B">
              <w:rPr>
                <w:rFonts w:ascii="Times New Roman" w:eastAsia="Times New Roman" w:hAnsi="Times New Roman" w:cs="Times New Roman"/>
                <w:i/>
                <w:color w:val="000000"/>
                <w:sz w:val="20"/>
                <w:szCs w:val="20"/>
                <w:lang w:eastAsia="it-IT"/>
              </w:rPr>
              <w:t>.</w:t>
            </w:r>
            <w:r>
              <w:rPr>
                <w:rFonts w:ascii="Times New Roman" w:eastAsia="Times New Roman" w:hAnsi="Times New Roman" w:cs="Times New Roman"/>
                <w:i/>
                <w:color w:val="000000"/>
                <w:sz w:val="20"/>
                <w:szCs w:val="20"/>
                <w:lang w:eastAsia="it-IT"/>
              </w:rPr>
              <w:t>3%</w:t>
            </w:r>
          </w:p>
        </w:tc>
        <w:tc>
          <w:tcPr>
            <w:tcW w:w="64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100</w:t>
            </w:r>
            <w:r>
              <w:rPr>
                <w:rFonts w:ascii="Times New Roman" w:eastAsia="Times New Roman" w:hAnsi="Times New Roman" w:cs="Times New Roman"/>
                <w:i/>
                <w:color w:val="000000"/>
                <w:sz w:val="20"/>
                <w:szCs w:val="20"/>
                <w:lang w:eastAsia="it-IT"/>
              </w:rPr>
              <w:t>%</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 </w:t>
            </w:r>
          </w:p>
        </w:tc>
      </w:tr>
      <w:tr w:rsidR="00C825CF" w:rsidRPr="00BF700B" w:rsidTr="00970534">
        <w:trPr>
          <w:trHeight w:val="288"/>
          <w:jc w:val="center"/>
        </w:trPr>
        <w:tc>
          <w:tcPr>
            <w:tcW w:w="1134" w:type="dxa"/>
            <w:vMerge w:val="restart"/>
            <w:tcBorders>
              <w:top w:val="nil"/>
              <w:left w:val="nil"/>
              <w:bottom w:val="double" w:sz="6" w:space="0" w:color="000000"/>
              <w:right w:val="nil"/>
            </w:tcBorders>
            <w:shd w:val="clear" w:color="000000" w:fill="FFFFFF"/>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Emilia-Romagna</w:t>
            </w: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11</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2</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3</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4</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6</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Total</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18</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8</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2</w:t>
            </w:r>
            <w:r>
              <w:rPr>
                <w:rFonts w:ascii="Times New Roman" w:eastAsia="Times New Roman" w:hAnsi="Times New Roman" w:cs="Times New Roman"/>
                <w:b/>
                <w:color w:val="000000"/>
                <w:sz w:val="20"/>
                <w:szCs w:val="20"/>
                <w:lang w:eastAsia="it-IT"/>
              </w:rPr>
              <w:t>6</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 </w:t>
            </w:r>
          </w:p>
        </w:tc>
      </w:tr>
      <w:tr w:rsidR="00C825CF" w:rsidRPr="00BF700B" w:rsidTr="00970534">
        <w:trPr>
          <w:trHeight w:val="288"/>
          <w:jc w:val="center"/>
        </w:trPr>
        <w:tc>
          <w:tcPr>
            <w:tcW w:w="1134" w:type="dxa"/>
            <w:vMerge/>
            <w:tcBorders>
              <w:top w:val="nil"/>
              <w:left w:val="nil"/>
              <w:bottom w:val="double" w:sz="6"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double" w:sz="6"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Percentage</w:t>
            </w:r>
          </w:p>
        </w:tc>
        <w:tc>
          <w:tcPr>
            <w:tcW w:w="226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69</w:t>
            </w:r>
            <w:r w:rsidRPr="00BF700B">
              <w:rPr>
                <w:rFonts w:ascii="Times New Roman" w:eastAsia="Times New Roman" w:hAnsi="Times New Roman" w:cs="Times New Roman"/>
                <w:i/>
                <w:color w:val="000000"/>
                <w:sz w:val="20"/>
                <w:szCs w:val="20"/>
                <w:lang w:eastAsia="it-IT"/>
              </w:rPr>
              <w:t>.</w:t>
            </w:r>
            <w:r>
              <w:rPr>
                <w:rFonts w:ascii="Times New Roman" w:eastAsia="Times New Roman" w:hAnsi="Times New Roman" w:cs="Times New Roman"/>
                <w:i/>
                <w:color w:val="000000"/>
                <w:sz w:val="20"/>
                <w:szCs w:val="20"/>
                <w:lang w:eastAsia="it-IT"/>
              </w:rPr>
              <w:t>2%</w:t>
            </w:r>
          </w:p>
        </w:tc>
        <w:tc>
          <w:tcPr>
            <w:tcW w:w="226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30.8%</w:t>
            </w:r>
          </w:p>
        </w:tc>
        <w:tc>
          <w:tcPr>
            <w:tcW w:w="642"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100</w:t>
            </w:r>
            <w:r>
              <w:rPr>
                <w:rFonts w:ascii="Times New Roman" w:eastAsia="Times New Roman" w:hAnsi="Times New Roman" w:cs="Times New Roman"/>
                <w:i/>
                <w:color w:val="000000"/>
                <w:sz w:val="20"/>
                <w:szCs w:val="20"/>
                <w:lang w:eastAsia="it-IT"/>
              </w:rPr>
              <w:t>%</w:t>
            </w:r>
          </w:p>
        </w:tc>
        <w:tc>
          <w:tcPr>
            <w:tcW w:w="375" w:type="dxa"/>
            <w:tcBorders>
              <w:top w:val="nil"/>
              <w:left w:val="nil"/>
              <w:bottom w:val="double" w:sz="6"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 </w:t>
            </w:r>
          </w:p>
        </w:tc>
      </w:tr>
      <w:tr w:rsidR="00C825CF" w:rsidRPr="00BF700B" w:rsidTr="00970534">
        <w:trPr>
          <w:trHeight w:val="288"/>
          <w:jc w:val="center"/>
        </w:trPr>
        <w:tc>
          <w:tcPr>
            <w:tcW w:w="1134" w:type="dxa"/>
            <w:vMerge w:val="restart"/>
            <w:tcBorders>
              <w:top w:val="double" w:sz="6" w:space="0" w:color="auto"/>
              <w:left w:val="nil"/>
              <w:bottom w:val="single" w:sz="8" w:space="0" w:color="000000"/>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Basilicata</w:t>
            </w: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27</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5</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32</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2</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0</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3</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w:t>
            </w:r>
          </w:p>
        </w:tc>
        <w:tc>
          <w:tcPr>
            <w:tcW w:w="226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642"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12</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Cat. 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4</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5</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color w:val="000000"/>
                <w:sz w:val="20"/>
                <w:szCs w:val="20"/>
                <w:lang w:eastAsia="it-IT"/>
              </w:rPr>
            </w:pPr>
            <w:r w:rsidRPr="00BF700B">
              <w:rPr>
                <w:rFonts w:ascii="Times New Roman" w:eastAsia="Times New Roman" w:hAnsi="Times New Roman" w:cs="Times New Roman"/>
                <w:color w:val="000000"/>
                <w:sz w:val="20"/>
                <w:szCs w:val="20"/>
                <w:lang w:eastAsia="it-IT"/>
              </w:rPr>
              <w:t> </w:t>
            </w:r>
          </w:p>
        </w:tc>
      </w:tr>
      <w:tr w:rsidR="00C825CF" w:rsidRPr="00BF700B" w:rsidTr="00970534">
        <w:trPr>
          <w:trHeight w:val="276"/>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4"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Total</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50</w:t>
            </w:r>
          </w:p>
        </w:tc>
        <w:tc>
          <w:tcPr>
            <w:tcW w:w="226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10</w:t>
            </w:r>
          </w:p>
        </w:tc>
        <w:tc>
          <w:tcPr>
            <w:tcW w:w="642" w:type="dxa"/>
            <w:tcBorders>
              <w:top w:val="nil"/>
              <w:left w:val="nil"/>
              <w:bottom w:val="single" w:sz="4"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6</w:t>
            </w:r>
            <w:r>
              <w:rPr>
                <w:rFonts w:ascii="Times New Roman" w:eastAsia="Times New Roman" w:hAnsi="Times New Roman" w:cs="Times New Roman"/>
                <w:b/>
                <w:color w:val="000000"/>
                <w:sz w:val="20"/>
                <w:szCs w:val="20"/>
                <w:lang w:eastAsia="it-IT"/>
              </w:rPr>
              <w:t>0</w:t>
            </w:r>
          </w:p>
        </w:tc>
        <w:tc>
          <w:tcPr>
            <w:tcW w:w="375" w:type="dxa"/>
            <w:tcBorders>
              <w:top w:val="nil"/>
              <w:left w:val="nil"/>
              <w:bottom w:val="nil"/>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b/>
                <w:color w:val="000000"/>
                <w:sz w:val="20"/>
                <w:szCs w:val="20"/>
                <w:lang w:eastAsia="it-IT"/>
              </w:rPr>
            </w:pPr>
            <w:r w:rsidRPr="00BF700B">
              <w:rPr>
                <w:rFonts w:ascii="Times New Roman" w:eastAsia="Times New Roman" w:hAnsi="Times New Roman" w:cs="Times New Roman"/>
                <w:b/>
                <w:color w:val="000000"/>
                <w:sz w:val="20"/>
                <w:szCs w:val="20"/>
                <w:lang w:eastAsia="it-IT"/>
              </w:rPr>
              <w:t> </w:t>
            </w:r>
          </w:p>
        </w:tc>
      </w:tr>
      <w:tr w:rsidR="00C825CF" w:rsidRPr="00BF700B" w:rsidTr="00970534">
        <w:trPr>
          <w:trHeight w:val="288"/>
          <w:jc w:val="center"/>
        </w:trPr>
        <w:tc>
          <w:tcPr>
            <w:tcW w:w="1134" w:type="dxa"/>
            <w:vMerge/>
            <w:tcBorders>
              <w:top w:val="double" w:sz="6" w:space="0" w:color="auto"/>
              <w:left w:val="nil"/>
              <w:bottom w:val="single" w:sz="8" w:space="0" w:color="000000"/>
              <w:right w:val="nil"/>
            </w:tcBorders>
            <w:vAlign w:val="center"/>
            <w:hideMark/>
          </w:tcPr>
          <w:p w:rsidR="00C825CF" w:rsidRPr="00BF700B" w:rsidRDefault="00C825CF" w:rsidP="00970534">
            <w:pPr>
              <w:spacing w:after="0" w:line="240" w:lineRule="auto"/>
              <w:rPr>
                <w:rFonts w:ascii="Times New Roman" w:eastAsia="Times New Roman" w:hAnsi="Times New Roman" w:cs="Times New Roman"/>
                <w:color w:val="000000"/>
                <w:sz w:val="20"/>
                <w:szCs w:val="20"/>
                <w:lang w:eastAsia="it-IT"/>
              </w:rPr>
            </w:pPr>
          </w:p>
        </w:tc>
        <w:tc>
          <w:tcPr>
            <w:tcW w:w="1375" w:type="dxa"/>
            <w:tcBorders>
              <w:top w:val="nil"/>
              <w:left w:val="nil"/>
              <w:bottom w:val="single" w:sz="8" w:space="0" w:color="auto"/>
              <w:right w:val="nil"/>
            </w:tcBorders>
            <w:shd w:val="clear" w:color="000000" w:fill="FFFFFF"/>
            <w:noWrap/>
            <w:vAlign w:val="center"/>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Percentage</w:t>
            </w:r>
          </w:p>
        </w:tc>
        <w:tc>
          <w:tcPr>
            <w:tcW w:w="2262" w:type="dxa"/>
            <w:tcBorders>
              <w:top w:val="nil"/>
              <w:left w:val="nil"/>
              <w:bottom w:val="single" w:sz="8"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83.3%</w:t>
            </w:r>
          </w:p>
        </w:tc>
        <w:tc>
          <w:tcPr>
            <w:tcW w:w="2262" w:type="dxa"/>
            <w:tcBorders>
              <w:top w:val="nil"/>
              <w:left w:val="nil"/>
              <w:bottom w:val="single" w:sz="8"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16.7%</w:t>
            </w:r>
          </w:p>
        </w:tc>
        <w:tc>
          <w:tcPr>
            <w:tcW w:w="642" w:type="dxa"/>
            <w:tcBorders>
              <w:top w:val="nil"/>
              <w:left w:val="nil"/>
              <w:bottom w:val="single" w:sz="8"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100</w:t>
            </w:r>
            <w:r>
              <w:rPr>
                <w:rFonts w:ascii="Times New Roman" w:eastAsia="Times New Roman" w:hAnsi="Times New Roman" w:cs="Times New Roman"/>
                <w:i/>
                <w:color w:val="000000"/>
                <w:sz w:val="20"/>
                <w:szCs w:val="20"/>
                <w:lang w:eastAsia="it-IT"/>
              </w:rPr>
              <w:t>%</w:t>
            </w:r>
          </w:p>
        </w:tc>
        <w:tc>
          <w:tcPr>
            <w:tcW w:w="375" w:type="dxa"/>
            <w:tcBorders>
              <w:top w:val="nil"/>
              <w:left w:val="nil"/>
              <w:bottom w:val="single" w:sz="8" w:space="0" w:color="auto"/>
              <w:right w:val="nil"/>
            </w:tcBorders>
            <w:shd w:val="clear" w:color="000000" w:fill="FFFFFF"/>
            <w:noWrap/>
            <w:vAlign w:val="bottom"/>
            <w:hideMark/>
          </w:tcPr>
          <w:p w:rsidR="00C825CF" w:rsidRPr="00BF700B" w:rsidRDefault="00C825CF" w:rsidP="00970534">
            <w:pPr>
              <w:spacing w:after="0" w:line="240" w:lineRule="auto"/>
              <w:jc w:val="center"/>
              <w:rPr>
                <w:rFonts w:ascii="Times New Roman" w:eastAsia="Times New Roman" w:hAnsi="Times New Roman" w:cs="Times New Roman"/>
                <w:i/>
                <w:color w:val="000000"/>
                <w:sz w:val="20"/>
                <w:szCs w:val="20"/>
                <w:lang w:eastAsia="it-IT"/>
              </w:rPr>
            </w:pPr>
            <w:r w:rsidRPr="00BF700B">
              <w:rPr>
                <w:rFonts w:ascii="Times New Roman" w:eastAsia="Times New Roman" w:hAnsi="Times New Roman" w:cs="Times New Roman"/>
                <w:i/>
                <w:color w:val="000000"/>
                <w:sz w:val="20"/>
                <w:szCs w:val="20"/>
                <w:lang w:eastAsia="it-IT"/>
              </w:rPr>
              <w:t> </w:t>
            </w:r>
          </w:p>
        </w:tc>
      </w:tr>
    </w:tbl>
    <w:p w:rsidR="00C825CF" w:rsidRDefault="00C825CF" w:rsidP="00C825CF">
      <w:pPr>
        <w:jc w:val="both"/>
        <w:rPr>
          <w:rFonts w:ascii="Times New Roman" w:hAnsi="Times New Roman" w:cs="Times New Roman"/>
          <w:b/>
          <w:sz w:val="24"/>
          <w:szCs w:val="24"/>
          <w:lang w:val="en-US"/>
        </w:rPr>
      </w:pPr>
    </w:p>
    <w:p w:rsidR="00C825CF" w:rsidRPr="00DE2FAE" w:rsidRDefault="00C825CF" w:rsidP="00C825CF">
      <w:pPr>
        <w:jc w:val="right"/>
        <w:rPr>
          <w:rFonts w:ascii="Times New Roman" w:hAnsi="Times New Roman" w:cs="Times New Roman"/>
          <w:bCs/>
          <w:i/>
          <w:iCs/>
          <w:sz w:val="24"/>
          <w:szCs w:val="24"/>
          <w:lang w:val="en-US"/>
        </w:rPr>
      </w:pPr>
      <w:r w:rsidRPr="00DE2FAE">
        <w:rPr>
          <w:rFonts w:ascii="Times New Roman" w:hAnsi="Times New Roman" w:cs="Times New Roman"/>
          <w:bCs/>
          <w:i/>
          <w:iCs/>
          <w:sz w:val="24"/>
          <w:szCs w:val="24"/>
          <w:lang w:val="en-US"/>
        </w:rPr>
        <w:t xml:space="preserve">Source: own estimation on </w:t>
      </w:r>
      <w:proofErr w:type="spellStart"/>
      <w:r w:rsidRPr="00DE2FAE">
        <w:rPr>
          <w:rFonts w:ascii="Times New Roman" w:hAnsi="Times New Roman" w:cs="Times New Roman"/>
          <w:bCs/>
          <w:i/>
          <w:iCs/>
          <w:sz w:val="24"/>
          <w:szCs w:val="24"/>
          <w:lang w:val="en-US"/>
        </w:rPr>
        <w:t>OpenCoesione</w:t>
      </w:r>
      <w:proofErr w:type="spellEnd"/>
      <w:r w:rsidRPr="00DE2FAE">
        <w:rPr>
          <w:rFonts w:ascii="Times New Roman" w:hAnsi="Times New Roman" w:cs="Times New Roman"/>
          <w:bCs/>
          <w:i/>
          <w:iCs/>
          <w:sz w:val="24"/>
          <w:szCs w:val="24"/>
          <w:lang w:val="en-US"/>
        </w:rPr>
        <w:t xml:space="preserve"> and ISTAT data</w:t>
      </w:r>
    </w:p>
    <w:p w:rsidR="00C825CF" w:rsidRDefault="00C825CF" w:rsidP="00C825CF">
      <w:pPr>
        <w:jc w:val="both"/>
        <w:rPr>
          <w:rFonts w:ascii="Times New Roman" w:hAnsi="Times New Roman" w:cs="Times New Roman"/>
          <w:b/>
          <w:sz w:val="24"/>
          <w:szCs w:val="24"/>
          <w:lang w:val="en-US"/>
        </w:rPr>
      </w:pPr>
      <w:r w:rsidRPr="00DE2FAE">
        <w:rPr>
          <w:rFonts w:ascii="Times New Roman" w:hAnsi="Times New Roman" w:cs="Times New Roman"/>
          <w:b/>
          <w:sz w:val="24"/>
          <w:szCs w:val="24"/>
          <w:lang w:val="en-US"/>
        </w:rPr>
        <w:t>Table 2. Results of Cochran-</w:t>
      </w:r>
      <w:proofErr w:type="spellStart"/>
      <w:r w:rsidRPr="00DE2FAE">
        <w:rPr>
          <w:rFonts w:ascii="Times New Roman" w:hAnsi="Times New Roman" w:cs="Times New Roman"/>
          <w:b/>
          <w:sz w:val="24"/>
          <w:szCs w:val="24"/>
          <w:lang w:val="en-US"/>
        </w:rPr>
        <w:t>Armitrage</w:t>
      </w:r>
      <w:proofErr w:type="spellEnd"/>
      <w:r w:rsidRPr="00DE2FAE">
        <w:rPr>
          <w:rFonts w:ascii="Times New Roman" w:hAnsi="Times New Roman" w:cs="Times New Roman"/>
          <w:b/>
          <w:sz w:val="24"/>
          <w:szCs w:val="24"/>
          <w:lang w:val="en-US"/>
        </w:rPr>
        <w:t xml:space="preserve"> test.</w:t>
      </w:r>
    </w:p>
    <w:tbl>
      <w:tblPr>
        <w:tblStyle w:val="TableGrid"/>
        <w:tblW w:w="0" w:type="auto"/>
        <w:tblLook w:val="04A0" w:firstRow="1" w:lastRow="0" w:firstColumn="1" w:lastColumn="0" w:noHBand="0" w:noVBand="1"/>
      </w:tblPr>
      <w:tblGrid>
        <w:gridCol w:w="2269"/>
        <w:gridCol w:w="2233"/>
        <w:gridCol w:w="2233"/>
        <w:gridCol w:w="2281"/>
      </w:tblGrid>
      <w:tr w:rsidR="00C825CF" w:rsidTr="00970534">
        <w:tc>
          <w:tcPr>
            <w:tcW w:w="2407" w:type="dxa"/>
          </w:tcPr>
          <w:p w:rsidR="00C825CF" w:rsidRPr="00806261" w:rsidRDefault="00C825CF" w:rsidP="00970534">
            <w:pPr>
              <w:jc w:val="center"/>
              <w:rPr>
                <w:rFonts w:ascii="Times New Roman" w:hAnsi="Times New Roman" w:cs="Times New Roman"/>
                <w:b/>
                <w:i/>
                <w:iCs/>
                <w:sz w:val="20"/>
                <w:szCs w:val="20"/>
                <w:lang w:val="en-US"/>
              </w:rPr>
            </w:pPr>
            <w:r w:rsidRPr="00806261">
              <w:rPr>
                <w:rFonts w:ascii="Times New Roman" w:hAnsi="Times New Roman" w:cs="Times New Roman"/>
                <w:b/>
                <w:i/>
                <w:iCs/>
                <w:sz w:val="20"/>
                <w:szCs w:val="20"/>
                <w:lang w:val="en-US"/>
              </w:rPr>
              <w:t>REGION</w:t>
            </w:r>
          </w:p>
          <w:p w:rsidR="00C825CF" w:rsidRPr="00806261" w:rsidRDefault="00C825CF" w:rsidP="00970534">
            <w:pPr>
              <w:jc w:val="center"/>
              <w:rPr>
                <w:rFonts w:ascii="Times New Roman" w:hAnsi="Times New Roman" w:cs="Times New Roman"/>
                <w:b/>
                <w:i/>
                <w:iCs/>
                <w:sz w:val="20"/>
                <w:szCs w:val="20"/>
                <w:lang w:val="en-US"/>
              </w:rPr>
            </w:pPr>
          </w:p>
        </w:tc>
        <w:tc>
          <w:tcPr>
            <w:tcW w:w="2407" w:type="dxa"/>
          </w:tcPr>
          <w:p w:rsidR="00C825CF" w:rsidRPr="00806261" w:rsidRDefault="00C825CF" w:rsidP="00970534">
            <w:pPr>
              <w:jc w:val="center"/>
              <w:rPr>
                <w:rFonts w:ascii="Times New Roman" w:hAnsi="Times New Roman" w:cs="Times New Roman"/>
                <w:b/>
                <w:i/>
                <w:iCs/>
                <w:sz w:val="20"/>
                <w:szCs w:val="20"/>
                <w:lang w:val="en-US"/>
              </w:rPr>
            </w:pPr>
            <w:r w:rsidRPr="00806261">
              <w:rPr>
                <w:rFonts w:ascii="Times New Roman" w:hAnsi="Times New Roman" w:cs="Times New Roman"/>
                <w:b/>
                <w:i/>
                <w:iCs/>
                <w:sz w:val="20"/>
                <w:szCs w:val="20"/>
                <w:lang w:val="en-US"/>
              </w:rPr>
              <w:t>p-value</w:t>
            </w:r>
          </w:p>
        </w:tc>
        <w:tc>
          <w:tcPr>
            <w:tcW w:w="2407" w:type="dxa"/>
          </w:tcPr>
          <w:p w:rsidR="00C825CF" w:rsidRPr="00806261" w:rsidRDefault="00C825CF" w:rsidP="00970534">
            <w:pPr>
              <w:jc w:val="center"/>
              <w:rPr>
                <w:rFonts w:ascii="Times New Roman" w:hAnsi="Times New Roman" w:cs="Times New Roman"/>
                <w:b/>
                <w:i/>
                <w:iCs/>
                <w:sz w:val="20"/>
                <w:szCs w:val="20"/>
                <w:lang w:val="en-US"/>
              </w:rPr>
            </w:pPr>
            <w:r w:rsidRPr="00806261">
              <w:rPr>
                <w:rFonts w:ascii="Times New Roman" w:hAnsi="Times New Roman" w:cs="Times New Roman"/>
                <w:b/>
                <w:i/>
                <w:iCs/>
                <w:sz w:val="20"/>
                <w:szCs w:val="20"/>
                <w:lang w:val="en-US"/>
              </w:rPr>
              <w:t>Z value</w:t>
            </w:r>
          </w:p>
        </w:tc>
        <w:tc>
          <w:tcPr>
            <w:tcW w:w="2407" w:type="dxa"/>
          </w:tcPr>
          <w:p w:rsidR="00C825CF" w:rsidRPr="00806261" w:rsidRDefault="00C825CF" w:rsidP="00970534">
            <w:pPr>
              <w:jc w:val="center"/>
              <w:rPr>
                <w:rFonts w:ascii="Times New Roman" w:hAnsi="Times New Roman" w:cs="Times New Roman"/>
                <w:b/>
                <w:i/>
                <w:iCs/>
                <w:sz w:val="20"/>
                <w:szCs w:val="20"/>
              </w:rPr>
            </w:pPr>
            <w:r w:rsidRPr="00806261">
              <w:rPr>
                <w:rFonts w:ascii="Times New Roman" w:hAnsi="Times New Roman" w:cs="Times New Roman"/>
                <w:b/>
                <w:i/>
                <w:iCs/>
                <w:sz w:val="20"/>
                <w:szCs w:val="20"/>
              </w:rPr>
              <w:t>Overall trend observed</w:t>
            </w:r>
          </w:p>
          <w:p w:rsidR="00C825CF" w:rsidRPr="00806261" w:rsidRDefault="00C825CF" w:rsidP="00970534">
            <w:pPr>
              <w:jc w:val="center"/>
              <w:rPr>
                <w:rFonts w:ascii="Times New Roman" w:hAnsi="Times New Roman" w:cs="Times New Roman"/>
                <w:b/>
                <w:i/>
                <w:iCs/>
                <w:sz w:val="20"/>
                <w:szCs w:val="20"/>
                <w:lang w:val="en-US"/>
              </w:rPr>
            </w:pPr>
          </w:p>
        </w:tc>
      </w:tr>
      <w:tr w:rsidR="00C825CF" w:rsidTr="00970534">
        <w:tc>
          <w:tcPr>
            <w:tcW w:w="2407" w:type="dxa"/>
          </w:tcPr>
          <w:p w:rsidR="00C825CF" w:rsidRDefault="00C825CF" w:rsidP="00970534">
            <w:pPr>
              <w:jc w:val="center"/>
              <w:rPr>
                <w:rFonts w:ascii="Times New Roman" w:hAnsi="Times New Roman" w:cs="Times New Roman"/>
                <w:bCs/>
                <w:i/>
                <w:iCs/>
                <w:sz w:val="20"/>
                <w:szCs w:val="20"/>
                <w:lang w:val="en-US"/>
              </w:rPr>
            </w:pPr>
          </w:p>
          <w:p w:rsidR="00C825CF"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Abruzzo</w:t>
            </w:r>
          </w:p>
          <w:p w:rsidR="00C825CF" w:rsidRPr="00806261" w:rsidRDefault="00C825CF" w:rsidP="00970534">
            <w:pPr>
              <w:jc w:val="center"/>
              <w:rPr>
                <w:rFonts w:ascii="Times New Roman" w:hAnsi="Times New Roman" w:cs="Times New Roman"/>
                <w:bCs/>
                <w:i/>
                <w:iCs/>
                <w:sz w:val="20"/>
                <w:szCs w:val="20"/>
                <w:lang w:val="en-US"/>
              </w:rPr>
            </w:pP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0.</w:t>
            </w:r>
            <w:r>
              <w:rPr>
                <w:rFonts w:ascii="Times New Roman" w:hAnsi="Times New Roman" w:cs="Times New Roman"/>
                <w:bCs/>
                <w:i/>
                <w:iCs/>
                <w:sz w:val="20"/>
                <w:szCs w:val="20"/>
                <w:lang w:val="en-US"/>
              </w:rPr>
              <w:t>78</w:t>
            </w: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w:t>
            </w:r>
            <w:r>
              <w:rPr>
                <w:rFonts w:ascii="Times New Roman" w:hAnsi="Times New Roman" w:cs="Times New Roman"/>
                <w:bCs/>
                <w:i/>
                <w:iCs/>
                <w:sz w:val="20"/>
                <w:szCs w:val="20"/>
                <w:lang w:val="en-US"/>
              </w:rPr>
              <w:t>0.28</w:t>
            </w: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decreasing, not significant</w:t>
            </w:r>
          </w:p>
        </w:tc>
      </w:tr>
      <w:tr w:rsidR="00C825CF" w:rsidTr="00970534">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Emilia-Romagna</w:t>
            </w:r>
          </w:p>
          <w:p w:rsidR="00C825CF" w:rsidRPr="00806261" w:rsidRDefault="00C825CF" w:rsidP="00970534">
            <w:pPr>
              <w:jc w:val="center"/>
              <w:rPr>
                <w:rFonts w:ascii="Times New Roman" w:hAnsi="Times New Roman" w:cs="Times New Roman"/>
                <w:bCs/>
                <w:i/>
                <w:iCs/>
                <w:sz w:val="20"/>
                <w:szCs w:val="20"/>
                <w:lang w:val="en-US"/>
              </w:rPr>
            </w:pP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0.59</w:t>
            </w: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0.54</w:t>
            </w:r>
          </w:p>
        </w:tc>
        <w:tc>
          <w:tcPr>
            <w:tcW w:w="2407" w:type="dxa"/>
          </w:tcPr>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Increasing, not significant</w:t>
            </w:r>
          </w:p>
        </w:tc>
      </w:tr>
      <w:tr w:rsidR="00C825CF" w:rsidTr="00970534">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sidRPr="00806261">
              <w:rPr>
                <w:rFonts w:ascii="Times New Roman" w:hAnsi="Times New Roman" w:cs="Times New Roman"/>
                <w:bCs/>
                <w:i/>
                <w:iCs/>
                <w:sz w:val="20"/>
                <w:szCs w:val="20"/>
                <w:lang w:val="en-US"/>
              </w:rPr>
              <w:t>Basilicata</w:t>
            </w:r>
          </w:p>
          <w:p w:rsidR="00C825CF" w:rsidRPr="00806261" w:rsidRDefault="00C825CF" w:rsidP="00970534">
            <w:pPr>
              <w:jc w:val="center"/>
              <w:rPr>
                <w:rFonts w:ascii="Times New Roman" w:hAnsi="Times New Roman" w:cs="Times New Roman"/>
                <w:bCs/>
                <w:i/>
                <w:iCs/>
                <w:sz w:val="20"/>
                <w:szCs w:val="20"/>
                <w:lang w:val="en-US"/>
              </w:rPr>
            </w:pP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0.95</w:t>
            </w:r>
          </w:p>
        </w:tc>
        <w:tc>
          <w:tcPr>
            <w:tcW w:w="2407" w:type="dxa"/>
          </w:tcPr>
          <w:p w:rsidR="00C825CF" w:rsidRDefault="00C825CF" w:rsidP="00970534">
            <w:pPr>
              <w:jc w:val="center"/>
              <w:rPr>
                <w:rFonts w:ascii="Times New Roman" w:hAnsi="Times New Roman" w:cs="Times New Roman"/>
                <w:bCs/>
                <w:i/>
                <w:iCs/>
                <w:sz w:val="20"/>
                <w:szCs w:val="20"/>
                <w:lang w:val="en-US"/>
              </w:rPr>
            </w:pPr>
          </w:p>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0.06</w:t>
            </w:r>
          </w:p>
        </w:tc>
        <w:tc>
          <w:tcPr>
            <w:tcW w:w="2407" w:type="dxa"/>
          </w:tcPr>
          <w:p w:rsidR="00C825CF" w:rsidRPr="00806261" w:rsidRDefault="00C825CF" w:rsidP="00970534">
            <w:pPr>
              <w:jc w:val="center"/>
              <w:rPr>
                <w:rFonts w:ascii="Times New Roman" w:hAnsi="Times New Roman" w:cs="Times New Roman"/>
                <w:bCs/>
                <w:i/>
                <w:iCs/>
                <w:sz w:val="20"/>
                <w:szCs w:val="20"/>
                <w:lang w:val="en-US"/>
              </w:rPr>
            </w:pPr>
            <w:r>
              <w:rPr>
                <w:rFonts w:ascii="Times New Roman" w:hAnsi="Times New Roman" w:cs="Times New Roman"/>
                <w:bCs/>
                <w:i/>
                <w:iCs/>
                <w:sz w:val="20"/>
                <w:szCs w:val="20"/>
                <w:lang w:val="en-US"/>
              </w:rPr>
              <w:t>Increasing, not significant</w:t>
            </w:r>
          </w:p>
        </w:tc>
      </w:tr>
    </w:tbl>
    <w:p w:rsidR="00C825CF" w:rsidRDefault="00C825CF" w:rsidP="00C825CF">
      <w:pPr>
        <w:jc w:val="both"/>
        <w:rPr>
          <w:rFonts w:ascii="Times New Roman" w:hAnsi="Times New Roman" w:cs="Times New Roman"/>
          <w:b/>
          <w:sz w:val="24"/>
          <w:szCs w:val="24"/>
          <w:lang w:val="en-US"/>
        </w:rPr>
      </w:pPr>
    </w:p>
    <w:p w:rsidR="00C825CF" w:rsidRPr="00C21C2A" w:rsidRDefault="00C825CF" w:rsidP="00C825CF">
      <w:pPr>
        <w:jc w:val="right"/>
        <w:rPr>
          <w:rFonts w:ascii="Times New Roman" w:hAnsi="Times New Roman" w:cs="Times New Roman"/>
          <w:bCs/>
          <w:i/>
          <w:iCs/>
          <w:sz w:val="24"/>
          <w:szCs w:val="24"/>
          <w:lang w:val="en-US"/>
        </w:rPr>
      </w:pPr>
      <w:r w:rsidRPr="00C21C2A">
        <w:rPr>
          <w:rFonts w:ascii="Times New Roman" w:hAnsi="Times New Roman" w:cs="Times New Roman"/>
          <w:bCs/>
          <w:i/>
          <w:iCs/>
          <w:sz w:val="24"/>
          <w:szCs w:val="24"/>
          <w:lang w:val="en-US"/>
        </w:rPr>
        <w:t xml:space="preserve">Source: own estimation on </w:t>
      </w:r>
      <w:proofErr w:type="spellStart"/>
      <w:r w:rsidRPr="00C21C2A">
        <w:rPr>
          <w:rFonts w:ascii="Times New Roman" w:hAnsi="Times New Roman" w:cs="Times New Roman"/>
          <w:bCs/>
          <w:i/>
          <w:iCs/>
          <w:sz w:val="24"/>
          <w:szCs w:val="24"/>
          <w:lang w:val="en-US"/>
        </w:rPr>
        <w:t>OpenCoesione</w:t>
      </w:r>
      <w:proofErr w:type="spellEnd"/>
      <w:r w:rsidRPr="00C21C2A">
        <w:rPr>
          <w:rFonts w:ascii="Times New Roman" w:hAnsi="Times New Roman" w:cs="Times New Roman"/>
          <w:bCs/>
          <w:i/>
          <w:iCs/>
          <w:sz w:val="24"/>
          <w:szCs w:val="24"/>
          <w:lang w:val="en-US"/>
        </w:rPr>
        <w:t xml:space="preserve"> and ISTAT data</w:t>
      </w:r>
    </w:p>
    <w:p w:rsidR="00C825CF" w:rsidRPr="00C21C2A" w:rsidRDefault="00C825CF" w:rsidP="00C825CF">
      <w:pPr>
        <w:jc w:val="both"/>
        <w:rPr>
          <w:rFonts w:ascii="Times New Roman" w:hAnsi="Times New Roman" w:cs="Times New Roman"/>
          <w:bCs/>
          <w:sz w:val="24"/>
          <w:szCs w:val="24"/>
          <w:lang w:val="en-US"/>
        </w:rPr>
      </w:pPr>
      <w:r w:rsidRPr="00C21C2A">
        <w:rPr>
          <w:rFonts w:ascii="Times New Roman" w:hAnsi="Times New Roman" w:cs="Times New Roman"/>
          <w:bCs/>
          <w:sz w:val="24"/>
          <w:szCs w:val="24"/>
          <w:lang w:val="en-US"/>
        </w:rPr>
        <w:t>The results of the Cochran‑Armitage tests conducted for the three regions are as follows.</w:t>
      </w:r>
    </w:p>
    <w:p w:rsidR="00C825CF" w:rsidRPr="00C21C2A" w:rsidRDefault="00C825CF" w:rsidP="00C825CF">
      <w:pPr>
        <w:pStyle w:val="ListParagraph"/>
        <w:numPr>
          <w:ilvl w:val="0"/>
          <w:numId w:val="2"/>
        </w:numPr>
        <w:jc w:val="both"/>
        <w:rPr>
          <w:rFonts w:ascii="Times New Roman" w:hAnsi="Times New Roman" w:cs="Times New Roman"/>
          <w:bCs/>
          <w:sz w:val="24"/>
          <w:szCs w:val="24"/>
          <w:lang w:val="en-US"/>
        </w:rPr>
      </w:pPr>
      <w:r w:rsidRPr="00C21C2A">
        <w:rPr>
          <w:rFonts w:ascii="Times New Roman" w:hAnsi="Times New Roman" w:cs="Times New Roman"/>
          <w:bCs/>
          <w:sz w:val="24"/>
          <w:szCs w:val="24"/>
          <w:lang w:val="en-US"/>
        </w:rPr>
        <w:t>Abruzzo: the trend is negative (in the hypothesized direction), with a p‑value of 0.7756, which is not statistically significant.</w:t>
      </w:r>
    </w:p>
    <w:p w:rsidR="00C825CF" w:rsidRPr="00C21C2A" w:rsidRDefault="00C825CF" w:rsidP="00C825CF">
      <w:pPr>
        <w:pStyle w:val="ListParagraph"/>
        <w:numPr>
          <w:ilvl w:val="0"/>
          <w:numId w:val="2"/>
        </w:numPr>
        <w:jc w:val="both"/>
        <w:rPr>
          <w:rFonts w:ascii="Times New Roman" w:hAnsi="Times New Roman" w:cs="Times New Roman"/>
          <w:bCs/>
          <w:sz w:val="24"/>
          <w:szCs w:val="24"/>
          <w:lang w:val="en-US"/>
        </w:rPr>
      </w:pPr>
      <w:r w:rsidRPr="00C21C2A">
        <w:rPr>
          <w:rFonts w:ascii="Times New Roman" w:hAnsi="Times New Roman" w:cs="Times New Roman"/>
          <w:bCs/>
          <w:sz w:val="24"/>
          <w:szCs w:val="24"/>
          <w:lang w:val="en-US"/>
        </w:rPr>
        <w:t>Basilicata: the trend is positive (opposite to the hypothesized direction), with a p‑value of 0.9485, not significant.</w:t>
      </w:r>
    </w:p>
    <w:p w:rsidR="00C825CF" w:rsidRPr="00C21C2A" w:rsidRDefault="00C825CF" w:rsidP="00C825CF">
      <w:pPr>
        <w:pStyle w:val="ListParagraph"/>
        <w:numPr>
          <w:ilvl w:val="0"/>
          <w:numId w:val="2"/>
        </w:numPr>
        <w:jc w:val="both"/>
        <w:rPr>
          <w:rFonts w:ascii="Times New Roman" w:hAnsi="Times New Roman" w:cs="Times New Roman"/>
          <w:bCs/>
          <w:sz w:val="24"/>
          <w:szCs w:val="24"/>
          <w:lang w:val="en-US"/>
        </w:rPr>
      </w:pPr>
      <w:r w:rsidRPr="00C21C2A">
        <w:rPr>
          <w:rFonts w:ascii="Times New Roman" w:hAnsi="Times New Roman" w:cs="Times New Roman"/>
          <w:bCs/>
          <w:sz w:val="24"/>
          <w:szCs w:val="24"/>
          <w:lang w:val="en-US"/>
        </w:rPr>
        <w:t>Emilia‑Romagna: the trend is positive, with a p‑value of 0.5864, not significant.</w:t>
      </w:r>
    </w:p>
    <w:p w:rsidR="00C825CF" w:rsidRPr="00C21C2A" w:rsidRDefault="00C825CF" w:rsidP="00C825CF">
      <w:pPr>
        <w:spacing w:line="240" w:lineRule="atLeast"/>
        <w:jc w:val="both"/>
        <w:rPr>
          <w:rFonts w:ascii="Times New Roman" w:hAnsi="Times New Roman" w:cs="Times New Roman"/>
          <w:bCs/>
          <w:sz w:val="24"/>
          <w:szCs w:val="24"/>
          <w:lang w:val="en-US"/>
        </w:rPr>
      </w:pPr>
      <w:r w:rsidRPr="00C21C2A">
        <w:rPr>
          <w:rFonts w:ascii="Times New Roman" w:hAnsi="Times New Roman" w:cs="Times New Roman"/>
          <w:bCs/>
          <w:sz w:val="24"/>
          <w:szCs w:val="24"/>
          <w:lang w:val="en-US"/>
        </w:rPr>
        <w:t>For none of the three regions is there a statistically significant linear association between SNAI fund exposure and a reduction in systemic depopulation. The results do not support the claim that higher exposure corresponds to a significant reduction in the phenomenon.</w:t>
      </w:r>
    </w:p>
    <w:p w:rsidR="00C825CF" w:rsidRPr="00DE2FAE" w:rsidRDefault="00C825CF" w:rsidP="00C825CF">
      <w:pPr>
        <w:spacing w:line="240" w:lineRule="atLeast"/>
        <w:jc w:val="both"/>
        <w:rPr>
          <w:rFonts w:ascii="Times New Roman" w:hAnsi="Times New Roman" w:cs="Times New Roman"/>
          <w:bCs/>
          <w:sz w:val="24"/>
          <w:szCs w:val="24"/>
          <w:lang w:val="en-US"/>
        </w:rPr>
      </w:pPr>
      <w:r w:rsidRPr="00DE2FAE">
        <w:rPr>
          <w:rFonts w:ascii="Times New Roman" w:hAnsi="Times New Roman" w:cs="Times New Roman"/>
          <w:bCs/>
          <w:sz w:val="24"/>
          <w:szCs w:val="24"/>
          <w:lang w:val="en-US"/>
        </w:rPr>
        <w:t xml:space="preserve">Applying the most conservative thresholds makes the picture even more stringent. In particular, with </w:t>
      </w:r>
      <w:r w:rsidRPr="003457F3">
        <w:rPr>
          <w:rFonts w:ascii="Times New Roman" w:hAnsi="Times New Roman" w:cs="Times New Roman"/>
          <w:sz w:val="20"/>
          <w:szCs w:val="20"/>
          <w:lang w:val="en-US"/>
        </w:rPr>
        <w:t>Δβ%</w:t>
      </w:r>
      <w:r w:rsidRPr="00DE2FAE">
        <w:rPr>
          <w:rFonts w:ascii="Times New Roman" w:hAnsi="Times New Roman" w:cs="Times New Roman"/>
          <w:bCs/>
          <w:sz w:val="24"/>
          <w:szCs w:val="24"/>
          <w:lang w:val="en-US"/>
        </w:rPr>
        <w:t xml:space="preserve"> threshold of less than or equal to -20%, none of the municipalities in Abruzzo and Basilicata affected by systemic depopulation in the first period show a reduction in the second period. In Emilia‑Romagna, the only municipality showing such a reduction is </w:t>
      </w:r>
      <w:proofErr w:type="spellStart"/>
      <w:r w:rsidRPr="00DE2FAE">
        <w:rPr>
          <w:rFonts w:ascii="Times New Roman" w:hAnsi="Times New Roman" w:cs="Times New Roman"/>
          <w:bCs/>
          <w:sz w:val="24"/>
          <w:szCs w:val="24"/>
          <w:lang w:val="en-US"/>
        </w:rPr>
        <w:t>Varsi</w:t>
      </w:r>
      <w:proofErr w:type="spellEnd"/>
      <w:r w:rsidRPr="00DE2FAE">
        <w:rPr>
          <w:rFonts w:ascii="Times New Roman" w:hAnsi="Times New Roman" w:cs="Times New Roman"/>
          <w:bCs/>
          <w:sz w:val="24"/>
          <w:szCs w:val="24"/>
          <w:lang w:val="en-US"/>
        </w:rPr>
        <w:t>, which has a category 3 exposure to SNAI funds. Moving to the -30% and -40% thresholds, none of the three regions have municipalities that show a reduction in the intensity of systemic depopulation between the first and second periods. Given these conditions, for such thresholds, conducting the Cochran‑Armitage test is not deemed necessary.</w:t>
      </w:r>
    </w:p>
    <w:p w:rsidR="00C825CF" w:rsidRDefault="00C825CF" w:rsidP="00C825CF">
      <w:pPr>
        <w:spacing w:line="240" w:lineRule="auto"/>
        <w:jc w:val="both"/>
        <w:rPr>
          <w:rFonts w:ascii="Times New Roman" w:hAnsi="Times New Roman" w:cs="Times New Roman"/>
          <w:b/>
          <w:sz w:val="24"/>
          <w:szCs w:val="24"/>
          <w:lang w:val="en-US"/>
        </w:rPr>
      </w:pPr>
    </w:p>
    <w:p w:rsidR="00A81D2D" w:rsidRDefault="00A81D2D">
      <w:bookmarkStart w:id="0" w:name="_GoBack"/>
      <w:bookmarkEnd w:id="0"/>
    </w:p>
    <w:sectPr w:rsidR="00A81D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172B9F"/>
    <w:multiLevelType w:val="hybridMultilevel"/>
    <w:tmpl w:val="444813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45173F5"/>
    <w:multiLevelType w:val="hybridMultilevel"/>
    <w:tmpl w:val="B094BA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5CF"/>
    <w:rsid w:val="000203AE"/>
    <w:rsid w:val="00057A3D"/>
    <w:rsid w:val="001251EE"/>
    <w:rsid w:val="001828FA"/>
    <w:rsid w:val="00184CB1"/>
    <w:rsid w:val="001A238C"/>
    <w:rsid w:val="001F3500"/>
    <w:rsid w:val="0023662C"/>
    <w:rsid w:val="00242B46"/>
    <w:rsid w:val="00286BE5"/>
    <w:rsid w:val="00290CF3"/>
    <w:rsid w:val="002D3252"/>
    <w:rsid w:val="00302A97"/>
    <w:rsid w:val="003E6872"/>
    <w:rsid w:val="00442D84"/>
    <w:rsid w:val="00445391"/>
    <w:rsid w:val="00454BD6"/>
    <w:rsid w:val="00465184"/>
    <w:rsid w:val="004D2566"/>
    <w:rsid w:val="00503E4A"/>
    <w:rsid w:val="00542338"/>
    <w:rsid w:val="00564247"/>
    <w:rsid w:val="00580958"/>
    <w:rsid w:val="005D3F0F"/>
    <w:rsid w:val="00771575"/>
    <w:rsid w:val="00856170"/>
    <w:rsid w:val="008720A1"/>
    <w:rsid w:val="008C54A1"/>
    <w:rsid w:val="008C57B2"/>
    <w:rsid w:val="00965CF7"/>
    <w:rsid w:val="00A37BF9"/>
    <w:rsid w:val="00A81D2D"/>
    <w:rsid w:val="00B27352"/>
    <w:rsid w:val="00C825CF"/>
    <w:rsid w:val="00D0225B"/>
    <w:rsid w:val="00D34625"/>
    <w:rsid w:val="00D567C8"/>
    <w:rsid w:val="00D57CAA"/>
    <w:rsid w:val="00FC21B0"/>
    <w:rsid w:val="00FF02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ABB82-B53F-4CA3-98F6-C9FA0DD3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5CF"/>
    <w:pPr>
      <w:ind w:left="720"/>
      <w:contextualSpacing/>
    </w:pPr>
    <w:rPr>
      <w:lang w:val="it-IT"/>
    </w:rPr>
  </w:style>
  <w:style w:type="table" w:styleId="TableGrid">
    <w:name w:val="Table Grid"/>
    <w:basedOn w:val="TableNormal"/>
    <w:uiPriority w:val="39"/>
    <w:rsid w:val="00C825CF"/>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959</Words>
  <Characters>5471</Characters>
  <Application>Microsoft Office Word</Application>
  <DocSecurity>0</DocSecurity>
  <Lines>45</Lines>
  <Paragraphs>12</Paragraphs>
  <ScaleCrop>false</ScaleCrop>
  <Company/>
  <LinksUpToDate>false</LinksUpToDate>
  <CharactersWithSpaces>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Vasanthakumar Dravidamani</dc:creator>
  <cp:keywords/>
  <dc:description/>
  <cp:lastModifiedBy>Vasanthakumar Dravidamani</cp:lastModifiedBy>
  <cp:revision>1</cp:revision>
  <dcterms:created xsi:type="dcterms:W3CDTF">2026-06-12T14:48:00Z</dcterms:created>
  <dcterms:modified xsi:type="dcterms:W3CDTF">2026-06-12T14:49:00Z</dcterms:modified>
</cp:coreProperties>
</file>