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087C7" w14:textId="2DD5CCCD" w:rsidR="00E8704F" w:rsidRDefault="00E8704F" w:rsidP="5DD244B7">
      <w:pPr>
        <w:jc w:val="center"/>
        <w:rPr>
          <w:rFonts w:ascii="Calibri" w:eastAsia="Calibri" w:hAnsi="Calibri" w:cs="Calibri"/>
          <w:sz w:val="28"/>
          <w:szCs w:val="28"/>
        </w:rPr>
      </w:pPr>
    </w:p>
    <w:p w14:paraId="2ACC2188" w14:textId="39E31AC0" w:rsidR="00DC4706" w:rsidRPr="00F745C2" w:rsidRDefault="589443F5" w:rsidP="00DC4706">
      <w:pPr>
        <w:jc w:val="center"/>
        <w:rPr>
          <w:rFonts w:ascii="Arial" w:hAnsi="Arial" w:cs="Arial"/>
          <w:b/>
          <w:bCs/>
          <w:sz w:val="28"/>
          <w:szCs w:val="28"/>
        </w:rPr>
      </w:pPr>
      <w:r w:rsidRPr="00F745C2">
        <w:rPr>
          <w:rFonts w:ascii="Arial" w:hAnsi="Arial" w:cs="Arial"/>
          <w:b/>
          <w:bCs/>
          <w:sz w:val="28"/>
          <w:szCs w:val="28"/>
        </w:rPr>
        <w:t>FDA's Implementation of Knowledge-Aided Assessment and Structured Application for Manufacturing Assessment of Non-Sterile Solid Oral Dosage Form Drug Products</w:t>
      </w:r>
    </w:p>
    <w:p w14:paraId="6D5E4C80" w14:textId="561AE63B" w:rsidR="00A51621" w:rsidRPr="008C1A81" w:rsidRDefault="00AF0698" w:rsidP="00B90B4C">
      <w:pPr>
        <w:spacing w:after="0" w:line="240" w:lineRule="atLeast"/>
        <w:jc w:val="center"/>
        <w:rPr>
          <w:rFonts w:ascii="Arial" w:hAnsi="Arial" w:cs="Arial"/>
        </w:rPr>
      </w:pPr>
      <w:r w:rsidRPr="008C1A81">
        <w:rPr>
          <w:rFonts w:ascii="Arial" w:hAnsi="Arial" w:cs="Arial"/>
        </w:rPr>
        <w:t>Zhouxi Wang</w:t>
      </w:r>
      <w:r w:rsidR="00DC2FEE" w:rsidRPr="008C1A81">
        <w:rPr>
          <w:rFonts w:ascii="Arial" w:hAnsi="Arial" w:cs="Arial"/>
        </w:rPr>
        <w:t>, Jingbo Xiao,</w:t>
      </w:r>
      <w:r w:rsidR="004336F6" w:rsidRPr="008C1A81">
        <w:rPr>
          <w:rFonts w:ascii="Arial" w:hAnsi="Arial" w:cs="Arial"/>
        </w:rPr>
        <w:t xml:space="preserve"> Daniel Obrzut, St</w:t>
      </w:r>
      <w:r w:rsidR="00457D11" w:rsidRPr="008C1A81">
        <w:rPr>
          <w:rFonts w:ascii="Arial" w:hAnsi="Arial" w:cs="Arial"/>
        </w:rPr>
        <w:t xml:space="preserve">elios Tsinontides and </w:t>
      </w:r>
      <w:r w:rsidR="00DC2FEE" w:rsidRPr="008C1A81">
        <w:rPr>
          <w:rFonts w:ascii="Arial" w:hAnsi="Arial" w:cs="Arial"/>
        </w:rPr>
        <w:t>Rakhi Shah</w:t>
      </w:r>
    </w:p>
    <w:p w14:paraId="317D603B" w14:textId="673F18BF" w:rsidR="00882B0B" w:rsidRPr="00B90B4C" w:rsidRDefault="005F6C03" w:rsidP="00B90B4C">
      <w:pPr>
        <w:spacing w:line="240" w:lineRule="atLeast"/>
        <w:jc w:val="center"/>
        <w:rPr>
          <w:rFonts w:ascii="Arial" w:hAnsi="Arial" w:cs="Arial"/>
          <w:b/>
          <w:bCs/>
          <w:sz w:val="20"/>
          <w:szCs w:val="20"/>
        </w:rPr>
      </w:pPr>
      <w:r w:rsidRPr="00B90B4C">
        <w:rPr>
          <w:rFonts w:ascii="Arial" w:hAnsi="Arial" w:cs="Arial"/>
          <w:b/>
          <w:bCs/>
          <w:sz w:val="20"/>
          <w:szCs w:val="20"/>
        </w:rPr>
        <w:t xml:space="preserve">Office of Pharmaceutical Quality, Center for Drug Evaluation and Research, </w:t>
      </w:r>
      <w:r w:rsidR="00A96E9D">
        <w:rPr>
          <w:rFonts w:ascii="Arial" w:hAnsi="Arial" w:cs="Arial"/>
          <w:b/>
          <w:bCs/>
          <w:sz w:val="20"/>
          <w:szCs w:val="20"/>
        </w:rPr>
        <w:t xml:space="preserve">U.S. </w:t>
      </w:r>
      <w:r w:rsidRPr="00B90B4C">
        <w:rPr>
          <w:rFonts w:ascii="Arial" w:hAnsi="Arial" w:cs="Arial"/>
          <w:b/>
          <w:bCs/>
          <w:sz w:val="20"/>
          <w:szCs w:val="20"/>
        </w:rPr>
        <w:t>Food and Drug Administration, 10903 New Hampshire Ave, Silver Spring, MD, 20993, USA</w:t>
      </w:r>
    </w:p>
    <w:p w14:paraId="5FE799C6" w14:textId="66AE26BC" w:rsidR="00DA6EC0" w:rsidRPr="00DC2FEE" w:rsidRDefault="009C2260" w:rsidP="002C27C5">
      <w:pPr>
        <w:pStyle w:val="Heading1"/>
        <w:spacing w:after="120"/>
      </w:pPr>
      <w:r w:rsidRPr="00DC2FEE">
        <w:t xml:space="preserve">Abstract </w:t>
      </w:r>
    </w:p>
    <w:p w14:paraId="4F76487A" w14:textId="1162BBAA" w:rsidR="00420660" w:rsidRDefault="00B221DB" w:rsidP="000D7938">
      <w:pPr>
        <w:rPr>
          <w:rFonts w:ascii="Arial" w:hAnsi="Arial" w:cs="Arial"/>
        </w:rPr>
      </w:pPr>
      <w:r w:rsidRPr="26A4AF46">
        <w:rPr>
          <w:rFonts w:ascii="Arial" w:hAnsi="Arial" w:cs="Arial"/>
        </w:rPr>
        <w:t xml:space="preserve">The Knowledge-Aided Assessment </w:t>
      </w:r>
      <w:r w:rsidR="00B056D5">
        <w:rPr>
          <w:rFonts w:ascii="Arial" w:hAnsi="Arial" w:cs="Arial"/>
        </w:rPr>
        <w:t>and</w:t>
      </w:r>
      <w:r w:rsidR="00B056D5" w:rsidRPr="26A4AF46">
        <w:rPr>
          <w:rFonts w:ascii="Arial" w:hAnsi="Arial" w:cs="Arial"/>
        </w:rPr>
        <w:t xml:space="preserve"> </w:t>
      </w:r>
      <w:r w:rsidRPr="26A4AF46">
        <w:rPr>
          <w:rFonts w:ascii="Arial" w:hAnsi="Arial" w:cs="Arial"/>
        </w:rPr>
        <w:t xml:space="preserve">Structured Application (KASA) is an initiative led by the FDA’s Center for Drug Evaluation and Research (CDER) </w:t>
      </w:r>
      <w:r w:rsidR="1784072D" w:rsidRPr="26A4AF46">
        <w:rPr>
          <w:rFonts w:ascii="Arial" w:hAnsi="Arial" w:cs="Arial"/>
        </w:rPr>
        <w:t>which is</w:t>
      </w:r>
      <w:r w:rsidRPr="26A4AF46">
        <w:rPr>
          <w:rFonts w:ascii="Arial" w:hAnsi="Arial" w:cs="Arial"/>
        </w:rPr>
        <w:t xml:space="preserve"> launched within </w:t>
      </w:r>
      <w:r w:rsidR="005C6911" w:rsidRPr="005C6911">
        <w:rPr>
          <w:rFonts w:ascii="Arial" w:hAnsi="Arial" w:cs="Arial"/>
        </w:rPr>
        <w:t xml:space="preserve">CDER’s </w:t>
      </w:r>
      <w:r w:rsidRPr="26A4AF46">
        <w:rPr>
          <w:rFonts w:ascii="Arial" w:hAnsi="Arial" w:cs="Arial"/>
        </w:rPr>
        <w:t xml:space="preserve">Office of Pharmaceutical Quality (OPQ). It is a </w:t>
      </w:r>
      <w:r w:rsidR="00534CF4">
        <w:rPr>
          <w:rFonts w:ascii="Arial" w:hAnsi="Arial" w:cs="Arial"/>
        </w:rPr>
        <w:t xml:space="preserve">platform </w:t>
      </w:r>
      <w:r w:rsidRPr="26A4AF46">
        <w:rPr>
          <w:rFonts w:ascii="Arial" w:hAnsi="Arial" w:cs="Arial"/>
        </w:rPr>
        <w:t xml:space="preserve">designed to </w:t>
      </w:r>
      <w:r w:rsidR="00B67AEA" w:rsidRPr="26A4AF46">
        <w:rPr>
          <w:rFonts w:ascii="Arial" w:hAnsi="Arial" w:cs="Arial"/>
        </w:rPr>
        <w:t>conduct</w:t>
      </w:r>
      <w:r w:rsidRPr="26A4AF46">
        <w:rPr>
          <w:rFonts w:ascii="Arial" w:hAnsi="Arial" w:cs="Arial"/>
        </w:rPr>
        <w:t xml:space="preserve"> the </w:t>
      </w:r>
      <w:r w:rsidR="00095ADB" w:rsidRPr="26A4AF46">
        <w:rPr>
          <w:rFonts w:ascii="Arial" w:hAnsi="Arial" w:cs="Arial"/>
        </w:rPr>
        <w:t xml:space="preserve">quality </w:t>
      </w:r>
      <w:r w:rsidRPr="26A4AF46">
        <w:rPr>
          <w:rFonts w:ascii="Arial" w:hAnsi="Arial" w:cs="Arial"/>
        </w:rPr>
        <w:t>assessment of drug product applications</w:t>
      </w:r>
      <w:r w:rsidR="00756331" w:rsidRPr="26A4AF46">
        <w:rPr>
          <w:rFonts w:ascii="Arial" w:hAnsi="Arial" w:cs="Arial"/>
        </w:rPr>
        <w:t xml:space="preserve"> more efficiently, effectively, and consistently</w:t>
      </w:r>
      <w:r w:rsidR="00CF4128" w:rsidRPr="26A4AF46">
        <w:rPr>
          <w:rFonts w:ascii="Arial" w:hAnsi="Arial" w:cs="Arial"/>
        </w:rPr>
        <w:t>,</w:t>
      </w:r>
      <w:r w:rsidR="00033138" w:rsidRPr="26A4AF46">
        <w:rPr>
          <w:rFonts w:ascii="Arial" w:hAnsi="Arial" w:cs="Arial"/>
        </w:rPr>
        <w:t xml:space="preserve"> </w:t>
      </w:r>
      <w:r w:rsidR="00AD14D3" w:rsidRPr="00AD14D3">
        <w:rPr>
          <w:rFonts w:ascii="Arial" w:hAnsi="Arial" w:cs="Arial"/>
        </w:rPr>
        <w:t>promoting</w:t>
      </w:r>
      <w:r w:rsidR="00033138" w:rsidRPr="26A4AF46">
        <w:rPr>
          <w:rFonts w:ascii="Arial" w:hAnsi="Arial" w:cs="Arial"/>
        </w:rPr>
        <w:t xml:space="preserve"> OPQ’s “One </w:t>
      </w:r>
      <w:r w:rsidR="00431F9F" w:rsidRPr="26A4AF46">
        <w:rPr>
          <w:rFonts w:ascii="Arial" w:hAnsi="Arial" w:cs="Arial"/>
        </w:rPr>
        <w:t>Quality</w:t>
      </w:r>
      <w:r w:rsidR="00033138" w:rsidRPr="26A4AF46">
        <w:rPr>
          <w:rFonts w:ascii="Arial" w:hAnsi="Arial" w:cs="Arial"/>
        </w:rPr>
        <w:t xml:space="preserve"> </w:t>
      </w:r>
      <w:r w:rsidR="00431F9F" w:rsidRPr="26A4AF46">
        <w:rPr>
          <w:rFonts w:ascii="Arial" w:hAnsi="Arial" w:cs="Arial"/>
        </w:rPr>
        <w:t>Voice</w:t>
      </w:r>
      <w:r w:rsidR="00033138" w:rsidRPr="26A4AF46">
        <w:rPr>
          <w:rFonts w:ascii="Arial" w:hAnsi="Arial" w:cs="Arial"/>
        </w:rPr>
        <w:t>”</w:t>
      </w:r>
      <w:r w:rsidRPr="26A4AF46">
        <w:rPr>
          <w:rFonts w:ascii="Arial" w:hAnsi="Arial" w:cs="Arial"/>
        </w:rPr>
        <w:t xml:space="preserve">. KASA is part of CDER’s broader efforts to support the digital transformation of application submission, assessment, and </w:t>
      </w:r>
      <w:r w:rsidR="004C1BB0" w:rsidRPr="26A4AF46">
        <w:rPr>
          <w:rFonts w:ascii="Arial" w:hAnsi="Arial" w:cs="Arial"/>
        </w:rPr>
        <w:t xml:space="preserve">lifecycle </w:t>
      </w:r>
      <w:r w:rsidRPr="26A4AF46">
        <w:rPr>
          <w:rFonts w:ascii="Arial" w:hAnsi="Arial" w:cs="Arial"/>
        </w:rPr>
        <w:t>knowledge management for Chemistry, Manufacturing, and Controls (CMC) data.</w:t>
      </w:r>
      <w:r w:rsidR="002B1A1E" w:rsidRPr="26A4AF46">
        <w:rPr>
          <w:rFonts w:ascii="Arial" w:hAnsi="Arial" w:cs="Arial"/>
        </w:rPr>
        <w:t xml:space="preserve"> </w:t>
      </w:r>
      <w:r w:rsidR="00B83DB1" w:rsidRPr="26A4AF46">
        <w:rPr>
          <w:rFonts w:ascii="Arial" w:hAnsi="Arial" w:cs="Arial"/>
        </w:rPr>
        <w:t>KASA supports</w:t>
      </w:r>
      <w:r w:rsidR="00242E52" w:rsidRPr="26A4AF46">
        <w:rPr>
          <w:rFonts w:ascii="Arial" w:hAnsi="Arial" w:cs="Arial"/>
        </w:rPr>
        <w:t xml:space="preserve"> </w:t>
      </w:r>
      <w:r w:rsidR="0089542F" w:rsidRPr="26A4AF46">
        <w:rPr>
          <w:rFonts w:ascii="Arial" w:hAnsi="Arial" w:cs="Arial"/>
        </w:rPr>
        <w:t xml:space="preserve">CDER’s </w:t>
      </w:r>
      <w:r w:rsidR="008B0B06" w:rsidRPr="26A4AF46">
        <w:rPr>
          <w:rFonts w:ascii="Arial" w:hAnsi="Arial" w:cs="Arial"/>
        </w:rPr>
        <w:t xml:space="preserve">Office of Pharmaceutical </w:t>
      </w:r>
      <w:r w:rsidR="001E3A32" w:rsidRPr="26A4AF46">
        <w:rPr>
          <w:rFonts w:ascii="Arial" w:hAnsi="Arial" w:cs="Arial"/>
        </w:rPr>
        <w:t>Manufacturing</w:t>
      </w:r>
      <w:r w:rsidR="008B0B06" w:rsidRPr="26A4AF46">
        <w:rPr>
          <w:rFonts w:ascii="Arial" w:hAnsi="Arial" w:cs="Arial"/>
        </w:rPr>
        <w:t xml:space="preserve"> Assessment </w:t>
      </w:r>
      <w:r w:rsidR="001E3A32" w:rsidRPr="26A4AF46">
        <w:rPr>
          <w:rFonts w:ascii="Arial" w:hAnsi="Arial" w:cs="Arial"/>
        </w:rPr>
        <w:t xml:space="preserve">(OPMA)’s </w:t>
      </w:r>
      <w:r w:rsidR="008B0B06" w:rsidRPr="26A4AF46">
        <w:rPr>
          <w:rFonts w:ascii="Arial" w:hAnsi="Arial" w:cs="Arial"/>
        </w:rPr>
        <w:t xml:space="preserve">mission </w:t>
      </w:r>
      <w:r w:rsidR="001E3A32" w:rsidRPr="26A4AF46">
        <w:rPr>
          <w:rFonts w:ascii="Arial" w:hAnsi="Arial" w:cs="Arial"/>
        </w:rPr>
        <w:t>which is to</w:t>
      </w:r>
      <w:r w:rsidR="008B0B06" w:rsidRPr="26A4AF46">
        <w:rPr>
          <w:rFonts w:ascii="Arial" w:hAnsi="Arial" w:cs="Arial"/>
        </w:rPr>
        <w:t xml:space="preserve"> assure that quality pharmaceuticals are consistently manufactured over the product lifecycle.</w:t>
      </w:r>
      <w:r w:rsidR="00336A8D" w:rsidRPr="26A4AF46">
        <w:rPr>
          <w:rFonts w:ascii="Arial" w:hAnsi="Arial" w:cs="Arial"/>
        </w:rPr>
        <w:t xml:space="preserve"> </w:t>
      </w:r>
      <w:r w:rsidR="00D012D6" w:rsidRPr="26A4AF46">
        <w:rPr>
          <w:rFonts w:ascii="Arial" w:hAnsi="Arial" w:cs="Arial"/>
        </w:rPr>
        <w:t xml:space="preserve">This paper provides insights into the </w:t>
      </w:r>
      <w:r w:rsidR="001832E4" w:rsidRPr="26A4AF46">
        <w:rPr>
          <w:rFonts w:ascii="Arial" w:hAnsi="Arial" w:cs="Arial"/>
        </w:rPr>
        <w:t xml:space="preserve">OPMA’s </w:t>
      </w:r>
      <w:r w:rsidR="00D012D6" w:rsidRPr="26A4AF46">
        <w:rPr>
          <w:rFonts w:ascii="Arial" w:hAnsi="Arial" w:cs="Arial"/>
        </w:rPr>
        <w:t xml:space="preserve">implementation of manufacturing section for non-sterile solid </w:t>
      </w:r>
      <w:r w:rsidR="005C004D" w:rsidRPr="26A4AF46">
        <w:rPr>
          <w:rFonts w:ascii="Arial" w:hAnsi="Arial" w:cs="Arial"/>
        </w:rPr>
        <w:t xml:space="preserve">oral </w:t>
      </w:r>
      <w:r w:rsidR="00D012D6" w:rsidRPr="26A4AF46">
        <w:rPr>
          <w:rFonts w:ascii="Arial" w:hAnsi="Arial" w:cs="Arial"/>
        </w:rPr>
        <w:t>dosage form (SODF)</w:t>
      </w:r>
      <w:r w:rsidR="00324EF3">
        <w:rPr>
          <w:rFonts w:ascii="Arial" w:hAnsi="Arial" w:cs="Arial"/>
        </w:rPr>
        <w:t xml:space="preserve"> drug products</w:t>
      </w:r>
      <w:r w:rsidR="00D012D6" w:rsidRPr="26A4AF46">
        <w:rPr>
          <w:rFonts w:ascii="Arial" w:hAnsi="Arial" w:cs="Arial"/>
        </w:rPr>
        <w:t xml:space="preserve">, covering both </w:t>
      </w:r>
      <w:r w:rsidR="00611C02" w:rsidRPr="26A4AF46">
        <w:rPr>
          <w:rFonts w:ascii="Arial" w:hAnsi="Arial" w:cs="Arial"/>
        </w:rPr>
        <w:t>manufacturing</w:t>
      </w:r>
      <w:r w:rsidR="00B7528D" w:rsidRPr="26A4AF46">
        <w:rPr>
          <w:rFonts w:ascii="Arial" w:hAnsi="Arial" w:cs="Arial"/>
        </w:rPr>
        <w:t xml:space="preserve"> process</w:t>
      </w:r>
      <w:r w:rsidR="00611C02" w:rsidRPr="26A4AF46">
        <w:rPr>
          <w:rFonts w:ascii="Arial" w:hAnsi="Arial" w:cs="Arial"/>
        </w:rPr>
        <w:t xml:space="preserve"> </w:t>
      </w:r>
      <w:r w:rsidR="00D012D6" w:rsidRPr="26A4AF46">
        <w:rPr>
          <w:rFonts w:ascii="Arial" w:hAnsi="Arial" w:cs="Arial"/>
        </w:rPr>
        <w:t xml:space="preserve">and facility aspects, within the </w:t>
      </w:r>
      <w:r w:rsidR="007F6FB5" w:rsidRPr="26A4AF46">
        <w:rPr>
          <w:rFonts w:ascii="Arial" w:hAnsi="Arial" w:cs="Arial"/>
        </w:rPr>
        <w:t>KASA platform</w:t>
      </w:r>
      <w:r w:rsidR="00D012D6" w:rsidRPr="26A4AF46">
        <w:rPr>
          <w:rFonts w:ascii="Arial" w:hAnsi="Arial" w:cs="Arial"/>
        </w:rPr>
        <w:t xml:space="preserve"> for Abbreviated New Drug Applications (ANDAs)</w:t>
      </w:r>
      <w:r w:rsidR="00AF608B" w:rsidRPr="26A4AF46">
        <w:rPr>
          <w:rFonts w:ascii="Arial" w:hAnsi="Arial" w:cs="Arial"/>
        </w:rPr>
        <w:t>.</w:t>
      </w:r>
      <w:r w:rsidR="008A6424" w:rsidRPr="26A4AF46">
        <w:rPr>
          <w:rFonts w:ascii="Arial" w:hAnsi="Arial" w:cs="Arial"/>
        </w:rPr>
        <w:t xml:space="preserve"> </w:t>
      </w:r>
      <w:r w:rsidR="00236C5A" w:rsidRPr="26A4AF46">
        <w:rPr>
          <w:rFonts w:ascii="Arial" w:hAnsi="Arial" w:cs="Arial"/>
        </w:rPr>
        <w:t>We provide details how key features of KASA, such as structured applications and knowledge-</w:t>
      </w:r>
      <w:r w:rsidR="001169DB" w:rsidRPr="26A4AF46">
        <w:rPr>
          <w:rFonts w:ascii="Arial" w:hAnsi="Arial" w:cs="Arial"/>
        </w:rPr>
        <w:t xml:space="preserve">aided </w:t>
      </w:r>
      <w:r w:rsidR="00236C5A" w:rsidRPr="26A4AF46">
        <w:rPr>
          <w:rFonts w:ascii="Arial" w:hAnsi="Arial" w:cs="Arial"/>
        </w:rPr>
        <w:t xml:space="preserve">tools, enable </w:t>
      </w:r>
      <w:r w:rsidR="00AB25FD" w:rsidRPr="26A4AF46">
        <w:rPr>
          <w:rFonts w:ascii="Arial" w:hAnsi="Arial" w:cs="Arial"/>
        </w:rPr>
        <w:t xml:space="preserve">manufacturing </w:t>
      </w:r>
      <w:r w:rsidR="00236C5A" w:rsidRPr="26A4AF46">
        <w:rPr>
          <w:rFonts w:ascii="Arial" w:hAnsi="Arial" w:cs="Arial"/>
        </w:rPr>
        <w:t xml:space="preserve">assessors to perform </w:t>
      </w:r>
      <w:r w:rsidR="002628F2" w:rsidRPr="26A4AF46">
        <w:rPr>
          <w:rFonts w:ascii="Arial" w:hAnsi="Arial" w:cs="Arial"/>
        </w:rPr>
        <w:t xml:space="preserve">assessment using </w:t>
      </w:r>
      <w:r w:rsidR="00236C5A" w:rsidRPr="26A4AF46">
        <w:rPr>
          <w:rFonts w:ascii="Arial" w:hAnsi="Arial" w:cs="Arial"/>
        </w:rPr>
        <w:t xml:space="preserve">scientific and risk-based </w:t>
      </w:r>
      <w:r w:rsidR="002628F2" w:rsidRPr="26A4AF46">
        <w:rPr>
          <w:rFonts w:ascii="Arial" w:hAnsi="Arial" w:cs="Arial"/>
        </w:rPr>
        <w:t>approaches</w:t>
      </w:r>
      <w:r w:rsidR="00101832" w:rsidRPr="26A4AF46">
        <w:rPr>
          <w:rFonts w:ascii="Arial" w:hAnsi="Arial" w:cs="Arial"/>
        </w:rPr>
        <w:t>,</w:t>
      </w:r>
      <w:r w:rsidR="002628F2" w:rsidRPr="26A4AF46">
        <w:rPr>
          <w:rFonts w:ascii="Arial" w:hAnsi="Arial" w:cs="Arial"/>
        </w:rPr>
        <w:t xml:space="preserve"> </w:t>
      </w:r>
      <w:r w:rsidR="00236C5A" w:rsidRPr="26A4AF46">
        <w:rPr>
          <w:rFonts w:ascii="Arial" w:hAnsi="Arial" w:cs="Arial"/>
        </w:rPr>
        <w:t>and</w:t>
      </w:r>
      <w:r w:rsidR="0035332D" w:rsidRPr="26A4AF46">
        <w:rPr>
          <w:rFonts w:ascii="Arial" w:hAnsi="Arial" w:cs="Arial"/>
        </w:rPr>
        <w:t xml:space="preserve"> </w:t>
      </w:r>
      <w:r w:rsidR="00226F5E" w:rsidRPr="26A4AF46">
        <w:rPr>
          <w:rFonts w:ascii="Arial" w:hAnsi="Arial" w:cs="Arial"/>
        </w:rPr>
        <w:t xml:space="preserve">promote </w:t>
      </w:r>
      <w:r w:rsidR="00236C5A" w:rsidRPr="26A4AF46">
        <w:rPr>
          <w:rFonts w:ascii="Arial" w:hAnsi="Arial" w:cs="Arial"/>
        </w:rPr>
        <w:t xml:space="preserve">lifecycle knowledge </w:t>
      </w:r>
      <w:r w:rsidR="0035332D" w:rsidRPr="26A4AF46">
        <w:rPr>
          <w:rFonts w:ascii="Arial" w:hAnsi="Arial" w:cs="Arial"/>
        </w:rPr>
        <w:t>management</w:t>
      </w:r>
      <w:r w:rsidR="00236C5A" w:rsidRPr="26A4AF46">
        <w:rPr>
          <w:rFonts w:ascii="Arial" w:hAnsi="Arial" w:cs="Arial"/>
        </w:rPr>
        <w:t>. Additionally, we highlight the quantitative risk models embedded in the KASA</w:t>
      </w:r>
      <w:r w:rsidR="00A8521E" w:rsidRPr="26A4AF46">
        <w:rPr>
          <w:rFonts w:ascii="Arial" w:hAnsi="Arial" w:cs="Arial"/>
        </w:rPr>
        <w:t xml:space="preserve"> manufacturing section </w:t>
      </w:r>
      <w:r w:rsidR="00D83DA3" w:rsidRPr="26A4AF46">
        <w:rPr>
          <w:rFonts w:ascii="Arial" w:hAnsi="Arial" w:cs="Arial"/>
        </w:rPr>
        <w:t xml:space="preserve">for </w:t>
      </w:r>
      <w:r w:rsidR="0006642E" w:rsidRPr="0006642E">
        <w:rPr>
          <w:rFonts w:ascii="Arial" w:hAnsi="Arial" w:cs="Arial"/>
        </w:rPr>
        <w:t xml:space="preserve">non-sterile </w:t>
      </w:r>
      <w:r w:rsidR="00E632C8" w:rsidRPr="26A4AF46">
        <w:rPr>
          <w:rFonts w:ascii="Arial" w:hAnsi="Arial" w:cs="Arial"/>
        </w:rPr>
        <w:t>SODF drug products</w:t>
      </w:r>
      <w:r w:rsidR="00236C5A" w:rsidRPr="26A4AF46">
        <w:rPr>
          <w:rFonts w:ascii="Arial" w:hAnsi="Arial" w:cs="Arial"/>
        </w:rPr>
        <w:t xml:space="preserve">, which </w:t>
      </w:r>
      <w:r w:rsidR="00132E86" w:rsidRPr="26A4AF46">
        <w:rPr>
          <w:rFonts w:ascii="Arial" w:hAnsi="Arial" w:cs="Arial"/>
        </w:rPr>
        <w:t>generate</w:t>
      </w:r>
      <w:r w:rsidR="00DF1A8D" w:rsidRPr="26A4AF46">
        <w:rPr>
          <w:rFonts w:ascii="Arial" w:hAnsi="Arial" w:cs="Arial"/>
        </w:rPr>
        <w:t xml:space="preserve"> </w:t>
      </w:r>
      <w:r w:rsidR="00236C5A" w:rsidRPr="26A4AF46">
        <w:rPr>
          <w:rFonts w:ascii="Arial" w:hAnsi="Arial" w:cs="Arial"/>
        </w:rPr>
        <w:t xml:space="preserve">initial risks related to </w:t>
      </w:r>
      <w:r w:rsidR="00DF1A8D" w:rsidRPr="26A4AF46">
        <w:rPr>
          <w:rFonts w:ascii="Arial" w:hAnsi="Arial" w:cs="Arial"/>
        </w:rPr>
        <w:t>manufacturing process and facility</w:t>
      </w:r>
      <w:r w:rsidR="00236C5A" w:rsidRPr="26A4AF46">
        <w:rPr>
          <w:rFonts w:ascii="Arial" w:hAnsi="Arial" w:cs="Arial"/>
        </w:rPr>
        <w:t xml:space="preserve"> in terms of drug </w:t>
      </w:r>
      <w:r w:rsidR="00775469" w:rsidRPr="26A4AF46">
        <w:rPr>
          <w:rFonts w:ascii="Arial" w:hAnsi="Arial" w:cs="Arial"/>
        </w:rPr>
        <w:t xml:space="preserve">product </w:t>
      </w:r>
      <w:r w:rsidR="00236C5A" w:rsidRPr="26A4AF46">
        <w:rPr>
          <w:rFonts w:ascii="Arial" w:hAnsi="Arial" w:cs="Arial"/>
        </w:rPr>
        <w:t>quality. The paper also describes the risk control strategies implemented within the KASA framework</w:t>
      </w:r>
      <w:r w:rsidR="006176A4">
        <w:rPr>
          <w:rFonts w:ascii="Arial" w:hAnsi="Arial" w:cs="Arial"/>
        </w:rPr>
        <w:t>.</w:t>
      </w:r>
      <w:r w:rsidR="00262979">
        <w:rPr>
          <w:rFonts w:ascii="Arial" w:hAnsi="Arial" w:cs="Arial"/>
        </w:rPr>
        <w:t xml:space="preserve"> </w:t>
      </w:r>
      <w:r w:rsidR="00905A77" w:rsidRPr="00905A77">
        <w:rPr>
          <w:rFonts w:ascii="Arial" w:hAnsi="Arial" w:cs="Arial"/>
        </w:rPr>
        <w:t>As of September 2024,</w:t>
      </w:r>
      <w:r w:rsidR="7A93824E" w:rsidRPr="26A4AF46">
        <w:rPr>
          <w:rFonts w:ascii="Arial" w:hAnsi="Arial" w:cs="Arial"/>
        </w:rPr>
        <w:t xml:space="preserve"> </w:t>
      </w:r>
      <w:r w:rsidR="00E816B4" w:rsidRPr="26A4AF46">
        <w:rPr>
          <w:rFonts w:ascii="Arial" w:hAnsi="Arial" w:cs="Arial"/>
        </w:rPr>
        <w:t xml:space="preserve">over 1,130 manufacturing </w:t>
      </w:r>
      <w:r w:rsidR="007777D4" w:rsidRPr="26A4AF46">
        <w:rPr>
          <w:rFonts w:ascii="Arial" w:hAnsi="Arial" w:cs="Arial"/>
        </w:rPr>
        <w:t xml:space="preserve">assessments </w:t>
      </w:r>
      <w:r w:rsidR="00E816B4" w:rsidRPr="26A4AF46">
        <w:rPr>
          <w:rFonts w:ascii="Arial" w:hAnsi="Arial" w:cs="Arial"/>
        </w:rPr>
        <w:t xml:space="preserve">of original </w:t>
      </w:r>
      <w:r w:rsidR="00FE2982" w:rsidRPr="26A4AF46">
        <w:rPr>
          <w:rFonts w:ascii="Arial" w:hAnsi="Arial" w:cs="Arial"/>
        </w:rPr>
        <w:t xml:space="preserve">ANDAs </w:t>
      </w:r>
      <w:r w:rsidR="00E419AA" w:rsidRPr="26A4AF46">
        <w:rPr>
          <w:rFonts w:ascii="Arial" w:hAnsi="Arial" w:cs="Arial"/>
        </w:rPr>
        <w:t>for non-sterile SODF drug products</w:t>
      </w:r>
      <w:r w:rsidR="00FE2982" w:rsidRPr="26A4AF46">
        <w:rPr>
          <w:rFonts w:ascii="Arial" w:hAnsi="Arial" w:cs="Arial"/>
        </w:rPr>
        <w:t xml:space="preserve"> </w:t>
      </w:r>
      <w:r w:rsidR="00E816B4" w:rsidRPr="26A4AF46">
        <w:rPr>
          <w:rFonts w:ascii="Arial" w:hAnsi="Arial" w:cs="Arial"/>
        </w:rPr>
        <w:t>have been completed</w:t>
      </w:r>
      <w:r w:rsidR="00611C02" w:rsidRPr="26A4AF46">
        <w:rPr>
          <w:rFonts w:ascii="Arial" w:hAnsi="Arial" w:cs="Arial"/>
        </w:rPr>
        <w:t xml:space="preserve"> </w:t>
      </w:r>
      <w:r w:rsidR="00E816B4" w:rsidRPr="26A4AF46">
        <w:rPr>
          <w:rFonts w:ascii="Arial" w:hAnsi="Arial" w:cs="Arial"/>
        </w:rPr>
        <w:t xml:space="preserve">with at least </w:t>
      </w:r>
      <w:r w:rsidR="00611C02" w:rsidRPr="26A4AF46">
        <w:rPr>
          <w:rFonts w:ascii="Arial" w:hAnsi="Arial" w:cs="Arial"/>
        </w:rPr>
        <w:t>the</w:t>
      </w:r>
      <w:r w:rsidR="00E816B4" w:rsidRPr="26A4AF46">
        <w:rPr>
          <w:rFonts w:ascii="Arial" w:hAnsi="Arial" w:cs="Arial"/>
        </w:rPr>
        <w:t xml:space="preserve"> first </w:t>
      </w:r>
      <w:r w:rsidR="00AD51E6">
        <w:rPr>
          <w:rFonts w:ascii="Arial" w:hAnsi="Arial" w:cs="Arial"/>
        </w:rPr>
        <w:t>review</w:t>
      </w:r>
      <w:r w:rsidR="005075C5" w:rsidRPr="26A4AF46">
        <w:rPr>
          <w:rFonts w:ascii="Arial" w:hAnsi="Arial" w:cs="Arial"/>
        </w:rPr>
        <w:t xml:space="preserve"> </w:t>
      </w:r>
      <w:r w:rsidR="00E816B4" w:rsidRPr="26A4AF46">
        <w:rPr>
          <w:rFonts w:ascii="Arial" w:hAnsi="Arial" w:cs="Arial"/>
        </w:rPr>
        <w:t xml:space="preserve">cycle, using the </w:t>
      </w:r>
      <w:r w:rsidR="00CC61D7" w:rsidRPr="26A4AF46">
        <w:rPr>
          <w:rFonts w:ascii="Arial" w:hAnsi="Arial" w:cs="Arial"/>
        </w:rPr>
        <w:t>KASA</w:t>
      </w:r>
      <w:r w:rsidR="00E76F10" w:rsidRPr="26A4AF46">
        <w:rPr>
          <w:rFonts w:ascii="Arial" w:hAnsi="Arial" w:cs="Arial"/>
        </w:rPr>
        <w:t xml:space="preserve"> platform</w:t>
      </w:r>
      <w:r w:rsidR="00A7215E">
        <w:rPr>
          <w:rFonts w:ascii="Arial" w:hAnsi="Arial" w:cs="Arial"/>
        </w:rPr>
        <w:t xml:space="preserve"> since its launch in </w:t>
      </w:r>
      <w:r w:rsidR="00CC521D">
        <w:rPr>
          <w:rFonts w:ascii="Arial" w:hAnsi="Arial" w:cs="Arial"/>
        </w:rPr>
        <w:t xml:space="preserve">February </w:t>
      </w:r>
      <w:r w:rsidR="00A7215E">
        <w:rPr>
          <w:rFonts w:ascii="Arial" w:hAnsi="Arial" w:cs="Arial"/>
        </w:rPr>
        <w:t>2021.</w:t>
      </w:r>
      <w:r w:rsidR="00E816B4" w:rsidRPr="26A4AF46">
        <w:rPr>
          <w:rFonts w:ascii="Arial" w:hAnsi="Arial" w:cs="Arial"/>
        </w:rPr>
        <w:t xml:space="preserve"> This demonstrates the success of implementation </w:t>
      </w:r>
      <w:r w:rsidR="00E74FC8" w:rsidRPr="26A4AF46">
        <w:rPr>
          <w:rFonts w:ascii="Arial" w:hAnsi="Arial" w:cs="Arial"/>
        </w:rPr>
        <w:t xml:space="preserve">of KASA </w:t>
      </w:r>
      <w:r w:rsidR="00E816B4" w:rsidRPr="26A4AF46">
        <w:rPr>
          <w:rFonts w:ascii="Arial" w:hAnsi="Arial" w:cs="Arial"/>
        </w:rPr>
        <w:t xml:space="preserve">in </w:t>
      </w:r>
      <w:r w:rsidR="00770091">
        <w:rPr>
          <w:rFonts w:ascii="Arial" w:hAnsi="Arial" w:cs="Arial"/>
        </w:rPr>
        <w:t xml:space="preserve">OPMA’s manufacturing assessment </w:t>
      </w:r>
      <w:r w:rsidR="00B02AF4">
        <w:rPr>
          <w:rFonts w:ascii="Arial" w:hAnsi="Arial" w:cs="Arial"/>
        </w:rPr>
        <w:t xml:space="preserve">in support of </w:t>
      </w:r>
      <w:r w:rsidR="00736425" w:rsidRPr="26A4AF46">
        <w:rPr>
          <w:rFonts w:ascii="Arial" w:hAnsi="Arial" w:cs="Arial"/>
        </w:rPr>
        <w:t xml:space="preserve">OPQ’s </w:t>
      </w:r>
      <w:r w:rsidR="00E816B4" w:rsidRPr="26A4AF46">
        <w:rPr>
          <w:rFonts w:ascii="Arial" w:hAnsi="Arial" w:cs="Arial"/>
        </w:rPr>
        <w:t xml:space="preserve">regulatory </w:t>
      </w:r>
      <w:r w:rsidR="5630867A" w:rsidRPr="26A4AF46">
        <w:rPr>
          <w:rFonts w:ascii="Arial" w:hAnsi="Arial" w:cs="Arial"/>
        </w:rPr>
        <w:t>assessments</w:t>
      </w:r>
      <w:r w:rsidR="00420660" w:rsidRPr="26A4AF46">
        <w:rPr>
          <w:rFonts w:ascii="Arial" w:hAnsi="Arial" w:cs="Arial"/>
        </w:rPr>
        <w:t>.</w:t>
      </w:r>
    </w:p>
    <w:p w14:paraId="3AA62CD5" w14:textId="77777777" w:rsidR="00420660" w:rsidRDefault="00420660" w:rsidP="000D7938">
      <w:pPr>
        <w:rPr>
          <w:rFonts w:ascii="Arial" w:hAnsi="Arial" w:cs="Arial"/>
        </w:rPr>
      </w:pPr>
    </w:p>
    <w:p w14:paraId="0990AD02" w14:textId="0F7536D1" w:rsidR="003D5A34" w:rsidRDefault="00420660" w:rsidP="002C27C5">
      <w:pPr>
        <w:pStyle w:val="Heading1"/>
        <w:spacing w:after="120"/>
      </w:pPr>
      <w:r>
        <w:t>Keywords</w:t>
      </w:r>
    </w:p>
    <w:p w14:paraId="44DBD202" w14:textId="3008B28A" w:rsidR="003D5A34" w:rsidRPr="0028149C" w:rsidRDefault="00C87D6A" w:rsidP="000D7938">
      <w:pPr>
        <w:rPr>
          <w:rFonts w:ascii="Arial" w:hAnsi="Arial" w:cs="Arial"/>
        </w:rPr>
      </w:pPr>
      <w:r w:rsidRPr="5DD244B7">
        <w:rPr>
          <w:rFonts w:ascii="Arial" w:hAnsi="Arial" w:cs="Arial"/>
        </w:rPr>
        <w:t xml:space="preserve">KASA, </w:t>
      </w:r>
      <w:r w:rsidR="001E7302" w:rsidRPr="5DD244B7">
        <w:rPr>
          <w:rFonts w:ascii="Arial" w:hAnsi="Arial" w:cs="Arial"/>
        </w:rPr>
        <w:t xml:space="preserve">Manufacturing, </w:t>
      </w:r>
      <w:r w:rsidR="00A24241" w:rsidRPr="5DD244B7">
        <w:rPr>
          <w:rFonts w:ascii="Arial" w:hAnsi="Arial" w:cs="Arial"/>
        </w:rPr>
        <w:t xml:space="preserve">Quality </w:t>
      </w:r>
      <w:r w:rsidR="00E57DCB" w:rsidRPr="5DD244B7">
        <w:rPr>
          <w:rFonts w:ascii="Arial" w:hAnsi="Arial" w:cs="Arial"/>
        </w:rPr>
        <w:t>Assessment</w:t>
      </w:r>
      <w:r w:rsidR="00A24241" w:rsidRPr="5DD244B7">
        <w:rPr>
          <w:rFonts w:ascii="Arial" w:hAnsi="Arial" w:cs="Arial"/>
        </w:rPr>
        <w:t xml:space="preserve">, </w:t>
      </w:r>
      <w:r w:rsidR="00C22DD2" w:rsidRPr="5DD244B7">
        <w:rPr>
          <w:rFonts w:ascii="Arial" w:hAnsi="Arial" w:cs="Arial"/>
        </w:rPr>
        <w:t xml:space="preserve">Non-Sterile Solid Oral Dosage </w:t>
      </w:r>
      <w:r w:rsidR="00B10AE1" w:rsidRPr="5DD244B7">
        <w:rPr>
          <w:rFonts w:ascii="Arial" w:hAnsi="Arial" w:cs="Arial"/>
        </w:rPr>
        <w:t>Form,</w:t>
      </w:r>
      <w:r w:rsidR="00C22DD2" w:rsidRPr="5DD244B7">
        <w:rPr>
          <w:rFonts w:ascii="Arial" w:hAnsi="Arial" w:cs="Arial"/>
        </w:rPr>
        <w:t xml:space="preserve"> </w:t>
      </w:r>
      <w:r w:rsidR="009A26EC" w:rsidRPr="5DD244B7">
        <w:rPr>
          <w:rFonts w:ascii="Arial" w:hAnsi="Arial" w:cs="Arial"/>
        </w:rPr>
        <w:t>Lifecy</w:t>
      </w:r>
      <w:r w:rsidR="00657118">
        <w:rPr>
          <w:rFonts w:ascii="Arial" w:hAnsi="Arial" w:cs="Arial"/>
        </w:rPr>
        <w:t>c</w:t>
      </w:r>
      <w:r w:rsidR="009A26EC" w:rsidRPr="5DD244B7">
        <w:rPr>
          <w:rFonts w:ascii="Arial" w:hAnsi="Arial" w:cs="Arial"/>
        </w:rPr>
        <w:t xml:space="preserve">le </w:t>
      </w:r>
      <w:r w:rsidR="00A24241" w:rsidRPr="5DD244B7">
        <w:rPr>
          <w:rFonts w:ascii="Arial" w:hAnsi="Arial" w:cs="Arial"/>
        </w:rPr>
        <w:t xml:space="preserve">Knowledge Management, </w:t>
      </w:r>
      <w:r w:rsidR="0028149C" w:rsidRPr="5DD244B7">
        <w:rPr>
          <w:rFonts w:ascii="Arial" w:hAnsi="Arial" w:cs="Arial"/>
        </w:rPr>
        <w:t xml:space="preserve">Risk </w:t>
      </w:r>
      <w:r w:rsidR="00512900" w:rsidRPr="5DD244B7">
        <w:rPr>
          <w:rFonts w:ascii="Arial" w:hAnsi="Arial" w:cs="Arial"/>
        </w:rPr>
        <w:t>Assessment</w:t>
      </w:r>
    </w:p>
    <w:p w14:paraId="2F3CE5DF" w14:textId="77777777" w:rsidR="00985434" w:rsidRDefault="00985434" w:rsidP="000D7938">
      <w:pPr>
        <w:rPr>
          <w:b/>
          <w:bCs/>
        </w:rPr>
      </w:pPr>
    </w:p>
    <w:p w14:paraId="30A9D24C" w14:textId="4AC1AE58" w:rsidR="00C936FD" w:rsidRDefault="00C936FD">
      <w:pPr>
        <w:rPr>
          <w:rFonts w:ascii="Arial" w:hAnsi="Arial" w:cs="Arial"/>
        </w:rPr>
      </w:pPr>
      <w:r>
        <w:rPr>
          <w:rFonts w:ascii="Arial" w:hAnsi="Arial" w:cs="Arial"/>
        </w:rPr>
        <w:br w:type="page"/>
      </w:r>
    </w:p>
    <w:p w14:paraId="034A377F" w14:textId="77777777" w:rsidR="00985434" w:rsidRPr="000D7938" w:rsidRDefault="00985434" w:rsidP="000D7938">
      <w:pPr>
        <w:rPr>
          <w:rFonts w:ascii="Arial" w:hAnsi="Arial" w:cs="Arial"/>
        </w:rPr>
      </w:pPr>
    </w:p>
    <w:p w14:paraId="4E6E2119" w14:textId="04023DB0" w:rsidR="00696A0B" w:rsidRPr="00935C4F" w:rsidRDefault="00696A0B" w:rsidP="00CC37D9">
      <w:pPr>
        <w:pStyle w:val="Heading1"/>
        <w:numPr>
          <w:ilvl w:val="0"/>
          <w:numId w:val="10"/>
        </w:numPr>
        <w:spacing w:after="120"/>
        <w:ind w:left="360"/>
        <w:jc w:val="both"/>
        <w:rPr>
          <w:szCs w:val="28"/>
        </w:rPr>
      </w:pPr>
      <w:r w:rsidRPr="00935C4F">
        <w:rPr>
          <w:szCs w:val="28"/>
        </w:rPr>
        <w:t>Introduction</w:t>
      </w:r>
    </w:p>
    <w:p w14:paraId="49172F85" w14:textId="3FF9B7FC" w:rsidR="002D11BF" w:rsidRPr="0097627C" w:rsidRDefault="0016789C" w:rsidP="6E98053B">
      <w:pPr>
        <w:rPr>
          <w:rFonts w:ascii="Arial" w:hAnsi="Arial" w:cs="Arial"/>
        </w:rPr>
      </w:pPr>
      <w:r w:rsidRPr="0097627C">
        <w:rPr>
          <w:rFonts w:ascii="Arial" w:hAnsi="Arial" w:cs="Arial"/>
          <w:color w:val="000000" w:themeColor="text1"/>
        </w:rPr>
        <w:t xml:space="preserve">Knowledge-Aided Assessment </w:t>
      </w:r>
      <w:r w:rsidR="00B056D5">
        <w:rPr>
          <w:rFonts w:ascii="Arial" w:hAnsi="Arial" w:cs="Arial"/>
          <w:color w:val="000000" w:themeColor="text1"/>
        </w:rPr>
        <w:t>and</w:t>
      </w:r>
      <w:r w:rsidR="00B056D5" w:rsidRPr="0097627C">
        <w:rPr>
          <w:rFonts w:ascii="Arial" w:hAnsi="Arial" w:cs="Arial"/>
          <w:color w:val="000000" w:themeColor="text1"/>
        </w:rPr>
        <w:t xml:space="preserve"> </w:t>
      </w:r>
      <w:r w:rsidRPr="0097627C">
        <w:rPr>
          <w:rFonts w:ascii="Arial" w:hAnsi="Arial" w:cs="Arial"/>
          <w:color w:val="000000" w:themeColor="text1"/>
        </w:rPr>
        <w:t xml:space="preserve">Structured Application (KASA) is </w:t>
      </w:r>
      <w:r w:rsidR="00CF7A9E" w:rsidRPr="0097627C">
        <w:rPr>
          <w:rFonts w:ascii="Arial" w:hAnsi="Arial" w:cs="Arial"/>
          <w:color w:val="000000" w:themeColor="text1"/>
        </w:rPr>
        <w:t>an</w:t>
      </w:r>
      <w:r w:rsidR="007577E2" w:rsidRPr="0097627C">
        <w:rPr>
          <w:rFonts w:ascii="Arial" w:hAnsi="Arial" w:cs="Arial"/>
          <w:color w:val="000000" w:themeColor="text1"/>
        </w:rPr>
        <w:t xml:space="preserve"> </w:t>
      </w:r>
      <w:r w:rsidR="58B96158" w:rsidRPr="0097627C">
        <w:rPr>
          <w:rFonts w:ascii="Arial" w:hAnsi="Arial" w:cs="Arial"/>
          <w:color w:val="000000" w:themeColor="text1"/>
        </w:rPr>
        <w:t>FDA</w:t>
      </w:r>
      <w:r w:rsidR="007577E2" w:rsidRPr="0097627C">
        <w:rPr>
          <w:rFonts w:ascii="Arial" w:hAnsi="Arial" w:cs="Arial"/>
          <w:color w:val="000000" w:themeColor="text1"/>
        </w:rPr>
        <w:t xml:space="preserve"> wide</w:t>
      </w:r>
      <w:r w:rsidRPr="0097627C">
        <w:rPr>
          <w:rFonts w:ascii="Arial" w:hAnsi="Arial" w:cs="Arial"/>
          <w:color w:val="000000" w:themeColor="text1"/>
        </w:rPr>
        <w:t xml:space="preserve"> initiative led by the </w:t>
      </w:r>
      <w:r w:rsidR="00E307B5" w:rsidRPr="0097627C">
        <w:rPr>
          <w:rFonts w:ascii="Arial" w:hAnsi="Arial" w:cs="Arial"/>
          <w:color w:val="000000" w:themeColor="text1"/>
        </w:rPr>
        <w:t>FDA’s Center for Drug Evaluation and Research (CDER)</w:t>
      </w:r>
      <w:r w:rsidRPr="0097627C">
        <w:rPr>
          <w:rFonts w:ascii="Arial" w:hAnsi="Arial" w:cs="Arial"/>
          <w:color w:val="000000" w:themeColor="text1"/>
        </w:rPr>
        <w:t>,</w:t>
      </w:r>
      <w:r w:rsidR="0D08E98A" w:rsidRPr="0097627C">
        <w:rPr>
          <w:rFonts w:ascii="Arial" w:hAnsi="Arial" w:cs="Arial"/>
          <w:color w:val="000000" w:themeColor="text1"/>
        </w:rPr>
        <w:t xml:space="preserve"> which was </w:t>
      </w:r>
      <w:r w:rsidR="585FFD46" w:rsidRPr="0097627C">
        <w:rPr>
          <w:rFonts w:ascii="Arial" w:hAnsi="Arial" w:cs="Arial"/>
          <w:color w:val="000000" w:themeColor="text1"/>
        </w:rPr>
        <w:t>launched</w:t>
      </w:r>
      <w:r w:rsidR="0D08E98A" w:rsidRPr="0097627C">
        <w:rPr>
          <w:rFonts w:ascii="Arial" w:hAnsi="Arial" w:cs="Arial"/>
          <w:color w:val="000000" w:themeColor="text1"/>
        </w:rPr>
        <w:t xml:space="preserve"> in OPQ in </w:t>
      </w:r>
      <w:r w:rsidR="00CC5B75">
        <w:rPr>
          <w:rFonts w:ascii="Arial" w:hAnsi="Arial" w:cs="Arial"/>
          <w:color w:val="000000" w:themeColor="text1"/>
        </w:rPr>
        <w:t xml:space="preserve">February </w:t>
      </w:r>
      <w:r w:rsidR="0D08E98A" w:rsidRPr="0097627C">
        <w:rPr>
          <w:rFonts w:ascii="Arial" w:hAnsi="Arial" w:cs="Arial"/>
          <w:color w:val="000000" w:themeColor="text1"/>
        </w:rPr>
        <w:t>20</w:t>
      </w:r>
      <w:r w:rsidR="329855D1" w:rsidRPr="0097627C">
        <w:rPr>
          <w:rFonts w:ascii="Arial" w:hAnsi="Arial" w:cs="Arial"/>
          <w:color w:val="000000" w:themeColor="text1"/>
        </w:rPr>
        <w:t>21 for SODF</w:t>
      </w:r>
      <w:r w:rsidR="00066E5B">
        <w:rPr>
          <w:rFonts w:ascii="Arial" w:hAnsi="Arial" w:cs="Arial"/>
          <w:color w:val="000000" w:themeColor="text1"/>
        </w:rPr>
        <w:t xml:space="preserve"> drug product</w:t>
      </w:r>
      <w:r w:rsidR="00DB2F76" w:rsidRPr="0097627C">
        <w:rPr>
          <w:rFonts w:ascii="Arial" w:hAnsi="Arial" w:cs="Arial"/>
          <w:color w:val="000000" w:themeColor="text1"/>
        </w:rPr>
        <w:t>s</w:t>
      </w:r>
      <w:r w:rsidR="329855D1" w:rsidRPr="0097627C">
        <w:rPr>
          <w:rFonts w:ascii="Arial" w:hAnsi="Arial" w:cs="Arial"/>
          <w:color w:val="000000" w:themeColor="text1"/>
        </w:rPr>
        <w:t xml:space="preserve"> for ANDAs.</w:t>
      </w:r>
      <w:r w:rsidRPr="0097627C">
        <w:rPr>
          <w:rFonts w:ascii="Arial" w:hAnsi="Arial" w:cs="Arial"/>
          <w:color w:val="000000" w:themeColor="text1"/>
        </w:rPr>
        <w:t xml:space="preserve"> </w:t>
      </w:r>
      <w:r w:rsidR="00AF207C" w:rsidRPr="0097627C">
        <w:rPr>
          <w:rFonts w:ascii="Arial" w:hAnsi="Arial" w:cs="Arial"/>
          <w:color w:val="000000" w:themeColor="text1"/>
        </w:rPr>
        <w:t xml:space="preserve">KASA </w:t>
      </w:r>
      <w:r w:rsidR="00DD55CE" w:rsidRPr="0097627C">
        <w:rPr>
          <w:rFonts w:ascii="Arial" w:hAnsi="Arial" w:cs="Arial"/>
          <w:color w:val="000000" w:themeColor="text1"/>
        </w:rPr>
        <w:t xml:space="preserve">platform </w:t>
      </w:r>
      <w:r w:rsidR="00AF207C" w:rsidRPr="0097627C">
        <w:rPr>
          <w:rFonts w:ascii="Arial" w:hAnsi="Arial" w:cs="Arial"/>
          <w:color w:val="000000" w:themeColor="text1"/>
        </w:rPr>
        <w:t xml:space="preserve">is a system designed to help FDA </w:t>
      </w:r>
      <w:r w:rsidR="0035766C" w:rsidRPr="0097627C">
        <w:rPr>
          <w:rFonts w:ascii="Arial" w:hAnsi="Arial" w:cs="Arial"/>
          <w:color w:val="000000" w:themeColor="text1"/>
        </w:rPr>
        <w:t xml:space="preserve">assessors </w:t>
      </w:r>
      <w:r w:rsidR="00AF207C" w:rsidRPr="0097627C">
        <w:rPr>
          <w:rFonts w:ascii="Arial" w:hAnsi="Arial" w:cs="Arial"/>
          <w:color w:val="000000" w:themeColor="text1"/>
        </w:rPr>
        <w:t xml:space="preserve">to conduct </w:t>
      </w:r>
      <w:r w:rsidR="00480B9B" w:rsidRPr="0097627C">
        <w:rPr>
          <w:rFonts w:ascii="Arial" w:hAnsi="Arial" w:cs="Arial"/>
          <w:color w:val="000000" w:themeColor="text1"/>
        </w:rPr>
        <w:t xml:space="preserve">quality assessment </w:t>
      </w:r>
      <w:r w:rsidR="008C362F" w:rsidRPr="0097627C">
        <w:rPr>
          <w:rFonts w:ascii="Arial" w:hAnsi="Arial" w:cs="Arial"/>
          <w:color w:val="000000" w:themeColor="text1"/>
        </w:rPr>
        <w:t xml:space="preserve">for </w:t>
      </w:r>
      <w:r w:rsidR="00AF207C" w:rsidRPr="0097627C">
        <w:rPr>
          <w:rFonts w:ascii="Arial" w:hAnsi="Arial" w:cs="Arial"/>
          <w:color w:val="000000" w:themeColor="text1"/>
        </w:rPr>
        <w:t>drug application</w:t>
      </w:r>
      <w:r w:rsidR="00266F4A" w:rsidRPr="0097627C">
        <w:rPr>
          <w:rFonts w:ascii="Arial" w:hAnsi="Arial" w:cs="Arial"/>
          <w:color w:val="000000" w:themeColor="text1"/>
        </w:rPr>
        <w:t>s</w:t>
      </w:r>
      <w:r w:rsidR="00CA4356" w:rsidRPr="0097627C">
        <w:rPr>
          <w:rFonts w:ascii="Arial" w:hAnsi="Arial" w:cs="Arial"/>
          <w:color w:val="000000" w:themeColor="text1"/>
        </w:rPr>
        <w:t xml:space="preserve">. KASA </w:t>
      </w:r>
      <w:r w:rsidR="002B38C7" w:rsidRPr="0097627C">
        <w:rPr>
          <w:rFonts w:ascii="Arial" w:hAnsi="Arial" w:cs="Arial"/>
        </w:rPr>
        <w:t>improv</w:t>
      </w:r>
      <w:r w:rsidR="002F6353" w:rsidRPr="0097627C">
        <w:rPr>
          <w:rFonts w:ascii="Arial" w:hAnsi="Arial" w:cs="Arial"/>
        </w:rPr>
        <w:t>es</w:t>
      </w:r>
      <w:r w:rsidR="002B38C7" w:rsidRPr="0097627C">
        <w:rPr>
          <w:rFonts w:ascii="Arial" w:hAnsi="Arial" w:cs="Arial"/>
        </w:rPr>
        <w:t xml:space="preserve"> </w:t>
      </w:r>
      <w:r w:rsidR="00AF207C" w:rsidRPr="0097627C">
        <w:rPr>
          <w:rFonts w:ascii="Arial" w:hAnsi="Arial" w:cs="Arial"/>
        </w:rPr>
        <w:t xml:space="preserve">regulatory </w:t>
      </w:r>
      <w:r w:rsidR="009608B9">
        <w:rPr>
          <w:rFonts w:ascii="Arial" w:hAnsi="Arial" w:cs="Arial"/>
        </w:rPr>
        <w:t>assessment</w:t>
      </w:r>
      <w:r w:rsidR="009608B9" w:rsidRPr="0097627C">
        <w:rPr>
          <w:rFonts w:ascii="Arial" w:hAnsi="Arial" w:cs="Arial"/>
        </w:rPr>
        <w:t xml:space="preserve"> </w:t>
      </w:r>
      <w:r w:rsidR="00AF207C" w:rsidRPr="0097627C">
        <w:rPr>
          <w:rFonts w:ascii="Arial" w:hAnsi="Arial" w:cs="Arial"/>
        </w:rPr>
        <w:t xml:space="preserve">by incorporating structured data, </w:t>
      </w:r>
      <w:r w:rsidR="0011298A" w:rsidRPr="0097627C">
        <w:rPr>
          <w:rFonts w:ascii="Arial" w:hAnsi="Arial" w:cs="Arial"/>
        </w:rPr>
        <w:t xml:space="preserve">lifecycle </w:t>
      </w:r>
      <w:r w:rsidR="00AF207C" w:rsidRPr="0097627C">
        <w:rPr>
          <w:rFonts w:ascii="Arial" w:hAnsi="Arial" w:cs="Arial"/>
        </w:rPr>
        <w:t xml:space="preserve">knowledge management, and advanced </w:t>
      </w:r>
      <w:r w:rsidR="00FA592C" w:rsidRPr="0097627C">
        <w:rPr>
          <w:rFonts w:ascii="Arial" w:hAnsi="Arial" w:cs="Arial"/>
        </w:rPr>
        <w:t xml:space="preserve">data </w:t>
      </w:r>
      <w:r w:rsidR="00AF207C" w:rsidRPr="0097627C">
        <w:rPr>
          <w:rFonts w:ascii="Arial" w:hAnsi="Arial" w:cs="Arial"/>
        </w:rPr>
        <w:t>analytical tools</w:t>
      </w:r>
      <w:r w:rsidR="00F460FE" w:rsidRPr="0097627C">
        <w:rPr>
          <w:rFonts w:ascii="Arial" w:hAnsi="Arial" w:cs="Arial"/>
        </w:rPr>
        <w:t>.</w:t>
      </w:r>
    </w:p>
    <w:p w14:paraId="20B92604" w14:textId="1A9614AD" w:rsidR="0008026C" w:rsidRPr="00523163" w:rsidRDefault="00B23B37" w:rsidP="5DD244B7">
      <w:pPr>
        <w:rPr>
          <w:rFonts w:cs="Arial"/>
        </w:rPr>
      </w:pPr>
      <w:r w:rsidRPr="00B62EDB">
        <w:rPr>
          <w:rFonts w:ascii="Arial" w:hAnsi="Arial" w:cs="Arial"/>
        </w:rPr>
        <w:t xml:space="preserve">The need for the </w:t>
      </w:r>
      <w:r w:rsidR="007F6FB5" w:rsidRPr="00B62EDB">
        <w:rPr>
          <w:rFonts w:ascii="Arial" w:hAnsi="Arial" w:cs="Arial"/>
        </w:rPr>
        <w:t>KASA platform</w:t>
      </w:r>
      <w:r w:rsidRPr="00B62EDB">
        <w:rPr>
          <w:rFonts w:ascii="Arial" w:hAnsi="Arial" w:cs="Arial"/>
        </w:rPr>
        <w:t xml:space="preserve"> stems from both external and </w:t>
      </w:r>
      <w:r w:rsidRPr="00E175AE">
        <w:rPr>
          <w:rFonts w:ascii="Arial" w:hAnsi="Arial" w:cs="Arial"/>
        </w:rPr>
        <w:t>internal challenges faced by OPQ</w:t>
      </w:r>
      <w:r w:rsidR="05FA5184" w:rsidRPr="00E175AE">
        <w:rPr>
          <w:rFonts w:ascii="Arial" w:hAnsi="Arial" w:cs="Arial"/>
        </w:rPr>
        <w:t xml:space="preserve"> </w:t>
      </w:r>
      <w:r w:rsidR="003A1A1F" w:rsidRPr="00E175AE">
        <w:rPr>
          <w:rFonts w:ascii="Arial" w:hAnsi="Arial" w:cs="Arial"/>
          <w:color w:val="2B579A"/>
          <w:shd w:val="clear" w:color="auto" w:fill="E6E6E6"/>
        </w:rPr>
        <w:fldChar w:fldCharType="begin"/>
      </w:r>
      <w:r w:rsidR="003A1A1F" w:rsidRPr="00E175AE">
        <w:rPr>
          <w:rFonts w:ascii="Arial" w:hAnsi="Arial" w:cs="Arial"/>
        </w:rPr>
        <w:instrText xml:space="preserve"> ADDIN EN.CITE &lt;EndNote&gt;&lt;Cite&gt;&lt;Author&gt;Yu&lt;/Author&gt;&lt;Year&gt;2019&lt;/Year&gt;&lt;RecNum&gt;1&lt;/RecNum&gt;&lt;DisplayText&gt;(Yu, et al, 2019)&lt;/DisplayText&gt;&lt;record&gt;&lt;rec-number&gt;1&lt;/rec-number&gt;&lt;foreign-keys&gt;&lt;key app="EN" db-id="retve2w0r25svretdfkxxaprfsr0990sw95r" timestamp="1726262114"&gt;1&lt;/key&gt;&lt;/foreign-keys&gt;&lt;ref-type name="Journal Article"&gt;17&lt;/ref-type&gt;&lt;contributors&gt;&lt;authors&gt;&lt;author&gt;Yu, Lawrence X.&lt;/author&gt;&lt;author&gt;Raw, Andre&lt;/author&gt;&lt;author&gt;Wu, Larisa&lt;/author&gt;&lt;author&gt;Capacci-Daniel, Christina&lt;/author&gt;&lt;author&gt;Zhang, Ying&lt;/author&gt;&lt;author&gt;Rosencrance, Susan&lt;/author&gt;&lt;/authors&gt;&lt;/contributors&gt;&lt;titles&gt;&lt;title&gt;FDA’s new pharmaceutical quality initiative: Knowledge-aided assessment &amp;amp; structured applications&lt;/title&gt;&lt;secondary-title&gt;International Journal of Pharmaceutics: X&lt;/secondary-title&gt;&lt;/titles&gt;&lt;periodical&gt;&lt;full-title&gt;International Journal of Pharmaceutics: X&lt;/full-title&gt;&lt;/periodical&gt;&lt;pages&gt;100010&lt;/pages&gt;&lt;volume&gt;1&lt;/volume&gt;&lt;keywords&gt;&lt;keyword&gt;Pharmaceutical quality&lt;/keyword&gt;&lt;keyword&gt;Knowledge management&lt;/keyword&gt;&lt;keyword&gt;Risk assessment&lt;/keyword&gt;&lt;keyword&gt;Risk control&lt;/keyword&gt;&lt;keyword&gt;Structured application&lt;/keyword&gt;&lt;/keywords&gt;&lt;dates&gt;&lt;year&gt;2019&lt;/year&gt;&lt;pub-dates&gt;&lt;date&gt;2019/12/01/&lt;/date&gt;&lt;/pub-dates&gt;&lt;/dates&gt;&lt;isbn&gt;2590-1567&lt;/isbn&gt;&lt;urls&gt;&lt;related-urls&gt;&lt;url&gt;https://www.sciencedirect.com/science/article/pii/S2590156719300246&lt;/url&gt;&lt;/related-urls&gt;&lt;/urls&gt;&lt;electronic-resource-num&gt;https://doi.org/10.1016/j.ijpx.2019.100010&lt;/electronic-resource-num&gt;&lt;/record&gt;&lt;/Cite&gt;&lt;/EndNote&gt;</w:instrText>
      </w:r>
      <w:r w:rsidR="003A1A1F" w:rsidRPr="00E175AE">
        <w:rPr>
          <w:rFonts w:ascii="Arial" w:hAnsi="Arial" w:cs="Arial"/>
          <w:color w:val="2B579A"/>
          <w:shd w:val="clear" w:color="auto" w:fill="E6E6E6"/>
        </w:rPr>
        <w:fldChar w:fldCharType="separate"/>
      </w:r>
      <w:r w:rsidR="00086DC8" w:rsidRPr="00E175AE">
        <w:rPr>
          <w:rFonts w:ascii="Arial" w:hAnsi="Arial" w:cs="Arial"/>
          <w:noProof/>
        </w:rPr>
        <w:t>(Yu, et al, 2019)</w:t>
      </w:r>
      <w:r w:rsidR="003A1A1F" w:rsidRPr="00E175AE">
        <w:rPr>
          <w:rFonts w:ascii="Arial" w:hAnsi="Arial" w:cs="Arial"/>
          <w:color w:val="2B579A"/>
          <w:shd w:val="clear" w:color="auto" w:fill="E6E6E6"/>
        </w:rPr>
        <w:fldChar w:fldCharType="end"/>
      </w:r>
      <w:r w:rsidR="0040476B" w:rsidRPr="00E175AE">
        <w:rPr>
          <w:rFonts w:ascii="Arial" w:hAnsi="Arial" w:cs="Arial"/>
        </w:rPr>
        <w:t xml:space="preserve">. </w:t>
      </w:r>
      <w:r w:rsidRPr="00E175AE">
        <w:rPr>
          <w:rFonts w:ascii="Arial" w:hAnsi="Arial" w:cs="Arial"/>
        </w:rPr>
        <w:t>Externally, there is an increasing volume of submissions and higher expectations</w:t>
      </w:r>
      <w:r w:rsidR="00A27609" w:rsidRPr="001329A8">
        <w:rPr>
          <w:rFonts w:ascii="Arial" w:hAnsi="Arial" w:cs="Arial"/>
        </w:rPr>
        <w:t xml:space="preserve"> of review </w:t>
      </w:r>
      <w:r w:rsidR="000E229A" w:rsidRPr="001329A8">
        <w:rPr>
          <w:rFonts w:ascii="Arial" w:hAnsi="Arial" w:cs="Arial"/>
        </w:rPr>
        <w:t>process efficiency</w:t>
      </w:r>
      <w:r w:rsidR="3373935D" w:rsidRPr="00E175AE">
        <w:rPr>
          <w:rFonts w:ascii="Arial" w:hAnsi="Arial" w:cs="Arial"/>
        </w:rPr>
        <w:t xml:space="preserve"> under the user fee programs</w:t>
      </w:r>
      <w:r w:rsidRPr="00E175AE">
        <w:rPr>
          <w:rFonts w:ascii="Arial" w:hAnsi="Arial" w:cs="Arial"/>
        </w:rPr>
        <w:t xml:space="preserve">. OPQ reviews </w:t>
      </w:r>
      <w:r w:rsidR="0010368E">
        <w:rPr>
          <w:rFonts w:ascii="Arial" w:hAnsi="Arial" w:cs="Arial"/>
        </w:rPr>
        <w:t>approximately 1</w:t>
      </w:r>
      <w:r w:rsidR="000E5853">
        <w:rPr>
          <w:rFonts w:ascii="Arial" w:hAnsi="Arial" w:cs="Arial"/>
        </w:rPr>
        <w:t>,</w:t>
      </w:r>
      <w:r w:rsidR="0010368E">
        <w:rPr>
          <w:rFonts w:ascii="Arial" w:hAnsi="Arial" w:cs="Arial"/>
        </w:rPr>
        <w:t>000</w:t>
      </w:r>
      <w:r w:rsidR="00F74036" w:rsidRPr="00E175AE">
        <w:rPr>
          <w:rFonts w:ascii="Arial" w:hAnsi="Arial" w:cs="Arial"/>
        </w:rPr>
        <w:t xml:space="preserve"> </w:t>
      </w:r>
      <w:r w:rsidRPr="00E175AE">
        <w:rPr>
          <w:rFonts w:ascii="Arial" w:hAnsi="Arial" w:cs="Arial"/>
        </w:rPr>
        <w:t>original</w:t>
      </w:r>
      <w:r w:rsidR="7BC08E0C" w:rsidRPr="00E175AE">
        <w:rPr>
          <w:rFonts w:ascii="Arial" w:hAnsi="Arial" w:cs="Arial"/>
        </w:rPr>
        <w:t xml:space="preserve"> applications which include</w:t>
      </w:r>
      <w:r w:rsidRPr="00E175AE">
        <w:rPr>
          <w:rFonts w:ascii="Arial" w:hAnsi="Arial" w:cs="Arial"/>
        </w:rPr>
        <w:t xml:space="preserve"> New Drug Applications (NDAs), Abbreviated New Drug Applications (ANDAs), and Biologics License Applications (BLAs) each year</w:t>
      </w:r>
      <w:r w:rsidR="00D3085C">
        <w:rPr>
          <w:rFonts w:ascii="Arial" w:hAnsi="Arial" w:cs="Arial"/>
        </w:rPr>
        <w:t xml:space="preserve"> </w:t>
      </w:r>
      <w:r w:rsidR="00D3085C">
        <w:rPr>
          <w:rFonts w:ascii="Arial" w:hAnsi="Arial" w:cs="Arial"/>
        </w:rPr>
        <w:fldChar w:fldCharType="begin"/>
      </w:r>
      <w:r w:rsidR="00D3085C">
        <w:rPr>
          <w:rFonts w:ascii="Arial" w:hAnsi="Arial" w:cs="Arial"/>
        </w:rPr>
        <w:instrText xml:space="preserve"> ADDIN EN.CITE &lt;EndNote&gt;&lt;Cite&gt;&lt;Author&gt;Tran&lt;/Author&gt;&lt;Year&gt;2024&lt;/Year&gt;&lt;RecNum&gt;4&lt;/RecNum&gt;&lt;DisplayText&gt;(Tran, et al, 2024)&lt;/DisplayText&gt;&lt;record&gt;&lt;rec-number&gt;4&lt;/rec-number&gt;&lt;foreign-keys&gt;&lt;key app="EN" db-id="retve2w0r25svretdfkxxaprfsr0990sw95r" timestamp="1726682864"&gt;4&lt;/key&gt;&lt;/foreign-keys&gt;&lt;ref-type name="Journal Article"&gt;17&lt;/ref-type&gt;&lt;contributors&gt;&lt;authors&gt;&lt;author&gt;Tran, Russie&lt;/author&gt;&lt;author&gt;Fraser, Grace&lt;/author&gt;&lt;author&gt;Fisher, Adam C.&lt;/author&gt;&lt;author&gt;Lee, Sau L.&lt;/author&gt;&lt;author&gt;Boam, Ashley&lt;/author&gt;&lt;author&gt;Tsinontides, Stelios&lt;/author&gt;&lt;author&gt;Maguire, Jennifer&lt;/author&gt;&lt;author&gt;Yu, Lawrence X.&lt;/author&gt;&lt;author&gt;Rosencrance, Susan&lt;/author&gt;&lt;author&gt;Kozlowski, Steven&lt;/author&gt;&lt;author&gt;Henry, Don&lt;/author&gt;&lt;/authors&gt;&lt;/contributors&gt;&lt;titles&gt;&lt;title&gt;A network of regulatory innovations to improve FDA quality assessments of human drug applications&lt;/title&gt;&lt;secondary-title&gt;International Journal of Pharmaceutics: X&lt;/secondary-title&gt;&lt;/titles&gt;&lt;periodical&gt;&lt;full-title&gt;International Journal of Pharmaceutics: X&lt;/full-title&gt;&lt;/periodical&gt;&lt;pages&gt;100239&lt;/pages&gt;&lt;volume&gt;7&lt;/volume&gt;&lt;keywords&gt;&lt;keyword&gt;Regulatory innovations&lt;/keyword&gt;&lt;keyword&gt;Quality assessments&lt;/keyword&gt;&lt;keyword&gt;Pharmaceuticals&lt;/keyword&gt;&lt;keyword&gt;Knowledge Management&lt;/keyword&gt;&lt;keyword&gt;Structured Data&lt;/keyword&gt;&lt;/keywords&gt;&lt;dates&gt;&lt;year&gt;2024&lt;/year&gt;&lt;pub-dates&gt;&lt;date&gt;2024/06/01/&lt;/date&gt;&lt;/pub-dates&gt;&lt;/dates&gt;&lt;isbn&gt;2590-1567&lt;/isbn&gt;&lt;urls&gt;&lt;related-urls&gt;&lt;url&gt;https://www.sciencedirect.com/science/article/pii/S2590156724000112&lt;/url&gt;&lt;/related-urls&gt;&lt;/urls&gt;&lt;electronic-resource-num&gt;https://doi.org/10.1016/j.ijpx.2024.100239&lt;/electronic-resource-num&gt;&lt;/record&gt;&lt;/Cite&gt;&lt;/EndNote&gt;</w:instrText>
      </w:r>
      <w:r w:rsidR="00D3085C">
        <w:rPr>
          <w:rFonts w:ascii="Arial" w:hAnsi="Arial" w:cs="Arial"/>
        </w:rPr>
        <w:fldChar w:fldCharType="separate"/>
      </w:r>
      <w:r w:rsidR="00D3085C">
        <w:rPr>
          <w:rFonts w:ascii="Arial" w:hAnsi="Arial" w:cs="Arial"/>
          <w:noProof/>
        </w:rPr>
        <w:t>(Tran, et al, 2024)</w:t>
      </w:r>
      <w:r w:rsidR="00D3085C">
        <w:rPr>
          <w:rFonts w:ascii="Arial" w:hAnsi="Arial" w:cs="Arial"/>
        </w:rPr>
        <w:fldChar w:fldCharType="end"/>
      </w:r>
      <w:r w:rsidRPr="00E175AE">
        <w:rPr>
          <w:rFonts w:ascii="Arial" w:hAnsi="Arial" w:cs="Arial"/>
        </w:rPr>
        <w:t>. Th</w:t>
      </w:r>
      <w:r w:rsidR="00885D45" w:rsidRPr="00E175AE">
        <w:rPr>
          <w:rFonts w:ascii="Arial" w:hAnsi="Arial" w:cs="Arial"/>
        </w:rPr>
        <w:t>e</w:t>
      </w:r>
      <w:r w:rsidRPr="00E175AE">
        <w:rPr>
          <w:rFonts w:ascii="Arial" w:hAnsi="Arial" w:cs="Arial"/>
        </w:rPr>
        <w:t xml:space="preserve"> growing complexity and volume of applications, along with thousands of Investigational New Drug (IND) applications and post-approval submissions</w:t>
      </w:r>
      <w:r w:rsidR="00F637D1" w:rsidRPr="00E175AE">
        <w:rPr>
          <w:rFonts w:ascii="Arial" w:hAnsi="Arial" w:cs="Arial"/>
        </w:rPr>
        <w:t xml:space="preserve"> per year</w:t>
      </w:r>
      <w:r w:rsidRPr="00E175AE">
        <w:rPr>
          <w:rFonts w:ascii="Arial" w:hAnsi="Arial" w:cs="Arial"/>
        </w:rPr>
        <w:t>, present significant challenges</w:t>
      </w:r>
      <w:r w:rsidR="000D18E5" w:rsidRPr="00E175AE">
        <w:rPr>
          <w:rFonts w:ascii="Arial" w:hAnsi="Arial" w:cs="Arial"/>
        </w:rPr>
        <w:t xml:space="preserve"> to the review process</w:t>
      </w:r>
      <w:r w:rsidR="6A51560B" w:rsidRPr="00E175AE">
        <w:rPr>
          <w:rFonts w:ascii="Arial" w:hAnsi="Arial" w:cs="Arial"/>
        </w:rPr>
        <w:t xml:space="preserve"> </w:t>
      </w:r>
      <w:r w:rsidR="003A1A1F" w:rsidRPr="00E175AE">
        <w:rPr>
          <w:rFonts w:ascii="Arial" w:hAnsi="Arial" w:cs="Arial"/>
          <w:color w:val="2B579A"/>
          <w:shd w:val="clear" w:color="auto" w:fill="E6E6E6"/>
        </w:rPr>
        <w:fldChar w:fldCharType="begin"/>
      </w:r>
      <w:r w:rsidR="003A1A1F" w:rsidRPr="00E175AE">
        <w:rPr>
          <w:rFonts w:ascii="Arial" w:hAnsi="Arial" w:cs="Arial"/>
        </w:rPr>
        <w:instrText xml:space="preserve"> ADDIN EN.CITE &lt;EndNote&gt;&lt;Cite&gt;&lt;Author&gt;Tran&lt;/Author&gt;&lt;Year&gt;2024&lt;/Year&gt;&lt;RecNum&gt;4&lt;/RecNum&gt;&lt;DisplayText&gt;(Tran, et al, 2024)&lt;/DisplayText&gt;&lt;record&gt;&lt;rec-number&gt;4&lt;/rec-number&gt;&lt;foreign-keys&gt;&lt;key app="EN" db-id="retve2w0r25svretdfkxxaprfsr0990sw95r" timestamp="1726682864"&gt;4&lt;/key&gt;&lt;/foreign-keys&gt;&lt;ref-type name="Journal Article"&gt;17&lt;/ref-type&gt;&lt;contributors&gt;&lt;authors&gt;&lt;author&gt;Tran, Russie&lt;/author&gt;&lt;author&gt;Fraser, Grace&lt;/author&gt;&lt;author&gt;Fisher, Adam C.&lt;/author&gt;&lt;author&gt;Lee, Sau L.&lt;/author&gt;&lt;author&gt;Boam, Ashley&lt;/author&gt;&lt;author&gt;Tsinontides, Stelios&lt;/author&gt;&lt;author&gt;Maguire, Jennifer&lt;/author&gt;&lt;author&gt;Yu, Lawrence X.&lt;/author&gt;&lt;author&gt;Rosencrance, Susan&lt;/author&gt;&lt;author&gt;Kozlowski, Steven&lt;/author&gt;&lt;author&gt;Henry, Don&lt;/author&gt;&lt;/authors&gt;&lt;/contributors&gt;&lt;titles&gt;&lt;title&gt;A network of regulatory innovations to improve FDA quality assessments of human drug applications&lt;/title&gt;&lt;secondary-title&gt;International Journal of Pharmaceutics: X&lt;/secondary-title&gt;&lt;/titles&gt;&lt;periodical&gt;&lt;full-title&gt;International Journal of Pharmaceutics: X&lt;/full-title&gt;&lt;/periodical&gt;&lt;pages&gt;100239&lt;/pages&gt;&lt;volume&gt;7&lt;/volume&gt;&lt;keywords&gt;&lt;keyword&gt;Regulatory innovations&lt;/keyword&gt;&lt;keyword&gt;Quality assessments&lt;/keyword&gt;&lt;keyword&gt;Pharmaceuticals&lt;/keyword&gt;&lt;keyword&gt;Knowledge Management&lt;/keyword&gt;&lt;keyword&gt;Structured Data&lt;/keyword&gt;&lt;/keywords&gt;&lt;dates&gt;&lt;year&gt;2024&lt;/year&gt;&lt;pub-dates&gt;&lt;date&gt;2024/06/01/&lt;/date&gt;&lt;/pub-dates&gt;&lt;/dates&gt;&lt;isbn&gt;2590-1567&lt;/isbn&gt;&lt;urls&gt;&lt;related-urls&gt;&lt;url&gt;https://www.sciencedirect.com/science/article/pii/S2590156724000112&lt;/url&gt;&lt;/related-urls&gt;&lt;/urls&gt;&lt;electronic-resource-num&gt;https://doi.org/10.1016/j.ijpx.2024.100239&lt;/electronic-resource-num&gt;&lt;/record&gt;&lt;/Cite&gt;&lt;/EndNote&gt;</w:instrText>
      </w:r>
      <w:r w:rsidR="003A1A1F" w:rsidRPr="00E175AE">
        <w:rPr>
          <w:rFonts w:ascii="Arial" w:hAnsi="Arial" w:cs="Arial"/>
          <w:color w:val="2B579A"/>
          <w:shd w:val="clear" w:color="auto" w:fill="E6E6E6"/>
        </w:rPr>
        <w:fldChar w:fldCharType="separate"/>
      </w:r>
      <w:r w:rsidR="0011298A" w:rsidRPr="00E175AE">
        <w:rPr>
          <w:rFonts w:ascii="Arial" w:hAnsi="Arial" w:cs="Arial"/>
          <w:noProof/>
        </w:rPr>
        <w:t>(Tran, et al, 2024)</w:t>
      </w:r>
      <w:r w:rsidR="003A1A1F" w:rsidRPr="00E175AE">
        <w:rPr>
          <w:rFonts w:ascii="Arial" w:hAnsi="Arial" w:cs="Arial"/>
          <w:color w:val="2B579A"/>
          <w:shd w:val="clear" w:color="auto" w:fill="E6E6E6"/>
        </w:rPr>
        <w:fldChar w:fldCharType="end"/>
      </w:r>
      <w:r w:rsidR="00086DC8" w:rsidRPr="00E175AE">
        <w:rPr>
          <w:rFonts w:ascii="Arial" w:hAnsi="Arial" w:cs="Arial"/>
        </w:rPr>
        <w:t xml:space="preserve">. </w:t>
      </w:r>
      <w:r w:rsidR="00523163" w:rsidRPr="00E175AE">
        <w:rPr>
          <w:rFonts w:ascii="Arial" w:hAnsi="Arial" w:cs="Arial"/>
        </w:rPr>
        <w:t>Additionally, the widespread use of unstructured data</w:t>
      </w:r>
      <w:r w:rsidR="7622ABAA" w:rsidRPr="00E175AE">
        <w:rPr>
          <w:rFonts w:ascii="Arial" w:hAnsi="Arial" w:cs="Arial"/>
        </w:rPr>
        <w:t>,</w:t>
      </w:r>
      <w:r w:rsidR="004F59A2" w:rsidRPr="00E175AE">
        <w:rPr>
          <w:rFonts w:ascii="Arial" w:hAnsi="Arial" w:cs="Arial"/>
        </w:rPr>
        <w:t xml:space="preserve"> </w:t>
      </w:r>
      <w:r w:rsidR="00523163" w:rsidRPr="00E175AE">
        <w:rPr>
          <w:rFonts w:ascii="Arial" w:hAnsi="Arial" w:cs="Arial"/>
        </w:rPr>
        <w:t>such as narrative-based submissions</w:t>
      </w:r>
      <w:r w:rsidR="7706A3FE" w:rsidRPr="00E175AE">
        <w:rPr>
          <w:rFonts w:ascii="Arial" w:hAnsi="Arial" w:cs="Arial"/>
        </w:rPr>
        <w:t xml:space="preserve">, </w:t>
      </w:r>
      <w:r w:rsidR="00523163" w:rsidRPr="00E175AE">
        <w:rPr>
          <w:rFonts w:ascii="Arial" w:hAnsi="Arial" w:cs="Arial"/>
        </w:rPr>
        <w:t xml:space="preserve">hampers data </w:t>
      </w:r>
      <w:r w:rsidR="00E67EC6" w:rsidRPr="00E175AE">
        <w:rPr>
          <w:rFonts w:ascii="Arial" w:hAnsi="Arial" w:cs="Arial"/>
        </w:rPr>
        <w:t xml:space="preserve">analysis and </w:t>
      </w:r>
      <w:r w:rsidR="00523163" w:rsidRPr="00E175AE">
        <w:rPr>
          <w:rFonts w:ascii="Arial" w:hAnsi="Arial" w:cs="Arial"/>
        </w:rPr>
        <w:t xml:space="preserve">management and </w:t>
      </w:r>
      <w:r w:rsidR="00DB2F76" w:rsidRPr="00E175AE">
        <w:rPr>
          <w:rFonts w:ascii="Arial" w:hAnsi="Arial" w:cs="Arial"/>
        </w:rPr>
        <w:t>limits efficiency</w:t>
      </w:r>
      <w:r w:rsidR="00523163" w:rsidRPr="00E175AE">
        <w:rPr>
          <w:rFonts w:ascii="Arial" w:hAnsi="Arial" w:cs="Arial"/>
        </w:rPr>
        <w:t xml:space="preserve"> </w:t>
      </w:r>
      <w:r w:rsidR="69492C9B" w:rsidRPr="00E175AE">
        <w:rPr>
          <w:rFonts w:ascii="Arial" w:hAnsi="Arial" w:cs="Arial"/>
        </w:rPr>
        <w:t xml:space="preserve">and </w:t>
      </w:r>
      <w:r w:rsidR="00523163" w:rsidRPr="00E175AE">
        <w:rPr>
          <w:rFonts w:ascii="Arial" w:hAnsi="Arial" w:cs="Arial"/>
        </w:rPr>
        <w:t>improvements</w:t>
      </w:r>
      <w:r w:rsidR="001D72AD" w:rsidRPr="00E175AE">
        <w:rPr>
          <w:rFonts w:ascii="Arial" w:hAnsi="Arial" w:cs="Arial"/>
        </w:rPr>
        <w:t>.</w:t>
      </w:r>
      <w:r w:rsidR="00D04D74" w:rsidRPr="00E175AE">
        <w:rPr>
          <w:rFonts w:ascii="Arial" w:hAnsi="Arial" w:cs="Arial"/>
        </w:rPr>
        <w:t xml:space="preserve"> </w:t>
      </w:r>
      <w:r w:rsidR="00250A62" w:rsidRPr="00E175AE">
        <w:rPr>
          <w:rFonts w:ascii="Arial" w:hAnsi="Arial" w:cs="Arial"/>
        </w:rPr>
        <w:t>Without the use of KASA</w:t>
      </w:r>
      <w:r w:rsidR="003A1A1F" w:rsidRPr="00E175AE">
        <w:rPr>
          <w:rFonts w:ascii="Arial" w:hAnsi="Arial" w:cs="Arial"/>
        </w:rPr>
        <w:t xml:space="preserve">, the quality assessment process is </w:t>
      </w:r>
      <w:r w:rsidR="003A2529" w:rsidRPr="00E175AE">
        <w:rPr>
          <w:rFonts w:ascii="Arial" w:hAnsi="Arial" w:cs="Arial"/>
        </w:rPr>
        <w:t>dependent on</w:t>
      </w:r>
      <w:r w:rsidR="003A1A1F" w:rsidRPr="00E175AE">
        <w:rPr>
          <w:rFonts w:ascii="Arial" w:hAnsi="Arial" w:cs="Arial"/>
        </w:rPr>
        <w:t xml:space="preserve"> the reliance on freestyle narratives, </w:t>
      </w:r>
      <w:r w:rsidR="002E6FED" w:rsidRPr="00E175AE">
        <w:rPr>
          <w:rFonts w:ascii="Arial" w:hAnsi="Arial" w:cs="Arial"/>
        </w:rPr>
        <w:t xml:space="preserve">unguided </w:t>
      </w:r>
      <w:r w:rsidR="003A1A1F" w:rsidRPr="00E175AE">
        <w:rPr>
          <w:rFonts w:ascii="Arial" w:hAnsi="Arial" w:cs="Arial"/>
        </w:rPr>
        <w:t>risk</w:t>
      </w:r>
      <w:r w:rsidR="003A1A1F" w:rsidRPr="00B62EDB">
        <w:rPr>
          <w:rFonts w:ascii="Arial" w:hAnsi="Arial" w:cs="Arial"/>
        </w:rPr>
        <w:t xml:space="preserve"> assessments, unstructured text</w:t>
      </w:r>
      <w:r w:rsidR="006E006D">
        <w:rPr>
          <w:rFonts w:ascii="Arial" w:hAnsi="Arial" w:cs="Arial"/>
        </w:rPr>
        <w:t xml:space="preserve"> and </w:t>
      </w:r>
      <w:r w:rsidR="00CB40B1">
        <w:rPr>
          <w:rFonts w:ascii="Arial" w:hAnsi="Arial" w:cs="Arial"/>
        </w:rPr>
        <w:t xml:space="preserve">application assessment </w:t>
      </w:r>
      <w:r w:rsidR="006E006D">
        <w:rPr>
          <w:rFonts w:ascii="Arial" w:hAnsi="Arial" w:cs="Arial"/>
        </w:rPr>
        <w:t>summaries</w:t>
      </w:r>
      <w:r w:rsidR="003A1A1F" w:rsidRPr="00B62EDB">
        <w:rPr>
          <w:rFonts w:ascii="Arial" w:hAnsi="Arial" w:cs="Arial"/>
        </w:rPr>
        <w:t>. This reduces efficiency</w:t>
      </w:r>
      <w:r w:rsidR="007166A2">
        <w:rPr>
          <w:rFonts w:ascii="Arial" w:hAnsi="Arial" w:cs="Arial"/>
        </w:rPr>
        <w:t xml:space="preserve"> and consistency</w:t>
      </w:r>
      <w:r w:rsidR="003A1A1F" w:rsidRPr="00B62EDB">
        <w:rPr>
          <w:rFonts w:ascii="Arial" w:hAnsi="Arial" w:cs="Arial"/>
        </w:rPr>
        <w:t xml:space="preserve"> in assessment and decision-making, while also complicating lifecycle knowledge management</w:t>
      </w:r>
      <w:r w:rsidR="00DB0427">
        <w:rPr>
          <w:rFonts w:ascii="Arial" w:hAnsi="Arial" w:cs="Arial"/>
        </w:rPr>
        <w:t xml:space="preserve"> </w:t>
      </w:r>
      <w:r w:rsidR="00162F18">
        <w:rPr>
          <w:rFonts w:ascii="Arial" w:hAnsi="Arial" w:cs="Arial"/>
        </w:rPr>
        <w:fldChar w:fldCharType="begin">
          <w:fldData xml:space="preserve">PEVuZE5vdGU+PENpdGU+PEF1dGhvcj5Sb3NlbmNyYW5jZTwvQXV0aG9yPjxZZWFyPjIwMTk8L1ll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</w:fldData>
        </w:fldChar>
      </w:r>
      <w:r w:rsidR="00434F3D">
        <w:rPr>
          <w:rFonts w:ascii="Arial" w:hAnsi="Arial" w:cs="Arial"/>
        </w:rPr>
        <w:instrText xml:space="preserve"> ADDIN EN.CITE </w:instrText>
      </w:r>
      <w:r w:rsidR="00434F3D">
        <w:rPr>
          <w:rFonts w:ascii="Arial" w:hAnsi="Arial" w:cs="Arial"/>
        </w:rPr>
        <w:fldChar w:fldCharType="begin">
          <w:fldData xml:space="preserve">PEVuZE5vdGU+PENpdGU+PEF1dGhvcj5Sb3NlbmNyYW5jZTwvQXV0aG9yPjxZZWFyPjIwMTk8L1ll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</w:fldData>
        </w:fldChar>
      </w:r>
      <w:r w:rsidR="00434F3D">
        <w:rPr>
          <w:rFonts w:ascii="Arial" w:hAnsi="Arial" w:cs="Arial"/>
        </w:rPr>
        <w:instrText xml:space="preserve"> ADDIN EN.CITE.DATA </w:instrText>
      </w:r>
      <w:r w:rsidR="00434F3D">
        <w:rPr>
          <w:rFonts w:ascii="Arial" w:hAnsi="Arial" w:cs="Arial"/>
        </w:rPr>
      </w:r>
      <w:r w:rsidR="00434F3D">
        <w:rPr>
          <w:rFonts w:ascii="Arial" w:hAnsi="Arial" w:cs="Arial"/>
        </w:rPr>
        <w:fldChar w:fldCharType="end"/>
      </w:r>
      <w:r w:rsidR="00162F18">
        <w:rPr>
          <w:rFonts w:ascii="Arial" w:hAnsi="Arial" w:cs="Arial"/>
        </w:rPr>
      </w:r>
      <w:r w:rsidR="00162F18">
        <w:rPr>
          <w:rFonts w:ascii="Arial" w:hAnsi="Arial" w:cs="Arial"/>
        </w:rPr>
        <w:fldChar w:fldCharType="separate"/>
      </w:r>
      <w:r w:rsidR="00434F3D">
        <w:rPr>
          <w:rFonts w:ascii="Arial" w:hAnsi="Arial" w:cs="Arial"/>
          <w:noProof/>
        </w:rPr>
        <w:t>(Rosencrance, et al, 2019, Raw, 2022, Chia, 2021, Welch, 2021)</w:t>
      </w:r>
      <w:r w:rsidR="00162F18">
        <w:rPr>
          <w:rFonts w:ascii="Arial" w:hAnsi="Arial" w:cs="Arial"/>
        </w:rPr>
        <w:fldChar w:fldCharType="end"/>
      </w:r>
      <w:r w:rsidR="00F8391F">
        <w:rPr>
          <w:rFonts w:ascii="Arial" w:hAnsi="Arial" w:cs="Arial"/>
        </w:rPr>
        <w:t>.</w:t>
      </w:r>
    </w:p>
    <w:p w14:paraId="0C04397B" w14:textId="701D98ED" w:rsidR="00E23B9E" w:rsidRDefault="00E23B9E" w:rsidP="00F94237">
      <w:pPr>
        <w:rPr>
          <w:rFonts w:ascii="Arial" w:hAnsi="Arial" w:cs="Arial"/>
        </w:rPr>
      </w:pPr>
      <w:r w:rsidRPr="0301FB53">
        <w:rPr>
          <w:rFonts w:ascii="Arial" w:hAnsi="Arial" w:cs="Arial"/>
        </w:rPr>
        <w:t xml:space="preserve">The FDA has initiated several </w:t>
      </w:r>
      <w:r w:rsidR="0068268D">
        <w:rPr>
          <w:rFonts w:ascii="Arial" w:hAnsi="Arial" w:cs="Arial"/>
        </w:rPr>
        <w:t xml:space="preserve">internal and external </w:t>
      </w:r>
      <w:r w:rsidRPr="0301FB53">
        <w:rPr>
          <w:rFonts w:ascii="Arial" w:hAnsi="Arial" w:cs="Arial"/>
        </w:rPr>
        <w:t xml:space="preserve">projects to streamline pharmaceutical quality information submissions, reviews, and lifecycle </w:t>
      </w:r>
      <w:r w:rsidR="00D06ECA">
        <w:rPr>
          <w:rFonts w:ascii="Arial" w:hAnsi="Arial" w:cs="Arial"/>
        </w:rPr>
        <w:t xml:space="preserve">knowledge </w:t>
      </w:r>
      <w:r w:rsidRPr="0301FB53">
        <w:rPr>
          <w:rFonts w:ascii="Arial" w:hAnsi="Arial" w:cs="Arial"/>
        </w:rPr>
        <w:t>management</w:t>
      </w:r>
      <w:r w:rsidR="00F8625A" w:rsidRPr="0301FB53">
        <w:rPr>
          <w:rFonts w:ascii="Arial" w:hAnsi="Arial" w:cs="Arial"/>
        </w:rPr>
        <w:t xml:space="preserve"> </w:t>
      </w:r>
      <w:r w:rsidRPr="0301FB53">
        <w:rPr>
          <w:rFonts w:ascii="Arial" w:hAnsi="Arial" w:cs="Arial"/>
          <w:color w:val="2B579A"/>
        </w:rPr>
        <w:fldChar w:fldCharType="begin"/>
      </w:r>
      <w:r w:rsidRPr="0301FB53">
        <w:rPr>
          <w:rFonts w:ascii="Arial" w:hAnsi="Arial" w:cs="Arial"/>
        </w:rPr>
        <w:instrText xml:space="preserve"> ADDIN EN.CITE &lt;EndNote&gt;&lt;Cite&gt;&lt;Author&gt;Tran&lt;/Author&gt;&lt;Year&gt;2024&lt;/Year&gt;&lt;RecNum&gt;4&lt;/RecNum&gt;&lt;DisplayText&gt;(Tran, et al, 2024)&lt;/DisplayText&gt;&lt;record&gt;&lt;rec-number&gt;4&lt;/rec-number&gt;&lt;foreign-keys&gt;&lt;key app="EN" db-id="retve2w0r25svretdfkxxaprfsr0990sw95r" timestamp="1726682864"&gt;4&lt;/key&gt;&lt;/foreign-keys&gt;&lt;ref-type name="Journal Article"&gt;17&lt;/ref-type&gt;&lt;contributors&gt;&lt;authors&gt;&lt;author&gt;Tran, Russie&lt;/author&gt;&lt;author&gt;Fraser, Grace&lt;/author&gt;&lt;author&gt;Fisher, Adam C.&lt;/author&gt;&lt;author&gt;Lee, Sau L.&lt;/author&gt;&lt;author&gt;Boam, Ashley&lt;/author&gt;&lt;author&gt;Tsinontides, Stelios&lt;/author&gt;&lt;author&gt;Maguire, Jennifer&lt;/author&gt;&lt;author&gt;Yu, Lawrence X.&lt;/author&gt;&lt;author&gt;Rosencrance, Susan&lt;/author&gt;&lt;author&gt;Kozlowski, Steven&lt;/author&gt;&lt;author&gt;Henry, Don&lt;/author&gt;&lt;/authors&gt;&lt;/contributors&gt;&lt;titles&gt;&lt;title&gt;A network of regulatory innovations to improve FDA quality assessments of human drug applications&lt;/title&gt;&lt;secondary-title&gt;International Journal of Pharmaceutics: X&lt;/secondary-title&gt;&lt;/titles&gt;&lt;periodical&gt;&lt;full-title&gt;International Journal of Pharmaceutics: X&lt;/full-title&gt;&lt;/periodical&gt;&lt;pages&gt;100239&lt;/pages&gt;&lt;volume&gt;7&lt;/volume&gt;&lt;keywords&gt;&lt;keyword&gt;Regulatory innovations&lt;/keyword&gt;&lt;keyword&gt;Quality assessments&lt;/keyword&gt;&lt;keyword&gt;Pharmaceuticals&lt;/keyword&gt;&lt;keyword&gt;Knowledge Management&lt;/keyword&gt;&lt;keyword&gt;Structured Data&lt;/keyword&gt;&lt;/keywords&gt;&lt;dates&gt;&lt;year&gt;2024&lt;/year&gt;&lt;pub-dates&gt;&lt;date&gt;2024/06/01/&lt;/date&gt;&lt;/pub-dates&gt;&lt;/dates&gt;&lt;isbn&gt;2590-1567&lt;/isbn&gt;&lt;urls&gt;&lt;related-urls&gt;&lt;url&gt;https://www.sciencedirect.com/science/article/pii/S2590156724000112&lt;/url&gt;&lt;/related-urls&gt;&lt;/urls&gt;&lt;electronic-resource-num&gt;https://doi.org/10.1016/j.ijpx.2024.100239&lt;/electronic-resource-num&gt;&lt;/record&gt;&lt;/Cite&gt;&lt;/EndNote&gt;</w:instrText>
      </w:r>
      <w:r w:rsidRPr="0301FB53">
        <w:rPr>
          <w:rFonts w:ascii="Arial" w:hAnsi="Arial" w:cs="Arial"/>
          <w:color w:val="2B579A"/>
        </w:rPr>
        <w:fldChar w:fldCharType="separate"/>
      </w:r>
      <w:r w:rsidR="003D627F" w:rsidRPr="0301FB53">
        <w:rPr>
          <w:rFonts w:ascii="Arial" w:hAnsi="Arial" w:cs="Arial"/>
          <w:noProof/>
        </w:rPr>
        <w:t>(Tran, et al, 2024)</w:t>
      </w:r>
      <w:r w:rsidRPr="0301FB53">
        <w:rPr>
          <w:rFonts w:ascii="Arial" w:hAnsi="Arial" w:cs="Arial"/>
          <w:color w:val="2B579A"/>
        </w:rPr>
        <w:fldChar w:fldCharType="end"/>
      </w:r>
      <w:r w:rsidRPr="0301FB53">
        <w:rPr>
          <w:rFonts w:ascii="Arial" w:hAnsi="Arial" w:cs="Arial"/>
        </w:rPr>
        <w:t>. These initiatives include</w:t>
      </w:r>
      <w:r w:rsidR="00C1661D" w:rsidRPr="0301FB53">
        <w:rPr>
          <w:rFonts w:ascii="Arial" w:hAnsi="Arial" w:cs="Arial"/>
        </w:rPr>
        <w:t xml:space="preserve"> but </w:t>
      </w:r>
      <w:r w:rsidR="002579F4" w:rsidRPr="0301FB53">
        <w:rPr>
          <w:rFonts w:ascii="Arial" w:hAnsi="Arial" w:cs="Arial"/>
        </w:rPr>
        <w:t xml:space="preserve">are </w:t>
      </w:r>
      <w:r w:rsidR="00C1661D" w:rsidRPr="0301FB53">
        <w:rPr>
          <w:rFonts w:ascii="Arial" w:hAnsi="Arial" w:cs="Arial"/>
        </w:rPr>
        <w:t>not limited to</w:t>
      </w:r>
      <w:r w:rsidRPr="0301FB53">
        <w:rPr>
          <w:rFonts w:ascii="Arial" w:hAnsi="Arial" w:cs="Arial"/>
        </w:rPr>
        <w:t xml:space="preserve"> the  ICH</w:t>
      </w:r>
      <w:r w:rsidR="00C815FD" w:rsidRPr="0301FB53">
        <w:rPr>
          <w:rFonts w:ascii="Arial" w:hAnsi="Arial" w:cs="Arial"/>
        </w:rPr>
        <w:t xml:space="preserve"> M4Q(R2)</w:t>
      </w:r>
      <w:r w:rsidRPr="0301FB53">
        <w:rPr>
          <w:rFonts w:ascii="Arial" w:hAnsi="Arial" w:cs="Arial"/>
        </w:rPr>
        <w:t xml:space="preserve"> Common Technical Document for Quality </w:t>
      </w:r>
      <w:r w:rsidR="0008528E" w:rsidRPr="0301FB53">
        <w:rPr>
          <w:rFonts w:ascii="Arial" w:hAnsi="Arial" w:cs="Arial"/>
        </w:rPr>
        <w:t>Guideline</w:t>
      </w:r>
      <w:r w:rsidR="00DA1FFA" w:rsidRPr="0301FB53">
        <w:rPr>
          <w:rFonts w:ascii="Arial" w:hAnsi="Arial" w:cs="Arial"/>
        </w:rPr>
        <w:t xml:space="preserve"> </w:t>
      </w:r>
      <w:r w:rsidRPr="0301FB53">
        <w:rPr>
          <w:rFonts w:ascii="Arial" w:hAnsi="Arial" w:cs="Arial"/>
          <w:color w:val="2B579A"/>
        </w:rPr>
        <w:fldChar w:fldCharType="begin"/>
      </w:r>
      <w:r w:rsidRPr="0301FB53">
        <w:rPr>
          <w:rFonts w:ascii="Arial" w:hAnsi="Arial" w:cs="Arial"/>
        </w:rPr>
        <w:instrText xml:space="preserve"> ADDIN EN.CITE &lt;EndNote&gt;&lt;Cite&gt;&lt;Author&gt;ICH&lt;/Author&gt;&lt;Year&gt;2021&lt;/Year&gt;&lt;RecNum&gt;20&lt;/RecNum&gt;&lt;DisplayText&gt;(ICH, 2021a, ICH, 2021b)&lt;/DisplayText&gt;&lt;record&gt;&lt;rec-number&gt;20&lt;/rec-number&gt;&lt;foreign-keys&gt;&lt;key app="EN" db-id="retve2w0r25svretdfkxxaprfsr0990sw95r" timestamp="1728573533"&gt;20&lt;/key&gt;&lt;/foreign-keys&gt;&lt;ref-type name="Government Document"&gt;46&lt;/ref-type&gt;&lt;contributors&gt;&lt;authors&gt;&lt;author&gt;ICH&lt;/author&gt;&lt;/authors&gt;&lt;/contributors&gt;&lt;titles&gt;&lt;title&gt;Concept Paper: M4Q(R2) Common Technical Document on Quality Guideline&lt;/title&gt;&lt;/titles&gt;&lt;dates&gt;&lt;year&gt;2021&lt;/year&gt;&lt;/dates&gt;&lt;publisher&gt;ICH&lt;/publisher&gt;&lt;urls&gt;&lt;related-urls&gt;&lt;url&gt;https://www.google.com/url?sa=t&amp;amp;rct=j&amp;amp;q=&amp;amp;esrc=s&amp;amp;source=web&amp;amp;cd=&amp;amp;ved=2ahUKEwiBw6zljYSJAxV8GFkFHWIRPSYQFnoECBgQAQ&amp;amp;url=https%3A%2F%2Fdatabase.ich.org%2Fsites%2Fdefault%2Ffiles%2FICH_M4Q-R2_ConceptPaper_Endorsed_2021_1115.pdf&amp;amp;usg=AOvVaw05xRCfMa-dNFjVOScOJmZB&amp;amp;opi=89978449&lt;/url&gt;&lt;/related-urls&gt;&lt;/urls&gt;&lt;/record&gt;&lt;/Cite&gt;&lt;Cite&gt;&lt;Author&gt;ICH&lt;/Author&gt;&lt;Year&gt;2021&lt;/Year&gt;&lt;RecNum&gt;21&lt;/RecNum&gt;&lt;record&gt;&lt;rec-number&gt;21&lt;/rec-number&gt;&lt;foreign-keys&gt;&lt;key app="EN" db-id="retve2w0r25svretdfkxxaprfsr0990sw95r" timestamp="1728573669"&gt;21&lt;/key&gt;&lt;/foreign-keys&gt;&lt;ref-type name="Government Document"&gt;46&lt;/ref-type&gt;&lt;contributors&gt;&lt;authors&gt;&lt;author&gt;ICH&lt;/author&gt;&lt;/authors&gt;&lt;/contributors&gt;&lt;titles&gt;&lt;title&gt;Business Plan: M4Q(R2) Common Technical Document on Quality Guideline&lt;/title&gt;&lt;/titles&gt;&lt;dates&gt;&lt;year&gt;2021&lt;/year&gt;&lt;/dates&gt;&lt;publisher&gt;ICH&lt;/publisher&gt;&lt;urls&gt;&lt;related-urls&gt;&lt;url&gt;https://www.google.com/url?sa=t&amp;amp;rct=j&amp;amp;q=&amp;amp;esrc=s&amp;amp;source=web&amp;amp;cd=&amp;amp;cad=rja&amp;amp;uact=8&amp;amp;ved=2ahUKEwiu57HQjoSJAxW3EFkFHZ6ELxQQFnoECBwQAQ&amp;amp;url=https%3A%2F%2Fdatabase.ich.org%2Fsites%2Fdefault%2Ffiles%2FICH_M4Q-R2_BusinessPlan_Endorsed_2021_1115.pdf&amp;amp;usg=AOvVaw08qYjLbQFC7gl_NnI7GdTZ&amp;amp;opi=89978449&lt;/url&gt;&lt;/related-urls&gt;&lt;/urls&gt;&lt;/record&gt;&lt;/Cite&gt;&lt;/EndNote&gt;</w:instrText>
      </w:r>
      <w:r w:rsidRPr="0301FB53">
        <w:rPr>
          <w:rFonts w:ascii="Arial" w:hAnsi="Arial" w:cs="Arial"/>
          <w:color w:val="2B579A"/>
        </w:rPr>
        <w:fldChar w:fldCharType="separate"/>
      </w:r>
      <w:r w:rsidR="005C2F5D" w:rsidRPr="0301FB53">
        <w:rPr>
          <w:rFonts w:ascii="Arial" w:hAnsi="Arial" w:cs="Arial"/>
          <w:noProof/>
        </w:rPr>
        <w:t>(ICH, 2021a, ICH, 2021b)</w:t>
      </w:r>
      <w:r w:rsidRPr="0301FB53">
        <w:rPr>
          <w:rFonts w:ascii="Arial" w:hAnsi="Arial" w:cs="Arial"/>
          <w:color w:val="2B579A"/>
        </w:rPr>
        <w:fldChar w:fldCharType="end"/>
      </w:r>
      <w:r w:rsidRPr="0301FB53">
        <w:rPr>
          <w:rFonts w:ascii="Arial" w:hAnsi="Arial" w:cs="Arial"/>
        </w:rPr>
        <w:t xml:space="preserve">, </w:t>
      </w:r>
      <w:bookmarkStart w:id="0" w:name="_Hlk179921140"/>
      <w:r w:rsidR="00FD3A7C" w:rsidRPr="0301FB53">
        <w:rPr>
          <w:rFonts w:ascii="Arial" w:hAnsi="Arial" w:cs="Arial"/>
        </w:rPr>
        <w:t>ICH Q12 Lifecycle Management</w:t>
      </w:r>
      <w:r w:rsidR="00FD3A7C">
        <w:rPr>
          <w:rFonts w:ascii="Arial" w:hAnsi="Arial" w:cs="Arial"/>
        </w:rPr>
        <w:t>,</w:t>
      </w:r>
      <w:r w:rsidR="001742F1">
        <w:rPr>
          <w:rFonts w:ascii="Arial" w:hAnsi="Arial" w:cs="Arial"/>
        </w:rPr>
        <w:t xml:space="preserve"> the</w:t>
      </w:r>
      <w:r w:rsidR="00FD3A7C">
        <w:rPr>
          <w:rFonts w:ascii="Arial" w:hAnsi="Arial" w:cs="Arial"/>
        </w:rPr>
        <w:t xml:space="preserve"> </w:t>
      </w:r>
      <w:r w:rsidR="00FD3A7C" w:rsidRPr="0301FB53">
        <w:rPr>
          <w:rFonts w:ascii="Arial" w:hAnsi="Arial" w:cs="Arial"/>
        </w:rPr>
        <w:t xml:space="preserve">Knowledge-aided Assessment and Structured Application (KASA), </w:t>
      </w:r>
      <w:r w:rsidRPr="0301FB53">
        <w:rPr>
          <w:rFonts w:ascii="Arial" w:hAnsi="Arial" w:cs="Arial"/>
        </w:rPr>
        <w:t>the Quality Surveillance Dashboard (QSD),</w:t>
      </w:r>
      <w:r w:rsidR="00F1552D" w:rsidRPr="0301FB53">
        <w:rPr>
          <w:rFonts w:ascii="Arial" w:hAnsi="Arial" w:cs="Arial"/>
        </w:rPr>
        <w:t xml:space="preserve"> </w:t>
      </w:r>
      <w:r w:rsidRPr="0301FB53">
        <w:rPr>
          <w:rFonts w:ascii="Arial" w:hAnsi="Arial" w:cs="Arial"/>
        </w:rPr>
        <w:t xml:space="preserve">and the Pharmaceutical Quality/Chemistry, Manufacturing, and Controls (PQ/CMC) </w:t>
      </w:r>
      <w:bookmarkEnd w:id="0"/>
      <w:r w:rsidRPr="0301FB53">
        <w:rPr>
          <w:rFonts w:ascii="Arial" w:hAnsi="Arial" w:cs="Arial"/>
        </w:rPr>
        <w:t>for CMC data element submissions and data exchange standards</w:t>
      </w:r>
      <w:r w:rsidR="00DA1FFA" w:rsidRPr="0301FB53">
        <w:rPr>
          <w:rFonts w:ascii="Arial" w:hAnsi="Arial" w:cs="Arial"/>
        </w:rPr>
        <w:t xml:space="preserve"> </w:t>
      </w:r>
      <w:r w:rsidRPr="0301FB53">
        <w:rPr>
          <w:rFonts w:ascii="Arial" w:hAnsi="Arial" w:cs="Arial"/>
          <w:color w:val="2B579A"/>
        </w:rPr>
        <w:fldChar w:fldCharType="begin"/>
      </w:r>
      <w:r w:rsidR="00F648C3">
        <w:rPr>
          <w:rFonts w:ascii="Arial" w:hAnsi="Arial" w:cs="Arial"/>
          <w:color w:val="2B579A"/>
        </w:rPr>
        <w:instrText xml:space="preserve"> ADDIN EN.CITE &lt;EndNote&gt;&lt;Cite&gt;&lt;Author&gt;FDA&lt;/Author&gt;&lt;Year&gt;2024&lt;/Year&gt;&lt;RecNum&gt;22&lt;/RecNum&gt;&lt;DisplayText&gt;(FDA, 2024a)&lt;/DisplayText&gt;&lt;record&gt;&lt;rec-number&gt;22&lt;/rec-number&gt;&lt;foreign-keys&gt;&lt;key app="EN" db-id="retve2w0r25svretdfkxxaprfsr0990sw95r" timestamp="1728573933"&gt;22&lt;/key&gt;&lt;/foreign-keys&gt;&lt;ref-type name="Online Multimedia"&gt;48&lt;/ref-type&gt;&lt;contributors&gt;&lt;authors&gt;&lt;author&gt;FDA&lt;/author&gt;&lt;/authors&gt;&lt;tertiary-authors&gt;&lt;author&gt;FDA&lt;/author&gt;&lt;/tertiary-authors&gt;&lt;/contributors&gt;&lt;titles&gt;&lt;title&gt;Pharmaceutical Quality - Chemistry, Manufacturing &amp;amp; Controls | PQ/CMC&lt;/title&gt;&lt;/titles&gt;&lt;section&gt;https://www.fda.gov/industry/fda-data-standards-advisory-board/pharmaceutical-quality-chemistry-manufacturing-controls-pqcmc&lt;/section&gt;&lt;dates&gt;&lt;year&gt;2024&lt;/year&gt;&lt;/dates&gt;&lt;pub-location&gt;https://www.fda.gov/industry/fda-data-standards-advisory-board/pharmaceutical-quality-chemistry-manufacturing-controls-pqcmc&lt;/pub-location&gt;&lt;urls&gt;&lt;related-urls&gt;&lt;url&gt;https://www.fda.gov/industry/fda-data-standards-advisory-board/pharmaceutical-quality-chemistry-manufacturing-controls-pqcmc&lt;/url&gt;&lt;/related-urls&gt;&lt;/urls&gt;&lt;access-date&gt;December, 2024&lt;/access-date&gt;&lt;/record&gt;&lt;/Cite&gt;&lt;/EndNote&gt;</w:instrText>
      </w:r>
      <w:r w:rsidRPr="0301FB53">
        <w:rPr>
          <w:rFonts w:ascii="Arial" w:hAnsi="Arial" w:cs="Arial"/>
          <w:color w:val="2B579A"/>
        </w:rPr>
        <w:fldChar w:fldCharType="separate"/>
      </w:r>
      <w:r w:rsidR="00DA31FD" w:rsidRPr="00DA31FD">
        <w:rPr>
          <w:rFonts w:ascii="Arial" w:hAnsi="Arial" w:cs="Arial"/>
          <w:noProof/>
        </w:rPr>
        <w:t>(FDA, 2024a)</w:t>
      </w:r>
      <w:r w:rsidRPr="0301FB53">
        <w:rPr>
          <w:rFonts w:ascii="Arial" w:hAnsi="Arial" w:cs="Arial"/>
          <w:color w:val="2B579A"/>
        </w:rPr>
        <w:fldChar w:fldCharType="end"/>
      </w:r>
      <w:r w:rsidRPr="0301FB53">
        <w:rPr>
          <w:rFonts w:ascii="Arial" w:hAnsi="Arial" w:cs="Arial"/>
        </w:rPr>
        <w:t xml:space="preserve">. Notably, KASA has already been successfully implemented and is being routinely used as </w:t>
      </w:r>
      <w:r w:rsidR="007473BE" w:rsidRPr="0301FB53">
        <w:rPr>
          <w:rFonts w:ascii="Arial" w:hAnsi="Arial" w:cs="Arial"/>
        </w:rPr>
        <w:t xml:space="preserve">OPQ’s </w:t>
      </w:r>
      <w:r w:rsidRPr="0301FB53">
        <w:rPr>
          <w:rFonts w:ascii="Arial" w:hAnsi="Arial" w:cs="Arial"/>
        </w:rPr>
        <w:t xml:space="preserve">review platform </w:t>
      </w:r>
      <w:r w:rsidR="002E6AF7" w:rsidRPr="0301FB53">
        <w:rPr>
          <w:rFonts w:ascii="Arial" w:hAnsi="Arial" w:cs="Arial"/>
        </w:rPr>
        <w:t xml:space="preserve">for </w:t>
      </w:r>
      <w:r w:rsidR="00102857" w:rsidRPr="0301FB53">
        <w:rPr>
          <w:rFonts w:ascii="Arial" w:hAnsi="Arial" w:cs="Arial"/>
        </w:rPr>
        <w:t xml:space="preserve">non-sterile </w:t>
      </w:r>
      <w:r w:rsidR="000E4249" w:rsidRPr="0301FB53">
        <w:rPr>
          <w:rFonts w:ascii="Arial" w:hAnsi="Arial" w:cs="Arial"/>
        </w:rPr>
        <w:t>solid oral dosage form (</w:t>
      </w:r>
      <w:r w:rsidR="0090176C" w:rsidRPr="0301FB53">
        <w:rPr>
          <w:rFonts w:ascii="Arial" w:hAnsi="Arial" w:cs="Arial"/>
        </w:rPr>
        <w:t>SODF</w:t>
      </w:r>
      <w:r w:rsidR="000E4249" w:rsidRPr="0301FB53">
        <w:rPr>
          <w:rFonts w:ascii="Arial" w:hAnsi="Arial" w:cs="Arial"/>
        </w:rPr>
        <w:t>)</w:t>
      </w:r>
      <w:r w:rsidRPr="0301FB53">
        <w:rPr>
          <w:rFonts w:ascii="Arial" w:hAnsi="Arial" w:cs="Arial"/>
        </w:rPr>
        <w:t xml:space="preserve"> ANDAs</w:t>
      </w:r>
      <w:r w:rsidR="002C0316" w:rsidRPr="0301FB53">
        <w:rPr>
          <w:rFonts w:ascii="Arial" w:hAnsi="Arial" w:cs="Arial"/>
        </w:rPr>
        <w:t>.</w:t>
      </w:r>
      <w:r w:rsidR="470CEFD3" w:rsidRPr="0301FB53">
        <w:rPr>
          <w:rFonts w:ascii="Arial" w:hAnsi="Arial" w:cs="Arial"/>
        </w:rPr>
        <w:t xml:space="preserve"> This includes </w:t>
      </w:r>
      <w:r w:rsidR="004B4719">
        <w:rPr>
          <w:rFonts w:ascii="Arial" w:hAnsi="Arial" w:cs="Arial"/>
        </w:rPr>
        <w:t xml:space="preserve">assessment from </w:t>
      </w:r>
      <w:r w:rsidR="002006F8">
        <w:rPr>
          <w:rFonts w:ascii="Arial" w:hAnsi="Arial" w:cs="Arial"/>
        </w:rPr>
        <w:t>multiple</w:t>
      </w:r>
      <w:r w:rsidR="002006F8" w:rsidRPr="0301FB53">
        <w:rPr>
          <w:rFonts w:ascii="Arial" w:hAnsi="Arial" w:cs="Arial"/>
        </w:rPr>
        <w:t xml:space="preserve"> </w:t>
      </w:r>
      <w:r w:rsidR="003B02F2">
        <w:rPr>
          <w:rFonts w:ascii="Arial" w:hAnsi="Arial" w:cs="Arial"/>
        </w:rPr>
        <w:t xml:space="preserve">quality </w:t>
      </w:r>
      <w:r w:rsidR="470CEFD3" w:rsidRPr="0301FB53">
        <w:rPr>
          <w:rFonts w:ascii="Arial" w:hAnsi="Arial" w:cs="Arial"/>
        </w:rPr>
        <w:t xml:space="preserve">disciplines such as </w:t>
      </w:r>
      <w:r w:rsidR="006F4B4B">
        <w:rPr>
          <w:rFonts w:ascii="Arial" w:hAnsi="Arial" w:cs="Arial"/>
        </w:rPr>
        <w:t xml:space="preserve">drug substance, </w:t>
      </w:r>
      <w:r w:rsidR="470CEFD3" w:rsidRPr="0301FB53">
        <w:rPr>
          <w:rFonts w:ascii="Arial" w:hAnsi="Arial" w:cs="Arial"/>
        </w:rPr>
        <w:t xml:space="preserve">drug product, manufacturing, and </w:t>
      </w:r>
      <w:r w:rsidR="000B44B2" w:rsidRPr="000B44B2">
        <w:rPr>
          <w:rFonts w:ascii="Arial" w:hAnsi="Arial" w:cs="Arial"/>
        </w:rPr>
        <w:t>biopharmaceuticals</w:t>
      </w:r>
      <w:r w:rsidR="470CEFD3" w:rsidRPr="0301FB53">
        <w:rPr>
          <w:rFonts w:ascii="Arial" w:hAnsi="Arial" w:cs="Arial"/>
        </w:rPr>
        <w:t>.</w:t>
      </w:r>
    </w:p>
    <w:p w14:paraId="650547E5" w14:textId="170E0978" w:rsidR="002D11BF" w:rsidRDefault="73925563" w:rsidP="3346B938">
      <w:pPr>
        <w:rPr>
          <w:rFonts w:ascii="Arial" w:hAnsi="Arial" w:cs="Arial"/>
        </w:rPr>
      </w:pPr>
      <w:r w:rsidRPr="671D61EC">
        <w:rPr>
          <w:rFonts w:ascii="Arial" w:eastAsia="Arial" w:hAnsi="Arial" w:cs="Arial"/>
          <w:color w:val="333333"/>
        </w:rPr>
        <w:t>T</w:t>
      </w:r>
      <w:r w:rsidR="3346B938" w:rsidRPr="671D61EC">
        <w:rPr>
          <w:rFonts w:ascii="Arial" w:eastAsia="Arial" w:hAnsi="Arial" w:cs="Arial"/>
          <w:color w:val="333333"/>
        </w:rPr>
        <w:t xml:space="preserve">he Office of Pharmaceutical Manufacturing Assessment (OPMA), part of CDER’s </w:t>
      </w:r>
      <w:r w:rsidR="005C6911">
        <w:rPr>
          <w:rFonts w:ascii="Arial" w:eastAsia="Arial" w:hAnsi="Arial" w:cs="Arial"/>
          <w:color w:val="333333"/>
        </w:rPr>
        <w:t>O</w:t>
      </w:r>
      <w:r w:rsidR="005C6911" w:rsidRPr="671D61EC">
        <w:rPr>
          <w:rFonts w:ascii="Arial" w:eastAsia="Arial" w:hAnsi="Arial" w:cs="Arial"/>
          <w:color w:val="333333"/>
        </w:rPr>
        <w:t xml:space="preserve">ffice </w:t>
      </w:r>
      <w:r w:rsidR="53BE5660" w:rsidRPr="671D61EC">
        <w:rPr>
          <w:rFonts w:ascii="Arial" w:eastAsia="Arial" w:hAnsi="Arial" w:cs="Arial"/>
          <w:color w:val="333333"/>
        </w:rPr>
        <w:t>of Pharmaceutical Quality</w:t>
      </w:r>
      <w:r w:rsidR="005C6911">
        <w:rPr>
          <w:rFonts w:ascii="Arial" w:eastAsia="Arial" w:hAnsi="Arial" w:cs="Arial"/>
          <w:color w:val="333333"/>
        </w:rPr>
        <w:t xml:space="preserve"> (OPQ)</w:t>
      </w:r>
      <w:r w:rsidR="003F4183">
        <w:rPr>
          <w:rFonts w:ascii="Arial" w:eastAsia="Arial" w:hAnsi="Arial" w:cs="Arial"/>
          <w:color w:val="333333"/>
        </w:rPr>
        <w:t>,</w:t>
      </w:r>
      <w:r w:rsidR="3346B938" w:rsidRPr="671D61EC">
        <w:rPr>
          <w:rFonts w:ascii="Arial" w:eastAsia="Arial" w:hAnsi="Arial" w:cs="Arial"/>
          <w:color w:val="333333"/>
        </w:rPr>
        <w:t xml:space="preserve"> assures that quality pharmaceuticals are consistently manufactured over the product lifecycle</w:t>
      </w:r>
      <w:r w:rsidR="00B5468D">
        <w:rPr>
          <w:rFonts w:ascii="Arial" w:eastAsia="Arial" w:hAnsi="Arial" w:cs="Arial"/>
          <w:color w:val="333333"/>
        </w:rPr>
        <w:t>.</w:t>
      </w:r>
      <w:r w:rsidR="2DE79EA5" w:rsidRPr="671D61EC">
        <w:rPr>
          <w:rFonts w:ascii="Arial" w:eastAsia="Arial" w:hAnsi="Arial" w:cs="Arial"/>
          <w:color w:val="333333"/>
        </w:rPr>
        <w:t xml:space="preserve"> It provides the </w:t>
      </w:r>
      <w:r w:rsidR="006A345D">
        <w:rPr>
          <w:rFonts w:ascii="Arial" w:eastAsia="Arial" w:hAnsi="Arial" w:cs="Arial"/>
          <w:color w:val="333333"/>
        </w:rPr>
        <w:t>assessment</w:t>
      </w:r>
      <w:r w:rsidR="006A345D" w:rsidRPr="671D61EC">
        <w:rPr>
          <w:rFonts w:ascii="Arial" w:eastAsia="Arial" w:hAnsi="Arial" w:cs="Arial"/>
          <w:color w:val="333333"/>
        </w:rPr>
        <w:t xml:space="preserve"> </w:t>
      </w:r>
      <w:r w:rsidR="2DE79EA5" w:rsidRPr="671D61EC">
        <w:rPr>
          <w:rFonts w:ascii="Arial" w:eastAsia="Arial" w:hAnsi="Arial" w:cs="Arial"/>
          <w:color w:val="333333"/>
        </w:rPr>
        <w:t xml:space="preserve">of </w:t>
      </w:r>
      <w:r w:rsidR="00A060B4">
        <w:rPr>
          <w:rFonts w:ascii="Arial" w:eastAsia="Arial" w:hAnsi="Arial" w:cs="Arial"/>
          <w:color w:val="333333"/>
        </w:rPr>
        <w:t xml:space="preserve">the </w:t>
      </w:r>
      <w:r w:rsidR="0058196C">
        <w:rPr>
          <w:rFonts w:ascii="Arial" w:eastAsia="Arial" w:hAnsi="Arial" w:cs="Arial"/>
          <w:color w:val="333333"/>
        </w:rPr>
        <w:t xml:space="preserve">proposed </w:t>
      </w:r>
      <w:r w:rsidR="2DE79EA5" w:rsidRPr="671D61EC">
        <w:rPr>
          <w:rFonts w:ascii="Arial" w:eastAsia="Arial" w:hAnsi="Arial" w:cs="Arial"/>
          <w:color w:val="333333"/>
        </w:rPr>
        <w:t xml:space="preserve">manufacturing </w:t>
      </w:r>
      <w:r w:rsidR="006A345D">
        <w:rPr>
          <w:rFonts w:ascii="Arial" w:eastAsia="Arial" w:hAnsi="Arial" w:cs="Arial"/>
          <w:color w:val="333333"/>
        </w:rPr>
        <w:t xml:space="preserve">process </w:t>
      </w:r>
      <w:r w:rsidR="2DE79EA5" w:rsidRPr="671D61EC">
        <w:rPr>
          <w:rFonts w:ascii="Arial" w:eastAsia="Arial" w:hAnsi="Arial" w:cs="Arial"/>
          <w:color w:val="333333"/>
        </w:rPr>
        <w:t>and facilities</w:t>
      </w:r>
      <w:r w:rsidR="009D3B95">
        <w:rPr>
          <w:rFonts w:ascii="Arial" w:eastAsia="Arial" w:hAnsi="Arial" w:cs="Arial"/>
          <w:color w:val="333333"/>
        </w:rPr>
        <w:t xml:space="preserve"> at commercial scale</w:t>
      </w:r>
      <w:r w:rsidR="2DE79EA5" w:rsidRPr="671D61EC">
        <w:rPr>
          <w:rFonts w:ascii="Arial" w:eastAsia="Arial" w:hAnsi="Arial" w:cs="Arial"/>
          <w:color w:val="333333"/>
        </w:rPr>
        <w:t xml:space="preserve"> for CDER regulated </w:t>
      </w:r>
      <w:r w:rsidR="00857B14" w:rsidRPr="671D61EC">
        <w:rPr>
          <w:rFonts w:ascii="Arial" w:eastAsia="Arial" w:hAnsi="Arial" w:cs="Arial"/>
          <w:color w:val="333333"/>
        </w:rPr>
        <w:t>products</w:t>
      </w:r>
      <w:r w:rsidR="00857B14">
        <w:rPr>
          <w:rFonts w:ascii="Arial" w:eastAsia="Arial" w:hAnsi="Arial" w:cs="Arial"/>
          <w:color w:val="333333"/>
        </w:rPr>
        <w:t xml:space="preserve">. </w:t>
      </w:r>
      <w:r w:rsidR="3346B938" w:rsidRPr="3346B938" w:rsidDel="3346B938">
        <w:rPr>
          <w:rFonts w:ascii="Arial" w:hAnsi="Arial" w:cs="Arial"/>
        </w:rPr>
        <w:t>The</w:t>
      </w:r>
      <w:r w:rsidR="3346B938" w:rsidRPr="671D61EC">
        <w:rPr>
          <w:rFonts w:ascii="Arial" w:hAnsi="Arial" w:cs="Arial"/>
        </w:rPr>
        <w:t xml:space="preserve"> first KASA prototype of the manufacturing section was developed in-house in 2019 for non-sterile SODF ANDA’s</w:t>
      </w:r>
      <w:r w:rsidR="00D11B31">
        <w:rPr>
          <w:rFonts w:ascii="Arial" w:hAnsi="Arial" w:cs="Arial"/>
        </w:rPr>
        <w:t xml:space="preserve"> </w:t>
      </w:r>
      <w:r w:rsidR="3346B938" w:rsidRPr="671D61EC">
        <w:rPr>
          <w:rFonts w:ascii="Arial" w:hAnsi="Arial" w:cs="Arial"/>
        </w:rPr>
        <w:t>for</w:t>
      </w:r>
      <w:r w:rsidR="3346B938" w:rsidRPr="3346B938">
        <w:rPr>
          <w:rFonts w:ascii="Arial" w:hAnsi="Arial" w:cs="Arial"/>
        </w:rPr>
        <w:t xml:space="preserve"> OPMA office</w:t>
      </w:r>
      <w:r w:rsidR="00D11B31">
        <w:rPr>
          <w:rFonts w:ascii="Arial" w:hAnsi="Arial" w:cs="Arial"/>
        </w:rPr>
        <w:t xml:space="preserve">. </w:t>
      </w:r>
      <w:r w:rsidR="3346B938" w:rsidRPr="0084731D">
        <w:rPr>
          <w:rFonts w:ascii="Arial" w:hAnsi="Arial" w:cs="Arial"/>
        </w:rPr>
        <w:t>Multiple versions and improvements were made for the manufacturing section, and pilot tested</w:t>
      </w:r>
      <w:r w:rsidR="00C45371" w:rsidRPr="00A63F70">
        <w:rPr>
          <w:rFonts w:ascii="Arial" w:hAnsi="Arial" w:cs="Arial"/>
        </w:rPr>
        <w:t xml:space="preserve"> </w:t>
      </w:r>
      <w:r w:rsidR="3346B938" w:rsidRPr="0084731D">
        <w:rPr>
          <w:rFonts w:ascii="Arial" w:hAnsi="Arial" w:cs="Arial"/>
        </w:rPr>
        <w:t>throughout 2019-2020</w:t>
      </w:r>
      <w:r w:rsidR="3346B938" w:rsidRPr="3346B938">
        <w:rPr>
          <w:rFonts w:ascii="Arial" w:hAnsi="Arial" w:cs="Arial"/>
        </w:rPr>
        <w:t xml:space="preserve">. In 2021, the FDA transferred the KASA manufacturing section for non-sterile SODF ANDAs to the cloud where </w:t>
      </w:r>
      <w:r w:rsidR="00697DF9">
        <w:rPr>
          <w:rFonts w:ascii="Arial" w:hAnsi="Arial" w:cs="Arial"/>
        </w:rPr>
        <w:t>the data</w:t>
      </w:r>
      <w:r w:rsidR="00697DF9" w:rsidRPr="3346B938">
        <w:rPr>
          <w:rFonts w:ascii="Arial" w:hAnsi="Arial" w:cs="Arial"/>
        </w:rPr>
        <w:t xml:space="preserve"> </w:t>
      </w:r>
      <w:r w:rsidR="3346B938" w:rsidRPr="3346B938">
        <w:rPr>
          <w:rFonts w:ascii="Arial" w:hAnsi="Arial" w:cs="Arial"/>
        </w:rPr>
        <w:t xml:space="preserve">are stored on FDA servers within a Federal Information Security Management Act (FISMA) high </w:t>
      </w:r>
      <w:r w:rsidR="003179B6">
        <w:rPr>
          <w:rFonts w:ascii="Arial" w:hAnsi="Arial" w:cs="Arial"/>
        </w:rPr>
        <w:t xml:space="preserve">security </w:t>
      </w:r>
      <w:r w:rsidR="3346B938" w:rsidRPr="3346B938">
        <w:rPr>
          <w:rFonts w:ascii="Arial" w:hAnsi="Arial" w:cs="Arial"/>
        </w:rPr>
        <w:t xml:space="preserve">environment, ensuring the strictest level of protection. </w:t>
      </w:r>
      <w:r w:rsidR="3346B938" w:rsidRPr="004A50B6">
        <w:rPr>
          <w:rFonts w:ascii="Arial" w:hAnsi="Arial" w:cs="Arial"/>
          <w:color w:val="2F5496" w:themeColor="accent1" w:themeShade="BF"/>
        </w:rPr>
        <w:t xml:space="preserve">The KASA manufacturing section was officially launched for </w:t>
      </w:r>
      <w:r w:rsidR="000031D6" w:rsidRPr="004A50B6">
        <w:rPr>
          <w:rFonts w:ascii="Arial" w:hAnsi="Arial" w:cs="Arial"/>
          <w:color w:val="2F5496" w:themeColor="accent1" w:themeShade="BF"/>
        </w:rPr>
        <w:t xml:space="preserve">routine </w:t>
      </w:r>
      <w:r w:rsidR="3346B938" w:rsidRPr="004A50B6">
        <w:rPr>
          <w:rFonts w:ascii="Arial" w:hAnsi="Arial" w:cs="Arial"/>
          <w:color w:val="2F5496" w:themeColor="accent1" w:themeShade="BF"/>
        </w:rPr>
        <w:t xml:space="preserve">assessment of non-sterile SODF ANDAs </w:t>
      </w:r>
      <w:r w:rsidR="00100B6F" w:rsidRPr="004A50B6">
        <w:rPr>
          <w:rFonts w:ascii="Arial" w:hAnsi="Arial" w:cs="Arial"/>
          <w:color w:val="2F5496" w:themeColor="accent1" w:themeShade="BF"/>
        </w:rPr>
        <w:t xml:space="preserve">in </w:t>
      </w:r>
      <w:r w:rsidR="0084731D" w:rsidRPr="004A50B6">
        <w:rPr>
          <w:rFonts w:ascii="Arial" w:hAnsi="Arial" w:cs="Arial"/>
          <w:color w:val="2F5496" w:themeColor="accent1" w:themeShade="BF"/>
        </w:rPr>
        <w:t>February</w:t>
      </w:r>
      <w:r w:rsidR="3346B938" w:rsidRPr="004A50B6">
        <w:rPr>
          <w:rFonts w:ascii="Arial" w:hAnsi="Arial" w:cs="Arial"/>
          <w:color w:val="2F5496" w:themeColor="accent1" w:themeShade="BF"/>
        </w:rPr>
        <w:t xml:space="preserve"> 2021</w:t>
      </w:r>
      <w:r w:rsidR="0046112C">
        <w:rPr>
          <w:rFonts w:ascii="Arial" w:hAnsi="Arial" w:cs="Arial" w:hint="eastAsia"/>
        </w:rPr>
        <w:t>.</w:t>
      </w:r>
    </w:p>
    <w:p w14:paraId="321CB79C" w14:textId="3489D3F1" w:rsidR="00AC4344" w:rsidRPr="001C4106" w:rsidRDefault="00E704EB" w:rsidP="0016789C">
      <w:pPr>
        <w:rPr>
          <w:rFonts w:ascii="Arial" w:hAnsi="Arial" w:cs="Arial"/>
        </w:rPr>
      </w:pPr>
      <w:r w:rsidRPr="6E98053B">
        <w:rPr>
          <w:rFonts w:ascii="Arial" w:hAnsi="Arial" w:cs="Arial"/>
        </w:rPr>
        <w:lastRenderedPageBreak/>
        <w:t>Since the publication of the KASA white paper in 2019</w:t>
      </w:r>
      <w:r w:rsidR="00C57E46" w:rsidRPr="6E98053B">
        <w:rPr>
          <w:rFonts w:ascii="Arial" w:hAnsi="Arial" w:cs="Arial"/>
        </w:rPr>
        <w:t xml:space="preserve"> </w:t>
      </w:r>
      <w:r w:rsidRPr="6E98053B">
        <w:rPr>
          <w:rFonts w:ascii="Arial" w:hAnsi="Arial" w:cs="Arial"/>
          <w:color w:val="2B579A"/>
          <w:shd w:val="clear" w:color="auto" w:fill="E6E6E6"/>
        </w:rPr>
        <w:fldChar w:fldCharType="begin"/>
      </w:r>
      <w:r w:rsidRPr="6E98053B">
        <w:rPr>
          <w:rFonts w:ascii="Arial" w:hAnsi="Arial" w:cs="Arial"/>
        </w:rPr>
        <w:instrText xml:space="preserve"> ADDIN EN.CITE &lt;EndNote&gt;&lt;Cite&gt;&lt;Author&gt;Yu&lt;/Author&gt;&lt;Year&gt;2019&lt;/Year&gt;&lt;RecNum&gt;1&lt;/RecNum&gt;&lt;DisplayText&gt;(Yu, et al, 2019)&lt;/DisplayText&gt;&lt;record&gt;&lt;rec-number&gt;1&lt;/rec-number&gt;&lt;foreign-keys&gt;&lt;key app="EN" db-id="retve2w0r25svretdfkxxaprfsr0990sw95r" timestamp="1726262114"&gt;1&lt;/key&gt;&lt;/foreign-keys&gt;&lt;ref-type name="Journal Article"&gt;17&lt;/ref-type&gt;&lt;contributors&gt;&lt;authors&gt;&lt;author&gt;Yu, Lawrence X.&lt;/author&gt;&lt;author&gt;Raw, Andre&lt;/author&gt;&lt;author&gt;Wu, Larisa&lt;/author&gt;&lt;author&gt;Capacci-Daniel, Christina&lt;/author&gt;&lt;author&gt;Zhang, Ying&lt;/author&gt;&lt;author&gt;Rosencrance, Susan&lt;/author&gt;&lt;/authors&gt;&lt;/contributors&gt;&lt;titles&gt;&lt;title&gt;FDA’s new pharmaceutical quality initiative: Knowledge-aided assessment &amp;amp; structured applications&lt;/title&gt;&lt;secondary-title&gt;International Journal of Pharmaceutics: X&lt;/secondary-title&gt;&lt;/titles&gt;&lt;periodical&gt;&lt;full-title&gt;International Journal of Pharmaceutics: X&lt;/full-title&gt;&lt;/periodical&gt;&lt;pages&gt;100010&lt;/pages&gt;&lt;volume&gt;1&lt;/volume&gt;&lt;keywords&gt;&lt;keyword&gt;Pharmaceutical quality&lt;/keyword&gt;&lt;keyword&gt;Knowledge management&lt;/keyword&gt;&lt;keyword&gt;Risk assessment&lt;/keyword&gt;&lt;keyword&gt;Risk control&lt;/keyword&gt;&lt;keyword&gt;Structured application&lt;/keyword&gt;&lt;/keywords&gt;&lt;dates&gt;&lt;year&gt;2019&lt;/year&gt;&lt;pub-dates&gt;&lt;date&gt;2019/12/01/&lt;/date&gt;&lt;/pub-dates&gt;&lt;/dates&gt;&lt;isbn&gt;2590-1567&lt;/isbn&gt;&lt;urls&gt;&lt;related-urls&gt;&lt;url&gt;https://www.sciencedirect.com/science/article/pii/S2590156719300246&lt;/url&gt;&lt;/related-urls&gt;&lt;/urls&gt;&lt;electronic-resource-num&gt;https://doi.org/10.1016/j.ijpx.2019.100010&lt;/electronic-resource-num&gt;&lt;/record&gt;&lt;/Cite&gt;&lt;/EndNote&gt;</w:instrText>
      </w:r>
      <w:r w:rsidRPr="6E98053B">
        <w:rPr>
          <w:rFonts w:ascii="Arial" w:hAnsi="Arial" w:cs="Arial"/>
          <w:color w:val="2B579A"/>
          <w:shd w:val="clear" w:color="auto" w:fill="E6E6E6"/>
        </w:rPr>
        <w:fldChar w:fldCharType="separate"/>
      </w:r>
      <w:r w:rsidR="003D627F" w:rsidRPr="6E98053B">
        <w:rPr>
          <w:rFonts w:ascii="Arial" w:hAnsi="Arial" w:cs="Arial"/>
          <w:noProof/>
        </w:rPr>
        <w:t>(Yu, et al, 2019)</w:t>
      </w:r>
      <w:r w:rsidRPr="6E98053B">
        <w:rPr>
          <w:rFonts w:ascii="Arial" w:hAnsi="Arial" w:cs="Arial"/>
          <w:color w:val="2B579A"/>
          <w:shd w:val="clear" w:color="auto" w:fill="E6E6E6"/>
        </w:rPr>
        <w:fldChar w:fldCharType="end"/>
      </w:r>
      <w:r w:rsidRPr="6E98053B">
        <w:rPr>
          <w:rFonts w:ascii="Arial" w:hAnsi="Arial" w:cs="Arial"/>
        </w:rPr>
        <w:t xml:space="preserve">, which </w:t>
      </w:r>
      <w:r w:rsidR="001E37B6">
        <w:rPr>
          <w:rFonts w:ascii="Arial" w:hAnsi="Arial" w:cs="Arial"/>
        </w:rPr>
        <w:t>provided the vision of</w:t>
      </w:r>
      <w:r w:rsidR="001E37B6" w:rsidRPr="6E98053B">
        <w:rPr>
          <w:rFonts w:ascii="Arial" w:hAnsi="Arial" w:cs="Arial"/>
        </w:rPr>
        <w:t xml:space="preserve"> </w:t>
      </w:r>
      <w:r w:rsidRPr="6E98053B">
        <w:rPr>
          <w:rFonts w:ascii="Arial" w:hAnsi="Arial" w:cs="Arial"/>
        </w:rPr>
        <w:t xml:space="preserve">the concept of the </w:t>
      </w:r>
      <w:r w:rsidR="007F6FB5" w:rsidRPr="6E98053B">
        <w:rPr>
          <w:rFonts w:ascii="Arial" w:hAnsi="Arial" w:cs="Arial"/>
        </w:rPr>
        <w:t>KASA platform</w:t>
      </w:r>
      <w:r w:rsidRPr="6E98053B">
        <w:rPr>
          <w:rFonts w:ascii="Arial" w:hAnsi="Arial" w:cs="Arial"/>
        </w:rPr>
        <w:t xml:space="preserve">, </w:t>
      </w:r>
      <w:r w:rsidR="00583857" w:rsidRPr="6E98053B">
        <w:rPr>
          <w:rFonts w:ascii="Arial" w:hAnsi="Arial" w:cs="Arial"/>
        </w:rPr>
        <w:t xml:space="preserve">there has been </w:t>
      </w:r>
      <w:r w:rsidR="0093129B" w:rsidRPr="6E98053B">
        <w:rPr>
          <w:rFonts w:ascii="Arial" w:hAnsi="Arial" w:cs="Arial"/>
        </w:rPr>
        <w:t xml:space="preserve">limited </w:t>
      </w:r>
      <w:r w:rsidR="00583857" w:rsidRPr="6E98053B">
        <w:rPr>
          <w:rFonts w:ascii="Arial" w:hAnsi="Arial" w:cs="Arial"/>
        </w:rPr>
        <w:t xml:space="preserve">detailed exploration in the literature regarding its implementation, particularly in the manufacturing </w:t>
      </w:r>
      <w:r w:rsidR="00E31FFC" w:rsidRPr="6E98053B">
        <w:rPr>
          <w:rFonts w:ascii="Arial" w:hAnsi="Arial" w:cs="Arial"/>
        </w:rPr>
        <w:t xml:space="preserve">section </w:t>
      </w:r>
      <w:r w:rsidR="00583857" w:rsidRPr="6E98053B">
        <w:rPr>
          <w:rFonts w:ascii="Arial" w:hAnsi="Arial" w:cs="Arial"/>
        </w:rPr>
        <w:t xml:space="preserve">of the </w:t>
      </w:r>
      <w:r w:rsidR="00E31FFC" w:rsidRPr="6E98053B">
        <w:rPr>
          <w:rFonts w:ascii="Arial" w:hAnsi="Arial" w:cs="Arial"/>
        </w:rPr>
        <w:t xml:space="preserve">KASA </w:t>
      </w:r>
      <w:r w:rsidR="00FF6A39">
        <w:rPr>
          <w:rFonts w:ascii="Arial" w:hAnsi="Arial" w:cs="Arial"/>
        </w:rPr>
        <w:t>platform</w:t>
      </w:r>
      <w:r w:rsidRPr="6E98053B">
        <w:rPr>
          <w:rFonts w:ascii="Arial" w:hAnsi="Arial" w:cs="Arial"/>
        </w:rPr>
        <w:t xml:space="preserve">. This paper presents our perspective on the </w:t>
      </w:r>
      <w:r w:rsidR="00ED3815">
        <w:rPr>
          <w:rFonts w:ascii="Arial" w:hAnsi="Arial" w:cs="Arial"/>
        </w:rPr>
        <w:t xml:space="preserve">FDA’s </w:t>
      </w:r>
      <w:r w:rsidRPr="6E98053B">
        <w:rPr>
          <w:rFonts w:ascii="Arial" w:hAnsi="Arial" w:cs="Arial"/>
        </w:rPr>
        <w:t xml:space="preserve">implementation of the </w:t>
      </w:r>
      <w:r w:rsidR="00D56045" w:rsidRPr="6E98053B">
        <w:rPr>
          <w:rFonts w:ascii="Arial" w:hAnsi="Arial" w:cs="Arial"/>
        </w:rPr>
        <w:t xml:space="preserve">KASA </w:t>
      </w:r>
      <w:r w:rsidRPr="6E98053B">
        <w:rPr>
          <w:rFonts w:ascii="Arial" w:hAnsi="Arial" w:cs="Arial"/>
        </w:rPr>
        <w:t xml:space="preserve">manufacturing </w:t>
      </w:r>
      <w:r w:rsidR="00D56045" w:rsidRPr="6E98053B">
        <w:rPr>
          <w:rFonts w:ascii="Arial" w:hAnsi="Arial" w:cs="Arial"/>
        </w:rPr>
        <w:t>section for non-sterile SODF ANDAs</w:t>
      </w:r>
      <w:r w:rsidRPr="6E98053B">
        <w:rPr>
          <w:rFonts w:ascii="Arial" w:hAnsi="Arial" w:cs="Arial"/>
        </w:rPr>
        <w:t xml:space="preserve"> as well as </w:t>
      </w:r>
      <w:r w:rsidR="00FE65E7" w:rsidRPr="6E98053B">
        <w:rPr>
          <w:rFonts w:ascii="Arial" w:hAnsi="Arial" w:cs="Arial"/>
        </w:rPr>
        <w:t>an</w:t>
      </w:r>
      <w:r w:rsidRPr="6E98053B">
        <w:rPr>
          <w:rFonts w:ascii="Arial" w:hAnsi="Arial" w:cs="Arial"/>
        </w:rPr>
        <w:t xml:space="preserve"> up-to-date status of its </w:t>
      </w:r>
      <w:r w:rsidR="0047753B" w:rsidRPr="6E98053B">
        <w:rPr>
          <w:rFonts w:ascii="Arial" w:hAnsi="Arial" w:cs="Arial"/>
        </w:rPr>
        <w:t xml:space="preserve">use </w:t>
      </w:r>
      <w:r w:rsidRPr="6E98053B">
        <w:rPr>
          <w:rFonts w:ascii="Arial" w:hAnsi="Arial" w:cs="Arial"/>
        </w:rPr>
        <w:t xml:space="preserve">in the OPMA's review workflow. We provide detailed insights into the implementation of KASA </w:t>
      </w:r>
      <w:r w:rsidR="009226CF" w:rsidRPr="6E98053B">
        <w:rPr>
          <w:rFonts w:ascii="Arial" w:hAnsi="Arial" w:cs="Arial"/>
        </w:rPr>
        <w:t xml:space="preserve">manufacturing section </w:t>
      </w:r>
      <w:r w:rsidRPr="6E98053B">
        <w:rPr>
          <w:rFonts w:ascii="Arial" w:hAnsi="Arial" w:cs="Arial"/>
        </w:rPr>
        <w:t xml:space="preserve">in the OPMA office, specifically applied to </w:t>
      </w:r>
      <w:r w:rsidR="00112D26" w:rsidRPr="6E98053B">
        <w:rPr>
          <w:rFonts w:ascii="Arial" w:hAnsi="Arial" w:cs="Arial"/>
        </w:rPr>
        <w:t xml:space="preserve">non-sterile </w:t>
      </w:r>
      <w:r w:rsidR="0090176C" w:rsidRPr="6E98053B">
        <w:rPr>
          <w:rFonts w:ascii="Arial" w:hAnsi="Arial" w:cs="Arial"/>
        </w:rPr>
        <w:t>SODF</w:t>
      </w:r>
      <w:r w:rsidRPr="6E98053B">
        <w:rPr>
          <w:rFonts w:ascii="Arial" w:hAnsi="Arial" w:cs="Arial"/>
        </w:rPr>
        <w:t xml:space="preserve"> ANDAs. Additionally, we summarize KASA’s features as a</w:t>
      </w:r>
      <w:r w:rsidR="00B84ACB" w:rsidRPr="6E98053B">
        <w:rPr>
          <w:rFonts w:ascii="Arial" w:hAnsi="Arial" w:cs="Arial"/>
        </w:rPr>
        <w:t xml:space="preserve"> </w:t>
      </w:r>
      <w:r w:rsidR="007F6FB5" w:rsidRPr="6E98053B">
        <w:rPr>
          <w:rFonts w:ascii="Arial" w:hAnsi="Arial" w:cs="Arial"/>
        </w:rPr>
        <w:t xml:space="preserve">platform </w:t>
      </w:r>
      <w:r w:rsidRPr="6E98053B">
        <w:rPr>
          <w:rFonts w:ascii="Arial" w:hAnsi="Arial" w:cs="Arial"/>
        </w:rPr>
        <w:t>for conducting structured application</w:t>
      </w:r>
      <w:r w:rsidR="00F52CAB" w:rsidRPr="6E98053B">
        <w:rPr>
          <w:rFonts w:ascii="Arial" w:hAnsi="Arial" w:cs="Arial"/>
        </w:rPr>
        <w:t xml:space="preserve"> assessment</w:t>
      </w:r>
      <w:r w:rsidR="00983E47" w:rsidRPr="6E98053B">
        <w:rPr>
          <w:rFonts w:ascii="Arial" w:hAnsi="Arial" w:cs="Arial"/>
        </w:rPr>
        <w:t xml:space="preserve"> for manufacturing</w:t>
      </w:r>
      <w:r w:rsidRPr="6E98053B">
        <w:rPr>
          <w:rFonts w:ascii="Arial" w:hAnsi="Arial" w:cs="Arial"/>
        </w:rPr>
        <w:t xml:space="preserve">. We present the models used for facility and manufacturing </w:t>
      </w:r>
      <w:r w:rsidR="007F6FB5" w:rsidRPr="6E98053B">
        <w:rPr>
          <w:rFonts w:ascii="Arial" w:hAnsi="Arial" w:cs="Arial"/>
        </w:rPr>
        <w:t xml:space="preserve">initial </w:t>
      </w:r>
      <w:r w:rsidRPr="6E98053B">
        <w:rPr>
          <w:rFonts w:ascii="Arial" w:hAnsi="Arial" w:cs="Arial"/>
        </w:rPr>
        <w:t>risk assessments, discuss the practical risk control workflow, and provide case studies</w:t>
      </w:r>
      <w:r w:rsidR="00983E47" w:rsidRPr="6E98053B">
        <w:rPr>
          <w:rFonts w:ascii="Arial" w:hAnsi="Arial" w:cs="Arial"/>
        </w:rPr>
        <w:t>.</w:t>
      </w:r>
    </w:p>
    <w:p w14:paraId="0A31FFA3" w14:textId="0FED67E7" w:rsidR="00266644" w:rsidRPr="00B66AF9" w:rsidRDefault="00266644" w:rsidP="00F87E11">
      <w:pPr>
        <w:rPr>
          <w:u w:val="single"/>
        </w:rPr>
      </w:pPr>
    </w:p>
    <w:p w14:paraId="390BC7A4" w14:textId="77777777" w:rsidR="008459F9" w:rsidRPr="00A63F70" w:rsidRDefault="00696A0B" w:rsidP="00410F71">
      <w:pPr>
        <w:pStyle w:val="Heading1"/>
        <w:spacing w:after="120"/>
        <w:jc w:val="both"/>
        <w:rPr>
          <w:szCs w:val="28"/>
        </w:rPr>
      </w:pPr>
      <w:r w:rsidRPr="00A63F70">
        <w:rPr>
          <w:szCs w:val="28"/>
        </w:rPr>
        <w:t xml:space="preserve">2. Current implementation  </w:t>
      </w:r>
    </w:p>
    <w:p w14:paraId="5354D6D2" w14:textId="614C1A99" w:rsidR="00D003C0" w:rsidRPr="00704EF9" w:rsidRDefault="00004BD7" w:rsidP="00704EF9">
      <w:pPr>
        <w:pStyle w:val="Heading2"/>
      </w:pPr>
      <w:r>
        <w:t xml:space="preserve">2.1. </w:t>
      </w:r>
      <w:r w:rsidR="00B6431B">
        <w:t>F</w:t>
      </w:r>
      <w:r w:rsidR="003A33F2">
        <w:t xml:space="preserve">eatures </w:t>
      </w:r>
      <w:r w:rsidR="001B1858">
        <w:t xml:space="preserve">as </w:t>
      </w:r>
      <w:r w:rsidR="000A6EDB">
        <w:t xml:space="preserve">a </w:t>
      </w:r>
      <w:r w:rsidR="003A33F2">
        <w:t>structured application</w:t>
      </w:r>
      <w:r w:rsidR="00FF3391">
        <w:t xml:space="preserve"> assessment tool</w:t>
      </w:r>
    </w:p>
    <w:p w14:paraId="5675ED2C" w14:textId="78F33AE9" w:rsidR="0050666E" w:rsidRDefault="1A3EE337" w:rsidP="78E6B208">
      <w:pPr>
        <w:pStyle w:val="Heading3"/>
        <w:rPr>
          <w:rFonts w:eastAsiaTheme="minorEastAsia" w:cs="Arial"/>
          <w:b w:val="0"/>
          <w:color w:val="000000" w:themeColor="text1"/>
        </w:rPr>
      </w:pPr>
      <w:r w:rsidRPr="78E6B208">
        <w:rPr>
          <w:rFonts w:eastAsiaTheme="minorEastAsia" w:cs="Arial"/>
          <w:b w:val="0"/>
          <w:color w:val="000000" w:themeColor="text1"/>
        </w:rPr>
        <w:t xml:space="preserve">KASA is a structured application </w:t>
      </w:r>
      <w:r w:rsidR="695E9126" w:rsidRPr="78E6B208">
        <w:rPr>
          <w:rFonts w:eastAsiaTheme="minorEastAsia" w:cs="Arial"/>
          <w:b w:val="0"/>
          <w:color w:val="000000" w:themeColor="text1"/>
        </w:rPr>
        <w:t xml:space="preserve">assessment </w:t>
      </w:r>
      <w:r w:rsidR="665EEB64" w:rsidRPr="78E6B208">
        <w:rPr>
          <w:rFonts w:eastAsiaTheme="minorEastAsia" w:cs="Arial"/>
          <w:b w:val="0"/>
          <w:color w:val="000000" w:themeColor="text1"/>
        </w:rPr>
        <w:t xml:space="preserve">tool </w:t>
      </w:r>
      <w:r w:rsidRPr="78E6B208">
        <w:rPr>
          <w:rFonts w:eastAsiaTheme="minorEastAsia" w:cs="Arial"/>
          <w:b w:val="0"/>
          <w:color w:val="000000" w:themeColor="text1"/>
        </w:rPr>
        <w:t>organized into hierarchical modules and sub</w:t>
      </w:r>
      <w:r w:rsidR="4D5526C5" w:rsidRPr="78E6B208">
        <w:rPr>
          <w:rFonts w:eastAsiaTheme="minorEastAsia" w:cs="Arial"/>
          <w:b w:val="0"/>
          <w:color w:val="000000" w:themeColor="text1"/>
        </w:rPr>
        <w:t>-</w:t>
      </w:r>
      <w:r w:rsidRPr="78E6B208">
        <w:rPr>
          <w:rFonts w:eastAsiaTheme="minorEastAsia" w:cs="Arial"/>
          <w:b w:val="0"/>
          <w:color w:val="000000" w:themeColor="text1"/>
        </w:rPr>
        <w:t xml:space="preserve">modules. </w:t>
      </w:r>
      <w:r w:rsidR="00091D7B" w:rsidRPr="004D146F">
        <w:rPr>
          <w:rFonts w:eastAsiaTheme="minorEastAsia" w:cs="Arial"/>
          <w:b w:val="0"/>
          <w:color w:val="2F5496" w:themeColor="accent1" w:themeShade="BF"/>
        </w:rPr>
        <w:t>Structured descriptors are extensively used in KASA to document required information concisely and minimize extensive narrative details</w:t>
      </w:r>
      <w:r w:rsidRPr="78E6B208">
        <w:rPr>
          <w:rFonts w:eastAsiaTheme="minorEastAsia" w:cs="Arial"/>
          <w:b w:val="0"/>
          <w:color w:val="000000" w:themeColor="text1"/>
        </w:rPr>
        <w:t>. Both</w:t>
      </w:r>
      <w:r w:rsidR="32724070" w:rsidRPr="78E6B208">
        <w:rPr>
          <w:rFonts w:eastAsiaTheme="minorEastAsia" w:cs="Arial"/>
          <w:b w:val="0"/>
          <w:color w:val="000000" w:themeColor="text1"/>
        </w:rPr>
        <w:t xml:space="preserve"> submission information</w:t>
      </w:r>
      <w:r w:rsidRPr="78E6B208">
        <w:rPr>
          <w:rFonts w:eastAsiaTheme="minorEastAsia" w:cs="Arial"/>
          <w:b w:val="0"/>
          <w:color w:val="000000" w:themeColor="text1"/>
        </w:rPr>
        <w:t xml:space="preserve"> and assessment</w:t>
      </w:r>
      <w:r w:rsidR="45E9803D" w:rsidRPr="78E6B208">
        <w:rPr>
          <w:rFonts w:eastAsiaTheme="minorEastAsia" w:cs="Arial"/>
          <w:b w:val="0"/>
          <w:color w:val="000000" w:themeColor="text1"/>
        </w:rPr>
        <w:t xml:space="preserve"> information</w:t>
      </w:r>
      <w:r w:rsidRPr="78E6B208">
        <w:rPr>
          <w:rFonts w:eastAsiaTheme="minorEastAsia" w:cs="Arial"/>
          <w:b w:val="0"/>
          <w:color w:val="000000" w:themeColor="text1"/>
        </w:rPr>
        <w:t xml:space="preserve"> </w:t>
      </w:r>
      <w:r w:rsidR="32724070" w:rsidRPr="78E6B208">
        <w:rPr>
          <w:rFonts w:eastAsiaTheme="minorEastAsia" w:cs="Arial"/>
          <w:b w:val="0"/>
          <w:color w:val="000000" w:themeColor="text1"/>
        </w:rPr>
        <w:t xml:space="preserve">then </w:t>
      </w:r>
      <w:r w:rsidRPr="78E6B208">
        <w:rPr>
          <w:rFonts w:eastAsiaTheme="minorEastAsia" w:cs="Arial"/>
          <w:b w:val="0"/>
          <w:color w:val="000000" w:themeColor="text1"/>
        </w:rPr>
        <w:t xml:space="preserve">are </w:t>
      </w:r>
      <w:r w:rsidR="32724070" w:rsidRPr="78E6B208">
        <w:rPr>
          <w:rFonts w:eastAsiaTheme="minorEastAsia" w:cs="Arial"/>
          <w:b w:val="0"/>
          <w:color w:val="000000" w:themeColor="text1"/>
        </w:rPr>
        <w:t>organized</w:t>
      </w:r>
      <w:r w:rsidRPr="78E6B208">
        <w:rPr>
          <w:rFonts w:eastAsiaTheme="minorEastAsia" w:cs="Arial"/>
          <w:b w:val="0"/>
          <w:color w:val="000000" w:themeColor="text1"/>
        </w:rPr>
        <w:t xml:space="preserve"> into structured data for </w:t>
      </w:r>
      <w:r w:rsidR="138C1A71" w:rsidRPr="78E6B208">
        <w:rPr>
          <w:rFonts w:eastAsiaTheme="minorEastAsia" w:cs="Arial"/>
          <w:b w:val="0"/>
          <w:color w:val="000000" w:themeColor="text1"/>
        </w:rPr>
        <w:t>fu</w:t>
      </w:r>
      <w:r w:rsidR="53FB0CC4" w:rsidRPr="78E6B208">
        <w:rPr>
          <w:rFonts w:eastAsiaTheme="minorEastAsia" w:cs="Arial"/>
          <w:b w:val="0"/>
          <w:color w:val="000000" w:themeColor="text1"/>
        </w:rPr>
        <w:t>rther</w:t>
      </w:r>
      <w:r w:rsidRPr="78E6B208">
        <w:rPr>
          <w:rFonts w:eastAsiaTheme="minorEastAsia" w:cs="Arial"/>
          <w:b w:val="0"/>
          <w:color w:val="000000" w:themeColor="text1"/>
        </w:rPr>
        <w:t xml:space="preserve"> </w:t>
      </w:r>
      <w:r w:rsidRPr="78E6B208">
        <w:rPr>
          <w:rFonts w:eastAsiaTheme="minorEastAsia" w:cs="Arial"/>
          <w:b w:val="0"/>
          <w:color w:val="auto"/>
        </w:rPr>
        <w:t>data management</w:t>
      </w:r>
      <w:r w:rsidR="32724070" w:rsidRPr="78E6B208">
        <w:rPr>
          <w:rFonts w:eastAsiaTheme="minorEastAsia" w:cs="Arial"/>
          <w:b w:val="0"/>
          <w:color w:val="auto"/>
        </w:rPr>
        <w:t>, including but not limited to</w:t>
      </w:r>
      <w:r w:rsidR="53FB0CC4" w:rsidRPr="78E6B208">
        <w:rPr>
          <w:rFonts w:eastAsiaTheme="minorEastAsia" w:cs="Arial"/>
          <w:b w:val="0"/>
          <w:color w:val="000000" w:themeColor="text1"/>
        </w:rPr>
        <w:t xml:space="preserve"> </w:t>
      </w:r>
      <w:r w:rsidR="35015865" w:rsidRPr="78E6B208">
        <w:rPr>
          <w:rFonts w:eastAsiaTheme="minorEastAsia" w:cs="Arial"/>
          <w:b w:val="0"/>
          <w:color w:val="000000" w:themeColor="text1"/>
        </w:rPr>
        <w:t>data storage</w:t>
      </w:r>
      <w:r w:rsidR="38FC3173" w:rsidRPr="78E6B208">
        <w:rPr>
          <w:rFonts w:eastAsiaTheme="minorEastAsia" w:cs="Arial"/>
          <w:b w:val="0"/>
          <w:color w:val="000000" w:themeColor="text1"/>
        </w:rPr>
        <w:t xml:space="preserve"> and tracking</w:t>
      </w:r>
      <w:r w:rsidR="35015865" w:rsidRPr="78E6B208">
        <w:rPr>
          <w:rFonts w:eastAsiaTheme="minorEastAsia" w:cs="Arial"/>
          <w:b w:val="0"/>
          <w:color w:val="000000" w:themeColor="text1"/>
        </w:rPr>
        <w:t xml:space="preserve">, </w:t>
      </w:r>
      <w:r w:rsidR="53FB0CC4" w:rsidRPr="78E6B208">
        <w:rPr>
          <w:rFonts w:eastAsiaTheme="minorEastAsia" w:cs="Arial"/>
          <w:b w:val="0"/>
          <w:color w:val="000000" w:themeColor="text1"/>
        </w:rPr>
        <w:t>data analysis</w:t>
      </w:r>
      <w:r w:rsidR="762573D7" w:rsidRPr="78E6B208">
        <w:rPr>
          <w:rFonts w:eastAsiaTheme="minorEastAsia" w:cs="Arial"/>
          <w:b w:val="0"/>
          <w:color w:val="000000" w:themeColor="text1"/>
        </w:rPr>
        <w:t>,</w:t>
      </w:r>
      <w:r w:rsidR="53FB0CC4" w:rsidRPr="78E6B208">
        <w:rPr>
          <w:rFonts w:eastAsiaTheme="minorEastAsia" w:cs="Arial"/>
          <w:b w:val="0"/>
          <w:color w:val="000000" w:themeColor="text1"/>
        </w:rPr>
        <w:t xml:space="preserve"> and</w:t>
      </w:r>
      <w:r w:rsidR="35015865" w:rsidRPr="78E6B208">
        <w:rPr>
          <w:rFonts w:eastAsiaTheme="minorEastAsia" w:cs="Arial"/>
          <w:b w:val="0"/>
          <w:color w:val="000000" w:themeColor="text1"/>
        </w:rPr>
        <w:t xml:space="preserve"> </w:t>
      </w:r>
      <w:r w:rsidR="53FB0CC4" w:rsidRPr="78E6B208">
        <w:rPr>
          <w:rFonts w:eastAsiaTheme="minorEastAsia" w:cs="Arial"/>
          <w:b w:val="0"/>
          <w:color w:val="000000" w:themeColor="text1"/>
        </w:rPr>
        <w:t xml:space="preserve">data </w:t>
      </w:r>
      <w:r w:rsidR="6BB5BB72" w:rsidRPr="78E6B208">
        <w:rPr>
          <w:rFonts w:eastAsiaTheme="minorEastAsia" w:cs="Arial"/>
          <w:b w:val="0"/>
          <w:color w:val="000000" w:themeColor="text1"/>
        </w:rPr>
        <w:t>visualization</w:t>
      </w:r>
      <w:r w:rsidR="32724070" w:rsidRPr="78E6B208">
        <w:rPr>
          <w:rFonts w:eastAsiaTheme="minorEastAsia" w:cs="Arial"/>
          <w:b w:val="0"/>
          <w:color w:val="000000" w:themeColor="text1"/>
        </w:rPr>
        <w:t>.</w:t>
      </w:r>
    </w:p>
    <w:p w14:paraId="47924225" w14:textId="77777777" w:rsidR="008629AF" w:rsidRPr="00201813" w:rsidRDefault="008629AF" w:rsidP="00201813">
      <w:pPr>
        <w:rPr>
          <w:b/>
        </w:rPr>
      </w:pPr>
    </w:p>
    <w:p w14:paraId="471A092E" w14:textId="344CE0B6" w:rsidR="002F7BCB" w:rsidRPr="000A6EDB" w:rsidRDefault="001602B4" w:rsidP="00201813">
      <w:pPr>
        <w:pStyle w:val="Heading2"/>
      </w:pPr>
      <w:r>
        <w:t xml:space="preserve">2.1.1 </w:t>
      </w:r>
      <w:r w:rsidR="002F7BCB">
        <w:t>Modules</w:t>
      </w:r>
      <w:r w:rsidR="000A6EDB">
        <w:t xml:space="preserve"> and </w:t>
      </w:r>
      <w:r w:rsidR="002D7697">
        <w:t>sub</w:t>
      </w:r>
      <w:r w:rsidR="007E6DAB">
        <w:t>-</w:t>
      </w:r>
      <w:r w:rsidR="002D7697">
        <w:t>modules</w:t>
      </w:r>
      <w:r w:rsidR="00DE7B0C">
        <w:t xml:space="preserve"> </w:t>
      </w:r>
    </w:p>
    <w:p w14:paraId="3C65A23F" w14:textId="2DB27EB5" w:rsidR="00C42BDF" w:rsidRPr="007A623C" w:rsidRDefault="00C42BDF" w:rsidP="002D7697">
      <w:pPr>
        <w:rPr>
          <w:rFonts w:ascii="Arial" w:hAnsi="Arial" w:cs="Arial"/>
        </w:rPr>
      </w:pPr>
      <w:r w:rsidRPr="6E98053B">
        <w:rPr>
          <w:rFonts w:ascii="Arial" w:hAnsi="Arial" w:cs="Arial"/>
        </w:rPr>
        <w:t xml:space="preserve">KASA is aligned with the current </w:t>
      </w:r>
      <w:r w:rsidR="002D3F77" w:rsidRPr="6E98053B">
        <w:rPr>
          <w:rFonts w:ascii="Arial" w:hAnsi="Arial" w:cs="Arial"/>
        </w:rPr>
        <w:t>Integrated Quality Assessment (</w:t>
      </w:r>
      <w:r w:rsidRPr="6E98053B">
        <w:rPr>
          <w:rFonts w:ascii="Arial" w:hAnsi="Arial" w:cs="Arial"/>
        </w:rPr>
        <w:t>IQA</w:t>
      </w:r>
      <w:r w:rsidR="002D3F77" w:rsidRPr="6E98053B">
        <w:rPr>
          <w:rFonts w:ascii="Arial" w:hAnsi="Arial" w:cs="Arial"/>
        </w:rPr>
        <w:t>)</w:t>
      </w:r>
      <w:r w:rsidRPr="6E98053B">
        <w:rPr>
          <w:rFonts w:ascii="Arial" w:hAnsi="Arial" w:cs="Arial"/>
        </w:rPr>
        <w:t xml:space="preserve"> </w:t>
      </w:r>
      <w:r w:rsidR="00901E80">
        <w:rPr>
          <w:rFonts w:ascii="Arial" w:hAnsi="Arial" w:cs="Arial"/>
        </w:rPr>
        <w:t xml:space="preserve">assessment </w:t>
      </w:r>
      <w:r w:rsidRPr="6E98053B">
        <w:rPr>
          <w:rFonts w:ascii="Arial" w:hAnsi="Arial" w:cs="Arial"/>
        </w:rPr>
        <w:t xml:space="preserve">practices. For a typical </w:t>
      </w:r>
      <w:r w:rsidR="0094282D" w:rsidRPr="6E98053B">
        <w:rPr>
          <w:rFonts w:ascii="Arial" w:hAnsi="Arial" w:cs="Arial"/>
        </w:rPr>
        <w:t>SODF ANDA</w:t>
      </w:r>
      <w:r w:rsidRPr="6E98053B">
        <w:rPr>
          <w:rFonts w:ascii="Arial" w:hAnsi="Arial" w:cs="Arial"/>
        </w:rPr>
        <w:t xml:space="preserve">, a multidisciplinary </w:t>
      </w:r>
      <w:r w:rsidR="00F65D0C" w:rsidRPr="6E98053B">
        <w:rPr>
          <w:rFonts w:ascii="Arial" w:hAnsi="Arial" w:cs="Arial"/>
        </w:rPr>
        <w:t xml:space="preserve">assessment </w:t>
      </w:r>
      <w:r w:rsidRPr="6E98053B">
        <w:rPr>
          <w:rFonts w:ascii="Arial" w:hAnsi="Arial" w:cs="Arial"/>
        </w:rPr>
        <w:t xml:space="preserve">team </w:t>
      </w:r>
      <w:r w:rsidR="00F65D0C" w:rsidRPr="6E98053B">
        <w:rPr>
          <w:rFonts w:ascii="Arial" w:hAnsi="Arial" w:cs="Arial"/>
        </w:rPr>
        <w:t>within the OP</w:t>
      </w:r>
      <w:r w:rsidR="00D06A07" w:rsidRPr="6E98053B">
        <w:rPr>
          <w:rFonts w:ascii="Arial" w:hAnsi="Arial" w:cs="Arial"/>
        </w:rPr>
        <w:t>Q</w:t>
      </w:r>
      <w:r w:rsidR="00F65D0C" w:rsidRPr="6E98053B">
        <w:rPr>
          <w:rFonts w:ascii="Arial" w:hAnsi="Arial" w:cs="Arial"/>
        </w:rPr>
        <w:t xml:space="preserve"> </w:t>
      </w:r>
      <w:r w:rsidRPr="6E98053B">
        <w:rPr>
          <w:rFonts w:ascii="Arial" w:hAnsi="Arial" w:cs="Arial"/>
        </w:rPr>
        <w:t xml:space="preserve">works across </w:t>
      </w:r>
      <w:r w:rsidR="0024593D">
        <w:rPr>
          <w:rFonts w:ascii="Arial" w:hAnsi="Arial" w:cs="Arial"/>
        </w:rPr>
        <w:t>mu</w:t>
      </w:r>
      <w:r w:rsidR="00864CD6">
        <w:rPr>
          <w:rFonts w:ascii="Arial" w:hAnsi="Arial" w:cs="Arial"/>
        </w:rPr>
        <w:t>l</w:t>
      </w:r>
      <w:r w:rsidR="0024593D">
        <w:rPr>
          <w:rFonts w:ascii="Arial" w:hAnsi="Arial" w:cs="Arial"/>
        </w:rPr>
        <w:t>tiple</w:t>
      </w:r>
      <w:r w:rsidR="0024593D" w:rsidRPr="6E98053B">
        <w:rPr>
          <w:rFonts w:ascii="Arial" w:hAnsi="Arial" w:cs="Arial"/>
        </w:rPr>
        <w:t xml:space="preserve"> </w:t>
      </w:r>
      <w:r w:rsidR="000A07B4" w:rsidRPr="6E98053B">
        <w:rPr>
          <w:rFonts w:ascii="Arial" w:hAnsi="Arial" w:cs="Arial"/>
        </w:rPr>
        <w:t>quality disciplines</w:t>
      </w:r>
      <w:r w:rsidRPr="6E98053B">
        <w:rPr>
          <w:rFonts w:ascii="Arial" w:hAnsi="Arial" w:cs="Arial"/>
        </w:rPr>
        <w:t xml:space="preserve">, such as </w:t>
      </w:r>
      <w:r w:rsidR="009A0146" w:rsidRPr="6E98053B">
        <w:rPr>
          <w:rFonts w:ascii="Arial" w:hAnsi="Arial" w:cs="Arial"/>
        </w:rPr>
        <w:t xml:space="preserve">drug substance, drug product, </w:t>
      </w:r>
      <w:r w:rsidRPr="6E98053B">
        <w:rPr>
          <w:rFonts w:ascii="Arial" w:hAnsi="Arial" w:cs="Arial"/>
        </w:rPr>
        <w:t>biopharma</w:t>
      </w:r>
      <w:r w:rsidR="00D06A07" w:rsidRPr="6E98053B">
        <w:rPr>
          <w:rFonts w:ascii="Arial" w:hAnsi="Arial" w:cs="Arial"/>
        </w:rPr>
        <w:t>ceutics</w:t>
      </w:r>
      <w:r w:rsidRPr="6E98053B">
        <w:rPr>
          <w:rFonts w:ascii="Arial" w:hAnsi="Arial" w:cs="Arial"/>
        </w:rPr>
        <w:t xml:space="preserve">, and drug product manufacturing, based on the expertise of </w:t>
      </w:r>
      <w:r w:rsidR="0089333B" w:rsidRPr="6E98053B">
        <w:rPr>
          <w:rFonts w:ascii="Arial" w:hAnsi="Arial" w:cs="Arial"/>
        </w:rPr>
        <w:t xml:space="preserve">each </w:t>
      </w:r>
      <w:r w:rsidR="006350B7" w:rsidRPr="6E98053B">
        <w:rPr>
          <w:rFonts w:ascii="Arial" w:hAnsi="Arial" w:cs="Arial"/>
        </w:rPr>
        <w:t xml:space="preserve">OPQ </w:t>
      </w:r>
      <w:r w:rsidR="0089333B" w:rsidRPr="6E98053B">
        <w:rPr>
          <w:rFonts w:ascii="Arial" w:hAnsi="Arial" w:cs="Arial"/>
        </w:rPr>
        <w:t>sub</w:t>
      </w:r>
      <w:r w:rsidR="001A4311">
        <w:rPr>
          <w:rFonts w:ascii="Arial" w:hAnsi="Arial" w:cs="Arial"/>
        </w:rPr>
        <w:t>-</w:t>
      </w:r>
      <w:r w:rsidR="0089333B" w:rsidRPr="6E98053B">
        <w:rPr>
          <w:rFonts w:ascii="Arial" w:hAnsi="Arial" w:cs="Arial"/>
        </w:rPr>
        <w:t>office</w:t>
      </w:r>
      <w:r w:rsidR="005360A1" w:rsidRPr="6E98053B">
        <w:rPr>
          <w:rFonts w:ascii="Arial" w:hAnsi="Arial" w:cs="Arial"/>
        </w:rPr>
        <w:t>.</w:t>
      </w:r>
      <w:r w:rsidR="00FD47EC" w:rsidRPr="6E98053B">
        <w:rPr>
          <w:rFonts w:ascii="Arial" w:hAnsi="Arial" w:cs="Arial"/>
        </w:rPr>
        <w:t xml:space="preserve"> </w:t>
      </w:r>
      <w:r w:rsidR="00AC6E9F">
        <w:rPr>
          <w:rFonts w:ascii="Arial" w:hAnsi="Arial" w:cs="Arial"/>
        </w:rPr>
        <w:t xml:space="preserve">A similar methodology </w:t>
      </w:r>
      <w:r w:rsidR="00865A68">
        <w:rPr>
          <w:rFonts w:ascii="Arial" w:hAnsi="Arial" w:cs="Arial"/>
        </w:rPr>
        <w:t>is followed for assessment of CMC information of NDA</w:t>
      </w:r>
      <w:r w:rsidR="007B6FBD">
        <w:rPr>
          <w:rFonts w:ascii="Arial" w:hAnsi="Arial" w:cs="Arial"/>
        </w:rPr>
        <w:t>s</w:t>
      </w:r>
      <w:r w:rsidR="00865A68">
        <w:rPr>
          <w:rFonts w:ascii="Arial" w:hAnsi="Arial" w:cs="Arial"/>
        </w:rPr>
        <w:t>, ANDA</w:t>
      </w:r>
      <w:r w:rsidR="007B6FBD">
        <w:rPr>
          <w:rFonts w:ascii="Arial" w:hAnsi="Arial" w:cs="Arial"/>
        </w:rPr>
        <w:t>s</w:t>
      </w:r>
      <w:r w:rsidR="00865A68">
        <w:rPr>
          <w:rFonts w:ascii="Arial" w:hAnsi="Arial" w:cs="Arial"/>
        </w:rPr>
        <w:t xml:space="preserve"> or BLAs for original or supplemental applications. For ANDAs, </w:t>
      </w:r>
      <w:r w:rsidR="00776422">
        <w:rPr>
          <w:rFonts w:ascii="Arial" w:hAnsi="Arial" w:cs="Arial"/>
        </w:rPr>
        <w:t>e</w:t>
      </w:r>
      <w:r w:rsidR="00FD47EC" w:rsidRPr="6E98053B">
        <w:rPr>
          <w:rFonts w:ascii="Arial" w:hAnsi="Arial" w:cs="Arial"/>
        </w:rPr>
        <w:t xml:space="preserve">ach quality discipline has a separate </w:t>
      </w:r>
      <w:r w:rsidR="003F191C">
        <w:rPr>
          <w:rFonts w:ascii="Arial" w:hAnsi="Arial" w:cs="Arial"/>
        </w:rPr>
        <w:t xml:space="preserve">assessment </w:t>
      </w:r>
      <w:r w:rsidR="00FD47EC" w:rsidRPr="6E98053B">
        <w:rPr>
          <w:rFonts w:ascii="Arial" w:hAnsi="Arial" w:cs="Arial"/>
        </w:rPr>
        <w:t xml:space="preserve">template within KASA </w:t>
      </w:r>
      <w:r w:rsidR="003D45E4">
        <w:rPr>
          <w:rFonts w:ascii="Arial" w:hAnsi="Arial" w:cs="Arial"/>
        </w:rPr>
        <w:t>platform</w:t>
      </w:r>
      <w:r w:rsidR="002C7D91" w:rsidRPr="6E98053B">
        <w:rPr>
          <w:rFonts w:ascii="Arial" w:hAnsi="Arial" w:cs="Arial"/>
        </w:rPr>
        <w:t>.</w:t>
      </w:r>
    </w:p>
    <w:p w14:paraId="2F935B4A" w14:textId="483915FF" w:rsidR="00A62466" w:rsidRDefault="00961263" w:rsidP="00A6355E">
      <w:pPr>
        <w:rPr>
          <w:rFonts w:ascii="Arial" w:hAnsi="Arial" w:cs="Arial"/>
        </w:rPr>
      </w:pPr>
      <w:r w:rsidRPr="6E98053B">
        <w:rPr>
          <w:rFonts w:ascii="Arial" w:hAnsi="Arial" w:cs="Arial"/>
        </w:rPr>
        <w:t>The structure of the OPMA</w:t>
      </w:r>
      <w:r w:rsidR="00D14F54" w:rsidRPr="6E98053B">
        <w:rPr>
          <w:rFonts w:ascii="Arial" w:hAnsi="Arial" w:cs="Arial"/>
        </w:rPr>
        <w:t>’s</w:t>
      </w:r>
      <w:r w:rsidRPr="6E98053B">
        <w:rPr>
          <w:rFonts w:ascii="Arial" w:hAnsi="Arial" w:cs="Arial"/>
        </w:rPr>
        <w:t xml:space="preserve"> manufacturing </w:t>
      </w:r>
      <w:r w:rsidR="003524E4" w:rsidRPr="6E98053B">
        <w:rPr>
          <w:rFonts w:ascii="Arial" w:hAnsi="Arial" w:cs="Arial"/>
        </w:rPr>
        <w:t xml:space="preserve">section in </w:t>
      </w:r>
      <w:r w:rsidR="00D66E17" w:rsidRPr="6E98053B">
        <w:rPr>
          <w:rFonts w:ascii="Arial" w:hAnsi="Arial" w:cs="Arial"/>
        </w:rPr>
        <w:t xml:space="preserve">KASA </w:t>
      </w:r>
      <w:r w:rsidR="00D14F54" w:rsidRPr="6E98053B">
        <w:rPr>
          <w:rFonts w:ascii="Arial" w:hAnsi="Arial" w:cs="Arial"/>
        </w:rPr>
        <w:t xml:space="preserve">for non-sterile SODF ANDAs </w:t>
      </w:r>
      <w:r w:rsidRPr="6E98053B">
        <w:rPr>
          <w:rFonts w:ascii="Arial" w:hAnsi="Arial" w:cs="Arial"/>
        </w:rPr>
        <w:t xml:space="preserve">follows a top-down hierarchy, consisting of modules and sub-modules </w:t>
      </w:r>
      <w:r w:rsidR="0008323B" w:rsidRPr="6E98053B">
        <w:rPr>
          <w:rFonts w:ascii="Arial" w:hAnsi="Arial" w:cs="Arial"/>
        </w:rPr>
        <w:t>as shown in</w:t>
      </w:r>
      <w:r w:rsidRPr="6E98053B">
        <w:rPr>
          <w:rFonts w:ascii="Arial" w:hAnsi="Arial" w:cs="Arial"/>
        </w:rPr>
        <w:t xml:space="preserve"> </w:t>
      </w:r>
      <w:r w:rsidRPr="6E98053B">
        <w:rPr>
          <w:rFonts w:ascii="Arial" w:hAnsi="Arial" w:cs="Arial"/>
          <w:b/>
          <w:bCs/>
        </w:rPr>
        <w:t>Figure 1</w:t>
      </w:r>
      <w:r w:rsidRPr="6E98053B">
        <w:rPr>
          <w:rFonts w:ascii="Arial" w:hAnsi="Arial" w:cs="Arial"/>
        </w:rPr>
        <w:t xml:space="preserve">. </w:t>
      </w:r>
      <w:r w:rsidR="00143412" w:rsidRPr="6E98053B">
        <w:rPr>
          <w:rFonts w:ascii="Arial" w:hAnsi="Arial" w:cs="Arial"/>
        </w:rPr>
        <w:t>S</w:t>
      </w:r>
      <w:r w:rsidRPr="6E98053B">
        <w:rPr>
          <w:rFonts w:ascii="Arial" w:hAnsi="Arial" w:cs="Arial"/>
        </w:rPr>
        <w:t>even main modules are included: Overview, Facilities Assessment, Manufacturing Risk Assessment, Unit Operation</w:t>
      </w:r>
      <w:r w:rsidR="00527C51">
        <w:rPr>
          <w:rFonts w:ascii="Arial" w:hAnsi="Arial" w:cs="Arial"/>
        </w:rPr>
        <w:t>s</w:t>
      </w:r>
      <w:r w:rsidRPr="6E98053B">
        <w:rPr>
          <w:rFonts w:ascii="Arial" w:hAnsi="Arial" w:cs="Arial"/>
        </w:rPr>
        <w:t>, Microbial Assessment, Other Considerations, and Assessment Summary. The</w:t>
      </w:r>
      <w:r w:rsidR="009A6C92">
        <w:rPr>
          <w:rFonts w:ascii="Arial" w:hAnsi="Arial" w:cs="Arial"/>
        </w:rPr>
        <w:t xml:space="preserve"> Overview,</w:t>
      </w:r>
      <w:r w:rsidRPr="6E98053B">
        <w:rPr>
          <w:rFonts w:ascii="Arial" w:hAnsi="Arial" w:cs="Arial"/>
        </w:rPr>
        <w:t xml:space="preserve"> Facilities Assessment, Manufacturing Risk Assessment, and Unit Operation</w:t>
      </w:r>
      <w:r w:rsidR="004D4776">
        <w:rPr>
          <w:rFonts w:ascii="Arial" w:hAnsi="Arial" w:cs="Arial"/>
        </w:rPr>
        <w:t>s</w:t>
      </w:r>
      <w:r w:rsidRPr="6E98053B">
        <w:rPr>
          <w:rFonts w:ascii="Arial" w:hAnsi="Arial" w:cs="Arial"/>
        </w:rPr>
        <w:t xml:space="preserve"> modules contain additional sub-modules. </w:t>
      </w:r>
      <w:r w:rsidR="009B6E55" w:rsidRPr="6E98053B">
        <w:rPr>
          <w:rFonts w:ascii="Arial" w:hAnsi="Arial" w:cs="Arial"/>
        </w:rPr>
        <w:t>Each module and sub</w:t>
      </w:r>
      <w:r w:rsidR="00401903">
        <w:rPr>
          <w:rFonts w:ascii="Arial" w:hAnsi="Arial" w:cs="Arial"/>
        </w:rPr>
        <w:t>-</w:t>
      </w:r>
      <w:r w:rsidR="009B6E55" w:rsidRPr="6E98053B">
        <w:rPr>
          <w:rFonts w:ascii="Arial" w:hAnsi="Arial" w:cs="Arial"/>
        </w:rPr>
        <w:t xml:space="preserve">module </w:t>
      </w:r>
      <w:r w:rsidR="00285B62" w:rsidRPr="6E98053B">
        <w:rPr>
          <w:rFonts w:ascii="Arial" w:hAnsi="Arial" w:cs="Arial"/>
        </w:rPr>
        <w:t>are</w:t>
      </w:r>
      <w:r w:rsidR="00E125E6" w:rsidRPr="6E98053B">
        <w:rPr>
          <w:rFonts w:ascii="Arial" w:hAnsi="Arial" w:cs="Arial"/>
        </w:rPr>
        <w:t xml:space="preserve"> used to </w:t>
      </w:r>
      <w:r w:rsidR="00AE7A51" w:rsidRPr="6E98053B">
        <w:rPr>
          <w:rFonts w:ascii="Arial" w:hAnsi="Arial" w:cs="Arial"/>
        </w:rPr>
        <w:t xml:space="preserve">document and assess specific </w:t>
      </w:r>
      <w:r w:rsidR="00C36184" w:rsidRPr="6E98053B">
        <w:rPr>
          <w:rFonts w:ascii="Arial" w:hAnsi="Arial" w:cs="Arial"/>
        </w:rPr>
        <w:t>portions of the</w:t>
      </w:r>
      <w:r w:rsidR="00ED4124" w:rsidRPr="6E98053B">
        <w:rPr>
          <w:rFonts w:ascii="Arial" w:hAnsi="Arial" w:cs="Arial"/>
        </w:rPr>
        <w:t xml:space="preserve"> ANDA submission.</w:t>
      </w:r>
    </w:p>
    <w:p w14:paraId="1E8AB748" w14:textId="77777777" w:rsidR="008629AF" w:rsidRDefault="008629AF" w:rsidP="00A6355E">
      <w:pPr>
        <w:rPr>
          <w:rFonts w:ascii="Arial" w:hAnsi="Arial" w:cs="Arial"/>
        </w:rPr>
      </w:pPr>
    </w:p>
    <w:p w14:paraId="5502DAF7" w14:textId="7CA44010" w:rsidR="008D04EB" w:rsidRPr="001D0967" w:rsidRDefault="008D04EB" w:rsidP="00201813">
      <w:pPr>
        <w:pStyle w:val="Heading2"/>
      </w:pPr>
      <w:r w:rsidRPr="001D0967">
        <w:t>2.1.1.1</w:t>
      </w:r>
      <w:r w:rsidR="00231A1E" w:rsidRPr="001D0967">
        <w:t xml:space="preserve">. </w:t>
      </w:r>
      <w:r w:rsidRPr="00285B62">
        <w:t>Overview</w:t>
      </w:r>
      <w:r w:rsidR="00231A1E" w:rsidRPr="001D0967">
        <w:t xml:space="preserve"> module</w:t>
      </w:r>
    </w:p>
    <w:p w14:paraId="2269782C" w14:textId="0B41DB24" w:rsidR="008629AF" w:rsidRPr="00397B18" w:rsidRDefault="00405AEF" w:rsidP="00A6355E">
      <w:pPr>
        <w:rPr>
          <w:rFonts w:ascii="Arial" w:hAnsi="Arial" w:cs="Arial"/>
          <w:color w:val="2F5496" w:themeColor="accent1" w:themeShade="BF"/>
        </w:rPr>
      </w:pPr>
      <w:r w:rsidRPr="00397B18">
        <w:rPr>
          <w:rFonts w:ascii="Arial" w:hAnsi="Arial" w:cs="Arial"/>
          <w:color w:val="2F5496" w:themeColor="accent1" w:themeShade="BF"/>
        </w:rPr>
        <w:t>The Overview module consists of two sub</w:t>
      </w:r>
      <w:r w:rsidR="008D7A5F" w:rsidRPr="00397B18">
        <w:rPr>
          <w:rFonts w:ascii="Arial" w:hAnsi="Arial" w:cs="Arial"/>
          <w:color w:val="2F5496" w:themeColor="accent1" w:themeShade="BF"/>
        </w:rPr>
        <w:t>-</w:t>
      </w:r>
      <w:r w:rsidRPr="00397B18">
        <w:rPr>
          <w:rFonts w:ascii="Arial" w:hAnsi="Arial" w:cs="Arial"/>
          <w:color w:val="2F5496" w:themeColor="accent1" w:themeShade="BF"/>
        </w:rPr>
        <w:t>modules. The Overview sub</w:t>
      </w:r>
      <w:r w:rsidR="008D7A5F" w:rsidRPr="00397B18">
        <w:rPr>
          <w:rFonts w:ascii="Arial" w:hAnsi="Arial" w:cs="Arial"/>
          <w:color w:val="2F5496" w:themeColor="accent1" w:themeShade="BF"/>
        </w:rPr>
        <w:t>-</w:t>
      </w:r>
      <w:r w:rsidRPr="00397B18">
        <w:rPr>
          <w:rFonts w:ascii="Arial" w:hAnsi="Arial" w:cs="Arial"/>
          <w:color w:val="2F5496" w:themeColor="accent1" w:themeShade="BF"/>
        </w:rPr>
        <w:t>module captures basic information such as the ANDA number, drug substance name, strength, drug product, and a list of facilities with their respective responsibilities. The Consult</w:t>
      </w:r>
      <w:r w:rsidR="002E3DEB" w:rsidRPr="00397B18">
        <w:rPr>
          <w:rFonts w:ascii="Arial" w:hAnsi="Arial" w:cs="Arial"/>
          <w:color w:val="2F5496" w:themeColor="accent1" w:themeShade="BF"/>
        </w:rPr>
        <w:t>s</w:t>
      </w:r>
      <w:r w:rsidRPr="00397B18">
        <w:rPr>
          <w:rFonts w:ascii="Arial" w:hAnsi="Arial" w:cs="Arial"/>
          <w:color w:val="2F5496" w:themeColor="accent1" w:themeShade="BF"/>
        </w:rPr>
        <w:t xml:space="preserve"> sub</w:t>
      </w:r>
      <w:r w:rsidR="008D7A5F" w:rsidRPr="00397B18">
        <w:rPr>
          <w:rFonts w:ascii="Arial" w:hAnsi="Arial" w:cs="Arial"/>
          <w:color w:val="2F5496" w:themeColor="accent1" w:themeShade="BF"/>
        </w:rPr>
        <w:t>-</w:t>
      </w:r>
      <w:r w:rsidRPr="00397B18">
        <w:rPr>
          <w:rFonts w:ascii="Arial" w:hAnsi="Arial" w:cs="Arial"/>
          <w:color w:val="2F5496" w:themeColor="accent1" w:themeShade="BF"/>
        </w:rPr>
        <w:t xml:space="preserve">module documents any consultations with other disciplines, </w:t>
      </w:r>
      <w:r w:rsidR="00BE63B4" w:rsidRPr="00397B18">
        <w:rPr>
          <w:rFonts w:ascii="Arial" w:hAnsi="Arial" w:cs="Arial"/>
          <w:color w:val="2F5496" w:themeColor="accent1" w:themeShade="BF"/>
        </w:rPr>
        <w:t>when</w:t>
      </w:r>
      <w:r w:rsidRPr="00397B18">
        <w:rPr>
          <w:rFonts w:ascii="Arial" w:hAnsi="Arial" w:cs="Arial"/>
          <w:color w:val="2F5496" w:themeColor="accent1" w:themeShade="BF"/>
        </w:rPr>
        <w:t xml:space="preserve"> applicable.</w:t>
      </w:r>
    </w:p>
    <w:p w14:paraId="55CD4F35" w14:textId="77777777" w:rsidR="00405AEF" w:rsidRPr="007A623C" w:rsidRDefault="00405AEF" w:rsidP="00A6355E">
      <w:pPr>
        <w:rPr>
          <w:rFonts w:ascii="Arial" w:hAnsi="Arial" w:cs="Arial"/>
        </w:rPr>
      </w:pPr>
    </w:p>
    <w:p w14:paraId="38C33F95" w14:textId="57E34EF2" w:rsidR="00231A1E" w:rsidRPr="00285B62" w:rsidRDefault="00231A1E" w:rsidP="00AE68CF">
      <w:pPr>
        <w:pStyle w:val="Heading2"/>
      </w:pPr>
      <w:r w:rsidRPr="00285B62">
        <w:t xml:space="preserve">2.1.1.2. Facilities </w:t>
      </w:r>
      <w:r w:rsidR="00F04B16">
        <w:t xml:space="preserve">Assessment </w:t>
      </w:r>
      <w:r w:rsidRPr="00285B62">
        <w:t>module</w:t>
      </w:r>
    </w:p>
    <w:p w14:paraId="7860062E" w14:textId="6BF13A6E" w:rsidR="00E90862" w:rsidRPr="0092547F" w:rsidRDefault="00547C78" w:rsidP="00231A1E">
      <w:pPr>
        <w:rPr>
          <w:rFonts w:ascii="Arial" w:hAnsi="Arial" w:cs="Arial"/>
        </w:rPr>
      </w:pPr>
      <w:r w:rsidRPr="0DC778F8">
        <w:rPr>
          <w:rFonts w:ascii="Arial" w:hAnsi="Arial" w:cs="Arial"/>
        </w:rPr>
        <w:t xml:space="preserve">The </w:t>
      </w:r>
      <w:r w:rsidR="00DE2D2C" w:rsidRPr="0DC778F8">
        <w:rPr>
          <w:rFonts w:ascii="Arial" w:hAnsi="Arial" w:cs="Arial"/>
        </w:rPr>
        <w:t>F</w:t>
      </w:r>
      <w:r w:rsidR="001857B9" w:rsidRPr="0DC778F8">
        <w:rPr>
          <w:rFonts w:ascii="Arial" w:hAnsi="Arial" w:cs="Arial"/>
        </w:rPr>
        <w:t>acilities</w:t>
      </w:r>
      <w:r w:rsidR="006C0D6B" w:rsidRPr="0DC778F8">
        <w:rPr>
          <w:rFonts w:ascii="Arial" w:hAnsi="Arial" w:cs="Arial"/>
        </w:rPr>
        <w:t xml:space="preserve"> </w:t>
      </w:r>
      <w:r w:rsidR="00DE2D2C" w:rsidRPr="0DC778F8">
        <w:rPr>
          <w:rFonts w:ascii="Arial" w:hAnsi="Arial" w:cs="Arial"/>
        </w:rPr>
        <w:t>A</w:t>
      </w:r>
      <w:r w:rsidR="006C0D6B" w:rsidRPr="0DC778F8">
        <w:rPr>
          <w:rFonts w:ascii="Arial" w:hAnsi="Arial" w:cs="Arial"/>
        </w:rPr>
        <w:t>ssessment</w:t>
      </w:r>
      <w:r w:rsidR="001857B9" w:rsidRPr="0DC778F8">
        <w:rPr>
          <w:rFonts w:ascii="Arial" w:hAnsi="Arial" w:cs="Arial"/>
        </w:rPr>
        <w:t xml:space="preserve"> </w:t>
      </w:r>
      <w:r w:rsidR="00DE2D2C" w:rsidRPr="0DC778F8">
        <w:rPr>
          <w:rFonts w:ascii="Arial" w:hAnsi="Arial" w:cs="Arial"/>
        </w:rPr>
        <w:t xml:space="preserve">module </w:t>
      </w:r>
      <w:r w:rsidR="00F36B36" w:rsidRPr="0DC778F8">
        <w:rPr>
          <w:rFonts w:ascii="Arial" w:hAnsi="Arial" w:cs="Arial"/>
        </w:rPr>
        <w:t>is</w:t>
      </w:r>
      <w:r w:rsidR="001857B9" w:rsidRPr="0DC778F8">
        <w:rPr>
          <w:rFonts w:ascii="Arial" w:hAnsi="Arial" w:cs="Arial"/>
        </w:rPr>
        <w:t xml:space="preserve"> categorized into four sub</w:t>
      </w:r>
      <w:r w:rsidR="00F36B36" w:rsidRPr="0DC778F8">
        <w:rPr>
          <w:rFonts w:ascii="Arial" w:hAnsi="Arial" w:cs="Arial"/>
        </w:rPr>
        <w:t>-</w:t>
      </w:r>
      <w:r w:rsidR="001857B9" w:rsidRPr="0DC778F8">
        <w:rPr>
          <w:rFonts w:ascii="Arial" w:hAnsi="Arial" w:cs="Arial"/>
        </w:rPr>
        <w:t xml:space="preserve">modules according to </w:t>
      </w:r>
      <w:r w:rsidR="00BF71B5">
        <w:rPr>
          <w:rFonts w:ascii="Arial" w:hAnsi="Arial" w:cs="Arial"/>
        </w:rPr>
        <w:t xml:space="preserve">each </w:t>
      </w:r>
      <w:r w:rsidR="00F36B36" w:rsidRPr="0DC778F8">
        <w:rPr>
          <w:rFonts w:ascii="Arial" w:hAnsi="Arial" w:cs="Arial"/>
        </w:rPr>
        <w:t>facility</w:t>
      </w:r>
      <w:r w:rsidR="00E00239" w:rsidRPr="0DC778F8">
        <w:rPr>
          <w:rFonts w:ascii="Arial" w:hAnsi="Arial" w:cs="Arial"/>
        </w:rPr>
        <w:t>’s</w:t>
      </w:r>
      <w:r w:rsidR="001857B9" w:rsidRPr="0DC778F8">
        <w:rPr>
          <w:rFonts w:ascii="Arial" w:hAnsi="Arial" w:cs="Arial"/>
        </w:rPr>
        <w:t xml:space="preserve"> commercial </w:t>
      </w:r>
      <w:r w:rsidR="00F35098" w:rsidRPr="0DC778F8">
        <w:rPr>
          <w:rFonts w:ascii="Arial" w:hAnsi="Arial" w:cs="Arial"/>
        </w:rPr>
        <w:t>responsibilities</w:t>
      </w:r>
      <w:r w:rsidR="001857B9" w:rsidRPr="0DC778F8">
        <w:rPr>
          <w:rFonts w:ascii="Arial" w:hAnsi="Arial" w:cs="Arial"/>
        </w:rPr>
        <w:t xml:space="preserve">: drug product </w:t>
      </w:r>
      <w:r w:rsidR="007A3C5A" w:rsidRPr="0DC778F8">
        <w:rPr>
          <w:rFonts w:ascii="Arial" w:hAnsi="Arial" w:cs="Arial"/>
        </w:rPr>
        <w:t>manufacturer</w:t>
      </w:r>
      <w:r w:rsidR="001857B9" w:rsidRPr="0DC778F8">
        <w:rPr>
          <w:rFonts w:ascii="Arial" w:hAnsi="Arial" w:cs="Arial"/>
        </w:rPr>
        <w:t>, drug substance manufactur</w:t>
      </w:r>
      <w:r w:rsidR="007A3C5A" w:rsidRPr="0DC778F8">
        <w:rPr>
          <w:rFonts w:ascii="Arial" w:hAnsi="Arial" w:cs="Arial"/>
        </w:rPr>
        <w:t>er</w:t>
      </w:r>
      <w:r w:rsidR="001857B9" w:rsidRPr="0DC778F8">
        <w:rPr>
          <w:rFonts w:ascii="Arial" w:hAnsi="Arial" w:cs="Arial"/>
        </w:rPr>
        <w:t>, commercial testing, and primary</w:t>
      </w:r>
      <w:r w:rsidR="007A3C5A" w:rsidRPr="0DC778F8">
        <w:rPr>
          <w:rFonts w:ascii="Arial" w:hAnsi="Arial" w:cs="Arial"/>
        </w:rPr>
        <w:t xml:space="preserve"> </w:t>
      </w:r>
      <w:r w:rsidR="000A401E" w:rsidRPr="0DC778F8">
        <w:rPr>
          <w:rFonts w:ascii="Arial" w:hAnsi="Arial" w:cs="Arial"/>
        </w:rPr>
        <w:t>packaging</w:t>
      </w:r>
      <w:r w:rsidR="001857B9" w:rsidRPr="0DC778F8">
        <w:rPr>
          <w:rFonts w:ascii="Arial" w:hAnsi="Arial" w:cs="Arial"/>
        </w:rPr>
        <w:t xml:space="preserve">. </w:t>
      </w:r>
      <w:r w:rsidR="00172175" w:rsidRPr="0DC778F8">
        <w:rPr>
          <w:rFonts w:ascii="Arial" w:hAnsi="Arial" w:cs="Arial"/>
        </w:rPr>
        <w:t>D</w:t>
      </w:r>
      <w:r w:rsidR="001857B9" w:rsidRPr="0DC778F8">
        <w:rPr>
          <w:rFonts w:ascii="Arial" w:hAnsi="Arial" w:cs="Arial"/>
        </w:rPr>
        <w:t xml:space="preserve">rug substance </w:t>
      </w:r>
      <w:r w:rsidR="00172175" w:rsidRPr="0DC778F8">
        <w:rPr>
          <w:rFonts w:ascii="Arial" w:hAnsi="Arial" w:cs="Arial"/>
        </w:rPr>
        <w:t xml:space="preserve">intermediate </w:t>
      </w:r>
      <w:r w:rsidR="001857B9" w:rsidRPr="0DC778F8">
        <w:rPr>
          <w:rFonts w:ascii="Arial" w:hAnsi="Arial" w:cs="Arial"/>
        </w:rPr>
        <w:t xml:space="preserve">manufacturers are grouped with drug substance manufacturers, while drug product </w:t>
      </w:r>
      <w:r w:rsidR="00104DDE" w:rsidRPr="0DC778F8">
        <w:rPr>
          <w:rFonts w:ascii="Arial" w:hAnsi="Arial" w:cs="Arial"/>
        </w:rPr>
        <w:t xml:space="preserve">intermediate </w:t>
      </w:r>
      <w:r w:rsidR="001857B9" w:rsidRPr="0DC778F8">
        <w:rPr>
          <w:rFonts w:ascii="Arial" w:hAnsi="Arial" w:cs="Arial"/>
        </w:rPr>
        <w:t xml:space="preserve">manufacturers are categorized with drug product manufacturers. Facilities are automatically </w:t>
      </w:r>
      <w:r w:rsidR="00893A56" w:rsidRPr="0DC778F8">
        <w:rPr>
          <w:rFonts w:ascii="Arial" w:hAnsi="Arial" w:cs="Arial"/>
        </w:rPr>
        <w:t>sorted in</w:t>
      </w:r>
      <w:r w:rsidR="001857B9" w:rsidRPr="0DC778F8">
        <w:rPr>
          <w:rFonts w:ascii="Arial" w:hAnsi="Arial" w:cs="Arial"/>
        </w:rPr>
        <w:t>to these sub</w:t>
      </w:r>
      <w:r w:rsidR="001F5391" w:rsidRPr="0DC778F8">
        <w:rPr>
          <w:rFonts w:ascii="Arial" w:hAnsi="Arial" w:cs="Arial"/>
        </w:rPr>
        <w:t>-</w:t>
      </w:r>
      <w:r w:rsidR="001857B9" w:rsidRPr="0DC778F8">
        <w:rPr>
          <w:rFonts w:ascii="Arial" w:hAnsi="Arial" w:cs="Arial"/>
        </w:rPr>
        <w:t xml:space="preserve">modules </w:t>
      </w:r>
      <w:r w:rsidR="00013472" w:rsidRPr="0DC778F8">
        <w:rPr>
          <w:rFonts w:ascii="Arial" w:hAnsi="Arial" w:cs="Arial"/>
        </w:rPr>
        <w:t>according to Profile Class Codes</w:t>
      </w:r>
      <w:r w:rsidR="00D708FF">
        <w:rPr>
          <w:rFonts w:ascii="Arial" w:hAnsi="Arial" w:cs="Arial"/>
        </w:rPr>
        <w:t xml:space="preserve"> </w:t>
      </w:r>
      <w:r w:rsidR="00D06D4F">
        <w:rPr>
          <w:rFonts w:ascii="Arial" w:hAnsi="Arial" w:cs="Arial"/>
        </w:rPr>
        <w:fldChar w:fldCharType="begin"/>
      </w:r>
      <w:r w:rsidR="00D06D4F">
        <w:rPr>
          <w:rFonts w:ascii="Arial" w:hAnsi="Arial" w:cs="Arial"/>
        </w:rPr>
        <w:instrText xml:space="preserve"> ADDIN EN.CITE &lt;EndNote&gt;&lt;Cite&gt;&lt;Author&gt;FDA&lt;/Author&gt;&lt;Year&gt;2024&lt;/Year&gt;&lt;RecNum&gt;40&lt;/RecNum&gt;&lt;DisplayText&gt;(FDA, 2024b)&lt;/DisplayText&gt;&lt;record&gt;&lt;rec-number&gt;40&lt;/rec-number&gt;&lt;foreign-keys&gt;&lt;key app="EN" db-id="retve2w0r25svretdfkxxaprfsr0990sw95r" timestamp="1739893046"&gt;40&lt;/key&gt;&lt;/foreign-keys&gt;&lt;ref-type name="Government Document"&gt;46&lt;/ref-type&gt;&lt;contributors&gt;&lt;authors&gt;&lt;author&gt;FDA&lt;/author&gt;&lt;/authors&gt;&lt;/contributors&gt;&lt;titles&gt;&lt;title&gt;2024 Investigations Operations Manual (IOM)&lt;/title&gt;&lt;/titles&gt;&lt;dates&gt;&lt;year&gt;2024&lt;/year&gt;&lt;/dates&gt;&lt;publisher&gt;U.S. Food and Drug Administration&lt;/publisher&gt;&lt;urls&gt;&lt;related-urls&gt;&lt;url&gt;https://www.fda.gov/inspections-compliance-enforcement-and-criminal-investigations/inspection-references/investigations-operations-manual&lt;/url&gt;&lt;/related-urls&gt;&lt;/urls&gt;&lt;/record&gt;&lt;/Cite&gt;&lt;/EndNote&gt;</w:instrText>
      </w:r>
      <w:r w:rsidR="00D06D4F">
        <w:rPr>
          <w:rFonts w:ascii="Arial" w:hAnsi="Arial" w:cs="Arial"/>
        </w:rPr>
        <w:fldChar w:fldCharType="separate"/>
      </w:r>
      <w:r w:rsidR="00D06D4F">
        <w:rPr>
          <w:rFonts w:ascii="Arial" w:hAnsi="Arial" w:cs="Arial"/>
          <w:noProof/>
        </w:rPr>
        <w:t>(FDA, 2024b)</w:t>
      </w:r>
      <w:r w:rsidR="00D06D4F">
        <w:rPr>
          <w:rFonts w:ascii="Arial" w:hAnsi="Arial" w:cs="Arial"/>
        </w:rPr>
        <w:fldChar w:fldCharType="end"/>
      </w:r>
      <w:r w:rsidR="00013472" w:rsidRPr="0DC778F8">
        <w:rPr>
          <w:rFonts w:ascii="Arial" w:hAnsi="Arial" w:cs="Arial"/>
        </w:rPr>
        <w:t xml:space="preserve"> which are </w:t>
      </w:r>
      <w:r w:rsidR="001857B9" w:rsidRPr="0DC778F8">
        <w:rPr>
          <w:rFonts w:ascii="Arial" w:hAnsi="Arial" w:cs="Arial"/>
        </w:rPr>
        <w:t xml:space="preserve">based on the assessor’s </w:t>
      </w:r>
      <w:r w:rsidR="001857B9" w:rsidRPr="0092547F">
        <w:rPr>
          <w:rFonts w:ascii="Arial" w:hAnsi="Arial" w:cs="Arial"/>
        </w:rPr>
        <w:t xml:space="preserve">screening of </w:t>
      </w:r>
      <w:r w:rsidR="00013472" w:rsidRPr="0092547F">
        <w:rPr>
          <w:rFonts w:ascii="Arial" w:hAnsi="Arial" w:cs="Arial"/>
        </w:rPr>
        <w:t xml:space="preserve">facility </w:t>
      </w:r>
      <w:r w:rsidR="001857B9" w:rsidRPr="0092547F">
        <w:rPr>
          <w:rFonts w:ascii="Arial" w:hAnsi="Arial" w:cs="Arial"/>
        </w:rPr>
        <w:t>responsibilities</w:t>
      </w:r>
      <w:r w:rsidR="00893A56" w:rsidRPr="0092547F">
        <w:rPr>
          <w:rFonts w:ascii="Arial" w:hAnsi="Arial" w:cs="Arial"/>
        </w:rPr>
        <w:t>.</w:t>
      </w:r>
      <w:r w:rsidR="008D74B7" w:rsidRPr="0092547F">
        <w:rPr>
          <w:rFonts w:ascii="Arial" w:hAnsi="Arial" w:cs="Arial"/>
        </w:rPr>
        <w:t xml:space="preserve"> </w:t>
      </w:r>
    </w:p>
    <w:p w14:paraId="112EE2A6" w14:textId="1100DFDF" w:rsidR="00C21CF0" w:rsidRDefault="00C21CF0" w:rsidP="000E06C2">
      <w:pPr>
        <w:rPr>
          <w:rFonts w:ascii="Arial" w:hAnsi="Arial" w:cs="Arial"/>
        </w:rPr>
      </w:pPr>
      <w:r w:rsidRPr="0092547F">
        <w:rPr>
          <w:rFonts w:ascii="Arial" w:hAnsi="Arial" w:cs="Arial"/>
        </w:rPr>
        <w:t>For each facility grouped into a sub</w:t>
      </w:r>
      <w:r w:rsidR="00EA266D" w:rsidRPr="0092547F">
        <w:rPr>
          <w:rFonts w:ascii="Arial" w:hAnsi="Arial" w:cs="Arial"/>
        </w:rPr>
        <w:t>-</w:t>
      </w:r>
      <w:r w:rsidRPr="0092547F">
        <w:rPr>
          <w:rFonts w:ascii="Arial" w:hAnsi="Arial" w:cs="Arial"/>
        </w:rPr>
        <w:t xml:space="preserve">module, the preloaded information includes general details from the submission, along with multiple links for retrieving real-time facility </w:t>
      </w:r>
      <w:r w:rsidR="005B3A93" w:rsidRPr="0092547F">
        <w:rPr>
          <w:rFonts w:ascii="Arial" w:hAnsi="Arial" w:cs="Arial"/>
        </w:rPr>
        <w:t>s</w:t>
      </w:r>
      <w:r w:rsidR="00BD634D" w:rsidRPr="0092547F">
        <w:rPr>
          <w:rFonts w:ascii="Arial" w:hAnsi="Arial" w:cs="Arial"/>
        </w:rPr>
        <w:t xml:space="preserve">tatus </w:t>
      </w:r>
      <w:r w:rsidRPr="0092547F">
        <w:rPr>
          <w:rFonts w:ascii="Arial" w:hAnsi="Arial" w:cs="Arial"/>
        </w:rPr>
        <w:t xml:space="preserve">data, as the status of each facility is subject to changes </w:t>
      </w:r>
      <w:r w:rsidR="00B152E4" w:rsidRPr="0092547F">
        <w:rPr>
          <w:rFonts w:ascii="Arial" w:hAnsi="Arial" w:cs="Arial"/>
        </w:rPr>
        <w:t>from activities</w:t>
      </w:r>
      <w:r w:rsidRPr="0092547F">
        <w:rPr>
          <w:rFonts w:ascii="Arial" w:hAnsi="Arial" w:cs="Arial"/>
        </w:rPr>
        <w:t xml:space="preserve"> across FDA’s different centers.</w:t>
      </w:r>
      <w:r w:rsidRPr="00C21CF0">
        <w:rPr>
          <w:rFonts w:ascii="Arial" w:hAnsi="Arial" w:cs="Arial"/>
        </w:rPr>
        <w:t xml:space="preserve"> This data </w:t>
      </w:r>
      <w:r w:rsidR="00B76EED">
        <w:rPr>
          <w:rFonts w:ascii="Arial" w:hAnsi="Arial" w:cs="Arial"/>
        </w:rPr>
        <w:t>includes</w:t>
      </w:r>
      <w:r w:rsidR="00B76EED" w:rsidRPr="00C21CF0">
        <w:rPr>
          <w:rFonts w:ascii="Arial" w:hAnsi="Arial" w:cs="Arial"/>
        </w:rPr>
        <w:t xml:space="preserve"> </w:t>
      </w:r>
      <w:r w:rsidRPr="00C21CF0">
        <w:rPr>
          <w:rFonts w:ascii="Arial" w:hAnsi="Arial" w:cs="Arial"/>
        </w:rPr>
        <w:t xml:space="preserve">supply chain information, </w:t>
      </w:r>
      <w:r w:rsidR="00B71ADC">
        <w:rPr>
          <w:rFonts w:ascii="Arial" w:hAnsi="Arial" w:cs="Arial"/>
        </w:rPr>
        <w:t xml:space="preserve">facility </w:t>
      </w:r>
      <w:r w:rsidRPr="00C21CF0">
        <w:rPr>
          <w:rFonts w:ascii="Arial" w:hAnsi="Arial" w:cs="Arial"/>
        </w:rPr>
        <w:t xml:space="preserve">compliance status, scheduled and </w:t>
      </w:r>
      <w:r w:rsidR="00F97ECA">
        <w:rPr>
          <w:rFonts w:ascii="Arial" w:hAnsi="Arial" w:cs="Arial"/>
        </w:rPr>
        <w:t>ongoing</w:t>
      </w:r>
      <w:r w:rsidR="00F97ECA" w:rsidRPr="00C21CF0">
        <w:rPr>
          <w:rFonts w:ascii="Arial" w:hAnsi="Arial" w:cs="Arial"/>
        </w:rPr>
        <w:t xml:space="preserve"> </w:t>
      </w:r>
      <w:r w:rsidRPr="00C21CF0">
        <w:rPr>
          <w:rFonts w:ascii="Arial" w:hAnsi="Arial" w:cs="Arial"/>
        </w:rPr>
        <w:t xml:space="preserve">inspections, recalls, compliance alerts, partner </w:t>
      </w:r>
      <w:r w:rsidR="00B86EB5" w:rsidRPr="00C21CF0">
        <w:rPr>
          <w:rFonts w:ascii="Arial" w:hAnsi="Arial" w:cs="Arial"/>
        </w:rPr>
        <w:t>agen</w:t>
      </w:r>
      <w:r w:rsidR="00B86EB5">
        <w:rPr>
          <w:rFonts w:ascii="Arial" w:hAnsi="Arial" w:cs="Arial"/>
        </w:rPr>
        <w:t>cy</w:t>
      </w:r>
      <w:r w:rsidR="00B86EB5" w:rsidRPr="00C21CF0">
        <w:rPr>
          <w:rFonts w:ascii="Arial" w:hAnsi="Arial" w:cs="Arial"/>
        </w:rPr>
        <w:t xml:space="preserve"> </w:t>
      </w:r>
      <w:r w:rsidRPr="00C21CF0">
        <w:rPr>
          <w:rFonts w:ascii="Arial" w:hAnsi="Arial" w:cs="Arial"/>
        </w:rPr>
        <w:t>inspections,</w:t>
      </w:r>
      <w:r w:rsidR="00B76EED">
        <w:rPr>
          <w:rFonts w:ascii="Arial" w:hAnsi="Arial" w:cs="Arial"/>
        </w:rPr>
        <w:t xml:space="preserve"> and</w:t>
      </w:r>
      <w:r w:rsidRPr="00C21CF0">
        <w:rPr>
          <w:rFonts w:ascii="Arial" w:hAnsi="Arial" w:cs="Arial"/>
        </w:rPr>
        <w:t xml:space="preserve"> internal cross-center comments.</w:t>
      </w:r>
    </w:p>
    <w:p w14:paraId="1D81D80E" w14:textId="366B4334" w:rsidR="00D30A80" w:rsidRDefault="00AA7AB1" w:rsidP="002A65A7">
      <w:pPr>
        <w:rPr>
          <w:rFonts w:ascii="Arial" w:hAnsi="Arial" w:cs="Arial"/>
          <w:color w:val="000000" w:themeColor="text1"/>
        </w:rPr>
      </w:pPr>
      <w:r w:rsidRPr="00AA7AB1">
        <w:rPr>
          <w:rFonts w:ascii="Arial" w:hAnsi="Arial" w:cs="Arial"/>
        </w:rPr>
        <w:t>After reviewing the information provided through KASA sub</w:t>
      </w:r>
      <w:r w:rsidR="006F7877">
        <w:rPr>
          <w:rFonts w:ascii="Arial" w:hAnsi="Arial" w:cs="Arial"/>
        </w:rPr>
        <w:t>-</w:t>
      </w:r>
      <w:r w:rsidRPr="00AA7AB1">
        <w:rPr>
          <w:rFonts w:ascii="Arial" w:hAnsi="Arial" w:cs="Arial"/>
        </w:rPr>
        <w:t xml:space="preserve">module pages, the assessor conducts the initial risk assessment by </w:t>
      </w:r>
      <w:r w:rsidR="0002314C">
        <w:rPr>
          <w:rFonts w:ascii="Arial" w:hAnsi="Arial" w:cs="Arial"/>
        </w:rPr>
        <w:t>selecting structure</w:t>
      </w:r>
      <w:r w:rsidR="000E4700">
        <w:rPr>
          <w:rFonts w:ascii="Arial" w:hAnsi="Arial" w:cs="Arial"/>
        </w:rPr>
        <w:t>d</w:t>
      </w:r>
      <w:r w:rsidR="0002314C">
        <w:rPr>
          <w:rFonts w:ascii="Arial" w:hAnsi="Arial" w:cs="Arial"/>
        </w:rPr>
        <w:t xml:space="preserve"> descriptors</w:t>
      </w:r>
      <w:r w:rsidR="000E4700">
        <w:rPr>
          <w:rFonts w:ascii="Arial" w:hAnsi="Arial" w:cs="Arial"/>
        </w:rPr>
        <w:t xml:space="preserve"> in</w:t>
      </w:r>
      <w:r w:rsidRPr="00AA7AB1">
        <w:rPr>
          <w:rFonts w:ascii="Arial" w:hAnsi="Arial" w:cs="Arial"/>
        </w:rPr>
        <w:t xml:space="preserve"> drop</w:t>
      </w:r>
      <w:r w:rsidR="006F7877">
        <w:rPr>
          <w:rFonts w:ascii="Arial" w:hAnsi="Arial" w:cs="Arial"/>
        </w:rPr>
        <w:t>-</w:t>
      </w:r>
      <w:r w:rsidRPr="00AA7AB1">
        <w:rPr>
          <w:rFonts w:ascii="Arial" w:hAnsi="Arial" w:cs="Arial"/>
        </w:rPr>
        <w:t>down</w:t>
      </w:r>
      <w:r w:rsidR="006F7877">
        <w:rPr>
          <w:rFonts w:ascii="Arial" w:hAnsi="Arial" w:cs="Arial"/>
        </w:rPr>
        <w:t xml:space="preserve"> </w:t>
      </w:r>
      <w:r w:rsidR="000E4700" w:rsidRPr="008F1388">
        <w:rPr>
          <w:rFonts w:ascii="Arial" w:hAnsi="Arial" w:cs="Arial"/>
        </w:rPr>
        <w:t>menus</w:t>
      </w:r>
      <w:r w:rsidRPr="008F1388">
        <w:rPr>
          <w:rFonts w:ascii="Arial" w:hAnsi="Arial" w:cs="Arial"/>
        </w:rPr>
        <w:t xml:space="preserve">. </w:t>
      </w:r>
      <w:r w:rsidRPr="00AA7AB1">
        <w:rPr>
          <w:rFonts w:ascii="Arial" w:hAnsi="Arial" w:cs="Arial"/>
        </w:rPr>
        <w:t>The system then automatically calculates the initial risk score based on the drop</w:t>
      </w:r>
      <w:r w:rsidR="006F7877">
        <w:rPr>
          <w:rFonts w:ascii="Arial" w:hAnsi="Arial" w:cs="Arial"/>
        </w:rPr>
        <w:t>-</w:t>
      </w:r>
      <w:r w:rsidRPr="00AA7AB1">
        <w:rPr>
          <w:rFonts w:ascii="Arial" w:hAnsi="Arial" w:cs="Arial"/>
        </w:rPr>
        <w:t>down selections, which cover</w:t>
      </w:r>
      <w:r>
        <w:rPr>
          <w:rFonts w:ascii="Arial" w:hAnsi="Arial" w:cs="Arial"/>
        </w:rPr>
        <w:t xml:space="preserve"> facility history</w:t>
      </w:r>
      <w:r w:rsidR="00816CE2">
        <w:rPr>
          <w:rFonts w:ascii="Arial" w:hAnsi="Arial" w:cs="Arial"/>
        </w:rPr>
        <w:t xml:space="preserve"> and information from the submission.</w:t>
      </w:r>
      <w:r w:rsidR="0068546A">
        <w:rPr>
          <w:rFonts w:ascii="Arial" w:hAnsi="Arial" w:cs="Arial"/>
        </w:rPr>
        <w:t xml:space="preserve"> </w:t>
      </w:r>
      <w:r w:rsidR="003167D8" w:rsidRPr="003167D8">
        <w:rPr>
          <w:rFonts w:ascii="Arial" w:hAnsi="Arial" w:cs="Arial"/>
        </w:rPr>
        <w:t xml:space="preserve">Based on the facility’s responsibilities and the initial risk assessment, along with the auto-calculated risk score, the assessor provides an initial recommendation for the facility, such as whether a </w:t>
      </w:r>
      <w:proofErr w:type="spellStart"/>
      <w:r w:rsidR="003B554F">
        <w:rPr>
          <w:rFonts w:ascii="Arial" w:hAnsi="Arial" w:cs="Arial"/>
        </w:rPr>
        <w:t>p</w:t>
      </w:r>
      <w:r w:rsidR="003B554F" w:rsidRPr="003167D8">
        <w:rPr>
          <w:rFonts w:ascii="Arial" w:hAnsi="Arial" w:cs="Arial"/>
        </w:rPr>
        <w:t>re</w:t>
      </w:r>
      <w:r w:rsidR="00BC740C">
        <w:rPr>
          <w:rFonts w:ascii="Arial" w:hAnsi="Arial" w:cs="Arial"/>
        </w:rPr>
        <w:t>-</w:t>
      </w:r>
      <w:r w:rsidR="003B554F" w:rsidRPr="003167D8">
        <w:rPr>
          <w:rFonts w:ascii="Arial" w:hAnsi="Arial" w:cs="Arial"/>
        </w:rPr>
        <w:t>a</w:t>
      </w:r>
      <w:r w:rsidR="003B554F">
        <w:rPr>
          <w:rFonts w:ascii="Arial" w:hAnsi="Arial" w:cs="Arial"/>
        </w:rPr>
        <w:t>p</w:t>
      </w:r>
      <w:r w:rsidR="003B554F" w:rsidRPr="003167D8">
        <w:rPr>
          <w:rFonts w:ascii="Arial" w:hAnsi="Arial" w:cs="Arial"/>
        </w:rPr>
        <w:t>proval</w:t>
      </w:r>
      <w:proofErr w:type="spellEnd"/>
      <w:r w:rsidR="006F7877" w:rsidRPr="003167D8">
        <w:rPr>
          <w:rFonts w:ascii="Arial" w:hAnsi="Arial" w:cs="Arial"/>
        </w:rPr>
        <w:t xml:space="preserve"> </w:t>
      </w:r>
      <w:r w:rsidR="006F7877">
        <w:rPr>
          <w:rFonts w:ascii="Arial" w:hAnsi="Arial" w:cs="Arial"/>
        </w:rPr>
        <w:t>i</w:t>
      </w:r>
      <w:r w:rsidR="006F7877" w:rsidRPr="003167D8">
        <w:rPr>
          <w:rFonts w:ascii="Arial" w:hAnsi="Arial" w:cs="Arial"/>
        </w:rPr>
        <w:t>nspection</w:t>
      </w:r>
      <w:r w:rsidR="006F7877">
        <w:rPr>
          <w:rFonts w:ascii="Arial" w:hAnsi="Arial" w:cs="Arial"/>
        </w:rPr>
        <w:t xml:space="preserve"> (</w:t>
      </w:r>
      <w:r w:rsidR="003167D8" w:rsidRPr="003167D8">
        <w:rPr>
          <w:rFonts w:ascii="Arial" w:hAnsi="Arial" w:cs="Arial"/>
        </w:rPr>
        <w:t>PAI</w:t>
      </w:r>
      <w:r w:rsidR="006F7877">
        <w:rPr>
          <w:rFonts w:ascii="Arial" w:hAnsi="Arial" w:cs="Arial"/>
        </w:rPr>
        <w:t>)</w:t>
      </w:r>
      <w:r w:rsidR="001443EF">
        <w:rPr>
          <w:rFonts w:ascii="Arial" w:hAnsi="Arial" w:cs="Arial"/>
        </w:rPr>
        <w:t xml:space="preserve"> </w:t>
      </w:r>
      <w:r w:rsidR="00706E4D">
        <w:rPr>
          <w:rFonts w:ascii="Arial" w:hAnsi="Arial" w:cs="Arial"/>
        </w:rPr>
        <w:fldChar w:fldCharType="begin"/>
      </w:r>
      <w:r w:rsidR="00706E4D">
        <w:rPr>
          <w:rFonts w:ascii="Arial" w:hAnsi="Arial" w:cs="Arial"/>
        </w:rPr>
        <w:instrText xml:space="preserve"> ADDIN EN.CITE &lt;EndNote&gt;&lt;Cite&gt;&lt;Author&gt;FDA&lt;/Author&gt;&lt;Year&gt;2022&lt;/Year&gt;&lt;RecNum&gt;37&lt;/RecNum&gt;&lt;DisplayText&gt;(FDA, 2022)&lt;/DisplayText&gt;&lt;record&gt;&lt;rec-number&gt;37&lt;/rec-number&gt;&lt;foreign-keys&gt;&lt;key app="EN" db-id="retve2w0r25svretdfkxxaprfsr0990sw95r" timestamp="1733962459"&gt;37&lt;/key&gt;&lt;/foreign-keys&gt;&lt;ref-type name="Government Document"&gt;46&lt;/ref-type&gt;&lt;contributors&gt;&lt;authors&gt;&lt;author&gt;FDA&lt;/author&gt;&lt;/authors&gt;&lt;/contributors&gt;&lt;titles&gt;&lt;title&gt;Compliance program 7346.832--Preapproval Inspections&lt;/title&gt;&lt;/titles&gt;&lt;dates&gt;&lt;year&gt;2022&lt;/year&gt;&lt;/dates&gt;&lt;publisher&gt;U.S. Food and Drug Administration&lt;/publisher&gt;&lt;urls&gt;&lt;/urls&gt;&lt;electronic-resource-num&gt;https://www.fda.gov/regulatory-information/search-fda-guidance-documents/conducting-remote-regulatory-assessments-questions-and-answers&lt;/electronic-resource-num&gt;&lt;/record&gt;&lt;/Cite&gt;&lt;/EndNote&gt;</w:instrText>
      </w:r>
      <w:r w:rsidR="00706E4D">
        <w:rPr>
          <w:rFonts w:ascii="Arial" w:hAnsi="Arial" w:cs="Arial"/>
        </w:rPr>
        <w:fldChar w:fldCharType="separate"/>
      </w:r>
      <w:r w:rsidR="00706E4D">
        <w:rPr>
          <w:rFonts w:ascii="Arial" w:hAnsi="Arial" w:cs="Arial"/>
          <w:noProof/>
        </w:rPr>
        <w:t>(FDA, 2022)</w:t>
      </w:r>
      <w:r w:rsidR="00706E4D">
        <w:rPr>
          <w:rFonts w:ascii="Arial" w:hAnsi="Arial" w:cs="Arial"/>
        </w:rPr>
        <w:fldChar w:fldCharType="end"/>
      </w:r>
      <w:r w:rsidR="002A65A7">
        <w:rPr>
          <w:rFonts w:ascii="Arial" w:hAnsi="Arial" w:cs="Arial"/>
        </w:rPr>
        <w:t xml:space="preserve"> or r</w:t>
      </w:r>
      <w:r w:rsidR="002A65A7" w:rsidRPr="002A65A7">
        <w:rPr>
          <w:rFonts w:ascii="Arial" w:hAnsi="Arial" w:cs="Arial"/>
        </w:rPr>
        <w:t xml:space="preserve">emote </w:t>
      </w:r>
      <w:r w:rsidR="002A65A7">
        <w:rPr>
          <w:rFonts w:ascii="Arial" w:hAnsi="Arial" w:cs="Arial"/>
        </w:rPr>
        <w:t>r</w:t>
      </w:r>
      <w:r w:rsidR="002A65A7" w:rsidRPr="002A65A7">
        <w:rPr>
          <w:rFonts w:ascii="Arial" w:hAnsi="Arial" w:cs="Arial"/>
        </w:rPr>
        <w:t>egulatory</w:t>
      </w:r>
      <w:r w:rsidR="002A65A7">
        <w:rPr>
          <w:rFonts w:ascii="Arial" w:hAnsi="Arial" w:cs="Arial"/>
        </w:rPr>
        <w:t xml:space="preserve"> a</w:t>
      </w:r>
      <w:r w:rsidR="002A65A7" w:rsidRPr="002A65A7">
        <w:rPr>
          <w:rFonts w:ascii="Arial" w:hAnsi="Arial" w:cs="Arial"/>
        </w:rPr>
        <w:t>ssessment</w:t>
      </w:r>
      <w:r w:rsidR="002A65A7">
        <w:rPr>
          <w:rFonts w:ascii="Arial" w:hAnsi="Arial" w:cs="Arial"/>
        </w:rPr>
        <w:t xml:space="preserve"> (RR</w:t>
      </w:r>
      <w:r w:rsidR="000C789E">
        <w:rPr>
          <w:rFonts w:ascii="Arial" w:hAnsi="Arial" w:cs="Arial"/>
        </w:rPr>
        <w:t>A</w:t>
      </w:r>
      <w:r w:rsidR="002A65A7">
        <w:rPr>
          <w:rFonts w:ascii="Arial" w:hAnsi="Arial" w:cs="Arial"/>
        </w:rPr>
        <w:t>)</w:t>
      </w:r>
      <w:r w:rsidR="001443EF">
        <w:rPr>
          <w:rFonts w:ascii="Arial" w:hAnsi="Arial" w:cs="Arial"/>
        </w:rPr>
        <w:t xml:space="preserve"> </w:t>
      </w:r>
      <w:r w:rsidR="009F3230">
        <w:rPr>
          <w:rFonts w:ascii="Arial" w:hAnsi="Arial" w:cs="Arial"/>
        </w:rPr>
        <w:fldChar w:fldCharType="begin"/>
      </w:r>
      <w:r w:rsidR="00D06D4F">
        <w:rPr>
          <w:rFonts w:ascii="Arial" w:hAnsi="Arial" w:cs="Arial"/>
        </w:rPr>
        <w:instrText xml:space="preserve"> ADDIN EN.CITE &lt;EndNote&gt;&lt;Cite&gt;&lt;Author&gt;FDA&lt;/Author&gt;&lt;Year&gt;2024&lt;/Year&gt;&lt;RecNum&gt;38&lt;/RecNum&gt;&lt;DisplayText&gt;(FDA, 2024c)&lt;/DisplayText&gt;&lt;record&gt;&lt;rec-number&gt;38&lt;/rec-number&gt;&lt;foreign-keys&gt;&lt;key app="EN" db-id="retve2w0r25svretdfkxxaprfsr0990sw95r" timestamp="1733963833"&gt;38&lt;/key&gt;&lt;/foreign-keys&gt;&lt;ref-type name="Government Document"&gt;46&lt;/ref-type&gt;&lt;contributors&gt;&lt;authors&gt;&lt;author&gt;FDA&lt;/author&gt;&lt;/authors&gt;&lt;/contributors&gt;&lt;titles&gt;&lt;title&gt;Conducting Remote Regulatory Assessments  Questions and Answers--Draft Guidance for Industry&lt;/title&gt;&lt;/titles&gt;&lt;dates&gt;&lt;year&gt;2024&lt;/year&gt;&lt;/dates&gt;&lt;publisher&gt;Food and Drug Administration&lt;/publisher&gt;&lt;urls&gt;&lt;/urls&gt;&lt;/record&gt;&lt;/Cite&gt;&lt;/EndNote&gt;</w:instrText>
      </w:r>
      <w:r w:rsidR="009F3230">
        <w:rPr>
          <w:rFonts w:ascii="Arial" w:hAnsi="Arial" w:cs="Arial"/>
        </w:rPr>
        <w:fldChar w:fldCharType="separate"/>
      </w:r>
      <w:r w:rsidR="00D06D4F">
        <w:rPr>
          <w:rFonts w:ascii="Arial" w:hAnsi="Arial" w:cs="Arial"/>
          <w:noProof/>
        </w:rPr>
        <w:t>(FDA, 2024c)</w:t>
      </w:r>
      <w:r w:rsidR="009F3230">
        <w:rPr>
          <w:rFonts w:ascii="Arial" w:hAnsi="Arial" w:cs="Arial"/>
        </w:rPr>
        <w:fldChar w:fldCharType="end"/>
      </w:r>
      <w:r w:rsidR="003167D8" w:rsidRPr="003167D8">
        <w:rPr>
          <w:rFonts w:ascii="Arial" w:hAnsi="Arial" w:cs="Arial"/>
        </w:rPr>
        <w:t xml:space="preserve"> is needed. The KASA </w:t>
      </w:r>
      <w:r w:rsidR="00B36BBF">
        <w:rPr>
          <w:rFonts w:ascii="Arial" w:hAnsi="Arial" w:cs="Arial"/>
        </w:rPr>
        <w:t>platform</w:t>
      </w:r>
      <w:r w:rsidR="00B36BBF" w:rsidRPr="003167D8">
        <w:rPr>
          <w:rFonts w:ascii="Arial" w:hAnsi="Arial" w:cs="Arial"/>
        </w:rPr>
        <w:t xml:space="preserve"> </w:t>
      </w:r>
      <w:r w:rsidR="003167D8" w:rsidRPr="003167D8">
        <w:rPr>
          <w:rFonts w:ascii="Arial" w:hAnsi="Arial" w:cs="Arial"/>
        </w:rPr>
        <w:t>then automatically inserts the necessary documentation sections based on this recommendation, such as PAI or</w:t>
      </w:r>
      <w:r w:rsidR="000549DA">
        <w:rPr>
          <w:rFonts w:ascii="Arial" w:hAnsi="Arial" w:cs="Arial"/>
        </w:rPr>
        <w:t xml:space="preserve"> RR</w:t>
      </w:r>
      <w:r w:rsidR="000C789E">
        <w:rPr>
          <w:rFonts w:ascii="Arial" w:hAnsi="Arial" w:cs="Arial"/>
        </w:rPr>
        <w:t>A</w:t>
      </w:r>
      <w:r w:rsidR="003167D8" w:rsidRPr="003167D8">
        <w:rPr>
          <w:rFonts w:ascii="Arial" w:hAnsi="Arial" w:cs="Arial"/>
        </w:rPr>
        <w:t xml:space="preserve"> </w:t>
      </w:r>
      <w:r w:rsidR="00FA7A4E">
        <w:rPr>
          <w:rFonts w:ascii="Arial" w:hAnsi="Arial" w:cs="Arial"/>
        </w:rPr>
        <w:t xml:space="preserve">assessment </w:t>
      </w:r>
      <w:r w:rsidR="003167D8" w:rsidRPr="003167D8">
        <w:rPr>
          <w:rFonts w:ascii="Arial" w:hAnsi="Arial" w:cs="Arial"/>
        </w:rPr>
        <w:t xml:space="preserve">sections if applicable. All information requests and responses throughout the </w:t>
      </w:r>
      <w:r w:rsidR="00213CEB">
        <w:rPr>
          <w:rFonts w:ascii="Arial" w:hAnsi="Arial" w:cs="Arial"/>
        </w:rPr>
        <w:t>assessment cycles</w:t>
      </w:r>
      <w:r w:rsidR="003167D8" w:rsidRPr="003167D8">
        <w:rPr>
          <w:rFonts w:ascii="Arial" w:hAnsi="Arial" w:cs="Arial"/>
        </w:rPr>
        <w:t xml:space="preserve"> are documented</w:t>
      </w:r>
      <w:r w:rsidR="007E4599">
        <w:rPr>
          <w:rFonts w:ascii="Arial" w:hAnsi="Arial" w:cs="Arial"/>
        </w:rPr>
        <w:t xml:space="preserve"> in KASA</w:t>
      </w:r>
      <w:r w:rsidR="00F1451A">
        <w:rPr>
          <w:rFonts w:ascii="Arial" w:hAnsi="Arial" w:cs="Arial"/>
        </w:rPr>
        <w:t>.</w:t>
      </w:r>
      <w:r w:rsidR="007E4599">
        <w:rPr>
          <w:rFonts w:ascii="Arial" w:hAnsi="Arial" w:cs="Arial"/>
        </w:rPr>
        <w:t xml:space="preserve"> This allows assessor to view all historical data on the information requests, responses and then makes a final recommendation on each facility based on </w:t>
      </w:r>
      <w:r w:rsidR="00833CF7">
        <w:rPr>
          <w:rFonts w:ascii="Arial" w:hAnsi="Arial" w:cs="Arial"/>
        </w:rPr>
        <w:t xml:space="preserve">a </w:t>
      </w:r>
      <w:r w:rsidR="007E4599">
        <w:rPr>
          <w:rFonts w:ascii="Arial" w:hAnsi="Arial" w:cs="Arial"/>
        </w:rPr>
        <w:t>holistic assessment.</w:t>
      </w:r>
      <w:r w:rsidR="00212FA0">
        <w:rPr>
          <w:rFonts w:ascii="Arial" w:hAnsi="Arial" w:cs="Arial"/>
        </w:rPr>
        <w:t xml:space="preserve"> </w:t>
      </w:r>
      <w:r w:rsidR="00400B15" w:rsidRPr="00EB791D">
        <w:rPr>
          <w:rFonts w:ascii="Arial" w:hAnsi="Arial" w:cs="Arial"/>
          <w:color w:val="2F5496" w:themeColor="accent1" w:themeShade="BF"/>
        </w:rPr>
        <w:t>If a PAI or RRA is determined to be unnecessary, a facility recommendation of either approv</w:t>
      </w:r>
      <w:r w:rsidR="007D7B8B" w:rsidRPr="00EB791D">
        <w:rPr>
          <w:rFonts w:ascii="Arial" w:hAnsi="Arial" w:cs="Arial"/>
          <w:color w:val="2F5496" w:themeColor="accent1" w:themeShade="BF"/>
        </w:rPr>
        <w:t>e</w:t>
      </w:r>
      <w:r w:rsidR="00400B15" w:rsidRPr="00EB791D">
        <w:rPr>
          <w:rFonts w:ascii="Arial" w:hAnsi="Arial" w:cs="Arial"/>
          <w:color w:val="2F5496" w:themeColor="accent1" w:themeShade="BF"/>
        </w:rPr>
        <w:t xml:space="preserve"> or withhold is made based on existing inspection </w:t>
      </w:r>
      <w:r w:rsidR="007D7B8B" w:rsidRPr="00EB791D">
        <w:rPr>
          <w:rFonts w:ascii="Arial" w:hAnsi="Arial" w:cs="Arial"/>
          <w:color w:val="2F5496" w:themeColor="accent1" w:themeShade="BF"/>
        </w:rPr>
        <w:t>history</w:t>
      </w:r>
      <w:r w:rsidR="00400B15" w:rsidRPr="00EB791D">
        <w:rPr>
          <w:rFonts w:ascii="Arial" w:hAnsi="Arial" w:cs="Arial"/>
          <w:color w:val="2F5496" w:themeColor="accent1" w:themeShade="BF"/>
        </w:rPr>
        <w:t xml:space="preserve"> and other available facility information.</w:t>
      </w:r>
    </w:p>
    <w:p w14:paraId="261E3BF5" w14:textId="77777777" w:rsidR="008629AF" w:rsidRPr="00FC3C7A" w:rsidRDefault="008629AF" w:rsidP="002A65A7">
      <w:pPr>
        <w:rPr>
          <w:rFonts w:ascii="Arial" w:hAnsi="Arial" w:cs="Arial"/>
          <w:color w:val="000000" w:themeColor="text1"/>
        </w:rPr>
      </w:pPr>
    </w:p>
    <w:p w14:paraId="1BEDF5DE" w14:textId="09941E35" w:rsidR="00CE2355" w:rsidRDefault="00CE2355" w:rsidP="00AE68CF">
      <w:pPr>
        <w:pStyle w:val="Heading2"/>
      </w:pPr>
      <w:r>
        <w:t>2.1.1.</w:t>
      </w:r>
      <w:r w:rsidR="00E87C9A">
        <w:t>3</w:t>
      </w:r>
      <w:r w:rsidR="002E24BF">
        <w:t xml:space="preserve">. </w:t>
      </w:r>
      <w:r w:rsidR="00DE2D2C" w:rsidRPr="38CE834E">
        <w:t>Manufacturing R</w:t>
      </w:r>
      <w:r w:rsidR="00A62466" w:rsidRPr="38CE834E">
        <w:t xml:space="preserve">isk </w:t>
      </w:r>
      <w:r w:rsidR="00DE2D2C" w:rsidRPr="38CE834E">
        <w:t>A</w:t>
      </w:r>
      <w:r w:rsidR="00A62466" w:rsidRPr="38CE834E">
        <w:t>ssessment</w:t>
      </w:r>
      <w:r w:rsidR="00DE2D2C" w:rsidRPr="38CE834E">
        <w:t xml:space="preserve"> module</w:t>
      </w:r>
    </w:p>
    <w:p w14:paraId="08AFE127" w14:textId="1684CAE8" w:rsidR="00A62466" w:rsidRDefault="29831DAC" w:rsidP="000E06C2">
      <w:pPr>
        <w:rPr>
          <w:rFonts w:ascii="Arial" w:hAnsi="Arial" w:cs="Arial"/>
        </w:rPr>
      </w:pPr>
      <w:r w:rsidRPr="78E6B208">
        <w:rPr>
          <w:rFonts w:ascii="Arial" w:hAnsi="Arial" w:cs="Arial"/>
        </w:rPr>
        <w:t xml:space="preserve">The Manufacturing Risk Assessment module </w:t>
      </w:r>
      <w:r w:rsidR="23348017" w:rsidRPr="78E6B208">
        <w:rPr>
          <w:rFonts w:ascii="Arial" w:hAnsi="Arial" w:cs="Arial"/>
        </w:rPr>
        <w:t xml:space="preserve">includes </w:t>
      </w:r>
      <w:r w:rsidR="3F1A1B06" w:rsidRPr="78E6B208">
        <w:rPr>
          <w:rFonts w:ascii="Arial" w:hAnsi="Arial" w:cs="Arial"/>
        </w:rPr>
        <w:t xml:space="preserve">five </w:t>
      </w:r>
      <w:r w:rsidR="23348017" w:rsidRPr="78E6B208">
        <w:rPr>
          <w:rFonts w:ascii="Arial" w:hAnsi="Arial" w:cs="Arial"/>
        </w:rPr>
        <w:t xml:space="preserve">sub-modules </w:t>
      </w:r>
      <w:r w:rsidR="3F5B676A" w:rsidRPr="78E6B208">
        <w:rPr>
          <w:rFonts w:ascii="Arial" w:hAnsi="Arial" w:cs="Arial"/>
        </w:rPr>
        <w:t xml:space="preserve">and </w:t>
      </w:r>
      <w:r w:rsidR="23348017" w:rsidRPr="78E6B208">
        <w:rPr>
          <w:rFonts w:ascii="Arial" w:hAnsi="Arial" w:cs="Arial"/>
        </w:rPr>
        <w:t>covers drug product design, drug substance attributes, batch formula, manufacturing process,</w:t>
      </w:r>
      <w:r w:rsidR="1F10D35C" w:rsidRPr="78E6B208">
        <w:rPr>
          <w:rFonts w:ascii="Arial" w:hAnsi="Arial" w:cs="Arial"/>
        </w:rPr>
        <w:t xml:space="preserve"> and</w:t>
      </w:r>
      <w:r w:rsidR="23348017" w:rsidRPr="78E6B208">
        <w:rPr>
          <w:rFonts w:ascii="Arial" w:hAnsi="Arial" w:cs="Arial"/>
        </w:rPr>
        <w:t xml:space="preserve"> initial risk assessment</w:t>
      </w:r>
      <w:r w:rsidR="4422104D" w:rsidRPr="78E6B208">
        <w:rPr>
          <w:rFonts w:ascii="Arial" w:hAnsi="Arial" w:cs="Arial"/>
        </w:rPr>
        <w:t>.</w:t>
      </w:r>
      <w:r w:rsidR="1F10D35C" w:rsidRPr="78E6B208">
        <w:rPr>
          <w:rFonts w:ascii="Arial" w:hAnsi="Arial" w:cs="Arial"/>
        </w:rPr>
        <w:t xml:space="preserve"> </w:t>
      </w:r>
      <w:r w:rsidR="23348017" w:rsidRPr="78E6B208">
        <w:rPr>
          <w:rFonts w:ascii="Arial" w:hAnsi="Arial" w:cs="Arial"/>
        </w:rPr>
        <w:t xml:space="preserve">These </w:t>
      </w:r>
      <w:r w:rsidR="3F013844" w:rsidRPr="78E6B208">
        <w:rPr>
          <w:rFonts w:ascii="Arial" w:hAnsi="Arial" w:cs="Arial"/>
        </w:rPr>
        <w:t xml:space="preserve">five </w:t>
      </w:r>
      <w:r w:rsidR="23348017" w:rsidRPr="78E6B208">
        <w:rPr>
          <w:rFonts w:ascii="Arial" w:hAnsi="Arial" w:cs="Arial"/>
        </w:rPr>
        <w:t>sub</w:t>
      </w:r>
      <w:r w:rsidR="5A3A4820" w:rsidRPr="78E6B208">
        <w:rPr>
          <w:rFonts w:ascii="Arial" w:hAnsi="Arial" w:cs="Arial"/>
        </w:rPr>
        <w:t>-</w:t>
      </w:r>
      <w:r w:rsidR="23348017" w:rsidRPr="78E6B208">
        <w:rPr>
          <w:rFonts w:ascii="Arial" w:hAnsi="Arial" w:cs="Arial"/>
        </w:rPr>
        <w:t>modules work together comprehensive</w:t>
      </w:r>
      <w:r w:rsidR="68D9B8FD" w:rsidRPr="78E6B208">
        <w:rPr>
          <w:rFonts w:ascii="Arial" w:hAnsi="Arial" w:cs="Arial"/>
        </w:rPr>
        <w:t xml:space="preserve">ly </w:t>
      </w:r>
      <w:r w:rsidR="23348017" w:rsidRPr="78E6B208">
        <w:rPr>
          <w:rFonts w:ascii="Arial" w:hAnsi="Arial" w:cs="Arial"/>
        </w:rPr>
        <w:t>to bridge the risk</w:t>
      </w:r>
      <w:r w:rsidR="68D9B8FD" w:rsidRPr="78E6B208">
        <w:rPr>
          <w:rFonts w:ascii="Arial" w:hAnsi="Arial" w:cs="Arial"/>
        </w:rPr>
        <w:t>s and risk mitigations</w:t>
      </w:r>
      <w:r w:rsidR="23348017" w:rsidRPr="78E6B208">
        <w:rPr>
          <w:rFonts w:ascii="Arial" w:hAnsi="Arial" w:cs="Arial"/>
        </w:rPr>
        <w:t xml:space="preserve"> for drug product manufacturing by addressing critical aspects of the </w:t>
      </w:r>
      <w:r w:rsidR="7A6956AF" w:rsidRPr="78E6B208">
        <w:rPr>
          <w:rFonts w:ascii="Arial" w:hAnsi="Arial" w:cs="Arial"/>
        </w:rPr>
        <w:t xml:space="preserve">manufacturing </w:t>
      </w:r>
      <w:r w:rsidR="23348017" w:rsidRPr="78E6B208">
        <w:rPr>
          <w:rFonts w:ascii="Arial" w:hAnsi="Arial" w:cs="Arial"/>
        </w:rPr>
        <w:t>process</w:t>
      </w:r>
      <w:r w:rsidR="1CFE0731" w:rsidRPr="78E6B208">
        <w:rPr>
          <w:rFonts w:ascii="Arial" w:hAnsi="Arial" w:cs="Arial"/>
        </w:rPr>
        <w:t xml:space="preserve"> and facilities</w:t>
      </w:r>
      <w:r w:rsidR="30DDB7D8" w:rsidRPr="78E6B208">
        <w:rPr>
          <w:rFonts w:ascii="Arial" w:hAnsi="Arial" w:cs="Arial"/>
        </w:rPr>
        <w:t>.</w:t>
      </w:r>
    </w:p>
    <w:p w14:paraId="24BED3E9" w14:textId="70CC5B32" w:rsidR="008F7769" w:rsidRPr="001F7283" w:rsidRDefault="008F7769" w:rsidP="001F7283">
      <w:pPr>
        <w:pStyle w:val="ListParagraph"/>
        <w:numPr>
          <w:ilvl w:val="0"/>
          <w:numId w:val="13"/>
        </w:numPr>
        <w:rPr>
          <w:rFonts w:ascii="Arial" w:hAnsi="Arial" w:cs="Arial"/>
        </w:rPr>
      </w:pPr>
      <w:r w:rsidRPr="001F7283">
        <w:rPr>
          <w:rFonts w:ascii="Arial" w:hAnsi="Arial" w:cs="Arial"/>
        </w:rPr>
        <w:t>Drug product design sub</w:t>
      </w:r>
      <w:r w:rsidR="00A72AE3">
        <w:rPr>
          <w:rFonts w:ascii="Arial" w:hAnsi="Arial" w:cs="Arial"/>
        </w:rPr>
        <w:t>-</w:t>
      </w:r>
      <w:r w:rsidRPr="001F7283">
        <w:rPr>
          <w:rFonts w:ascii="Arial" w:hAnsi="Arial" w:cs="Arial"/>
        </w:rPr>
        <w:t xml:space="preserve">module </w:t>
      </w:r>
    </w:p>
    <w:p w14:paraId="1B2A5523" w14:textId="4A0D2056" w:rsidR="008F7769" w:rsidRDefault="008F7769" w:rsidP="005B16FA">
      <w:pPr>
        <w:ind w:left="720"/>
        <w:rPr>
          <w:rFonts w:ascii="Arial" w:hAnsi="Arial" w:cs="Arial"/>
        </w:rPr>
      </w:pPr>
      <w:r w:rsidRPr="008F7769">
        <w:rPr>
          <w:rFonts w:ascii="Arial" w:hAnsi="Arial" w:cs="Arial"/>
        </w:rPr>
        <w:t>In the drug product design sub</w:t>
      </w:r>
      <w:r w:rsidR="008D7A5F">
        <w:rPr>
          <w:rFonts w:ascii="Arial" w:hAnsi="Arial" w:cs="Arial"/>
        </w:rPr>
        <w:t>-</w:t>
      </w:r>
      <w:r w:rsidRPr="008F7769">
        <w:rPr>
          <w:rFonts w:ascii="Arial" w:hAnsi="Arial" w:cs="Arial"/>
        </w:rPr>
        <w:t xml:space="preserve">module, </w:t>
      </w:r>
      <w:r w:rsidR="001304AE">
        <w:rPr>
          <w:rFonts w:ascii="Arial" w:hAnsi="Arial" w:cs="Arial"/>
        </w:rPr>
        <w:t xml:space="preserve">the </w:t>
      </w:r>
      <w:r w:rsidRPr="008F7769">
        <w:rPr>
          <w:rFonts w:ascii="Arial" w:hAnsi="Arial" w:cs="Arial"/>
        </w:rPr>
        <w:t>assessor primarily uses drop-down menus to input drug design information, such as configur</w:t>
      </w:r>
      <w:r w:rsidR="0001698A">
        <w:rPr>
          <w:rFonts w:ascii="Arial" w:hAnsi="Arial" w:cs="Arial"/>
        </w:rPr>
        <w:t>ation</w:t>
      </w:r>
      <w:r w:rsidRPr="008F7769">
        <w:rPr>
          <w:rFonts w:ascii="Arial" w:hAnsi="Arial" w:cs="Arial"/>
        </w:rPr>
        <w:t xml:space="preserve"> and releas</w:t>
      </w:r>
      <w:r w:rsidR="0001698A">
        <w:rPr>
          <w:rFonts w:ascii="Arial" w:hAnsi="Arial" w:cs="Arial"/>
        </w:rPr>
        <w:t>e</w:t>
      </w:r>
      <w:r w:rsidRPr="008F7769">
        <w:rPr>
          <w:rFonts w:ascii="Arial" w:hAnsi="Arial" w:cs="Arial"/>
        </w:rPr>
        <w:t xml:space="preserve"> </w:t>
      </w:r>
      <w:r w:rsidR="004A4825" w:rsidRPr="004A4825">
        <w:rPr>
          <w:rFonts w:ascii="Arial" w:hAnsi="Arial" w:cs="Arial"/>
        </w:rPr>
        <w:t>mechanism</w:t>
      </w:r>
      <w:r w:rsidRPr="008F7769">
        <w:rPr>
          <w:rFonts w:ascii="Arial" w:hAnsi="Arial" w:cs="Arial"/>
        </w:rPr>
        <w:t xml:space="preserve">, handling </w:t>
      </w:r>
      <w:r w:rsidR="00282550">
        <w:rPr>
          <w:rFonts w:ascii="Arial" w:hAnsi="Arial" w:cs="Arial"/>
        </w:rPr>
        <w:t xml:space="preserve">of </w:t>
      </w:r>
      <w:r w:rsidRPr="008F7769">
        <w:rPr>
          <w:rFonts w:ascii="Arial" w:hAnsi="Arial" w:cs="Arial"/>
        </w:rPr>
        <w:t xml:space="preserve">special drug products, and flagging unique </w:t>
      </w:r>
      <w:r w:rsidR="009E5547">
        <w:rPr>
          <w:rFonts w:ascii="Arial" w:hAnsi="Arial" w:cs="Arial"/>
        </w:rPr>
        <w:t>situations</w:t>
      </w:r>
      <w:r w:rsidRPr="008F7769">
        <w:rPr>
          <w:rFonts w:ascii="Arial" w:hAnsi="Arial" w:cs="Arial"/>
        </w:rPr>
        <w:t xml:space="preserve"> for further </w:t>
      </w:r>
      <w:r w:rsidR="00282550">
        <w:rPr>
          <w:rFonts w:ascii="Arial" w:hAnsi="Arial" w:cs="Arial"/>
        </w:rPr>
        <w:t>assessment</w:t>
      </w:r>
      <w:r w:rsidRPr="008F7769">
        <w:rPr>
          <w:rFonts w:ascii="Arial" w:hAnsi="Arial" w:cs="Arial"/>
        </w:rPr>
        <w:t>. The release mechanism, particularly for modified-release formulations, can also be selected. Special drug product designs</w:t>
      </w:r>
      <w:r w:rsidR="005F2CB7">
        <w:rPr>
          <w:rFonts w:ascii="Arial" w:hAnsi="Arial" w:cs="Arial"/>
        </w:rPr>
        <w:t xml:space="preserve"> such </w:t>
      </w:r>
      <w:r w:rsidR="000F7461">
        <w:rPr>
          <w:rFonts w:ascii="Arial" w:hAnsi="Arial" w:cs="Arial"/>
        </w:rPr>
        <w:t xml:space="preserve">as </w:t>
      </w:r>
      <w:r w:rsidR="00D51171">
        <w:rPr>
          <w:rFonts w:ascii="Arial" w:hAnsi="Arial" w:cs="Arial"/>
        </w:rPr>
        <w:t>chewable</w:t>
      </w:r>
      <w:r w:rsidR="005F2CB7">
        <w:rPr>
          <w:rFonts w:ascii="Arial" w:hAnsi="Arial" w:cs="Arial"/>
        </w:rPr>
        <w:t xml:space="preserve"> or </w:t>
      </w:r>
      <w:r w:rsidR="00C9645E">
        <w:rPr>
          <w:rFonts w:ascii="Arial" w:hAnsi="Arial" w:cs="Arial"/>
        </w:rPr>
        <w:t>orally disintegrating tablets</w:t>
      </w:r>
      <w:r w:rsidRPr="008F7769">
        <w:rPr>
          <w:rFonts w:ascii="Arial" w:hAnsi="Arial" w:cs="Arial"/>
        </w:rPr>
        <w:t xml:space="preserve"> are </w:t>
      </w:r>
      <w:r w:rsidR="007A6813">
        <w:rPr>
          <w:rFonts w:ascii="Arial" w:hAnsi="Arial" w:cs="Arial"/>
        </w:rPr>
        <w:lastRenderedPageBreak/>
        <w:t>captured</w:t>
      </w:r>
      <w:r w:rsidR="007A6813" w:rsidRPr="008F7769">
        <w:rPr>
          <w:rFonts w:ascii="Arial" w:hAnsi="Arial" w:cs="Arial"/>
        </w:rPr>
        <w:t xml:space="preserve"> </w:t>
      </w:r>
      <w:r w:rsidRPr="008F7769">
        <w:rPr>
          <w:rFonts w:ascii="Arial" w:hAnsi="Arial" w:cs="Arial"/>
        </w:rPr>
        <w:t xml:space="preserve">within this section. Unique situations, such as continuous manufacturing, atypical manufacturing, established conditions, and </w:t>
      </w:r>
      <w:r w:rsidR="00ED56E6">
        <w:rPr>
          <w:rFonts w:ascii="Arial" w:hAnsi="Arial" w:cs="Arial"/>
        </w:rPr>
        <w:t xml:space="preserve">process analytical </w:t>
      </w:r>
      <w:r w:rsidR="00241352">
        <w:rPr>
          <w:rFonts w:ascii="Arial" w:hAnsi="Arial" w:cs="Arial"/>
        </w:rPr>
        <w:t xml:space="preserve">technologies </w:t>
      </w:r>
      <w:r w:rsidR="00ED56E6">
        <w:rPr>
          <w:rFonts w:ascii="Arial" w:hAnsi="Arial" w:cs="Arial"/>
        </w:rPr>
        <w:t xml:space="preserve">used during manufacturing can also be covered as part of ANDA manufacturing </w:t>
      </w:r>
      <w:r w:rsidR="00A0485D">
        <w:rPr>
          <w:rFonts w:ascii="Arial" w:hAnsi="Arial" w:cs="Arial"/>
        </w:rPr>
        <w:t>assessment</w:t>
      </w:r>
      <w:r w:rsidRPr="008F7769">
        <w:rPr>
          <w:rFonts w:ascii="Arial" w:hAnsi="Arial" w:cs="Arial"/>
        </w:rPr>
        <w:t>.</w:t>
      </w:r>
    </w:p>
    <w:p w14:paraId="568D6FFA" w14:textId="27AFDB34" w:rsidR="00674CE3" w:rsidRPr="00B24FF2" w:rsidRDefault="009566DC" w:rsidP="00674CE3">
      <w:pPr>
        <w:pStyle w:val="ListParagraph"/>
        <w:numPr>
          <w:ilvl w:val="0"/>
          <w:numId w:val="13"/>
        </w:numPr>
        <w:rPr>
          <w:rFonts w:ascii="Arial" w:hAnsi="Arial" w:cs="Arial"/>
        </w:rPr>
      </w:pPr>
      <w:r>
        <w:rPr>
          <w:rFonts w:ascii="Arial" w:hAnsi="Arial" w:cs="Arial"/>
        </w:rPr>
        <w:t xml:space="preserve">Drug substance attributes </w:t>
      </w:r>
      <w:r w:rsidR="006D5C79">
        <w:rPr>
          <w:rFonts w:ascii="Arial" w:hAnsi="Arial" w:cs="Arial"/>
        </w:rPr>
        <w:t>sub</w:t>
      </w:r>
      <w:r w:rsidR="00B922C6">
        <w:rPr>
          <w:rFonts w:ascii="Arial" w:hAnsi="Arial" w:cs="Arial"/>
        </w:rPr>
        <w:t>-</w:t>
      </w:r>
      <w:r>
        <w:rPr>
          <w:rFonts w:ascii="Arial" w:hAnsi="Arial" w:cs="Arial"/>
        </w:rPr>
        <w:t>mod</w:t>
      </w:r>
      <w:r w:rsidR="001809B9">
        <w:rPr>
          <w:rFonts w:ascii="Arial" w:hAnsi="Arial" w:cs="Arial"/>
        </w:rPr>
        <w:t>ule</w:t>
      </w:r>
    </w:p>
    <w:p w14:paraId="4770BFED" w14:textId="72C1C0C4" w:rsidR="001809B9" w:rsidRDefault="006D5C79" w:rsidP="006D5C79">
      <w:pPr>
        <w:pStyle w:val="ListParagraph"/>
        <w:rPr>
          <w:rFonts w:ascii="Arial" w:hAnsi="Arial" w:cs="Arial"/>
        </w:rPr>
      </w:pPr>
      <w:r>
        <w:rPr>
          <w:rFonts w:ascii="Arial" w:hAnsi="Arial" w:cs="Arial"/>
        </w:rPr>
        <w:t>This sub</w:t>
      </w:r>
      <w:r w:rsidR="00B922C6">
        <w:rPr>
          <w:rFonts w:ascii="Arial" w:hAnsi="Arial" w:cs="Arial"/>
        </w:rPr>
        <w:t>-</w:t>
      </w:r>
      <w:r>
        <w:rPr>
          <w:rFonts w:ascii="Arial" w:hAnsi="Arial" w:cs="Arial"/>
        </w:rPr>
        <w:t>module</w:t>
      </w:r>
      <w:r w:rsidR="001809B9" w:rsidRPr="006D5C79">
        <w:rPr>
          <w:rFonts w:ascii="Arial" w:hAnsi="Arial" w:cs="Arial"/>
        </w:rPr>
        <w:t xml:space="preserve"> </w:t>
      </w:r>
      <w:r w:rsidR="009D4D17">
        <w:rPr>
          <w:rFonts w:ascii="Arial" w:hAnsi="Arial" w:cs="Arial"/>
        </w:rPr>
        <w:t xml:space="preserve">is used to </w:t>
      </w:r>
      <w:r w:rsidR="001809B9" w:rsidRPr="006D5C79">
        <w:rPr>
          <w:rFonts w:ascii="Arial" w:hAnsi="Arial" w:cs="Arial"/>
        </w:rPr>
        <w:t xml:space="preserve">gather information of the drug loads for each </w:t>
      </w:r>
      <w:r w:rsidR="00AC5FEB" w:rsidRPr="00AC5FEB">
        <w:rPr>
          <w:rFonts w:ascii="Arial" w:hAnsi="Arial" w:cs="Arial"/>
        </w:rPr>
        <w:t xml:space="preserve">active pharmaceutical ingredient </w:t>
      </w:r>
      <w:r w:rsidR="00AC5FEB">
        <w:rPr>
          <w:rFonts w:ascii="Arial" w:hAnsi="Arial" w:cs="Arial"/>
        </w:rPr>
        <w:t>(</w:t>
      </w:r>
      <w:r w:rsidR="001809B9" w:rsidRPr="006D5C79">
        <w:rPr>
          <w:rFonts w:ascii="Arial" w:hAnsi="Arial" w:cs="Arial"/>
        </w:rPr>
        <w:t>API</w:t>
      </w:r>
      <w:r w:rsidR="00AC5FEB">
        <w:rPr>
          <w:rFonts w:ascii="Arial" w:hAnsi="Arial" w:cs="Arial"/>
        </w:rPr>
        <w:t>)</w:t>
      </w:r>
      <w:r w:rsidR="004C557D">
        <w:rPr>
          <w:rFonts w:ascii="Arial" w:hAnsi="Arial" w:cs="Arial"/>
        </w:rPr>
        <w:t xml:space="preserve"> </w:t>
      </w:r>
      <w:r w:rsidR="004C557D" w:rsidRPr="006D5C79">
        <w:rPr>
          <w:rFonts w:ascii="Arial" w:hAnsi="Arial" w:cs="Arial"/>
        </w:rPr>
        <w:t>in every strength</w:t>
      </w:r>
      <w:r w:rsidR="001809B9" w:rsidRPr="006D5C79">
        <w:rPr>
          <w:rFonts w:ascii="Arial" w:hAnsi="Arial" w:cs="Arial"/>
        </w:rPr>
        <w:t>, solubility of API</w:t>
      </w:r>
      <w:r w:rsidR="0024067B">
        <w:rPr>
          <w:rFonts w:ascii="Arial" w:hAnsi="Arial" w:cs="Arial"/>
        </w:rPr>
        <w:t>,</w:t>
      </w:r>
      <w:r w:rsidR="001809B9" w:rsidRPr="006D5C79">
        <w:rPr>
          <w:rFonts w:ascii="Arial" w:hAnsi="Arial" w:cs="Arial"/>
        </w:rPr>
        <w:t xml:space="preserve"> and </w:t>
      </w:r>
      <w:r w:rsidR="00AC5FEB">
        <w:rPr>
          <w:rFonts w:ascii="Arial" w:hAnsi="Arial" w:cs="Arial"/>
        </w:rPr>
        <w:t>o</w:t>
      </w:r>
      <w:r w:rsidR="00AC5FEB" w:rsidRPr="006D5C79">
        <w:rPr>
          <w:rFonts w:ascii="Arial" w:hAnsi="Arial" w:cs="Arial"/>
        </w:rPr>
        <w:t>verall</w:t>
      </w:r>
      <w:r w:rsidR="009E3D86">
        <w:rPr>
          <w:rFonts w:ascii="Arial" w:hAnsi="Arial" w:cs="Arial"/>
        </w:rPr>
        <w:t xml:space="preserve"> drug product</w:t>
      </w:r>
      <w:r w:rsidR="00AC5FEB" w:rsidRPr="006D5C79">
        <w:rPr>
          <w:rFonts w:ascii="Arial" w:hAnsi="Arial" w:cs="Arial"/>
        </w:rPr>
        <w:t xml:space="preserve"> </w:t>
      </w:r>
      <w:r w:rsidR="001809B9" w:rsidRPr="006D5C79">
        <w:rPr>
          <w:rFonts w:ascii="Arial" w:hAnsi="Arial" w:cs="Arial"/>
        </w:rPr>
        <w:t xml:space="preserve">release types. </w:t>
      </w:r>
      <w:r w:rsidR="0024067B">
        <w:rPr>
          <w:rFonts w:ascii="Arial" w:hAnsi="Arial" w:cs="Arial"/>
        </w:rPr>
        <w:t>Additionally</w:t>
      </w:r>
      <w:r w:rsidR="001809B9" w:rsidRPr="006D5C79">
        <w:rPr>
          <w:rFonts w:ascii="Arial" w:hAnsi="Arial" w:cs="Arial"/>
        </w:rPr>
        <w:t>, the assessor document</w:t>
      </w:r>
      <w:r w:rsidR="00924F72">
        <w:rPr>
          <w:rFonts w:ascii="Arial" w:hAnsi="Arial" w:cs="Arial"/>
        </w:rPr>
        <w:t>s</w:t>
      </w:r>
      <w:r w:rsidR="001809B9" w:rsidRPr="006D5C79">
        <w:rPr>
          <w:rFonts w:ascii="Arial" w:hAnsi="Arial" w:cs="Arial"/>
        </w:rPr>
        <w:t xml:space="preserve"> and assess</w:t>
      </w:r>
      <w:r w:rsidR="00924F72">
        <w:rPr>
          <w:rFonts w:ascii="Arial" w:hAnsi="Arial" w:cs="Arial"/>
        </w:rPr>
        <w:t>es</w:t>
      </w:r>
      <w:r w:rsidR="001809B9" w:rsidRPr="006D5C79">
        <w:rPr>
          <w:rFonts w:ascii="Arial" w:hAnsi="Arial" w:cs="Arial"/>
        </w:rPr>
        <w:t xml:space="preserve"> </w:t>
      </w:r>
      <w:r w:rsidR="00966B7A">
        <w:rPr>
          <w:rFonts w:ascii="Arial" w:hAnsi="Arial" w:cs="Arial"/>
        </w:rPr>
        <w:t xml:space="preserve">drug substance (DS) </w:t>
      </w:r>
      <w:r>
        <w:rPr>
          <w:rFonts w:ascii="Arial" w:hAnsi="Arial" w:cs="Arial"/>
        </w:rPr>
        <w:t>properties impacting manufacturability of drug product</w:t>
      </w:r>
      <w:r w:rsidR="001809B9" w:rsidRPr="006D5C79">
        <w:rPr>
          <w:rFonts w:ascii="Arial" w:hAnsi="Arial" w:cs="Arial"/>
        </w:rPr>
        <w:t>, such as hygroscopicity, pH</w:t>
      </w:r>
      <w:r w:rsidR="00D237CD">
        <w:rPr>
          <w:rFonts w:ascii="Arial" w:hAnsi="Arial" w:cs="Arial"/>
        </w:rPr>
        <w:t xml:space="preserve"> </w:t>
      </w:r>
      <w:r w:rsidR="0057479D">
        <w:rPr>
          <w:rFonts w:ascii="Arial" w:hAnsi="Arial" w:cs="Arial"/>
        </w:rPr>
        <w:t>sensitivity</w:t>
      </w:r>
      <w:r w:rsidR="001809B9" w:rsidRPr="006D5C79">
        <w:rPr>
          <w:rFonts w:ascii="Arial" w:hAnsi="Arial" w:cs="Arial"/>
        </w:rPr>
        <w:t>,</w:t>
      </w:r>
      <w:r w:rsidR="00D52BF1">
        <w:rPr>
          <w:rFonts w:ascii="Arial" w:hAnsi="Arial" w:cs="Arial"/>
        </w:rPr>
        <w:t xml:space="preserve"> </w:t>
      </w:r>
      <w:r w:rsidR="004F75EC" w:rsidRPr="004F75EC">
        <w:rPr>
          <w:rFonts w:ascii="Arial" w:hAnsi="Arial" w:cs="Arial"/>
        </w:rPr>
        <w:t xml:space="preserve">thermal stability, </w:t>
      </w:r>
      <w:r w:rsidR="00D52BF1">
        <w:rPr>
          <w:rFonts w:ascii="Arial" w:hAnsi="Arial" w:cs="Arial"/>
        </w:rPr>
        <w:t>and polymorphi</w:t>
      </w:r>
      <w:r w:rsidR="0057479D">
        <w:rPr>
          <w:rFonts w:ascii="Arial" w:hAnsi="Arial" w:cs="Arial"/>
        </w:rPr>
        <w:t>sm</w:t>
      </w:r>
      <w:r w:rsidR="00856E60">
        <w:rPr>
          <w:rFonts w:ascii="Arial" w:hAnsi="Arial" w:cs="Arial"/>
        </w:rPr>
        <w:t>,</w:t>
      </w:r>
      <w:r w:rsidR="001809B9" w:rsidRPr="006D5C79">
        <w:rPr>
          <w:rFonts w:ascii="Arial" w:hAnsi="Arial" w:cs="Arial"/>
        </w:rPr>
        <w:t xml:space="preserve"> etc. Each </w:t>
      </w:r>
      <w:r>
        <w:rPr>
          <w:rFonts w:ascii="Arial" w:hAnsi="Arial" w:cs="Arial"/>
        </w:rPr>
        <w:t xml:space="preserve">DS is documented distinctly </w:t>
      </w:r>
      <w:r w:rsidR="001809B9" w:rsidRPr="006D5C79">
        <w:rPr>
          <w:rFonts w:ascii="Arial" w:hAnsi="Arial" w:cs="Arial"/>
        </w:rPr>
        <w:t xml:space="preserve">within the </w:t>
      </w:r>
      <w:r>
        <w:rPr>
          <w:rFonts w:ascii="Arial" w:hAnsi="Arial" w:cs="Arial"/>
        </w:rPr>
        <w:t>sub</w:t>
      </w:r>
      <w:r w:rsidR="00333756">
        <w:rPr>
          <w:rFonts w:ascii="Arial" w:hAnsi="Arial" w:cs="Arial"/>
        </w:rPr>
        <w:t>-</w:t>
      </w:r>
      <w:r w:rsidR="001809B9" w:rsidRPr="006D5C79">
        <w:rPr>
          <w:rFonts w:ascii="Arial" w:hAnsi="Arial" w:cs="Arial"/>
        </w:rPr>
        <w:t>module</w:t>
      </w:r>
      <w:r w:rsidR="00E858C1">
        <w:rPr>
          <w:rFonts w:ascii="Arial" w:hAnsi="Arial" w:cs="Arial"/>
        </w:rPr>
        <w:t>.</w:t>
      </w:r>
    </w:p>
    <w:p w14:paraId="31EE6A06" w14:textId="77777777" w:rsidR="000A2A22" w:rsidRDefault="000A2A22" w:rsidP="006D5C79">
      <w:pPr>
        <w:pStyle w:val="ListParagraph"/>
        <w:rPr>
          <w:rFonts w:ascii="Arial" w:hAnsi="Arial" w:cs="Arial"/>
        </w:rPr>
      </w:pPr>
    </w:p>
    <w:p w14:paraId="681272C9" w14:textId="2B6078DC" w:rsidR="000A2A22" w:rsidRDefault="000A2A22" w:rsidP="007B78FE">
      <w:pPr>
        <w:pStyle w:val="ListParagraph"/>
        <w:numPr>
          <w:ilvl w:val="0"/>
          <w:numId w:val="13"/>
        </w:numPr>
        <w:rPr>
          <w:rFonts w:ascii="Arial" w:hAnsi="Arial" w:cs="Arial"/>
        </w:rPr>
      </w:pPr>
      <w:r>
        <w:rPr>
          <w:rFonts w:ascii="Arial" w:hAnsi="Arial" w:cs="Arial"/>
        </w:rPr>
        <w:t>Batch formula sub</w:t>
      </w:r>
      <w:r w:rsidR="00966B7A">
        <w:rPr>
          <w:rFonts w:ascii="Arial" w:hAnsi="Arial" w:cs="Arial"/>
        </w:rPr>
        <w:t>-</w:t>
      </w:r>
      <w:r>
        <w:rPr>
          <w:rFonts w:ascii="Arial" w:hAnsi="Arial" w:cs="Arial"/>
        </w:rPr>
        <w:t>module</w:t>
      </w:r>
    </w:p>
    <w:p w14:paraId="0EABCF3A" w14:textId="68141BC3" w:rsidR="00311ECC" w:rsidRDefault="00D61C48" w:rsidP="000A2A22">
      <w:pPr>
        <w:pStyle w:val="ListParagraph"/>
        <w:rPr>
          <w:rFonts w:ascii="Arial" w:hAnsi="Arial" w:cs="Arial"/>
        </w:rPr>
      </w:pPr>
      <w:r w:rsidRPr="00D61C48">
        <w:rPr>
          <w:rFonts w:ascii="Arial" w:hAnsi="Arial" w:cs="Arial"/>
        </w:rPr>
        <w:t>The assessor document</w:t>
      </w:r>
      <w:r w:rsidR="00760451">
        <w:rPr>
          <w:rFonts w:ascii="Arial" w:hAnsi="Arial" w:cs="Arial"/>
        </w:rPr>
        <w:t>s</w:t>
      </w:r>
      <w:r w:rsidRPr="00D61C48">
        <w:rPr>
          <w:rFonts w:ascii="Arial" w:hAnsi="Arial" w:cs="Arial"/>
        </w:rPr>
        <w:t xml:space="preserve"> and evaluate</w:t>
      </w:r>
      <w:r w:rsidR="00760451">
        <w:rPr>
          <w:rFonts w:ascii="Arial" w:hAnsi="Arial" w:cs="Arial"/>
        </w:rPr>
        <w:t>s</w:t>
      </w:r>
      <w:r w:rsidRPr="00D61C48">
        <w:rPr>
          <w:rFonts w:ascii="Arial" w:hAnsi="Arial" w:cs="Arial"/>
        </w:rPr>
        <w:t xml:space="preserve"> the various batch </w:t>
      </w:r>
      <w:r w:rsidR="00462CD0">
        <w:rPr>
          <w:rFonts w:ascii="Arial" w:hAnsi="Arial" w:cs="Arial"/>
        </w:rPr>
        <w:t xml:space="preserve">formulas and </w:t>
      </w:r>
      <w:r w:rsidR="00571278">
        <w:rPr>
          <w:rFonts w:ascii="Arial" w:hAnsi="Arial" w:cs="Arial"/>
        </w:rPr>
        <w:t xml:space="preserve">batch </w:t>
      </w:r>
      <w:r w:rsidRPr="00D61C48">
        <w:rPr>
          <w:rFonts w:ascii="Arial" w:hAnsi="Arial" w:cs="Arial"/>
        </w:rPr>
        <w:t xml:space="preserve">sizes, including </w:t>
      </w:r>
      <w:r w:rsidR="00210078">
        <w:rPr>
          <w:rFonts w:ascii="Arial" w:hAnsi="Arial" w:cs="Arial"/>
        </w:rPr>
        <w:t>exhibit</w:t>
      </w:r>
      <w:r w:rsidR="00210078" w:rsidRPr="00D61C48">
        <w:rPr>
          <w:rFonts w:ascii="Arial" w:hAnsi="Arial" w:cs="Arial"/>
        </w:rPr>
        <w:t xml:space="preserve"> </w:t>
      </w:r>
      <w:r w:rsidRPr="00D61C48">
        <w:rPr>
          <w:rFonts w:ascii="Arial" w:hAnsi="Arial" w:cs="Arial"/>
        </w:rPr>
        <w:t>batches</w:t>
      </w:r>
      <w:r w:rsidR="00FB43CC">
        <w:rPr>
          <w:rFonts w:ascii="Arial" w:hAnsi="Arial" w:cs="Arial"/>
        </w:rPr>
        <w:t xml:space="preserve"> and</w:t>
      </w:r>
      <w:r w:rsidRPr="00D61C48">
        <w:rPr>
          <w:rFonts w:ascii="Arial" w:hAnsi="Arial" w:cs="Arial"/>
        </w:rPr>
        <w:t xml:space="preserve"> the proposed future commercial </w:t>
      </w:r>
      <w:r w:rsidR="000B536C" w:rsidRPr="00D61C48">
        <w:rPr>
          <w:rFonts w:ascii="Arial" w:hAnsi="Arial" w:cs="Arial"/>
        </w:rPr>
        <w:t>batch</w:t>
      </w:r>
      <w:r w:rsidR="000B536C">
        <w:rPr>
          <w:rFonts w:ascii="Arial" w:hAnsi="Arial" w:cs="Arial"/>
        </w:rPr>
        <w:t>es</w:t>
      </w:r>
      <w:r w:rsidR="000B536C" w:rsidRPr="00D61C48">
        <w:rPr>
          <w:rFonts w:ascii="Arial" w:hAnsi="Arial" w:cs="Arial"/>
        </w:rPr>
        <w:t>.</w:t>
      </w:r>
      <w:r w:rsidR="00FB43CC">
        <w:rPr>
          <w:rFonts w:ascii="Arial" w:hAnsi="Arial" w:cs="Arial"/>
        </w:rPr>
        <w:t xml:space="preserve"> T</w:t>
      </w:r>
      <w:r w:rsidRPr="00D61C48">
        <w:rPr>
          <w:rFonts w:ascii="Arial" w:hAnsi="Arial" w:cs="Arial"/>
        </w:rPr>
        <w:t xml:space="preserve">he scale-up factor from the </w:t>
      </w:r>
      <w:r w:rsidR="00F77F39">
        <w:rPr>
          <w:rFonts w:ascii="Arial" w:hAnsi="Arial" w:cs="Arial"/>
        </w:rPr>
        <w:t>exhibit</w:t>
      </w:r>
      <w:r w:rsidR="00F77F39" w:rsidRPr="00D61C48">
        <w:rPr>
          <w:rFonts w:ascii="Arial" w:hAnsi="Arial" w:cs="Arial"/>
        </w:rPr>
        <w:t xml:space="preserve"> </w:t>
      </w:r>
      <w:r w:rsidR="001C4CBA">
        <w:rPr>
          <w:rFonts w:ascii="Arial" w:hAnsi="Arial" w:cs="Arial"/>
        </w:rPr>
        <w:t xml:space="preserve">or executed batches </w:t>
      </w:r>
      <w:r w:rsidRPr="00D61C48">
        <w:rPr>
          <w:rFonts w:ascii="Arial" w:hAnsi="Arial" w:cs="Arial"/>
        </w:rPr>
        <w:t>to the commercial batches for</w:t>
      </w:r>
      <w:r w:rsidR="00FB43CC">
        <w:rPr>
          <w:rFonts w:ascii="Arial" w:hAnsi="Arial" w:cs="Arial"/>
        </w:rPr>
        <w:t xml:space="preserve"> </w:t>
      </w:r>
      <w:r w:rsidRPr="00D61C48">
        <w:rPr>
          <w:rFonts w:ascii="Arial" w:hAnsi="Arial" w:cs="Arial"/>
        </w:rPr>
        <w:t>each drug product strength</w:t>
      </w:r>
      <w:r w:rsidR="001D3179">
        <w:rPr>
          <w:rFonts w:ascii="Arial" w:hAnsi="Arial" w:cs="Arial"/>
        </w:rPr>
        <w:t xml:space="preserve"> is </w:t>
      </w:r>
      <w:r w:rsidR="0073423E">
        <w:rPr>
          <w:rFonts w:ascii="Arial" w:hAnsi="Arial" w:cs="Arial"/>
        </w:rPr>
        <w:t>automatically calculated</w:t>
      </w:r>
      <w:r w:rsidRPr="00D61C48">
        <w:rPr>
          <w:rFonts w:ascii="Arial" w:hAnsi="Arial" w:cs="Arial"/>
        </w:rPr>
        <w:t>. This will ensure that relevant information is properly linked in the submission to avoid unnecessary repetition</w:t>
      </w:r>
      <w:r w:rsidR="000A40EA">
        <w:rPr>
          <w:rFonts w:ascii="Arial" w:hAnsi="Arial" w:cs="Arial"/>
        </w:rPr>
        <w:t>.</w:t>
      </w:r>
    </w:p>
    <w:p w14:paraId="2AA7447D" w14:textId="77777777" w:rsidR="00311ECC" w:rsidRDefault="00311ECC" w:rsidP="000A2A22">
      <w:pPr>
        <w:pStyle w:val="ListParagraph"/>
        <w:rPr>
          <w:rFonts w:ascii="Arial" w:hAnsi="Arial" w:cs="Arial"/>
        </w:rPr>
      </w:pPr>
    </w:p>
    <w:p w14:paraId="5F79B702" w14:textId="16EED23B" w:rsidR="00981113" w:rsidRDefault="00981113" w:rsidP="00981113">
      <w:pPr>
        <w:pStyle w:val="ListParagraph"/>
        <w:numPr>
          <w:ilvl w:val="0"/>
          <w:numId w:val="13"/>
        </w:numPr>
        <w:rPr>
          <w:rFonts w:ascii="Arial" w:hAnsi="Arial" w:cs="Arial"/>
        </w:rPr>
      </w:pPr>
      <w:r>
        <w:rPr>
          <w:rFonts w:ascii="Arial" w:hAnsi="Arial" w:cs="Arial"/>
        </w:rPr>
        <w:t>Manufacturing process sub</w:t>
      </w:r>
      <w:r w:rsidR="000455BF">
        <w:rPr>
          <w:rFonts w:ascii="Arial" w:hAnsi="Arial" w:cs="Arial"/>
        </w:rPr>
        <w:t>-</w:t>
      </w:r>
      <w:r>
        <w:rPr>
          <w:rFonts w:ascii="Arial" w:hAnsi="Arial" w:cs="Arial"/>
        </w:rPr>
        <w:t>module</w:t>
      </w:r>
    </w:p>
    <w:p w14:paraId="5680A264" w14:textId="5B4943EC" w:rsidR="00981113" w:rsidRPr="00FC2A7C" w:rsidRDefault="00A85E87" w:rsidP="0065083F">
      <w:pPr>
        <w:pStyle w:val="ListParagraph"/>
        <w:rPr>
          <w:rFonts w:ascii="Arial" w:hAnsi="Arial" w:cs="Arial"/>
        </w:rPr>
      </w:pPr>
      <w:r w:rsidRPr="0059410B">
        <w:rPr>
          <w:rFonts w:ascii="Arial" w:hAnsi="Arial" w:cs="Arial"/>
          <w:color w:val="000000" w:themeColor="text1"/>
        </w:rPr>
        <w:t>In this sub</w:t>
      </w:r>
      <w:r w:rsidR="000455BF" w:rsidRPr="0059410B">
        <w:rPr>
          <w:rFonts w:ascii="Arial" w:hAnsi="Arial" w:cs="Arial"/>
          <w:color w:val="000000" w:themeColor="text1"/>
        </w:rPr>
        <w:t>-</w:t>
      </w:r>
      <w:r w:rsidRPr="0059410B">
        <w:rPr>
          <w:rFonts w:ascii="Arial" w:hAnsi="Arial" w:cs="Arial"/>
          <w:color w:val="000000" w:themeColor="text1"/>
        </w:rPr>
        <w:t>module, the assessor document</w:t>
      </w:r>
      <w:r w:rsidR="006962B5" w:rsidRPr="0059410B">
        <w:rPr>
          <w:rFonts w:ascii="Arial" w:hAnsi="Arial" w:cs="Arial"/>
          <w:color w:val="000000" w:themeColor="text1"/>
        </w:rPr>
        <w:t>s</w:t>
      </w:r>
      <w:r w:rsidRPr="0059410B">
        <w:rPr>
          <w:rFonts w:ascii="Arial" w:hAnsi="Arial" w:cs="Arial"/>
          <w:color w:val="000000" w:themeColor="text1"/>
        </w:rPr>
        <w:t xml:space="preserve"> and assess</w:t>
      </w:r>
      <w:r w:rsidR="006962B5" w:rsidRPr="0059410B">
        <w:rPr>
          <w:rFonts w:ascii="Arial" w:hAnsi="Arial" w:cs="Arial"/>
          <w:color w:val="000000" w:themeColor="text1"/>
        </w:rPr>
        <w:t>es</w:t>
      </w:r>
      <w:r w:rsidRPr="0059410B">
        <w:rPr>
          <w:rFonts w:ascii="Arial" w:hAnsi="Arial" w:cs="Arial"/>
          <w:color w:val="000000" w:themeColor="text1"/>
        </w:rPr>
        <w:t xml:space="preserve"> the manufacturing flow diagram</w:t>
      </w:r>
      <w:r w:rsidR="002B2B4A" w:rsidRPr="0059410B">
        <w:rPr>
          <w:rFonts w:ascii="Arial" w:hAnsi="Arial" w:cs="Arial"/>
          <w:color w:val="000000" w:themeColor="text1"/>
        </w:rPr>
        <w:t xml:space="preserve"> </w:t>
      </w:r>
      <w:r w:rsidR="00115F6A" w:rsidRPr="0059410B">
        <w:rPr>
          <w:rFonts w:ascii="Arial" w:hAnsi="Arial" w:cs="Arial"/>
          <w:color w:val="000000" w:themeColor="text1"/>
        </w:rPr>
        <w:t>at a high level</w:t>
      </w:r>
      <w:r w:rsidR="00115F6A" w:rsidRPr="005321A3">
        <w:rPr>
          <w:rFonts w:ascii="Arial" w:hAnsi="Arial" w:cs="Arial"/>
          <w:color w:val="2F5496" w:themeColor="accent1" w:themeShade="BF"/>
        </w:rPr>
        <w:t xml:space="preserve">. </w:t>
      </w:r>
      <w:r w:rsidR="00C812A2" w:rsidRPr="005321A3">
        <w:rPr>
          <w:rFonts w:ascii="Arial" w:hAnsi="Arial" w:cs="Arial"/>
          <w:color w:val="2F5496" w:themeColor="accent1" w:themeShade="BF"/>
        </w:rPr>
        <w:t>The assessor reviews the manufacturing flow diagram to ensure that major unit operations align with the process described in the submission and that the diagram accurately reflects input materials and in-process controls</w:t>
      </w:r>
      <w:r w:rsidR="0063732A" w:rsidRPr="005321A3">
        <w:rPr>
          <w:rFonts w:ascii="Arial" w:hAnsi="Arial" w:cs="Arial"/>
          <w:color w:val="2F5496" w:themeColor="accent1" w:themeShade="BF"/>
        </w:rPr>
        <w:t xml:space="preserve"> (IPCs)</w:t>
      </w:r>
      <w:r w:rsidR="00C812A2" w:rsidRPr="005321A3">
        <w:rPr>
          <w:rFonts w:ascii="Arial" w:hAnsi="Arial" w:cs="Arial"/>
          <w:color w:val="2F5496" w:themeColor="accent1" w:themeShade="BF"/>
        </w:rPr>
        <w:t xml:space="preserve"> for each unit operation</w:t>
      </w:r>
      <w:r w:rsidR="000F26EE" w:rsidRPr="005321A3">
        <w:rPr>
          <w:rFonts w:ascii="Arial" w:hAnsi="Arial" w:cs="Arial"/>
          <w:color w:val="000000" w:themeColor="text1"/>
        </w:rPr>
        <w:t>.</w:t>
      </w:r>
      <w:r w:rsidR="000F26EE" w:rsidRPr="005321A3">
        <w:rPr>
          <w:rFonts w:ascii="Arial" w:hAnsi="Arial" w:cs="Arial"/>
          <w:color w:val="657C9C" w:themeColor="text2" w:themeTint="BF"/>
        </w:rPr>
        <w:t xml:space="preserve"> </w:t>
      </w:r>
      <w:r w:rsidR="000C1F77" w:rsidRPr="00FC2A7C">
        <w:rPr>
          <w:rFonts w:ascii="Arial" w:hAnsi="Arial" w:cs="Arial"/>
        </w:rPr>
        <w:t xml:space="preserve">The </w:t>
      </w:r>
      <w:r w:rsidR="002270D1" w:rsidRPr="00FC2A7C">
        <w:rPr>
          <w:rFonts w:ascii="Arial" w:hAnsi="Arial" w:cs="Arial"/>
        </w:rPr>
        <w:t>high-level</w:t>
      </w:r>
      <w:r w:rsidR="000C1F77" w:rsidRPr="00FC2A7C">
        <w:rPr>
          <w:rFonts w:ascii="Arial" w:hAnsi="Arial" w:cs="Arial"/>
        </w:rPr>
        <w:t xml:space="preserve"> description orients assessors before t</w:t>
      </w:r>
      <w:r w:rsidR="00115F6A" w:rsidRPr="00FC2A7C">
        <w:rPr>
          <w:rFonts w:ascii="Arial" w:hAnsi="Arial" w:cs="Arial"/>
        </w:rPr>
        <w:t>he</w:t>
      </w:r>
      <w:r w:rsidR="002B2B4A" w:rsidRPr="00FC2A7C">
        <w:rPr>
          <w:rFonts w:ascii="Arial" w:hAnsi="Arial" w:cs="Arial"/>
        </w:rPr>
        <w:t xml:space="preserve"> </w:t>
      </w:r>
      <w:r w:rsidR="002270D1" w:rsidRPr="00FC2A7C">
        <w:rPr>
          <w:rFonts w:ascii="Arial" w:hAnsi="Arial" w:cs="Arial"/>
        </w:rPr>
        <w:t>in-depth</w:t>
      </w:r>
      <w:r w:rsidR="000C1F77" w:rsidRPr="00FC2A7C">
        <w:rPr>
          <w:rFonts w:ascii="Arial" w:hAnsi="Arial" w:cs="Arial"/>
        </w:rPr>
        <w:t xml:space="preserve"> assessment documented in </w:t>
      </w:r>
      <w:r w:rsidR="002B2B4A" w:rsidRPr="00FC2A7C">
        <w:rPr>
          <w:rFonts w:ascii="Arial" w:hAnsi="Arial" w:cs="Arial"/>
        </w:rPr>
        <w:t>unit operation sub-module</w:t>
      </w:r>
      <w:r w:rsidR="00115F6A" w:rsidRPr="00FC2A7C">
        <w:rPr>
          <w:rFonts w:ascii="Arial" w:hAnsi="Arial" w:cs="Arial"/>
        </w:rPr>
        <w:t>s</w:t>
      </w:r>
      <w:r w:rsidR="002B2B4A" w:rsidRPr="00FC2A7C">
        <w:rPr>
          <w:rFonts w:ascii="Arial" w:hAnsi="Arial" w:cs="Arial"/>
        </w:rPr>
        <w:t>.</w:t>
      </w:r>
      <w:r w:rsidR="00023C17" w:rsidRPr="00FC2A7C">
        <w:rPr>
          <w:rFonts w:ascii="Arial" w:hAnsi="Arial" w:cs="Arial"/>
        </w:rPr>
        <w:t xml:space="preserve"> </w:t>
      </w:r>
    </w:p>
    <w:p w14:paraId="37E87102" w14:textId="77777777" w:rsidR="0065083F" w:rsidRDefault="0065083F" w:rsidP="0065083F">
      <w:pPr>
        <w:pStyle w:val="ListParagraph"/>
        <w:rPr>
          <w:rFonts w:ascii="Arial" w:hAnsi="Arial" w:cs="Arial"/>
        </w:rPr>
      </w:pPr>
    </w:p>
    <w:p w14:paraId="7D902978" w14:textId="70E13943" w:rsidR="002B2B4A" w:rsidRDefault="002B2B4A" w:rsidP="002B2B4A">
      <w:pPr>
        <w:pStyle w:val="ListParagraph"/>
        <w:numPr>
          <w:ilvl w:val="0"/>
          <w:numId w:val="13"/>
        </w:numPr>
        <w:rPr>
          <w:rFonts w:ascii="Arial" w:hAnsi="Arial" w:cs="Arial"/>
        </w:rPr>
      </w:pPr>
      <w:r>
        <w:rPr>
          <w:rFonts w:ascii="Arial" w:hAnsi="Arial" w:cs="Arial"/>
        </w:rPr>
        <w:t>Initial risk assessment</w:t>
      </w:r>
      <w:r w:rsidR="0005194E">
        <w:rPr>
          <w:rFonts w:ascii="Arial" w:hAnsi="Arial" w:cs="Arial"/>
        </w:rPr>
        <w:t xml:space="preserve"> sub</w:t>
      </w:r>
      <w:r w:rsidR="000455BF">
        <w:rPr>
          <w:rFonts w:ascii="Arial" w:hAnsi="Arial" w:cs="Arial"/>
        </w:rPr>
        <w:t>-</w:t>
      </w:r>
      <w:r w:rsidR="0005194E">
        <w:rPr>
          <w:rFonts w:ascii="Arial" w:hAnsi="Arial" w:cs="Arial"/>
        </w:rPr>
        <w:t>module</w:t>
      </w:r>
    </w:p>
    <w:p w14:paraId="793C1E0B" w14:textId="0AA3FE2D" w:rsidR="00214A9C" w:rsidRPr="0056277D" w:rsidRDefault="00583F07" w:rsidP="00D15D4A">
      <w:pPr>
        <w:pStyle w:val="ListParagraph"/>
        <w:rPr>
          <w:rFonts w:ascii="Arial" w:hAnsi="Arial" w:cs="Arial"/>
        </w:rPr>
      </w:pPr>
      <w:r w:rsidRPr="6A1CF87C">
        <w:rPr>
          <w:rFonts w:ascii="Arial" w:hAnsi="Arial" w:cs="Arial"/>
        </w:rPr>
        <w:t>An initial risk assessment of each step in the manufacturing process is performed in this sub-module. The</w:t>
      </w:r>
      <w:r w:rsidR="00614332" w:rsidRPr="6A1CF87C">
        <w:rPr>
          <w:rFonts w:ascii="Arial" w:hAnsi="Arial" w:cs="Arial"/>
        </w:rPr>
        <w:t xml:space="preserve"> assessor constructs the unit operation chain according to the submission</w:t>
      </w:r>
      <w:r w:rsidR="004B0230" w:rsidRPr="6A1CF87C">
        <w:rPr>
          <w:rFonts w:ascii="Arial" w:hAnsi="Arial" w:cs="Arial"/>
        </w:rPr>
        <w:t xml:space="preserve"> information</w:t>
      </w:r>
      <w:r w:rsidR="00614332" w:rsidRPr="6A1CF87C">
        <w:rPr>
          <w:rFonts w:ascii="Arial" w:hAnsi="Arial" w:cs="Arial"/>
        </w:rPr>
        <w:t xml:space="preserve"> and </w:t>
      </w:r>
      <w:r w:rsidR="00491F78" w:rsidRPr="6A1CF87C">
        <w:rPr>
          <w:rFonts w:ascii="Arial" w:hAnsi="Arial" w:cs="Arial"/>
        </w:rPr>
        <w:t xml:space="preserve">assesses </w:t>
      </w:r>
      <w:r w:rsidR="00614332" w:rsidRPr="6A1CF87C">
        <w:rPr>
          <w:rFonts w:ascii="Arial" w:hAnsi="Arial" w:cs="Arial"/>
        </w:rPr>
        <w:t>the initial risk for each unit operation</w:t>
      </w:r>
      <w:r w:rsidR="006F199E" w:rsidRPr="6A1CF87C">
        <w:rPr>
          <w:rFonts w:ascii="Arial" w:hAnsi="Arial" w:cs="Arial"/>
        </w:rPr>
        <w:t>. E</w:t>
      </w:r>
      <w:r w:rsidR="00614332" w:rsidRPr="6A1CF87C">
        <w:rPr>
          <w:rFonts w:ascii="Arial" w:hAnsi="Arial" w:cs="Arial"/>
        </w:rPr>
        <w:t>ach Critical Quality Attribute (CQA)</w:t>
      </w:r>
      <w:r w:rsidR="006F199E" w:rsidRPr="6A1CF87C">
        <w:rPr>
          <w:rFonts w:ascii="Arial" w:hAnsi="Arial" w:cs="Arial"/>
        </w:rPr>
        <w:t xml:space="preserve"> </w:t>
      </w:r>
      <w:r w:rsidR="00123600">
        <w:rPr>
          <w:rFonts w:ascii="Arial" w:hAnsi="Arial" w:cs="Arial"/>
        </w:rPr>
        <w:t>that</w:t>
      </w:r>
      <w:r w:rsidR="00123600" w:rsidRPr="6A1CF87C">
        <w:rPr>
          <w:rFonts w:ascii="Arial" w:hAnsi="Arial" w:cs="Arial"/>
        </w:rPr>
        <w:t xml:space="preserve"> </w:t>
      </w:r>
      <w:r w:rsidR="006F199E" w:rsidRPr="6A1CF87C">
        <w:rPr>
          <w:rFonts w:ascii="Arial" w:hAnsi="Arial" w:cs="Arial"/>
        </w:rPr>
        <w:t>may be affected by a unit operation is assessed</w:t>
      </w:r>
      <w:r w:rsidR="00614332" w:rsidRPr="6A1CF87C">
        <w:rPr>
          <w:rFonts w:ascii="Arial" w:hAnsi="Arial" w:cs="Arial"/>
        </w:rPr>
        <w:t xml:space="preserve"> individually. A quantitative Failure Mode and Effect Analysis (FMEA) is performed for each unit operation, </w:t>
      </w:r>
      <w:r w:rsidR="002E09B7" w:rsidRPr="6A1CF87C">
        <w:rPr>
          <w:rFonts w:ascii="Arial" w:hAnsi="Arial" w:cs="Arial"/>
        </w:rPr>
        <w:t>considering</w:t>
      </w:r>
      <w:r w:rsidR="00614332" w:rsidRPr="6A1CF87C">
        <w:rPr>
          <w:rFonts w:ascii="Arial" w:hAnsi="Arial" w:cs="Arial"/>
        </w:rPr>
        <w:t xml:space="preserve"> product</w:t>
      </w:r>
      <w:r w:rsidR="002E09B7" w:rsidRPr="6A1CF87C">
        <w:rPr>
          <w:rFonts w:ascii="Arial" w:hAnsi="Arial" w:cs="Arial"/>
        </w:rPr>
        <w:t xml:space="preserve"> properties</w:t>
      </w:r>
      <w:r w:rsidR="00614332" w:rsidRPr="6A1CF87C">
        <w:rPr>
          <w:rFonts w:ascii="Arial" w:hAnsi="Arial" w:cs="Arial"/>
        </w:rPr>
        <w:t xml:space="preserve">, </w:t>
      </w:r>
      <w:r w:rsidR="00481B34" w:rsidRPr="6A1CF87C">
        <w:rPr>
          <w:rFonts w:ascii="Arial" w:hAnsi="Arial" w:cs="Arial"/>
        </w:rPr>
        <w:t xml:space="preserve">manufacturing process, and </w:t>
      </w:r>
      <w:r w:rsidR="00614332" w:rsidRPr="6A1CF87C">
        <w:rPr>
          <w:rFonts w:ascii="Arial" w:hAnsi="Arial" w:cs="Arial"/>
        </w:rPr>
        <w:t>facility risks.</w:t>
      </w:r>
      <w:r w:rsidR="00852801" w:rsidRPr="6A1CF87C">
        <w:rPr>
          <w:rFonts w:ascii="Arial" w:hAnsi="Arial" w:cs="Arial"/>
        </w:rPr>
        <w:t xml:space="preserve"> Additionally, this sub-module includes </w:t>
      </w:r>
      <w:r w:rsidR="00F21060" w:rsidRPr="6A1CF87C">
        <w:rPr>
          <w:rFonts w:ascii="Arial" w:hAnsi="Arial" w:cs="Arial"/>
        </w:rPr>
        <w:t xml:space="preserve">an initial </w:t>
      </w:r>
      <w:r w:rsidR="00852801" w:rsidRPr="6A1CF87C">
        <w:rPr>
          <w:rFonts w:ascii="Arial" w:hAnsi="Arial" w:cs="Arial"/>
        </w:rPr>
        <w:t>risk-based assessment of microbial risks.</w:t>
      </w:r>
    </w:p>
    <w:p w14:paraId="3916A914" w14:textId="77777777" w:rsidR="002B2B4A" w:rsidRDefault="002B2B4A" w:rsidP="005321A3">
      <w:pPr>
        <w:pStyle w:val="ListParagraph"/>
      </w:pPr>
    </w:p>
    <w:p w14:paraId="1CB97508" w14:textId="43E1FB9C" w:rsidR="00E87C9A" w:rsidRPr="00E010FE" w:rsidRDefault="00E87C9A" w:rsidP="005321A3">
      <w:pPr>
        <w:pStyle w:val="Heading2"/>
      </w:pPr>
      <w:r w:rsidRPr="00E010FE">
        <w:t xml:space="preserve">2.1.1.4. Unit </w:t>
      </w:r>
      <w:r w:rsidR="00B07552" w:rsidRPr="00E010FE">
        <w:t xml:space="preserve">Operations </w:t>
      </w:r>
      <w:r w:rsidRPr="00E010FE">
        <w:t>module</w:t>
      </w:r>
    </w:p>
    <w:p w14:paraId="7AF4A6A3" w14:textId="4BECBACB" w:rsidR="0048388C" w:rsidRDefault="00A92A28" w:rsidP="000E06C2">
      <w:pPr>
        <w:rPr>
          <w:rFonts w:ascii="Arial" w:hAnsi="Arial" w:cs="Arial"/>
        </w:rPr>
      </w:pPr>
      <w:r w:rsidRPr="6A1CF87C">
        <w:rPr>
          <w:rFonts w:ascii="Arial" w:hAnsi="Arial" w:cs="Arial"/>
        </w:rPr>
        <w:t xml:space="preserve">The </w:t>
      </w:r>
      <w:r w:rsidR="008D2798" w:rsidRPr="6A1CF87C">
        <w:rPr>
          <w:rFonts w:ascii="Arial" w:hAnsi="Arial" w:cs="Arial"/>
        </w:rPr>
        <w:t xml:space="preserve">sub-modules </w:t>
      </w:r>
      <w:r w:rsidR="00F47CA4" w:rsidRPr="6A1CF87C">
        <w:rPr>
          <w:rFonts w:ascii="Arial" w:hAnsi="Arial" w:cs="Arial"/>
        </w:rPr>
        <w:t>under</w:t>
      </w:r>
      <w:r w:rsidR="008D2798" w:rsidRPr="6A1CF87C">
        <w:rPr>
          <w:rFonts w:ascii="Arial" w:hAnsi="Arial" w:cs="Arial"/>
        </w:rPr>
        <w:t xml:space="preserve"> </w:t>
      </w:r>
      <w:r w:rsidRPr="6A1CF87C">
        <w:rPr>
          <w:rFonts w:ascii="Arial" w:hAnsi="Arial" w:cs="Arial"/>
        </w:rPr>
        <w:t>Unit Operation</w:t>
      </w:r>
      <w:r w:rsidR="008D2798" w:rsidRPr="6A1CF87C">
        <w:rPr>
          <w:rFonts w:ascii="Arial" w:hAnsi="Arial" w:cs="Arial"/>
        </w:rPr>
        <w:t xml:space="preserve"> module</w:t>
      </w:r>
      <w:r w:rsidRPr="6A1CF87C">
        <w:rPr>
          <w:rFonts w:ascii="Arial" w:hAnsi="Arial" w:cs="Arial"/>
        </w:rPr>
        <w:t xml:space="preserve"> are tailored to </w:t>
      </w:r>
      <w:r w:rsidR="008A2225" w:rsidRPr="6A1CF87C">
        <w:rPr>
          <w:rFonts w:ascii="Arial" w:hAnsi="Arial" w:cs="Arial"/>
        </w:rPr>
        <w:t xml:space="preserve">allow </w:t>
      </w:r>
      <w:r w:rsidR="007567E2" w:rsidRPr="6A1CF87C">
        <w:rPr>
          <w:rFonts w:ascii="Arial" w:hAnsi="Arial" w:cs="Arial"/>
        </w:rPr>
        <w:t xml:space="preserve">a </w:t>
      </w:r>
      <w:r w:rsidR="008F0C5E" w:rsidRPr="6A1CF87C">
        <w:rPr>
          <w:rFonts w:ascii="Arial" w:hAnsi="Arial" w:cs="Arial"/>
        </w:rPr>
        <w:t>thorough assessmen</w:t>
      </w:r>
      <w:r w:rsidR="003D00DE" w:rsidRPr="6A1CF87C">
        <w:rPr>
          <w:rFonts w:ascii="Arial" w:hAnsi="Arial" w:cs="Arial"/>
        </w:rPr>
        <w:t xml:space="preserve">t of specific unit operations </w:t>
      </w:r>
      <w:r w:rsidRPr="6A1CF87C">
        <w:rPr>
          <w:rFonts w:ascii="Arial" w:hAnsi="Arial" w:cs="Arial"/>
        </w:rPr>
        <w:t xml:space="preserve">for </w:t>
      </w:r>
      <w:r w:rsidR="00833772" w:rsidRPr="6A1CF87C">
        <w:rPr>
          <w:rFonts w:ascii="Arial" w:hAnsi="Arial" w:cs="Arial"/>
        </w:rPr>
        <w:t xml:space="preserve">each </w:t>
      </w:r>
      <w:r w:rsidR="009B44B5" w:rsidRPr="6A1CF87C">
        <w:rPr>
          <w:rFonts w:ascii="Arial" w:hAnsi="Arial" w:cs="Arial"/>
        </w:rPr>
        <w:t xml:space="preserve">individual </w:t>
      </w:r>
      <w:r w:rsidRPr="6A1CF87C">
        <w:rPr>
          <w:rFonts w:ascii="Arial" w:hAnsi="Arial" w:cs="Arial"/>
        </w:rPr>
        <w:t>ANDA</w:t>
      </w:r>
      <w:r w:rsidR="00073216" w:rsidRPr="6A1CF87C">
        <w:rPr>
          <w:rFonts w:ascii="Arial" w:hAnsi="Arial" w:cs="Arial"/>
        </w:rPr>
        <w:t>.</w:t>
      </w:r>
      <w:r w:rsidR="650F25EE" w:rsidRPr="6A1CF87C">
        <w:rPr>
          <w:rFonts w:ascii="Arial" w:hAnsi="Arial" w:cs="Arial"/>
        </w:rPr>
        <w:t xml:space="preserve"> This </w:t>
      </w:r>
      <w:r w:rsidR="67954D9F" w:rsidRPr="6A1CF87C">
        <w:rPr>
          <w:rFonts w:ascii="Arial" w:hAnsi="Arial" w:cs="Arial"/>
        </w:rPr>
        <w:t xml:space="preserve">sub-module </w:t>
      </w:r>
      <w:r w:rsidR="650F25EE" w:rsidRPr="6A1CF87C">
        <w:rPr>
          <w:rFonts w:ascii="Arial" w:hAnsi="Arial" w:cs="Arial"/>
        </w:rPr>
        <w:t xml:space="preserve">includes assessment of </w:t>
      </w:r>
      <w:r w:rsidR="7B3AA516" w:rsidRPr="6A1CF87C">
        <w:rPr>
          <w:rFonts w:ascii="Arial" w:hAnsi="Arial" w:cs="Arial"/>
        </w:rPr>
        <w:t>in-process</w:t>
      </w:r>
      <w:r w:rsidR="00DF1DD3">
        <w:rPr>
          <w:rFonts w:ascii="Arial" w:hAnsi="Arial" w:cs="Arial"/>
        </w:rPr>
        <w:t xml:space="preserve"> </w:t>
      </w:r>
      <w:r w:rsidR="25102018" w:rsidRPr="6A1CF87C">
        <w:rPr>
          <w:rFonts w:ascii="Arial" w:hAnsi="Arial" w:cs="Arial"/>
        </w:rPr>
        <w:t>controls</w:t>
      </w:r>
      <w:r w:rsidR="00A67D61">
        <w:rPr>
          <w:rFonts w:ascii="Arial" w:hAnsi="Arial" w:cs="Arial"/>
        </w:rPr>
        <w:t xml:space="preserve"> (IPCs)</w:t>
      </w:r>
      <w:r w:rsidR="25102018" w:rsidRPr="6A1CF87C">
        <w:rPr>
          <w:rFonts w:ascii="Arial" w:hAnsi="Arial" w:cs="Arial"/>
        </w:rPr>
        <w:t>, process parameters, development data, and scale up</w:t>
      </w:r>
      <w:r w:rsidR="4C953351" w:rsidRPr="6A1CF87C">
        <w:rPr>
          <w:rFonts w:ascii="Arial" w:hAnsi="Arial" w:cs="Arial"/>
        </w:rPr>
        <w:t xml:space="preserve"> for individual unit operations</w:t>
      </w:r>
      <w:r w:rsidR="25102018" w:rsidRPr="6A1CF87C">
        <w:rPr>
          <w:rFonts w:ascii="Arial" w:hAnsi="Arial" w:cs="Arial"/>
        </w:rPr>
        <w:t>.</w:t>
      </w:r>
      <w:r w:rsidR="08206F8E" w:rsidRPr="6A1CF87C">
        <w:rPr>
          <w:rFonts w:ascii="Arial" w:hAnsi="Arial" w:cs="Arial"/>
        </w:rPr>
        <w:t xml:space="preserve"> </w:t>
      </w:r>
      <w:r w:rsidR="00FC5403" w:rsidRPr="6A1CF87C">
        <w:rPr>
          <w:rFonts w:ascii="Arial" w:hAnsi="Arial" w:cs="Arial"/>
        </w:rPr>
        <w:t>The</w:t>
      </w:r>
      <w:r w:rsidR="0072301B" w:rsidRPr="6A1CF87C">
        <w:rPr>
          <w:rFonts w:ascii="Arial" w:hAnsi="Arial" w:cs="Arial"/>
        </w:rPr>
        <w:t xml:space="preserve"> unit operations will automatically be generated based on </w:t>
      </w:r>
      <w:r w:rsidR="00B20509" w:rsidRPr="6A1CF87C">
        <w:rPr>
          <w:rFonts w:ascii="Arial" w:hAnsi="Arial" w:cs="Arial"/>
        </w:rPr>
        <w:t>the selection of unit operations</w:t>
      </w:r>
      <w:r w:rsidR="006108FA" w:rsidRPr="6A1CF87C">
        <w:rPr>
          <w:rFonts w:ascii="Arial" w:hAnsi="Arial" w:cs="Arial"/>
        </w:rPr>
        <w:t xml:space="preserve"> </w:t>
      </w:r>
      <w:r w:rsidR="0072301B" w:rsidRPr="6A1CF87C">
        <w:rPr>
          <w:rFonts w:ascii="Arial" w:hAnsi="Arial" w:cs="Arial"/>
        </w:rPr>
        <w:t>in the</w:t>
      </w:r>
      <w:r w:rsidR="0018296C" w:rsidRPr="6A1CF87C">
        <w:rPr>
          <w:rFonts w:ascii="Arial" w:hAnsi="Arial" w:cs="Arial"/>
        </w:rPr>
        <w:t xml:space="preserve"> </w:t>
      </w:r>
      <w:r w:rsidR="008F192C" w:rsidRPr="6A1CF87C">
        <w:rPr>
          <w:rFonts w:ascii="Arial" w:hAnsi="Arial" w:cs="Arial"/>
        </w:rPr>
        <w:t xml:space="preserve">initial risk assessment </w:t>
      </w:r>
      <w:r w:rsidR="00FE4EB7" w:rsidRPr="6A1CF87C">
        <w:rPr>
          <w:rFonts w:ascii="Arial" w:hAnsi="Arial" w:cs="Arial"/>
        </w:rPr>
        <w:t xml:space="preserve">sub-module </w:t>
      </w:r>
      <w:r w:rsidR="008F192C" w:rsidRPr="6A1CF87C">
        <w:rPr>
          <w:rFonts w:ascii="Arial" w:hAnsi="Arial" w:cs="Arial"/>
        </w:rPr>
        <w:t xml:space="preserve">under the Manufacturing </w:t>
      </w:r>
      <w:r w:rsidR="00E75258" w:rsidRPr="6A1CF87C">
        <w:rPr>
          <w:rFonts w:ascii="Arial" w:hAnsi="Arial" w:cs="Arial"/>
        </w:rPr>
        <w:t>R</w:t>
      </w:r>
      <w:r w:rsidR="008F192C" w:rsidRPr="6A1CF87C">
        <w:rPr>
          <w:rFonts w:ascii="Arial" w:hAnsi="Arial" w:cs="Arial"/>
        </w:rPr>
        <w:t xml:space="preserve">isk </w:t>
      </w:r>
      <w:r w:rsidR="00E75258" w:rsidRPr="6A1CF87C">
        <w:rPr>
          <w:rFonts w:ascii="Arial" w:hAnsi="Arial" w:cs="Arial"/>
        </w:rPr>
        <w:t>A</w:t>
      </w:r>
      <w:r w:rsidR="008F192C" w:rsidRPr="6A1CF87C">
        <w:rPr>
          <w:rFonts w:ascii="Arial" w:hAnsi="Arial" w:cs="Arial"/>
        </w:rPr>
        <w:t xml:space="preserve">ssessment </w:t>
      </w:r>
      <w:r w:rsidR="009F52A3" w:rsidRPr="6A1CF87C">
        <w:rPr>
          <w:rFonts w:ascii="Arial" w:hAnsi="Arial" w:cs="Arial"/>
        </w:rPr>
        <w:t>module</w:t>
      </w:r>
      <w:r w:rsidR="00A51004" w:rsidRPr="6A1CF87C">
        <w:rPr>
          <w:rFonts w:ascii="Arial" w:hAnsi="Arial" w:cs="Arial"/>
        </w:rPr>
        <w:t xml:space="preserve"> described above</w:t>
      </w:r>
      <w:r w:rsidR="00B63A0C" w:rsidRPr="6A1CF87C">
        <w:rPr>
          <w:rFonts w:ascii="Arial" w:hAnsi="Arial" w:cs="Arial"/>
        </w:rPr>
        <w:t xml:space="preserve"> in </w:t>
      </w:r>
      <w:r w:rsidR="00177EFA">
        <w:rPr>
          <w:rFonts w:ascii="Arial" w:hAnsi="Arial" w:cs="Arial"/>
        </w:rPr>
        <w:t xml:space="preserve">section </w:t>
      </w:r>
      <w:r w:rsidR="00B63A0C" w:rsidRPr="6A1CF87C">
        <w:rPr>
          <w:rFonts w:ascii="Arial" w:hAnsi="Arial" w:cs="Arial"/>
        </w:rPr>
        <w:t>2.1.1.3 e</w:t>
      </w:r>
      <w:r w:rsidR="0072301B" w:rsidRPr="6A1CF87C">
        <w:rPr>
          <w:rFonts w:ascii="Arial" w:hAnsi="Arial" w:cs="Arial"/>
        </w:rPr>
        <w:t>.</w:t>
      </w:r>
      <w:r w:rsidR="00EF5BF3" w:rsidRPr="6A1CF87C">
        <w:rPr>
          <w:rFonts w:ascii="Arial" w:hAnsi="Arial" w:cs="Arial"/>
        </w:rPr>
        <w:t xml:space="preserve"> </w:t>
      </w:r>
      <w:r w:rsidR="00F47CA4" w:rsidRPr="6A1CF87C">
        <w:rPr>
          <w:rFonts w:ascii="Arial" w:hAnsi="Arial" w:cs="Arial"/>
        </w:rPr>
        <w:t xml:space="preserve">The sub-modules for </w:t>
      </w:r>
      <w:r w:rsidR="00DC69FD" w:rsidRPr="6A1CF87C">
        <w:rPr>
          <w:rFonts w:ascii="Arial" w:hAnsi="Arial" w:cs="Arial"/>
        </w:rPr>
        <w:t xml:space="preserve">selected unit operations </w:t>
      </w:r>
      <w:r w:rsidR="007C2D12" w:rsidRPr="6A1CF87C">
        <w:rPr>
          <w:rFonts w:ascii="Arial" w:hAnsi="Arial" w:cs="Arial"/>
        </w:rPr>
        <w:t>are</w:t>
      </w:r>
      <w:r w:rsidR="00DC69FD" w:rsidRPr="6A1CF87C">
        <w:rPr>
          <w:rFonts w:ascii="Arial" w:hAnsi="Arial" w:cs="Arial"/>
        </w:rPr>
        <w:t xml:space="preserve"> named according to the corresponding unit operation </w:t>
      </w:r>
      <w:r w:rsidR="001A3692" w:rsidRPr="6A1CF87C">
        <w:rPr>
          <w:rFonts w:ascii="Arial" w:hAnsi="Arial" w:cs="Arial"/>
        </w:rPr>
        <w:t>and</w:t>
      </w:r>
      <w:r w:rsidR="0072301B" w:rsidRPr="6A1CF87C">
        <w:rPr>
          <w:rFonts w:ascii="Arial" w:hAnsi="Arial" w:cs="Arial"/>
        </w:rPr>
        <w:t xml:space="preserve"> organized in the same order as the </w:t>
      </w:r>
      <w:r w:rsidR="00AE73D6" w:rsidRPr="6A1CF87C">
        <w:rPr>
          <w:rFonts w:ascii="Arial" w:hAnsi="Arial" w:cs="Arial"/>
        </w:rPr>
        <w:t xml:space="preserve">initial risk assessment </w:t>
      </w:r>
      <w:r w:rsidR="0072301B" w:rsidRPr="6A1CF87C">
        <w:rPr>
          <w:rFonts w:ascii="Arial" w:hAnsi="Arial" w:cs="Arial"/>
        </w:rPr>
        <w:t xml:space="preserve">for </w:t>
      </w:r>
      <w:r w:rsidR="000B5A94" w:rsidRPr="6A1CF87C">
        <w:rPr>
          <w:rFonts w:ascii="Arial" w:hAnsi="Arial" w:cs="Arial"/>
        </w:rPr>
        <w:t>unit operations</w:t>
      </w:r>
      <w:r w:rsidR="0072301B" w:rsidRPr="6A1CF87C">
        <w:rPr>
          <w:rFonts w:ascii="Arial" w:hAnsi="Arial" w:cs="Arial"/>
        </w:rPr>
        <w:t>.</w:t>
      </w:r>
    </w:p>
    <w:p w14:paraId="177B4640" w14:textId="77777777" w:rsidR="005079E5" w:rsidRDefault="005079E5" w:rsidP="000E06C2">
      <w:pPr>
        <w:rPr>
          <w:rFonts w:ascii="Arial" w:hAnsi="Arial" w:cs="Arial"/>
        </w:rPr>
      </w:pPr>
    </w:p>
    <w:p w14:paraId="64EE6434" w14:textId="47DB6FC7" w:rsidR="005079E5" w:rsidRPr="000948C4" w:rsidRDefault="005079E5" w:rsidP="005079E5">
      <w:pPr>
        <w:rPr>
          <w:rFonts w:ascii="Arial" w:hAnsi="Arial" w:cs="Arial"/>
          <w:b/>
          <w:bCs/>
        </w:rPr>
      </w:pPr>
      <w:r w:rsidRPr="000948C4">
        <w:rPr>
          <w:rFonts w:ascii="Arial" w:hAnsi="Arial" w:cs="Arial"/>
          <w:b/>
          <w:bCs/>
        </w:rPr>
        <w:t>2.1.1.</w:t>
      </w:r>
      <w:r>
        <w:rPr>
          <w:rFonts w:ascii="Arial" w:hAnsi="Arial" w:cs="Arial"/>
          <w:b/>
          <w:bCs/>
        </w:rPr>
        <w:t>5</w:t>
      </w:r>
      <w:r w:rsidRPr="000948C4">
        <w:rPr>
          <w:rFonts w:ascii="Arial" w:hAnsi="Arial" w:cs="Arial"/>
          <w:b/>
          <w:bCs/>
        </w:rPr>
        <w:t>. Microbial Assessment module</w:t>
      </w:r>
    </w:p>
    <w:p w14:paraId="2886F942" w14:textId="6DA2F5E3" w:rsidR="005079E5" w:rsidRDefault="005079E5" w:rsidP="005079E5">
      <w:pPr>
        <w:rPr>
          <w:rFonts w:ascii="Arial" w:hAnsi="Arial" w:cs="Arial"/>
        </w:rPr>
      </w:pPr>
      <w:r w:rsidRPr="00FC7AB1">
        <w:rPr>
          <w:rFonts w:ascii="Arial" w:hAnsi="Arial" w:cs="Arial"/>
        </w:rPr>
        <w:t>Microbiological evaluation of non-sterile SODF</w:t>
      </w:r>
      <w:r>
        <w:rPr>
          <w:rFonts w:ascii="Arial" w:hAnsi="Arial" w:cs="Arial"/>
        </w:rPr>
        <w:t xml:space="preserve"> drug products</w:t>
      </w:r>
      <w:r w:rsidRPr="00FC7AB1">
        <w:rPr>
          <w:rFonts w:ascii="Arial" w:hAnsi="Arial" w:cs="Arial"/>
        </w:rPr>
        <w:t xml:space="preserve"> follows an efficient, risk-based approach</w:t>
      </w:r>
      <w:r>
        <w:rPr>
          <w:rFonts w:ascii="Arial" w:hAnsi="Arial" w:cs="Arial"/>
        </w:rPr>
        <w:t xml:space="preserve">. The depth of evaluation is guided by the risk score obtained from initial risk assessment sub-module </w:t>
      </w:r>
      <w:r w:rsidR="001A123A" w:rsidRPr="6A1CF87C">
        <w:rPr>
          <w:rFonts w:ascii="Arial" w:hAnsi="Arial" w:cs="Arial"/>
        </w:rPr>
        <w:t xml:space="preserve">described above </w:t>
      </w:r>
      <w:r w:rsidR="0061368D">
        <w:rPr>
          <w:rFonts w:ascii="Arial" w:hAnsi="Arial" w:cs="Arial"/>
        </w:rPr>
        <w:t>in s</w:t>
      </w:r>
      <w:r>
        <w:rPr>
          <w:rFonts w:ascii="Arial" w:hAnsi="Arial" w:cs="Arial"/>
        </w:rPr>
        <w:t>ection 2.1.1.3</w:t>
      </w:r>
      <w:r w:rsidR="00BE0CBB">
        <w:rPr>
          <w:rFonts w:ascii="Arial" w:hAnsi="Arial" w:cs="Arial"/>
        </w:rPr>
        <w:t xml:space="preserve"> </w:t>
      </w:r>
      <w:r>
        <w:rPr>
          <w:rFonts w:ascii="Arial" w:hAnsi="Arial" w:cs="Arial"/>
        </w:rPr>
        <w:t>e. The assessor uses a smart template where a decision tree function is built based on internal assessment practices to perform a structured assessment commensurate with the drug product risk</w:t>
      </w:r>
      <w:r w:rsidRPr="00FC7AB1">
        <w:rPr>
          <w:rFonts w:ascii="Arial" w:hAnsi="Arial" w:cs="Arial"/>
        </w:rPr>
        <w:t>.</w:t>
      </w:r>
    </w:p>
    <w:p w14:paraId="281D4A7E" w14:textId="77777777" w:rsidR="00214A9C" w:rsidRDefault="00214A9C" w:rsidP="000E06C2">
      <w:pPr>
        <w:rPr>
          <w:rFonts w:ascii="Arial" w:hAnsi="Arial" w:cs="Arial"/>
        </w:rPr>
      </w:pPr>
    </w:p>
    <w:p w14:paraId="6CA29F48" w14:textId="28841BFD" w:rsidR="007D7434" w:rsidRPr="00E010FE" w:rsidRDefault="008014CB" w:rsidP="005321A3">
      <w:pPr>
        <w:pStyle w:val="Heading2"/>
      </w:pPr>
      <w:r w:rsidRPr="00E010FE">
        <w:t>2.1.1.</w:t>
      </w:r>
      <w:r w:rsidR="005079E5">
        <w:t>6</w:t>
      </w:r>
      <w:r w:rsidRPr="00E010FE">
        <w:t xml:space="preserve">. Other </w:t>
      </w:r>
      <w:r w:rsidR="00CB4A3F" w:rsidRPr="00E010FE">
        <w:t xml:space="preserve">Considerations </w:t>
      </w:r>
      <w:r w:rsidRPr="00E010FE">
        <w:t>module</w:t>
      </w:r>
    </w:p>
    <w:p w14:paraId="5B8AAAC4" w14:textId="7A6859CC" w:rsidR="005079E5" w:rsidRPr="003920E6" w:rsidRDefault="004F513F" w:rsidP="000E06C2">
      <w:pPr>
        <w:rPr>
          <w:rFonts w:ascii="Arial" w:hAnsi="Arial" w:cs="Arial"/>
          <w:color w:val="2F5496" w:themeColor="accent1" w:themeShade="BF"/>
        </w:rPr>
      </w:pPr>
      <w:r w:rsidRPr="003920E6">
        <w:rPr>
          <w:rFonts w:ascii="Arial" w:hAnsi="Arial" w:cs="Arial"/>
          <w:color w:val="2F5496" w:themeColor="accent1" w:themeShade="BF"/>
        </w:rPr>
        <w:t>In this module, an assessor document</w:t>
      </w:r>
      <w:r w:rsidR="003920E6">
        <w:rPr>
          <w:rFonts w:ascii="Arial" w:hAnsi="Arial" w:cs="Arial"/>
          <w:color w:val="2F5496" w:themeColor="accent1" w:themeShade="BF"/>
        </w:rPr>
        <w:t>s</w:t>
      </w:r>
      <w:r w:rsidRPr="003920E6">
        <w:rPr>
          <w:rFonts w:ascii="Arial" w:hAnsi="Arial" w:cs="Arial"/>
          <w:color w:val="2F5496" w:themeColor="accent1" w:themeShade="BF"/>
        </w:rPr>
        <w:t xml:space="preserve"> and assess</w:t>
      </w:r>
      <w:r w:rsidR="003920E6">
        <w:rPr>
          <w:rFonts w:ascii="Arial" w:hAnsi="Arial" w:cs="Arial"/>
          <w:color w:val="2F5496" w:themeColor="accent1" w:themeShade="BF"/>
        </w:rPr>
        <w:t>es</w:t>
      </w:r>
      <w:r w:rsidRPr="003920E6">
        <w:rPr>
          <w:rFonts w:ascii="Arial" w:hAnsi="Arial" w:cs="Arial"/>
          <w:color w:val="2F5496" w:themeColor="accent1" w:themeShade="BF"/>
        </w:rPr>
        <w:t xml:space="preserve"> holistic aspects that may not be fully addressed when assessing individual unit operations modules, providing an</w:t>
      </w:r>
      <w:r w:rsidR="00147196">
        <w:rPr>
          <w:rFonts w:ascii="Arial" w:hAnsi="Arial" w:cs="Arial"/>
          <w:color w:val="2F5496" w:themeColor="accent1" w:themeShade="BF"/>
        </w:rPr>
        <w:t xml:space="preserve"> </w:t>
      </w:r>
      <w:r w:rsidRPr="003920E6">
        <w:rPr>
          <w:rFonts w:ascii="Arial" w:hAnsi="Arial" w:cs="Arial"/>
          <w:color w:val="2F5496" w:themeColor="accent1" w:themeShade="BF"/>
        </w:rPr>
        <w:t>opportunity to assess topics from another perspective that considers their impact across the entire unit operation chain. Some examples may include batch yield and reconciliation, hold times, and any executed batch records or master batch records issues, etc</w:t>
      </w:r>
      <w:r w:rsidR="00703BE0" w:rsidRPr="003920E6">
        <w:rPr>
          <w:rFonts w:ascii="Arial" w:hAnsi="Arial" w:cs="Arial"/>
          <w:color w:val="2F5496" w:themeColor="accent1" w:themeShade="BF"/>
        </w:rPr>
        <w:t>.</w:t>
      </w:r>
    </w:p>
    <w:p w14:paraId="2A012BC0" w14:textId="4465DC5F" w:rsidR="00214A9C" w:rsidRDefault="00214A9C" w:rsidP="005079E5">
      <w:pPr>
        <w:rPr>
          <w:rFonts w:ascii="Arial" w:hAnsi="Arial" w:cs="Arial"/>
        </w:rPr>
      </w:pPr>
    </w:p>
    <w:p w14:paraId="62EA3E59" w14:textId="79D35F3A" w:rsidR="00B90CEF" w:rsidRPr="00E010FE" w:rsidRDefault="00B90CEF" w:rsidP="005321A3">
      <w:pPr>
        <w:pStyle w:val="Heading2"/>
      </w:pPr>
      <w:r w:rsidRPr="00E010FE">
        <w:t xml:space="preserve">2.1.1.7. Assessment </w:t>
      </w:r>
      <w:r w:rsidR="0040467D" w:rsidRPr="00E010FE">
        <w:t xml:space="preserve">Summary </w:t>
      </w:r>
      <w:r w:rsidRPr="00E010FE">
        <w:t>module</w:t>
      </w:r>
    </w:p>
    <w:p w14:paraId="621B79BD" w14:textId="69925CAD" w:rsidR="009B1F24" w:rsidRDefault="00DE5B23" w:rsidP="009B1F24">
      <w:pPr>
        <w:rPr>
          <w:rFonts w:ascii="Arial" w:hAnsi="Arial" w:cs="Arial"/>
        </w:rPr>
      </w:pPr>
      <w:r w:rsidRPr="00DE5B23">
        <w:rPr>
          <w:rFonts w:ascii="Arial" w:hAnsi="Arial" w:cs="Arial"/>
        </w:rPr>
        <w:t>This module</w:t>
      </w:r>
      <w:r w:rsidR="00D44761">
        <w:rPr>
          <w:rFonts w:ascii="Arial" w:hAnsi="Arial" w:cs="Arial"/>
        </w:rPr>
        <w:t xml:space="preserve"> is used to</w:t>
      </w:r>
      <w:r w:rsidRPr="00DE5B23">
        <w:rPr>
          <w:rFonts w:ascii="Arial" w:hAnsi="Arial" w:cs="Arial"/>
        </w:rPr>
        <w:t xml:space="preserve"> </w:t>
      </w:r>
      <w:r w:rsidR="006F02F3">
        <w:rPr>
          <w:rFonts w:ascii="Arial" w:hAnsi="Arial" w:cs="Arial"/>
        </w:rPr>
        <w:t>document</w:t>
      </w:r>
      <w:r w:rsidRPr="00DE5B23">
        <w:rPr>
          <w:rFonts w:ascii="Arial" w:hAnsi="Arial" w:cs="Arial"/>
        </w:rPr>
        <w:t xml:space="preserve"> assessment recommendations, discipline executive summary, key issues from </w:t>
      </w:r>
      <w:r w:rsidR="00815952">
        <w:rPr>
          <w:rFonts w:ascii="Arial" w:hAnsi="Arial" w:cs="Arial"/>
        </w:rPr>
        <w:t xml:space="preserve">the </w:t>
      </w:r>
      <w:r w:rsidRPr="00DE5B23">
        <w:rPr>
          <w:rFonts w:ascii="Arial" w:hAnsi="Arial" w:cs="Arial"/>
        </w:rPr>
        <w:t xml:space="preserve">last </w:t>
      </w:r>
      <w:r w:rsidR="00815952">
        <w:rPr>
          <w:rFonts w:ascii="Arial" w:hAnsi="Arial" w:cs="Arial"/>
        </w:rPr>
        <w:t xml:space="preserve">review </w:t>
      </w:r>
      <w:r w:rsidRPr="00DE5B23">
        <w:rPr>
          <w:rFonts w:ascii="Arial" w:hAnsi="Arial" w:cs="Arial"/>
        </w:rPr>
        <w:t xml:space="preserve">cycle and resolution, and </w:t>
      </w:r>
      <w:r w:rsidR="00AA0627">
        <w:rPr>
          <w:rFonts w:ascii="Arial" w:hAnsi="Arial" w:cs="Arial"/>
        </w:rPr>
        <w:t xml:space="preserve">a </w:t>
      </w:r>
      <w:r w:rsidRPr="00DE5B23">
        <w:rPr>
          <w:rFonts w:ascii="Arial" w:hAnsi="Arial" w:cs="Arial"/>
        </w:rPr>
        <w:t xml:space="preserve">concise description of </w:t>
      </w:r>
      <w:r w:rsidR="00815952">
        <w:rPr>
          <w:rFonts w:ascii="Arial" w:hAnsi="Arial" w:cs="Arial"/>
        </w:rPr>
        <w:t xml:space="preserve">any </w:t>
      </w:r>
      <w:r w:rsidRPr="00DE5B23">
        <w:rPr>
          <w:rFonts w:ascii="Arial" w:hAnsi="Arial" w:cs="Arial"/>
        </w:rPr>
        <w:t>outstanding issues.</w:t>
      </w:r>
      <w:r w:rsidR="009B1F24">
        <w:rPr>
          <w:rFonts w:ascii="Arial" w:hAnsi="Arial" w:cs="Arial"/>
        </w:rPr>
        <w:t xml:space="preserve"> A</w:t>
      </w:r>
      <w:r w:rsidR="009B1F24" w:rsidRPr="009B1F24">
        <w:rPr>
          <w:rFonts w:ascii="Arial" w:hAnsi="Arial" w:cs="Arial"/>
        </w:rPr>
        <w:t>dditionally, updated risks for each unit operation</w:t>
      </w:r>
      <w:r w:rsidR="009B1F24">
        <w:rPr>
          <w:rFonts w:ascii="Arial" w:hAnsi="Arial" w:cs="Arial"/>
        </w:rPr>
        <w:t xml:space="preserve"> including any residual risk with </w:t>
      </w:r>
      <w:r w:rsidR="00CE0292">
        <w:rPr>
          <w:rFonts w:ascii="Arial" w:hAnsi="Arial" w:cs="Arial"/>
        </w:rPr>
        <w:t xml:space="preserve">relevant justification is </w:t>
      </w:r>
      <w:r w:rsidR="009B1F24" w:rsidRPr="009B1F24">
        <w:rPr>
          <w:rFonts w:ascii="Arial" w:hAnsi="Arial" w:cs="Arial"/>
        </w:rPr>
        <w:t xml:space="preserve">auto populated </w:t>
      </w:r>
      <w:r w:rsidR="00F52EAC">
        <w:rPr>
          <w:rFonts w:ascii="Arial" w:hAnsi="Arial" w:cs="Arial"/>
        </w:rPr>
        <w:t xml:space="preserve">in this module from all the prior modules </w:t>
      </w:r>
      <w:r w:rsidR="009B1F24" w:rsidRPr="009B1F24">
        <w:rPr>
          <w:rFonts w:ascii="Arial" w:hAnsi="Arial" w:cs="Arial"/>
        </w:rPr>
        <w:t xml:space="preserve">to give </w:t>
      </w:r>
      <w:r w:rsidR="00F52EAC">
        <w:rPr>
          <w:rFonts w:ascii="Arial" w:hAnsi="Arial" w:cs="Arial"/>
        </w:rPr>
        <w:t>assessors</w:t>
      </w:r>
      <w:r w:rsidR="009B1F24" w:rsidRPr="009B1F24">
        <w:rPr>
          <w:rFonts w:ascii="Arial" w:hAnsi="Arial" w:cs="Arial"/>
        </w:rPr>
        <w:t xml:space="preserve"> an overview of the overall risk mitigation strategies </w:t>
      </w:r>
      <w:r w:rsidR="003B6831">
        <w:rPr>
          <w:rFonts w:ascii="Arial" w:hAnsi="Arial" w:cs="Arial"/>
        </w:rPr>
        <w:t>proposed</w:t>
      </w:r>
      <w:r w:rsidR="003B6831" w:rsidRPr="009B1F24">
        <w:rPr>
          <w:rFonts w:ascii="Arial" w:hAnsi="Arial" w:cs="Arial"/>
        </w:rPr>
        <w:t xml:space="preserve"> </w:t>
      </w:r>
      <w:r w:rsidR="009B1F24" w:rsidRPr="009B1F24">
        <w:rPr>
          <w:rFonts w:ascii="Arial" w:hAnsi="Arial" w:cs="Arial"/>
        </w:rPr>
        <w:t xml:space="preserve">in the submission.  </w:t>
      </w:r>
    </w:p>
    <w:p w14:paraId="5521894F" w14:textId="77777777" w:rsidR="002C7599" w:rsidRPr="009B1F24" w:rsidRDefault="002C7599" w:rsidP="009B1F24">
      <w:pPr>
        <w:rPr>
          <w:rFonts w:ascii="Arial" w:hAnsi="Arial" w:cs="Arial"/>
        </w:rPr>
      </w:pPr>
    </w:p>
    <w:p w14:paraId="317C30B2" w14:textId="43BA5007" w:rsidR="003C2F9E" w:rsidRDefault="001602B4" w:rsidP="005321A3">
      <w:pPr>
        <w:pStyle w:val="Heading2"/>
      </w:pPr>
      <w:r>
        <w:t xml:space="preserve">2.1.2 </w:t>
      </w:r>
      <w:r w:rsidR="002E5888" w:rsidRPr="006C5B5D">
        <w:t xml:space="preserve">Structured descriptor </w:t>
      </w:r>
    </w:p>
    <w:p w14:paraId="39803AFE" w14:textId="69778FAF" w:rsidR="007737D1" w:rsidRPr="00005496" w:rsidRDefault="00410E9F" w:rsidP="38CE834E">
      <w:pPr>
        <w:rPr>
          <w:rFonts w:ascii="Arial" w:hAnsi="Arial" w:cs="Arial"/>
        </w:rPr>
      </w:pPr>
      <w:r w:rsidRPr="38CE834E">
        <w:rPr>
          <w:rFonts w:ascii="Arial" w:hAnsi="Arial" w:cs="Arial"/>
        </w:rPr>
        <w:t>Within the KASA</w:t>
      </w:r>
      <w:r w:rsidR="007F7E6E" w:rsidRPr="38CE834E">
        <w:rPr>
          <w:rFonts w:ascii="Arial" w:hAnsi="Arial" w:cs="Arial"/>
        </w:rPr>
        <w:t xml:space="preserve"> modules and sub</w:t>
      </w:r>
      <w:r w:rsidR="009B270C" w:rsidRPr="38CE834E">
        <w:rPr>
          <w:rFonts w:ascii="Arial" w:hAnsi="Arial" w:cs="Arial"/>
        </w:rPr>
        <w:t>-</w:t>
      </w:r>
      <w:r w:rsidR="007F7E6E" w:rsidRPr="38CE834E">
        <w:rPr>
          <w:rFonts w:ascii="Arial" w:hAnsi="Arial" w:cs="Arial"/>
        </w:rPr>
        <w:t>modules</w:t>
      </w:r>
      <w:r w:rsidRPr="38CE834E">
        <w:rPr>
          <w:rFonts w:ascii="Arial" w:hAnsi="Arial" w:cs="Arial"/>
        </w:rPr>
        <w:t xml:space="preserve">, structured descriptors are widely used to document </w:t>
      </w:r>
      <w:r w:rsidR="002467C8" w:rsidRPr="38CE834E">
        <w:rPr>
          <w:rFonts w:ascii="Arial" w:hAnsi="Arial" w:cs="Arial"/>
        </w:rPr>
        <w:t xml:space="preserve">submission </w:t>
      </w:r>
      <w:r w:rsidRPr="38CE834E">
        <w:rPr>
          <w:rFonts w:ascii="Arial" w:hAnsi="Arial" w:cs="Arial"/>
        </w:rPr>
        <w:t xml:space="preserve">information from drug product applications. </w:t>
      </w:r>
      <w:r w:rsidRPr="38CE834E">
        <w:rPr>
          <w:rFonts w:ascii="Arial" w:hAnsi="Arial" w:cs="Arial"/>
          <w:b/>
          <w:bCs/>
        </w:rPr>
        <w:t>Figure 2</w:t>
      </w:r>
      <w:r w:rsidRPr="38CE834E">
        <w:rPr>
          <w:rFonts w:ascii="Arial" w:hAnsi="Arial" w:cs="Arial"/>
        </w:rPr>
        <w:t xml:space="preserve"> illustrates examples of structured descriptors in a </w:t>
      </w:r>
      <w:r w:rsidR="00BF314E" w:rsidRPr="38CE834E">
        <w:rPr>
          <w:rFonts w:ascii="Arial" w:hAnsi="Arial" w:cs="Arial"/>
        </w:rPr>
        <w:t xml:space="preserve">lubrication </w:t>
      </w:r>
      <w:r w:rsidRPr="38CE834E">
        <w:rPr>
          <w:rFonts w:ascii="Arial" w:hAnsi="Arial" w:cs="Arial"/>
        </w:rPr>
        <w:t xml:space="preserve">unit </w:t>
      </w:r>
      <w:r w:rsidR="00B21F62" w:rsidRPr="38CE834E">
        <w:rPr>
          <w:rFonts w:ascii="Arial" w:hAnsi="Arial" w:cs="Arial"/>
        </w:rPr>
        <w:t>operation</w:t>
      </w:r>
      <w:r w:rsidR="006F7204" w:rsidRPr="38CE834E">
        <w:rPr>
          <w:rFonts w:ascii="Arial" w:hAnsi="Arial" w:cs="Arial"/>
        </w:rPr>
        <w:t>.</w:t>
      </w:r>
      <w:r w:rsidR="6E013714" w:rsidRPr="38CE834E">
        <w:rPr>
          <w:rFonts w:ascii="Arial" w:eastAsia="Arial" w:hAnsi="Arial" w:cs="Arial"/>
        </w:rPr>
        <w:t xml:space="preserve"> </w:t>
      </w:r>
      <w:r w:rsidR="3DD9F7DC" w:rsidRPr="38CE834E">
        <w:rPr>
          <w:rFonts w:ascii="Arial" w:eastAsia="Arial" w:hAnsi="Arial" w:cs="Arial"/>
        </w:rPr>
        <w:t>The unit operation information is systematically organized using structured descriptors, categorizing data by the type of unit operation (e.g., lubrication) and equipment type (e.g., diffusion mixer). Proposed process parameters, in-process controls</w:t>
      </w:r>
      <w:r w:rsidR="008C4096">
        <w:rPr>
          <w:rFonts w:ascii="Arial" w:eastAsia="Arial" w:hAnsi="Arial" w:cs="Arial"/>
        </w:rPr>
        <w:t xml:space="preserve"> (IPCs</w:t>
      </w:r>
      <w:r w:rsidR="005523D7">
        <w:rPr>
          <w:rFonts w:ascii="Arial" w:eastAsia="Arial" w:hAnsi="Arial" w:cs="Arial"/>
        </w:rPr>
        <w:t>)</w:t>
      </w:r>
      <w:r w:rsidR="3DD9F7DC" w:rsidRPr="38CE834E">
        <w:rPr>
          <w:rFonts w:ascii="Arial" w:eastAsia="Arial" w:hAnsi="Arial" w:cs="Arial"/>
        </w:rPr>
        <w:t xml:space="preserve">, </w:t>
      </w:r>
      <w:r w:rsidR="005523D7" w:rsidRPr="38CE834E">
        <w:rPr>
          <w:rFonts w:ascii="Arial" w:eastAsia="Arial" w:hAnsi="Arial" w:cs="Arial"/>
        </w:rPr>
        <w:t>sampl</w:t>
      </w:r>
      <w:r w:rsidR="005523D7">
        <w:rPr>
          <w:rFonts w:ascii="Arial" w:eastAsia="Arial" w:hAnsi="Arial" w:cs="Arial"/>
        </w:rPr>
        <w:t>ing</w:t>
      </w:r>
      <w:r w:rsidR="005523D7" w:rsidRPr="38CE834E">
        <w:rPr>
          <w:rFonts w:ascii="Arial" w:eastAsia="Arial" w:hAnsi="Arial" w:cs="Arial"/>
        </w:rPr>
        <w:t xml:space="preserve"> </w:t>
      </w:r>
      <w:r w:rsidR="3DD9F7DC" w:rsidRPr="38CE834E">
        <w:rPr>
          <w:rFonts w:ascii="Arial" w:eastAsia="Arial" w:hAnsi="Arial" w:cs="Arial"/>
        </w:rPr>
        <w:t>plans, and acceptance criteria are detailed as structured data, accompanied by relevant comments and links to source information from applications.</w:t>
      </w:r>
      <w:r w:rsidR="007737D1" w:rsidRPr="38CE834E">
        <w:rPr>
          <w:rFonts w:ascii="Arial" w:hAnsi="Arial" w:cs="Arial"/>
        </w:rPr>
        <w:t xml:space="preserve"> </w:t>
      </w:r>
    </w:p>
    <w:p w14:paraId="4215B54E" w14:textId="4EE8C863" w:rsidR="00CD6AA4" w:rsidRPr="00213B4B" w:rsidRDefault="007F4DDC" w:rsidP="00CD6AA4">
      <w:pPr>
        <w:rPr>
          <w:rFonts w:ascii="Arial" w:hAnsi="Arial" w:cs="Arial"/>
          <w:color w:val="000000" w:themeColor="text1"/>
        </w:rPr>
      </w:pPr>
      <w:r w:rsidRPr="2EAF896B">
        <w:rPr>
          <w:rFonts w:ascii="Arial" w:hAnsi="Arial" w:cs="Arial"/>
        </w:rPr>
        <w:t>To streamline and eliminate the narrative style traditionally used in assessment practices, the KASA</w:t>
      </w:r>
      <w:r w:rsidR="00524DF0">
        <w:rPr>
          <w:rFonts w:ascii="Arial" w:hAnsi="Arial" w:cs="Arial"/>
        </w:rPr>
        <w:t xml:space="preserve"> platform</w:t>
      </w:r>
      <w:r w:rsidRPr="2EAF896B">
        <w:rPr>
          <w:rFonts w:ascii="Arial" w:hAnsi="Arial" w:cs="Arial"/>
        </w:rPr>
        <w:t xml:space="preserve"> now requires assessors to input key information using controlled vocabularies from structured descriptor</w:t>
      </w:r>
      <w:r w:rsidR="00701005" w:rsidRPr="2EAF896B">
        <w:rPr>
          <w:rFonts w:ascii="Arial" w:hAnsi="Arial" w:cs="Arial"/>
        </w:rPr>
        <w:t xml:space="preserve"> through the drop</w:t>
      </w:r>
      <w:r w:rsidR="00AB1734">
        <w:rPr>
          <w:rFonts w:ascii="Arial" w:hAnsi="Arial" w:cs="Arial"/>
        </w:rPr>
        <w:t>-</w:t>
      </w:r>
      <w:r w:rsidR="00701005" w:rsidRPr="2EAF896B">
        <w:rPr>
          <w:rFonts w:ascii="Arial" w:hAnsi="Arial" w:cs="Arial"/>
        </w:rPr>
        <w:t>down options</w:t>
      </w:r>
      <w:r w:rsidRPr="2EAF896B">
        <w:rPr>
          <w:rFonts w:ascii="Arial" w:hAnsi="Arial" w:cs="Arial"/>
        </w:rPr>
        <w:t xml:space="preserve"> where applicable. For instance, specific unit operations may have predefined </w:t>
      </w:r>
      <w:r w:rsidR="00A11959">
        <w:rPr>
          <w:rFonts w:ascii="Arial" w:hAnsi="Arial" w:cs="Arial"/>
        </w:rPr>
        <w:t xml:space="preserve">IPCs </w:t>
      </w:r>
      <w:r w:rsidRPr="2EAF896B">
        <w:rPr>
          <w:rFonts w:ascii="Arial" w:hAnsi="Arial" w:cs="Arial"/>
        </w:rPr>
        <w:t xml:space="preserve">and process parameters available. </w:t>
      </w:r>
      <w:r w:rsidRPr="2EAF896B">
        <w:rPr>
          <w:rFonts w:ascii="Arial" w:hAnsi="Arial" w:cs="Arial"/>
          <w:b/>
          <w:bCs/>
        </w:rPr>
        <w:t>Table 1</w:t>
      </w:r>
      <w:r w:rsidRPr="2EAF896B">
        <w:rPr>
          <w:rFonts w:ascii="Arial" w:hAnsi="Arial" w:cs="Arial"/>
        </w:rPr>
        <w:t xml:space="preserve"> shows two commonly used unit operations</w:t>
      </w:r>
      <w:r w:rsidR="00AF648E" w:rsidRPr="2EAF896B">
        <w:rPr>
          <w:rFonts w:ascii="Arial" w:hAnsi="Arial" w:cs="Arial"/>
        </w:rPr>
        <w:t>, i.e.</w:t>
      </w:r>
      <w:r w:rsidR="00FB6B82" w:rsidRPr="2EAF896B">
        <w:rPr>
          <w:rFonts w:ascii="Arial" w:hAnsi="Arial" w:cs="Arial"/>
        </w:rPr>
        <w:t>,</w:t>
      </w:r>
      <w:r w:rsidR="00AF648E" w:rsidRPr="2EAF896B">
        <w:rPr>
          <w:rFonts w:ascii="Arial" w:hAnsi="Arial" w:cs="Arial"/>
        </w:rPr>
        <w:t xml:space="preserve"> blending and compression,</w:t>
      </w:r>
      <w:r w:rsidRPr="2EAF896B">
        <w:rPr>
          <w:rFonts w:ascii="Arial" w:hAnsi="Arial" w:cs="Arial"/>
        </w:rPr>
        <w:t xml:space="preserve"> </w:t>
      </w:r>
      <w:r w:rsidR="00AF648E" w:rsidRPr="2EAF896B">
        <w:rPr>
          <w:rFonts w:ascii="Arial" w:hAnsi="Arial" w:cs="Arial"/>
        </w:rPr>
        <w:t xml:space="preserve">along with the corresponding controlled vocabularies used for </w:t>
      </w:r>
      <w:r w:rsidR="00E3780D">
        <w:rPr>
          <w:rFonts w:ascii="Arial" w:hAnsi="Arial" w:cs="Arial"/>
        </w:rPr>
        <w:t>IPCs</w:t>
      </w:r>
      <w:r w:rsidRPr="2EAF896B">
        <w:rPr>
          <w:rFonts w:ascii="Arial" w:hAnsi="Arial" w:cs="Arial"/>
        </w:rPr>
        <w:t>.</w:t>
      </w:r>
      <w:r w:rsidR="00AF648E" w:rsidRPr="2EAF896B">
        <w:rPr>
          <w:rFonts w:ascii="Arial" w:hAnsi="Arial" w:cs="Arial"/>
        </w:rPr>
        <w:t xml:space="preserve"> </w:t>
      </w:r>
      <w:r w:rsidR="00AF648E" w:rsidRPr="2EAF896B">
        <w:rPr>
          <w:rFonts w:ascii="Arial" w:hAnsi="Arial" w:cs="Arial"/>
          <w:color w:val="000000" w:themeColor="text1"/>
        </w:rPr>
        <w:t>For blending</w:t>
      </w:r>
      <w:r w:rsidR="008E0738" w:rsidRPr="2EAF896B">
        <w:rPr>
          <w:rFonts w:ascii="Arial" w:hAnsi="Arial" w:cs="Arial"/>
          <w:color w:val="000000" w:themeColor="text1"/>
        </w:rPr>
        <w:t xml:space="preserve"> unit operation</w:t>
      </w:r>
      <w:r w:rsidR="00AF648E" w:rsidRPr="2EAF896B">
        <w:rPr>
          <w:rFonts w:ascii="Arial" w:hAnsi="Arial" w:cs="Arial"/>
          <w:color w:val="000000" w:themeColor="text1"/>
        </w:rPr>
        <w:t xml:space="preserve">, commonly assessed IPCs include assay, blend uniformity, etc. For compression </w:t>
      </w:r>
      <w:r w:rsidR="008E0738" w:rsidRPr="2EAF896B">
        <w:rPr>
          <w:rFonts w:ascii="Arial" w:hAnsi="Arial" w:cs="Arial"/>
          <w:color w:val="000000" w:themeColor="text1"/>
        </w:rPr>
        <w:t xml:space="preserve">unit </w:t>
      </w:r>
      <w:r w:rsidR="00AF648E" w:rsidRPr="2EAF896B">
        <w:rPr>
          <w:rFonts w:ascii="Arial" w:hAnsi="Arial" w:cs="Arial"/>
          <w:color w:val="000000" w:themeColor="text1"/>
        </w:rPr>
        <w:t>operation, the IPC</w:t>
      </w:r>
      <w:r w:rsidR="008E0738" w:rsidRPr="2EAF896B">
        <w:rPr>
          <w:rFonts w:ascii="Arial" w:hAnsi="Arial" w:cs="Arial"/>
          <w:color w:val="000000" w:themeColor="text1"/>
        </w:rPr>
        <w:t>s</w:t>
      </w:r>
      <w:r w:rsidR="00AF648E" w:rsidRPr="2EAF896B">
        <w:rPr>
          <w:rFonts w:ascii="Arial" w:hAnsi="Arial" w:cs="Arial"/>
          <w:color w:val="000000" w:themeColor="text1"/>
        </w:rPr>
        <w:t xml:space="preserve"> may include</w:t>
      </w:r>
      <w:r w:rsidR="00404867">
        <w:rPr>
          <w:rFonts w:ascii="Arial" w:hAnsi="Arial" w:cs="Arial"/>
          <w:color w:val="000000" w:themeColor="text1"/>
        </w:rPr>
        <w:t xml:space="preserve"> tablet</w:t>
      </w:r>
      <w:r w:rsidR="00AF648E" w:rsidRPr="2EAF896B">
        <w:rPr>
          <w:rFonts w:ascii="Arial" w:hAnsi="Arial" w:cs="Arial"/>
          <w:color w:val="000000" w:themeColor="text1"/>
        </w:rPr>
        <w:t xml:space="preserve"> appearance, individual and group/average tablet weight, </w:t>
      </w:r>
      <w:r w:rsidR="009D122A">
        <w:rPr>
          <w:rFonts w:ascii="Arial" w:hAnsi="Arial" w:cs="Arial"/>
          <w:color w:val="000000" w:themeColor="text1"/>
        </w:rPr>
        <w:t xml:space="preserve">tablet </w:t>
      </w:r>
      <w:r w:rsidR="00AF648E" w:rsidRPr="2EAF896B">
        <w:rPr>
          <w:rFonts w:ascii="Arial" w:hAnsi="Arial" w:cs="Arial"/>
          <w:color w:val="000000" w:themeColor="text1"/>
        </w:rPr>
        <w:t xml:space="preserve">hardness, </w:t>
      </w:r>
      <w:r w:rsidR="00DF1D04">
        <w:rPr>
          <w:rFonts w:ascii="Arial" w:hAnsi="Arial" w:cs="Arial"/>
          <w:color w:val="000000" w:themeColor="text1"/>
        </w:rPr>
        <w:t>friability</w:t>
      </w:r>
      <w:r w:rsidR="009D122A">
        <w:rPr>
          <w:rFonts w:ascii="Arial" w:hAnsi="Arial" w:cs="Arial"/>
          <w:color w:val="000000" w:themeColor="text1"/>
        </w:rPr>
        <w:t xml:space="preserve">, </w:t>
      </w:r>
      <w:r w:rsidR="00AF648E" w:rsidRPr="2EAF896B">
        <w:rPr>
          <w:rFonts w:ascii="Arial" w:hAnsi="Arial" w:cs="Arial"/>
          <w:color w:val="000000" w:themeColor="text1"/>
        </w:rPr>
        <w:t>etc.</w:t>
      </w:r>
      <w:r w:rsidR="008159CE" w:rsidRPr="2EAF896B">
        <w:rPr>
          <w:rFonts w:ascii="Arial" w:hAnsi="Arial" w:cs="Arial"/>
          <w:color w:val="000000" w:themeColor="text1"/>
        </w:rPr>
        <w:t xml:space="preserve"> </w:t>
      </w:r>
      <w:r w:rsidR="00C00DC6">
        <w:rPr>
          <w:rFonts w:ascii="Arial" w:hAnsi="Arial" w:cs="Arial"/>
          <w:color w:val="000000" w:themeColor="text1"/>
        </w:rPr>
        <w:t xml:space="preserve">Also, in each of </w:t>
      </w:r>
      <w:r w:rsidR="00F1626B">
        <w:rPr>
          <w:rFonts w:ascii="Arial" w:hAnsi="Arial" w:cs="Arial"/>
          <w:color w:val="000000" w:themeColor="text1"/>
        </w:rPr>
        <w:t>these structured vocabularies</w:t>
      </w:r>
      <w:r w:rsidR="00C00DC6">
        <w:rPr>
          <w:rFonts w:ascii="Arial" w:hAnsi="Arial" w:cs="Arial"/>
          <w:color w:val="000000" w:themeColor="text1"/>
        </w:rPr>
        <w:t xml:space="preserve">, there is an option of manual entry </w:t>
      </w:r>
      <w:r w:rsidR="004A56CF">
        <w:rPr>
          <w:rFonts w:ascii="Arial" w:hAnsi="Arial" w:cs="Arial"/>
          <w:color w:val="000000" w:themeColor="text1"/>
        </w:rPr>
        <w:lastRenderedPageBreak/>
        <w:t xml:space="preserve">by assessors where the assessor can select </w:t>
      </w:r>
      <w:r w:rsidR="009D122A">
        <w:rPr>
          <w:rFonts w:ascii="Arial" w:hAnsi="Arial" w:cs="Arial"/>
          <w:color w:val="000000" w:themeColor="text1"/>
        </w:rPr>
        <w:t>“</w:t>
      </w:r>
      <w:r w:rsidR="004A56CF">
        <w:rPr>
          <w:rFonts w:ascii="Arial" w:hAnsi="Arial" w:cs="Arial"/>
          <w:color w:val="000000" w:themeColor="text1"/>
        </w:rPr>
        <w:t>other</w:t>
      </w:r>
      <w:r w:rsidR="009D122A">
        <w:rPr>
          <w:rFonts w:ascii="Arial" w:hAnsi="Arial" w:cs="Arial"/>
          <w:color w:val="000000" w:themeColor="text1"/>
        </w:rPr>
        <w:t>”</w:t>
      </w:r>
      <w:r w:rsidR="004A56CF">
        <w:rPr>
          <w:rFonts w:ascii="Arial" w:hAnsi="Arial" w:cs="Arial"/>
          <w:color w:val="000000" w:themeColor="text1"/>
        </w:rPr>
        <w:t xml:space="preserve"> and use this option to enter the information which doesn’t appear in the drop-down menu selections. This gives flexibility where </w:t>
      </w:r>
      <w:r w:rsidR="00D30C7E">
        <w:rPr>
          <w:rFonts w:ascii="Arial" w:hAnsi="Arial" w:cs="Arial"/>
          <w:color w:val="000000" w:themeColor="text1"/>
        </w:rPr>
        <w:t xml:space="preserve">some unique information is available in applications and for which no drop-down selections are available. </w:t>
      </w:r>
      <w:r w:rsidR="00AF648E" w:rsidRPr="2EAF896B">
        <w:rPr>
          <w:rFonts w:ascii="Arial" w:hAnsi="Arial" w:cs="Arial"/>
        </w:rPr>
        <w:t xml:space="preserve">This </w:t>
      </w:r>
      <w:r w:rsidR="007D7ED9" w:rsidRPr="2EAF896B">
        <w:rPr>
          <w:rFonts w:ascii="Arial" w:hAnsi="Arial" w:cs="Arial"/>
        </w:rPr>
        <w:t>approach ensures consistent terminology and a standardized level of granularity when documenting key information, which helps to harmonize assessments.</w:t>
      </w:r>
      <w:r w:rsidRPr="2EAF896B">
        <w:rPr>
          <w:rFonts w:ascii="Arial" w:hAnsi="Arial" w:cs="Arial"/>
        </w:rPr>
        <w:t xml:space="preserve"> </w:t>
      </w:r>
      <w:r w:rsidR="00092BD5" w:rsidRPr="2EAF896B">
        <w:rPr>
          <w:rFonts w:ascii="Arial" w:hAnsi="Arial" w:cs="Arial"/>
        </w:rPr>
        <w:t>It is anticipated that a significant portion of descriptors capturing information from submissions could potentially be preloaded in the future by connecting initiatives</w:t>
      </w:r>
      <w:r w:rsidR="004C1184">
        <w:rPr>
          <w:rFonts w:ascii="Arial" w:hAnsi="Arial" w:cs="Arial"/>
        </w:rPr>
        <w:t xml:space="preserve">, such as </w:t>
      </w:r>
      <w:r w:rsidR="00EE526F">
        <w:rPr>
          <w:rFonts w:ascii="Arial" w:hAnsi="Arial" w:cs="Arial"/>
        </w:rPr>
        <w:t>PQ/CMC</w:t>
      </w:r>
      <w:r w:rsidR="00092BD5" w:rsidRPr="2EAF896B">
        <w:rPr>
          <w:rFonts w:ascii="Arial" w:hAnsi="Arial" w:cs="Arial"/>
        </w:rPr>
        <w:t xml:space="preserve"> </w:t>
      </w:r>
      <w:r w:rsidR="00DA6B79">
        <w:rPr>
          <w:rFonts w:ascii="Arial" w:hAnsi="Arial" w:cs="Arial"/>
        </w:rPr>
        <w:t xml:space="preserve"> </w:t>
      </w:r>
      <w:r w:rsidR="00DA6B79" w:rsidRPr="00DA6B79">
        <w:rPr>
          <w:rFonts w:ascii="Arial" w:hAnsi="Arial" w:cs="Arial"/>
        </w:rPr>
        <w:t xml:space="preserve">that will be </w:t>
      </w:r>
      <w:r w:rsidR="00092BD5" w:rsidRPr="2EAF896B">
        <w:rPr>
          <w:rFonts w:ascii="Arial" w:hAnsi="Arial" w:cs="Arial"/>
        </w:rPr>
        <w:t>with the required submission information and data elements</w:t>
      </w:r>
      <w:r w:rsidR="00F83263">
        <w:rPr>
          <w:rFonts w:ascii="Arial" w:hAnsi="Arial" w:cs="Arial"/>
        </w:rPr>
        <w:t xml:space="preserve"> </w:t>
      </w:r>
      <w:r w:rsidR="0047762C">
        <w:rPr>
          <w:rFonts w:ascii="Arial" w:hAnsi="Arial" w:cs="Arial"/>
        </w:rPr>
        <w:fldChar w:fldCharType="begin"/>
      </w:r>
      <w:r w:rsidR="00BE6C85">
        <w:rPr>
          <w:rFonts w:ascii="Arial" w:hAnsi="Arial" w:cs="Arial"/>
        </w:rPr>
        <w:instrText xml:space="preserve"> ADDIN EN.CITE &lt;EndNote&gt;&lt;Cite&gt;&lt;Author&gt;FDA&lt;/Author&gt;&lt;Year&gt;2024&lt;/Year&gt;&lt;RecNum&gt;22&lt;/RecNum&gt;&lt;DisplayText&gt;(FDA, 2024a, FDA, 2023a)&lt;/DisplayText&gt;&lt;record&gt;&lt;rec-number&gt;22&lt;/rec-number&gt;&lt;foreign-keys&gt;&lt;key app="EN" db-id="retve2w0r25svretdfkxxaprfsr0990sw95r" timestamp="1728573933"&gt;22&lt;/key&gt;&lt;/foreign-keys&gt;&lt;ref-type name="Online Multimedia"&gt;48&lt;/ref-type&gt;&lt;contributors&gt;&lt;authors&gt;&lt;author&gt;FDA&lt;/author&gt;&lt;/authors&gt;&lt;tertiary-authors&gt;&lt;author&gt;FDA&lt;/author&gt;&lt;/tertiary-authors&gt;&lt;/contributors&gt;&lt;titles&gt;&lt;title&gt;Pharmaceutical Quality - Chemistry, Manufacturing &amp;amp; Controls | PQ/CMC&lt;/title&gt;&lt;/titles&gt;&lt;section&gt;https://www.fda.gov/industry/fda-data-standards-advisory-board/pharmaceutical-quality-chemistry-manufacturing-controls-pqcmc&lt;/section&gt;&lt;dates&gt;&lt;year&gt;2024&lt;/year&gt;&lt;/dates&gt;&lt;pub-location&gt;https://www.fda.gov/industry/fda-data-standards-advisory-board/pharmaceutical-quality-chemistry-manufacturing-controls-pqcmc&lt;/pub-location&gt;&lt;urls&gt;&lt;related-urls&gt;&lt;url&gt;https://www.fda.gov/industry/fda-data-standards-advisory-board/pharmaceutical-quality-chemistry-manufacturing-controls-pqcmc&lt;/url&gt;&lt;/related-urls&gt;&lt;/urls&gt;&lt;access-date&gt;December, 2024&lt;/access-date&gt;&lt;/record&gt;&lt;/Cite&gt;&lt;Cite&gt;&lt;Author&gt;FDA&lt;/Author&gt;&lt;Year&gt;2023&lt;/Year&gt;&lt;RecNum&gt;39&lt;/RecNum&gt;&lt;record&gt;&lt;rec-number&gt;39&lt;/rec-number&gt;&lt;foreign-keys&gt;&lt;key app="EN" db-id="retve2w0r25svretdfkxxaprfsr0990sw95r" timestamp="1733965478"&gt;39&lt;/key&gt;&lt;/foreign-keys&gt;&lt;ref-type name="Government Document"&gt;46&lt;/ref-type&gt;&lt;contributors&gt;&lt;authors&gt;&lt;author&gt;FDA&lt;/author&gt;&lt;/authors&gt;&lt;/contributors&gt;&lt;titles&gt;&lt;title&gt;Draft Pharmaceutical Quality Chemistry Manufacturing and Controls (PQ/CMC) Data Exchange&lt;/title&gt;&lt;/titles&gt;&lt;dates&gt;&lt;year&gt;2023&lt;/year&gt;&lt;/dates&gt;&lt;pub-location&gt;Food and Drug Administration, &lt;/pub-location&gt;&lt;urls&gt;&lt;related-urls&gt;&lt;url&gt;https://www.fda.gov/industry/pharmaceutical-quality-chemistry-manufacturing-controls-pqcmc/pqcmc-federal-register-notices&lt;/url&gt;&lt;/related-urls&gt;&lt;/urls&gt;&lt;/record&gt;&lt;/Cite&gt;&lt;/EndNote&gt;</w:instrText>
      </w:r>
      <w:r w:rsidR="0047762C">
        <w:rPr>
          <w:rFonts w:ascii="Arial" w:hAnsi="Arial" w:cs="Arial"/>
        </w:rPr>
        <w:fldChar w:fldCharType="separate"/>
      </w:r>
      <w:r w:rsidR="00BE6C85">
        <w:rPr>
          <w:rFonts w:ascii="Arial" w:hAnsi="Arial" w:cs="Arial"/>
          <w:noProof/>
        </w:rPr>
        <w:t>(FDA, 2024a, FDA, 2023a)</w:t>
      </w:r>
      <w:r w:rsidR="0047762C">
        <w:rPr>
          <w:rFonts w:ascii="Arial" w:hAnsi="Arial" w:cs="Arial"/>
        </w:rPr>
        <w:fldChar w:fldCharType="end"/>
      </w:r>
      <w:r w:rsidR="00931DE7" w:rsidRPr="00931DE7">
        <w:rPr>
          <w:rFonts w:ascii="Arial" w:hAnsi="Arial" w:cs="Arial"/>
        </w:rPr>
        <w:t xml:space="preserve"> </w:t>
      </w:r>
      <w:r w:rsidR="00931DE7" w:rsidRPr="00213B4B">
        <w:rPr>
          <w:rFonts w:ascii="Arial" w:hAnsi="Arial" w:cs="Arial"/>
          <w:color w:val="000000" w:themeColor="text1"/>
        </w:rPr>
        <w:t xml:space="preserve">and the Structured Product Quality Submission (SPQS) effort undertaken in ICH. </w:t>
      </w:r>
    </w:p>
    <w:p w14:paraId="5198DA8E" w14:textId="12E9FD6F" w:rsidR="00A43362" w:rsidRDefault="00A43362" w:rsidP="6E98053B">
      <w:pPr>
        <w:rPr>
          <w:rFonts w:ascii="Arial" w:hAnsi="Arial" w:cs="Arial"/>
        </w:rPr>
      </w:pPr>
      <w:r w:rsidRPr="38CE834E">
        <w:rPr>
          <w:rFonts w:ascii="Arial" w:hAnsi="Arial" w:cs="Arial"/>
        </w:rPr>
        <w:t xml:space="preserve">To ensure a thorough and comprehensive assessment, evaluations on the KASA platform </w:t>
      </w:r>
      <w:r w:rsidR="003404A6">
        <w:rPr>
          <w:rFonts w:ascii="Arial" w:hAnsi="Arial" w:cs="Arial"/>
        </w:rPr>
        <w:t>have been validated</w:t>
      </w:r>
      <w:r w:rsidRPr="38CE834E">
        <w:rPr>
          <w:rFonts w:ascii="Arial" w:hAnsi="Arial" w:cs="Arial"/>
        </w:rPr>
        <w:t xml:space="preserve"> to confirm the completeness of information within the modules, sub</w:t>
      </w:r>
      <w:r w:rsidR="007E6DAB" w:rsidRPr="38CE834E">
        <w:rPr>
          <w:rFonts w:ascii="Arial" w:hAnsi="Arial" w:cs="Arial"/>
        </w:rPr>
        <w:t>-</w:t>
      </w:r>
      <w:r w:rsidRPr="38CE834E">
        <w:rPr>
          <w:rFonts w:ascii="Arial" w:hAnsi="Arial" w:cs="Arial"/>
        </w:rPr>
        <w:t xml:space="preserve">modules, and required structure descriptors. This approach helps maintain consistency in terminology, content, and granularity </w:t>
      </w:r>
      <w:r w:rsidR="009E4795">
        <w:rPr>
          <w:rFonts w:ascii="Arial" w:hAnsi="Arial" w:cs="Arial"/>
        </w:rPr>
        <w:t xml:space="preserve">in </w:t>
      </w:r>
      <w:r w:rsidR="00445746">
        <w:rPr>
          <w:rFonts w:ascii="Arial" w:hAnsi="Arial" w:cs="Arial"/>
        </w:rPr>
        <w:t>assessment</w:t>
      </w:r>
      <w:r w:rsidR="00445746" w:rsidRPr="38CE834E">
        <w:rPr>
          <w:rFonts w:ascii="Arial" w:hAnsi="Arial" w:cs="Arial"/>
        </w:rPr>
        <w:t xml:space="preserve"> </w:t>
      </w:r>
      <w:r w:rsidRPr="38CE834E">
        <w:rPr>
          <w:rFonts w:ascii="Arial" w:hAnsi="Arial" w:cs="Arial"/>
        </w:rPr>
        <w:t>practices among different assessors and enhance transparency and communication.</w:t>
      </w:r>
    </w:p>
    <w:p w14:paraId="262F066C" w14:textId="77777777" w:rsidR="002C7599" w:rsidRPr="007E2364" w:rsidRDefault="002C7599" w:rsidP="6E98053B">
      <w:pPr>
        <w:rPr>
          <w:rFonts w:cs="Arial"/>
          <w:b/>
          <w:bCs/>
        </w:rPr>
      </w:pPr>
    </w:p>
    <w:p w14:paraId="34AC5821" w14:textId="7517EA41" w:rsidR="00FF0674" w:rsidRPr="005321A3" w:rsidRDefault="0090176C" w:rsidP="6E98053B">
      <w:pPr>
        <w:pStyle w:val="Heading2"/>
      </w:pPr>
      <w:r>
        <w:t xml:space="preserve">2.2 </w:t>
      </w:r>
      <w:r w:rsidR="00985040">
        <w:t>K</w:t>
      </w:r>
      <w:r w:rsidR="00FF0674">
        <w:t>ey fe</w:t>
      </w:r>
      <w:r w:rsidR="00000CEF">
        <w:t>ature</w:t>
      </w:r>
      <w:r w:rsidR="00985040">
        <w:t xml:space="preserve">s </w:t>
      </w:r>
      <w:r w:rsidR="00004BD7">
        <w:t>as</w:t>
      </w:r>
      <w:r w:rsidR="00985040">
        <w:t xml:space="preserve"> the knowledge</w:t>
      </w:r>
      <w:r w:rsidR="00004BD7">
        <w:t>-</w:t>
      </w:r>
      <w:r w:rsidR="00985040">
        <w:t>aid</w:t>
      </w:r>
      <w:r w:rsidR="00004BD7">
        <w:t>ed</w:t>
      </w:r>
      <w:r w:rsidR="00985040">
        <w:t xml:space="preserve"> </w:t>
      </w:r>
      <w:r w:rsidR="00455B4F">
        <w:t xml:space="preserve">assessment </w:t>
      </w:r>
    </w:p>
    <w:p w14:paraId="4DD32AE6" w14:textId="67CAF839" w:rsidR="00C31ECB" w:rsidRDefault="006440F2" w:rsidP="00EC56D0">
      <w:pPr>
        <w:jc w:val="both"/>
        <w:rPr>
          <w:rFonts w:ascii="Arial" w:hAnsi="Arial" w:cs="Arial"/>
        </w:rPr>
      </w:pPr>
      <w:r w:rsidRPr="6E98053B">
        <w:rPr>
          <w:rFonts w:ascii="Arial" w:hAnsi="Arial" w:cs="Arial"/>
        </w:rPr>
        <w:t xml:space="preserve">The current </w:t>
      </w:r>
      <w:r w:rsidR="003B5904" w:rsidRPr="6E98053B">
        <w:rPr>
          <w:rFonts w:ascii="Arial" w:hAnsi="Arial" w:cs="Arial"/>
        </w:rPr>
        <w:t xml:space="preserve">manufacturing section </w:t>
      </w:r>
      <w:r w:rsidR="00E66AC7" w:rsidRPr="6E98053B">
        <w:rPr>
          <w:rFonts w:ascii="Arial" w:hAnsi="Arial" w:cs="Arial"/>
        </w:rPr>
        <w:t>of</w:t>
      </w:r>
      <w:r w:rsidR="003B5904" w:rsidRPr="6E98053B">
        <w:rPr>
          <w:rFonts w:ascii="Arial" w:hAnsi="Arial" w:cs="Arial"/>
        </w:rPr>
        <w:t xml:space="preserve"> KASA </w:t>
      </w:r>
      <w:r w:rsidR="001E2F08" w:rsidRPr="6E98053B">
        <w:rPr>
          <w:rFonts w:ascii="Arial" w:hAnsi="Arial" w:cs="Arial"/>
        </w:rPr>
        <w:t>platform for</w:t>
      </w:r>
      <w:r w:rsidR="003B5904" w:rsidRPr="6E98053B">
        <w:rPr>
          <w:rFonts w:ascii="Arial" w:hAnsi="Arial" w:cs="Arial"/>
        </w:rPr>
        <w:t xml:space="preserve"> non-sterile SODF ANDAs </w:t>
      </w:r>
      <w:r w:rsidRPr="6E98053B">
        <w:rPr>
          <w:rFonts w:ascii="Arial" w:hAnsi="Arial" w:cs="Arial"/>
        </w:rPr>
        <w:t xml:space="preserve">includes numerous knowledge-aided features. </w:t>
      </w:r>
      <w:r w:rsidR="001D25A5" w:rsidRPr="6E98053B">
        <w:rPr>
          <w:rFonts w:ascii="Arial" w:hAnsi="Arial" w:cs="Arial"/>
        </w:rPr>
        <w:t>In the following section,</w:t>
      </w:r>
      <w:r w:rsidRPr="6E98053B">
        <w:rPr>
          <w:rFonts w:ascii="Arial" w:hAnsi="Arial" w:cs="Arial"/>
        </w:rPr>
        <w:t xml:space="preserve"> we provide </w:t>
      </w:r>
      <w:r w:rsidR="00A43362" w:rsidRPr="6E98053B">
        <w:rPr>
          <w:rFonts w:ascii="Arial" w:hAnsi="Arial" w:cs="Arial"/>
        </w:rPr>
        <w:t>the</w:t>
      </w:r>
      <w:r w:rsidRPr="6E98053B">
        <w:rPr>
          <w:rFonts w:ascii="Arial" w:hAnsi="Arial" w:cs="Arial"/>
        </w:rPr>
        <w:t xml:space="preserve"> detailed description</w:t>
      </w:r>
      <w:r w:rsidR="00A43362" w:rsidRPr="6E98053B">
        <w:rPr>
          <w:rFonts w:ascii="Arial" w:hAnsi="Arial" w:cs="Arial"/>
        </w:rPr>
        <w:t>s</w:t>
      </w:r>
      <w:r w:rsidRPr="6E98053B">
        <w:rPr>
          <w:rFonts w:ascii="Arial" w:hAnsi="Arial" w:cs="Arial"/>
        </w:rPr>
        <w:t xml:space="preserve"> of some key features, such as </w:t>
      </w:r>
      <w:r w:rsidR="00EC56D0" w:rsidRPr="6E98053B">
        <w:rPr>
          <w:rFonts w:ascii="Arial" w:hAnsi="Arial" w:cs="Arial"/>
        </w:rPr>
        <w:t xml:space="preserve">(1) </w:t>
      </w:r>
      <w:r w:rsidR="00A43362" w:rsidRPr="6E98053B">
        <w:rPr>
          <w:rFonts w:ascii="Arial" w:hAnsi="Arial" w:cs="Arial"/>
        </w:rPr>
        <w:t>d</w:t>
      </w:r>
      <w:r w:rsidR="00EC56D0" w:rsidRPr="6E98053B">
        <w:rPr>
          <w:rFonts w:ascii="Arial" w:hAnsi="Arial" w:cs="Arial"/>
        </w:rPr>
        <w:t>rop</w:t>
      </w:r>
      <w:r w:rsidR="00AF7956">
        <w:rPr>
          <w:rFonts w:ascii="Arial" w:hAnsi="Arial" w:cs="Arial"/>
        </w:rPr>
        <w:t>-</w:t>
      </w:r>
      <w:r w:rsidR="00EC56D0" w:rsidRPr="6E98053B">
        <w:rPr>
          <w:rFonts w:ascii="Arial" w:hAnsi="Arial" w:cs="Arial"/>
        </w:rPr>
        <w:t xml:space="preserve">down menus to assist assessors in conducting </w:t>
      </w:r>
      <w:r w:rsidR="003E170A" w:rsidRPr="6E98053B">
        <w:rPr>
          <w:rFonts w:ascii="Arial" w:hAnsi="Arial" w:cs="Arial"/>
        </w:rPr>
        <w:t>assessments</w:t>
      </w:r>
      <w:r w:rsidR="00EC56D0" w:rsidRPr="6E98053B">
        <w:rPr>
          <w:rFonts w:ascii="Arial" w:hAnsi="Arial" w:cs="Arial"/>
        </w:rPr>
        <w:t xml:space="preserve">, (2) </w:t>
      </w:r>
      <w:r w:rsidR="00A43362" w:rsidRPr="6E98053B">
        <w:rPr>
          <w:rFonts w:ascii="Arial" w:hAnsi="Arial" w:cs="Arial"/>
        </w:rPr>
        <w:t>a</w:t>
      </w:r>
      <w:r w:rsidR="00EC56D0" w:rsidRPr="6E98053B">
        <w:rPr>
          <w:rFonts w:ascii="Arial" w:hAnsi="Arial" w:cs="Arial"/>
        </w:rPr>
        <w:t xml:space="preserve"> built-in decision tree to guide the </w:t>
      </w:r>
      <w:r w:rsidR="003E170A" w:rsidRPr="6E98053B">
        <w:rPr>
          <w:rFonts w:ascii="Arial" w:hAnsi="Arial" w:cs="Arial"/>
        </w:rPr>
        <w:t xml:space="preserve">assessment </w:t>
      </w:r>
      <w:r w:rsidR="00EC56D0" w:rsidRPr="6E98053B">
        <w:rPr>
          <w:rFonts w:ascii="Arial" w:hAnsi="Arial" w:cs="Arial"/>
        </w:rPr>
        <w:t>process and generate template language for information requests</w:t>
      </w:r>
      <w:r w:rsidR="009B5797" w:rsidRPr="6E98053B">
        <w:rPr>
          <w:rFonts w:ascii="Arial" w:hAnsi="Arial" w:cs="Arial"/>
        </w:rPr>
        <w:t xml:space="preserve"> (IRs)</w:t>
      </w:r>
      <w:r w:rsidR="00EC56D0" w:rsidRPr="6E98053B">
        <w:rPr>
          <w:rFonts w:ascii="Arial" w:hAnsi="Arial" w:cs="Arial"/>
        </w:rPr>
        <w:t xml:space="preserve">, (3) </w:t>
      </w:r>
      <w:r w:rsidR="00A43362" w:rsidRPr="6E98053B">
        <w:rPr>
          <w:rFonts w:ascii="Arial" w:hAnsi="Arial" w:cs="Arial"/>
        </w:rPr>
        <w:t>l</w:t>
      </w:r>
      <w:r w:rsidR="00EC56D0" w:rsidRPr="6E98053B">
        <w:rPr>
          <w:rFonts w:ascii="Arial" w:hAnsi="Arial" w:cs="Arial"/>
        </w:rPr>
        <w:t xml:space="preserve">inks to multiple databases, (4) </w:t>
      </w:r>
      <w:r w:rsidR="00A43362" w:rsidRPr="6E98053B">
        <w:rPr>
          <w:rFonts w:ascii="Arial" w:hAnsi="Arial" w:cs="Arial"/>
        </w:rPr>
        <w:t>a</w:t>
      </w:r>
      <w:r w:rsidR="00EC56D0" w:rsidRPr="6E98053B">
        <w:rPr>
          <w:rFonts w:ascii="Arial" w:hAnsi="Arial" w:cs="Arial"/>
        </w:rPr>
        <w:t xml:space="preserve">n integrated initial risk model for </w:t>
      </w:r>
      <w:r w:rsidR="009C54E1" w:rsidRPr="6E98053B">
        <w:rPr>
          <w:rFonts w:ascii="Arial" w:hAnsi="Arial" w:cs="Arial"/>
        </w:rPr>
        <w:t xml:space="preserve">manufacturing </w:t>
      </w:r>
      <w:r w:rsidR="009C54E1">
        <w:rPr>
          <w:rFonts w:ascii="Arial" w:hAnsi="Arial" w:cs="Arial"/>
        </w:rPr>
        <w:t xml:space="preserve">process and </w:t>
      </w:r>
      <w:r w:rsidR="00EC56D0" w:rsidRPr="6E98053B">
        <w:rPr>
          <w:rFonts w:ascii="Arial" w:hAnsi="Arial" w:cs="Arial"/>
        </w:rPr>
        <w:t>facilities</w:t>
      </w:r>
      <w:r w:rsidR="004130FF">
        <w:rPr>
          <w:rFonts w:ascii="Arial" w:hAnsi="Arial" w:cs="Arial"/>
        </w:rPr>
        <w:t xml:space="preserve">, and (5) </w:t>
      </w:r>
      <w:r w:rsidR="00693E2F">
        <w:rPr>
          <w:rFonts w:ascii="Arial" w:hAnsi="Arial" w:cs="Arial"/>
        </w:rPr>
        <w:t>auto</w:t>
      </w:r>
      <w:r w:rsidR="00690CC5">
        <w:rPr>
          <w:rFonts w:ascii="Arial" w:hAnsi="Arial" w:cs="Arial"/>
        </w:rPr>
        <w:t>matic</w:t>
      </w:r>
      <w:r w:rsidR="00693E2F">
        <w:rPr>
          <w:rFonts w:ascii="Arial" w:hAnsi="Arial" w:cs="Arial"/>
        </w:rPr>
        <w:t xml:space="preserve"> validation</w:t>
      </w:r>
      <w:r w:rsidR="004F050B">
        <w:rPr>
          <w:rFonts w:ascii="Arial" w:hAnsi="Arial" w:cs="Arial"/>
        </w:rPr>
        <w:t>.</w:t>
      </w:r>
    </w:p>
    <w:p w14:paraId="6931623B" w14:textId="77F83835" w:rsidR="00D47235" w:rsidRPr="006C5B5D" w:rsidRDefault="001602B4" w:rsidP="00A45A4B">
      <w:pPr>
        <w:pStyle w:val="Heading2"/>
      </w:pPr>
      <w:r>
        <w:lastRenderedPageBreak/>
        <w:t xml:space="preserve">2.2.1 </w:t>
      </w:r>
      <w:r w:rsidR="00D47235" w:rsidRPr="006C5B5D">
        <w:t>Drop</w:t>
      </w:r>
      <w:r w:rsidR="009C54E1">
        <w:t>-</w:t>
      </w:r>
      <w:r w:rsidR="00D47235" w:rsidRPr="006C5B5D">
        <w:t xml:space="preserve">down </w:t>
      </w:r>
      <w:r w:rsidR="007E2E92">
        <w:t>menus</w:t>
      </w:r>
    </w:p>
    <w:p w14:paraId="412CF1DD" w14:textId="2336011D" w:rsidR="0024296F" w:rsidRPr="0024296F" w:rsidRDefault="0024296F" w:rsidP="6E98053B">
      <w:pPr>
        <w:pStyle w:val="Heading3"/>
        <w:rPr>
          <w:rFonts w:eastAsiaTheme="minorEastAsia" w:cs="Arial"/>
          <w:b w:val="0"/>
          <w:color w:val="auto"/>
        </w:rPr>
      </w:pPr>
      <w:r w:rsidRPr="6E98053B">
        <w:rPr>
          <w:rFonts w:eastAsiaTheme="minorEastAsia" w:cs="Arial"/>
          <w:b w:val="0"/>
          <w:color w:val="auto"/>
        </w:rPr>
        <w:t>Drop</w:t>
      </w:r>
      <w:r w:rsidR="009C54E1">
        <w:rPr>
          <w:rFonts w:eastAsiaTheme="minorEastAsia" w:cs="Arial"/>
          <w:b w:val="0"/>
          <w:color w:val="auto"/>
        </w:rPr>
        <w:t>-</w:t>
      </w:r>
      <w:r w:rsidRPr="6E98053B">
        <w:rPr>
          <w:rFonts w:eastAsiaTheme="minorEastAsia" w:cs="Arial"/>
          <w:b w:val="0"/>
          <w:color w:val="auto"/>
        </w:rPr>
        <w:t>down menus in KASA have been developed to provide knowledge-aid</w:t>
      </w:r>
      <w:r w:rsidR="00286EA3" w:rsidRPr="6E98053B">
        <w:rPr>
          <w:rFonts w:eastAsiaTheme="minorEastAsia" w:cs="Arial"/>
          <w:b w:val="0"/>
          <w:color w:val="auto"/>
        </w:rPr>
        <w:t>ed</w:t>
      </w:r>
      <w:r w:rsidRPr="6E98053B">
        <w:rPr>
          <w:rFonts w:eastAsiaTheme="minorEastAsia" w:cs="Arial"/>
          <w:b w:val="0"/>
          <w:color w:val="auto"/>
        </w:rPr>
        <w:t xml:space="preserve"> information that guides assessors during the evaluation process. </w:t>
      </w:r>
      <w:r w:rsidR="0094324E" w:rsidRPr="6E98053B">
        <w:rPr>
          <w:rFonts w:eastAsiaTheme="minorEastAsia" w:cs="Arial"/>
          <w:b w:val="0"/>
          <w:color w:val="auto"/>
        </w:rPr>
        <w:t>These drop</w:t>
      </w:r>
      <w:r w:rsidR="009C54E1">
        <w:rPr>
          <w:rFonts w:eastAsiaTheme="minorEastAsia" w:cs="Arial"/>
          <w:b w:val="0"/>
          <w:color w:val="auto"/>
        </w:rPr>
        <w:t>-</w:t>
      </w:r>
      <w:r w:rsidR="0094324E" w:rsidRPr="6E98053B">
        <w:rPr>
          <w:rFonts w:eastAsiaTheme="minorEastAsia" w:cs="Arial"/>
          <w:b w:val="0"/>
          <w:color w:val="auto"/>
        </w:rPr>
        <w:t>down</w:t>
      </w:r>
      <w:r w:rsidR="009C54E1">
        <w:rPr>
          <w:rFonts w:eastAsiaTheme="minorEastAsia" w:cs="Arial"/>
          <w:b w:val="0"/>
          <w:color w:val="auto"/>
        </w:rPr>
        <w:t xml:space="preserve"> option</w:t>
      </w:r>
      <w:r w:rsidR="0094324E" w:rsidRPr="6E98053B">
        <w:rPr>
          <w:rFonts w:eastAsiaTheme="minorEastAsia" w:cs="Arial"/>
          <w:b w:val="0"/>
          <w:color w:val="auto"/>
        </w:rPr>
        <w:t>s</w:t>
      </w:r>
      <w:r w:rsidRPr="6E98053B">
        <w:rPr>
          <w:rFonts w:eastAsiaTheme="minorEastAsia" w:cs="Arial"/>
          <w:b w:val="0"/>
          <w:color w:val="auto"/>
        </w:rPr>
        <w:t xml:space="preserve"> serve multiple</w:t>
      </w:r>
      <w:r w:rsidR="00D71ADE" w:rsidRPr="6E98053B">
        <w:rPr>
          <w:rFonts w:eastAsiaTheme="minorEastAsia" w:cs="Arial"/>
          <w:b w:val="0"/>
          <w:color w:val="auto"/>
        </w:rPr>
        <w:t xml:space="preserve"> knowledge-aided</w:t>
      </w:r>
      <w:r w:rsidRPr="6E98053B">
        <w:rPr>
          <w:rFonts w:eastAsiaTheme="minorEastAsia" w:cs="Arial"/>
          <w:b w:val="0"/>
          <w:color w:val="auto"/>
        </w:rPr>
        <w:t xml:space="preserve"> functions, including but not limited to:</w:t>
      </w:r>
    </w:p>
    <w:p w14:paraId="7438ABE9" w14:textId="0E6844EA" w:rsidR="0024296F" w:rsidRPr="005B16FA" w:rsidRDefault="0024296F" w:rsidP="005B16FA">
      <w:pPr>
        <w:pStyle w:val="Heading3"/>
        <w:numPr>
          <w:ilvl w:val="0"/>
          <w:numId w:val="12"/>
        </w:numPr>
        <w:rPr>
          <w:rFonts w:eastAsiaTheme="minorEastAsia" w:cs="Arial"/>
          <w:b w:val="0"/>
          <w:color w:val="auto"/>
          <w:szCs w:val="22"/>
        </w:rPr>
      </w:pPr>
      <w:r w:rsidRPr="0024296F">
        <w:rPr>
          <w:rFonts w:eastAsiaTheme="minorEastAsia" w:cs="Arial"/>
          <w:b w:val="0"/>
          <w:color w:val="auto"/>
          <w:szCs w:val="22"/>
        </w:rPr>
        <w:t>Incorporating controlled vocabulary for input submission information</w:t>
      </w:r>
    </w:p>
    <w:p w14:paraId="3D27FA1D" w14:textId="7FEAF84B" w:rsidR="0024296F" w:rsidRPr="0024296F" w:rsidRDefault="0024296F" w:rsidP="0024296F">
      <w:pPr>
        <w:pStyle w:val="Heading3"/>
        <w:numPr>
          <w:ilvl w:val="0"/>
          <w:numId w:val="12"/>
        </w:numPr>
        <w:rPr>
          <w:rFonts w:eastAsiaTheme="minorEastAsia" w:cs="Arial"/>
          <w:b w:val="0"/>
          <w:color w:val="auto"/>
          <w:szCs w:val="22"/>
        </w:rPr>
      </w:pPr>
      <w:r w:rsidRPr="0024296F">
        <w:rPr>
          <w:rFonts w:eastAsiaTheme="minorEastAsia" w:cs="Arial"/>
          <w:b w:val="0"/>
          <w:color w:val="auto"/>
          <w:szCs w:val="22"/>
        </w:rPr>
        <w:t>Assisting with risk assessment and risk control strategies</w:t>
      </w:r>
    </w:p>
    <w:p w14:paraId="4209F08B" w14:textId="10D3DAE7" w:rsidR="002B32B7" w:rsidRDefault="0024296F" w:rsidP="0024296F">
      <w:pPr>
        <w:pStyle w:val="Heading3"/>
        <w:numPr>
          <w:ilvl w:val="0"/>
          <w:numId w:val="12"/>
        </w:numPr>
        <w:rPr>
          <w:rFonts w:eastAsiaTheme="minorEastAsia" w:cs="Arial"/>
          <w:b w:val="0"/>
          <w:color w:val="auto"/>
          <w:szCs w:val="22"/>
        </w:rPr>
      </w:pPr>
      <w:r w:rsidRPr="0024296F">
        <w:rPr>
          <w:rFonts w:eastAsiaTheme="minorEastAsia" w:cs="Arial"/>
          <w:b w:val="0"/>
          <w:color w:val="auto"/>
          <w:szCs w:val="22"/>
        </w:rPr>
        <w:t xml:space="preserve">Categorizing </w:t>
      </w:r>
      <w:r w:rsidR="002B32B7" w:rsidRPr="0024296F">
        <w:rPr>
          <w:rFonts w:eastAsiaTheme="minorEastAsia" w:cs="Arial"/>
          <w:b w:val="0"/>
          <w:color w:val="auto"/>
          <w:szCs w:val="22"/>
        </w:rPr>
        <w:t>deficiencies</w:t>
      </w:r>
    </w:p>
    <w:p w14:paraId="4A667829" w14:textId="4E70D368" w:rsidR="00A928E6" w:rsidRPr="0024296F" w:rsidRDefault="00381A95" w:rsidP="6A1CF87C">
      <w:pPr>
        <w:pStyle w:val="Heading3"/>
        <w:rPr>
          <w:rFonts w:eastAsiaTheme="minorEastAsia" w:cs="Arial"/>
          <w:b w:val="0"/>
          <w:color w:val="auto"/>
        </w:rPr>
      </w:pPr>
      <w:r w:rsidRPr="6A1CF87C">
        <w:rPr>
          <w:rFonts w:eastAsiaTheme="minorEastAsia" w:cs="Arial"/>
          <w:b w:val="0"/>
          <w:color w:val="auto"/>
        </w:rPr>
        <w:t xml:space="preserve">In </w:t>
      </w:r>
      <w:r w:rsidR="000A5C81" w:rsidRPr="6A1CF87C">
        <w:rPr>
          <w:rFonts w:eastAsiaTheme="minorEastAsia" w:cs="Arial"/>
          <w:b w:val="0"/>
          <w:color w:val="auto"/>
        </w:rPr>
        <w:t>the c</w:t>
      </w:r>
      <w:r w:rsidR="00E17C75" w:rsidRPr="6A1CF87C">
        <w:rPr>
          <w:rFonts w:eastAsiaTheme="minorEastAsia" w:cs="Arial"/>
          <w:b w:val="0"/>
          <w:color w:val="auto"/>
        </w:rPr>
        <w:t xml:space="preserve">urrent </w:t>
      </w:r>
      <w:r w:rsidR="001E1088" w:rsidRPr="6A1CF87C">
        <w:rPr>
          <w:rFonts w:cs="Arial"/>
          <w:b w:val="0"/>
        </w:rPr>
        <w:t xml:space="preserve">manufacturing section </w:t>
      </w:r>
      <w:r w:rsidR="00F07559" w:rsidRPr="6A1CF87C">
        <w:rPr>
          <w:rFonts w:cs="Arial"/>
          <w:b w:val="0"/>
        </w:rPr>
        <w:t>of</w:t>
      </w:r>
      <w:r w:rsidR="001E1088" w:rsidRPr="6A1CF87C">
        <w:rPr>
          <w:rFonts w:cs="Arial"/>
          <w:b w:val="0"/>
        </w:rPr>
        <w:t xml:space="preserve"> KASA platform for non-sterile SODF ANDAs</w:t>
      </w:r>
      <w:r w:rsidRPr="6A1CF87C">
        <w:rPr>
          <w:rFonts w:eastAsiaTheme="minorEastAsia" w:cs="Arial"/>
          <w:b w:val="0"/>
          <w:color w:val="auto"/>
        </w:rPr>
        <w:t>, drop</w:t>
      </w:r>
      <w:r w:rsidR="000643E2" w:rsidRPr="6A1CF87C">
        <w:rPr>
          <w:rFonts w:eastAsiaTheme="minorEastAsia" w:cs="Arial"/>
          <w:b w:val="0"/>
          <w:color w:val="auto"/>
        </w:rPr>
        <w:t>-</w:t>
      </w:r>
      <w:r w:rsidRPr="6A1CF87C">
        <w:rPr>
          <w:rFonts w:eastAsiaTheme="minorEastAsia" w:cs="Arial"/>
          <w:b w:val="0"/>
          <w:color w:val="auto"/>
        </w:rPr>
        <w:t>down</w:t>
      </w:r>
      <w:r w:rsidR="000643E2" w:rsidRPr="6A1CF87C">
        <w:rPr>
          <w:rFonts w:eastAsiaTheme="minorEastAsia" w:cs="Arial"/>
          <w:b w:val="0"/>
          <w:color w:val="auto"/>
        </w:rPr>
        <w:t xml:space="preserve"> option</w:t>
      </w:r>
      <w:r w:rsidRPr="6A1CF87C">
        <w:rPr>
          <w:rFonts w:eastAsiaTheme="minorEastAsia" w:cs="Arial"/>
          <w:b w:val="0"/>
          <w:color w:val="auto"/>
        </w:rPr>
        <w:t xml:space="preserve">s are used to control the vocabulary for inputting submission information into the structured data, as mentioned in </w:t>
      </w:r>
      <w:r w:rsidR="004E1FE8">
        <w:rPr>
          <w:rFonts w:eastAsiaTheme="minorEastAsia" w:cs="Arial"/>
          <w:b w:val="0"/>
          <w:color w:val="auto"/>
        </w:rPr>
        <w:t>s</w:t>
      </w:r>
      <w:r w:rsidR="004E1FE8" w:rsidRPr="6A1CF87C">
        <w:rPr>
          <w:rFonts w:eastAsiaTheme="minorEastAsia" w:cs="Arial"/>
          <w:b w:val="0"/>
          <w:color w:val="auto"/>
        </w:rPr>
        <w:t xml:space="preserve">ection </w:t>
      </w:r>
      <w:r w:rsidRPr="6A1CF87C">
        <w:rPr>
          <w:rFonts w:eastAsiaTheme="minorEastAsia" w:cs="Arial"/>
          <w:b w:val="0"/>
          <w:color w:val="auto"/>
        </w:rPr>
        <w:t>2.1.</w:t>
      </w:r>
      <w:r w:rsidR="00A43362" w:rsidRPr="6A1CF87C">
        <w:rPr>
          <w:rFonts w:eastAsiaTheme="minorEastAsia" w:cs="Arial"/>
          <w:b w:val="0"/>
          <w:color w:val="auto"/>
        </w:rPr>
        <w:t>2</w:t>
      </w:r>
      <w:r w:rsidRPr="6A1CF87C">
        <w:rPr>
          <w:rFonts w:eastAsiaTheme="minorEastAsia" w:cs="Arial"/>
          <w:b w:val="0"/>
          <w:color w:val="auto"/>
        </w:rPr>
        <w:t>. The drop</w:t>
      </w:r>
      <w:r w:rsidR="00EC1973" w:rsidRPr="6A1CF87C">
        <w:rPr>
          <w:rFonts w:eastAsiaTheme="minorEastAsia" w:cs="Arial"/>
          <w:b w:val="0"/>
          <w:color w:val="auto"/>
        </w:rPr>
        <w:t>-</w:t>
      </w:r>
      <w:r w:rsidRPr="6A1CF87C">
        <w:rPr>
          <w:rFonts w:eastAsiaTheme="minorEastAsia" w:cs="Arial"/>
          <w:b w:val="0"/>
          <w:color w:val="auto"/>
        </w:rPr>
        <w:t>down</w:t>
      </w:r>
      <w:r w:rsidR="00EC1973" w:rsidRPr="6A1CF87C">
        <w:rPr>
          <w:rFonts w:eastAsiaTheme="minorEastAsia" w:cs="Arial"/>
          <w:b w:val="0"/>
          <w:color w:val="auto"/>
        </w:rPr>
        <w:t xml:space="preserve"> option</w:t>
      </w:r>
      <w:r w:rsidRPr="6A1CF87C">
        <w:rPr>
          <w:rFonts w:eastAsiaTheme="minorEastAsia" w:cs="Arial"/>
          <w:b w:val="0"/>
          <w:color w:val="auto"/>
        </w:rPr>
        <w:t xml:space="preserve">s also provide </w:t>
      </w:r>
      <w:r w:rsidR="009939E1" w:rsidRPr="6A1CF87C">
        <w:rPr>
          <w:rFonts w:eastAsiaTheme="minorEastAsia" w:cs="Arial"/>
          <w:b w:val="0"/>
          <w:color w:val="auto"/>
        </w:rPr>
        <w:t xml:space="preserve">suggestions </w:t>
      </w:r>
      <w:r w:rsidRPr="6A1CF87C">
        <w:rPr>
          <w:rFonts w:eastAsiaTheme="minorEastAsia" w:cs="Arial"/>
          <w:b w:val="0"/>
          <w:color w:val="auto"/>
        </w:rPr>
        <w:t>for analyzing the factors that impact manufacturing</w:t>
      </w:r>
      <w:r w:rsidR="002B32B7" w:rsidRPr="6A1CF87C">
        <w:rPr>
          <w:rFonts w:eastAsiaTheme="minorEastAsia" w:cs="Arial"/>
          <w:b w:val="0"/>
          <w:color w:val="auto"/>
        </w:rPr>
        <w:t xml:space="preserve">. </w:t>
      </w:r>
      <w:r w:rsidR="0024296F" w:rsidRPr="6A1CF87C">
        <w:rPr>
          <w:rFonts w:eastAsiaTheme="minorEastAsia" w:cs="Arial"/>
          <w:b w:val="0"/>
          <w:color w:val="auto"/>
        </w:rPr>
        <w:t>For example, in the drug substance attribute</w:t>
      </w:r>
      <w:r w:rsidR="007E5EBC">
        <w:rPr>
          <w:rFonts w:eastAsiaTheme="minorEastAsia" w:cs="Arial"/>
          <w:b w:val="0"/>
          <w:color w:val="auto"/>
        </w:rPr>
        <w:t>s</w:t>
      </w:r>
      <w:r w:rsidR="0024296F" w:rsidRPr="6A1CF87C">
        <w:rPr>
          <w:rFonts w:eastAsiaTheme="minorEastAsia" w:cs="Arial"/>
          <w:b w:val="0"/>
          <w:color w:val="auto"/>
        </w:rPr>
        <w:t xml:space="preserve"> sub</w:t>
      </w:r>
      <w:r w:rsidR="00C450E5" w:rsidRPr="6A1CF87C">
        <w:rPr>
          <w:rFonts w:eastAsiaTheme="minorEastAsia" w:cs="Arial"/>
          <w:b w:val="0"/>
          <w:color w:val="auto"/>
        </w:rPr>
        <w:t>-</w:t>
      </w:r>
      <w:r w:rsidR="0024296F" w:rsidRPr="6A1CF87C">
        <w:rPr>
          <w:rFonts w:eastAsiaTheme="minorEastAsia" w:cs="Arial"/>
          <w:b w:val="0"/>
          <w:color w:val="auto"/>
        </w:rPr>
        <w:t>module, a list of drop</w:t>
      </w:r>
      <w:r w:rsidR="00EC1973" w:rsidRPr="6A1CF87C">
        <w:rPr>
          <w:rFonts w:eastAsiaTheme="minorEastAsia" w:cs="Arial"/>
          <w:b w:val="0"/>
          <w:color w:val="auto"/>
        </w:rPr>
        <w:t>-</w:t>
      </w:r>
      <w:r w:rsidR="0024296F" w:rsidRPr="6A1CF87C">
        <w:rPr>
          <w:rFonts w:eastAsiaTheme="minorEastAsia" w:cs="Arial"/>
          <w:b w:val="0"/>
          <w:color w:val="auto"/>
        </w:rPr>
        <w:t xml:space="preserve">down options helps assessors conduct a thorough analysis of drug substance properties that may </w:t>
      </w:r>
      <w:r w:rsidR="000A60B4">
        <w:rPr>
          <w:rFonts w:eastAsiaTheme="minorEastAsia" w:cs="Arial"/>
          <w:b w:val="0"/>
          <w:color w:val="auto"/>
        </w:rPr>
        <w:t>impact</w:t>
      </w:r>
      <w:r w:rsidR="000A60B4" w:rsidRPr="6A1CF87C">
        <w:rPr>
          <w:rFonts w:eastAsiaTheme="minorEastAsia" w:cs="Arial"/>
          <w:b w:val="0"/>
          <w:color w:val="auto"/>
        </w:rPr>
        <w:t xml:space="preserve"> </w:t>
      </w:r>
      <w:r w:rsidR="0024296F" w:rsidRPr="6A1CF87C">
        <w:rPr>
          <w:rFonts w:eastAsiaTheme="minorEastAsia" w:cs="Arial"/>
          <w:b w:val="0"/>
          <w:color w:val="auto"/>
        </w:rPr>
        <w:t xml:space="preserve">the </w:t>
      </w:r>
      <w:r w:rsidR="00A932BC" w:rsidRPr="6A1CF87C">
        <w:rPr>
          <w:rFonts w:eastAsiaTheme="minorEastAsia" w:cs="Arial"/>
          <w:b w:val="0"/>
          <w:color w:val="auto"/>
        </w:rPr>
        <w:t xml:space="preserve">manufacturing of the </w:t>
      </w:r>
      <w:r w:rsidR="0024296F" w:rsidRPr="6A1CF87C">
        <w:rPr>
          <w:rFonts w:eastAsiaTheme="minorEastAsia" w:cs="Arial"/>
          <w:b w:val="0"/>
          <w:color w:val="auto"/>
        </w:rPr>
        <w:t>drug product. These properties include hygroscopicity, pH sensitivity, thermal stability, polymorphism, particle size</w:t>
      </w:r>
      <w:r w:rsidR="00D85D78" w:rsidRPr="6A1CF87C">
        <w:rPr>
          <w:rFonts w:eastAsiaTheme="minorEastAsia" w:cs="Arial"/>
          <w:b w:val="0"/>
          <w:color w:val="auto"/>
        </w:rPr>
        <w:t xml:space="preserve"> distribution</w:t>
      </w:r>
      <w:r w:rsidR="0024296F" w:rsidRPr="6A1CF87C">
        <w:rPr>
          <w:rFonts w:eastAsiaTheme="minorEastAsia" w:cs="Arial"/>
          <w:b w:val="0"/>
          <w:color w:val="auto"/>
        </w:rPr>
        <w:t xml:space="preserve">, flowability, dissolution rate, </w:t>
      </w:r>
      <w:r w:rsidR="00837AA8">
        <w:rPr>
          <w:rFonts w:eastAsiaTheme="minorEastAsia" w:cs="Arial"/>
          <w:b w:val="0"/>
          <w:color w:val="auto"/>
        </w:rPr>
        <w:t xml:space="preserve">and </w:t>
      </w:r>
      <w:r w:rsidR="0024296F" w:rsidRPr="6A1CF87C">
        <w:rPr>
          <w:rFonts w:eastAsiaTheme="minorEastAsia" w:cs="Arial"/>
          <w:b w:val="0"/>
          <w:color w:val="auto"/>
        </w:rPr>
        <w:t>oxidation sensitivity</w:t>
      </w:r>
      <w:r w:rsidR="006122A1" w:rsidRPr="6A1CF87C">
        <w:rPr>
          <w:rFonts w:eastAsiaTheme="minorEastAsia" w:cs="Arial"/>
          <w:b w:val="0"/>
          <w:color w:val="auto"/>
        </w:rPr>
        <w:t>,</w:t>
      </w:r>
      <w:r w:rsidRPr="6A1CF87C">
        <w:rPr>
          <w:rFonts w:eastAsiaTheme="minorEastAsia" w:cs="Arial"/>
          <w:b w:val="0"/>
          <w:color w:val="auto"/>
        </w:rPr>
        <w:t xml:space="preserve"> etc</w:t>
      </w:r>
      <w:r w:rsidR="0024296F" w:rsidRPr="6A1CF87C">
        <w:rPr>
          <w:rFonts w:eastAsiaTheme="minorEastAsia" w:cs="Arial"/>
          <w:b w:val="0"/>
          <w:color w:val="auto"/>
        </w:rPr>
        <w:t>.</w:t>
      </w:r>
      <w:r w:rsidR="00A64E89" w:rsidRPr="6A1CF87C">
        <w:rPr>
          <w:rFonts w:eastAsiaTheme="minorEastAsia" w:cs="Arial"/>
          <w:b w:val="0"/>
          <w:color w:val="auto"/>
        </w:rPr>
        <w:t xml:space="preserve"> </w:t>
      </w:r>
      <w:r w:rsidR="002F5A45" w:rsidRPr="6A1CF87C">
        <w:rPr>
          <w:rFonts w:eastAsiaTheme="minorEastAsia" w:cs="Arial"/>
          <w:b w:val="0"/>
          <w:color w:val="auto"/>
        </w:rPr>
        <w:t xml:space="preserve">In addition to evaluating the potential impact of drug substance </w:t>
      </w:r>
      <w:r w:rsidR="00837AA8">
        <w:rPr>
          <w:rFonts w:eastAsiaTheme="minorEastAsia" w:cs="Arial"/>
          <w:b w:val="0"/>
          <w:color w:val="auto"/>
        </w:rPr>
        <w:t xml:space="preserve">attributes </w:t>
      </w:r>
      <w:r w:rsidR="002F5A45" w:rsidRPr="6A1CF87C">
        <w:rPr>
          <w:rFonts w:eastAsiaTheme="minorEastAsia" w:cs="Arial"/>
          <w:b w:val="0"/>
          <w:color w:val="auto"/>
        </w:rPr>
        <w:t>and drug product design on manufacturing, drop</w:t>
      </w:r>
      <w:r w:rsidR="00D85D78" w:rsidRPr="6A1CF87C">
        <w:rPr>
          <w:rFonts w:eastAsiaTheme="minorEastAsia" w:cs="Arial"/>
          <w:b w:val="0"/>
          <w:color w:val="auto"/>
        </w:rPr>
        <w:t>-</w:t>
      </w:r>
      <w:r w:rsidR="002F5A45" w:rsidRPr="6A1CF87C">
        <w:rPr>
          <w:rFonts w:eastAsiaTheme="minorEastAsia" w:cs="Arial"/>
          <w:b w:val="0"/>
          <w:color w:val="auto"/>
        </w:rPr>
        <w:t>down</w:t>
      </w:r>
      <w:r w:rsidR="00D85D78" w:rsidRPr="6A1CF87C">
        <w:rPr>
          <w:rFonts w:eastAsiaTheme="minorEastAsia" w:cs="Arial"/>
          <w:b w:val="0"/>
          <w:color w:val="auto"/>
        </w:rPr>
        <w:t xml:space="preserve"> option</w:t>
      </w:r>
      <w:r w:rsidRPr="6A1CF87C">
        <w:rPr>
          <w:rFonts w:eastAsiaTheme="minorEastAsia" w:cs="Arial"/>
          <w:b w:val="0"/>
          <w:color w:val="auto"/>
        </w:rPr>
        <w:t>s</w:t>
      </w:r>
      <w:r w:rsidR="002F5A45" w:rsidRPr="6A1CF87C">
        <w:rPr>
          <w:rFonts w:eastAsiaTheme="minorEastAsia" w:cs="Arial"/>
          <w:b w:val="0"/>
          <w:color w:val="auto"/>
        </w:rPr>
        <w:t xml:space="preserve"> suggest risk control strategies for batch formulas, manufacturing processes, and specific unit operations. When recommending</w:t>
      </w:r>
      <w:r w:rsidR="00D71ADE" w:rsidRPr="6A1CF87C">
        <w:rPr>
          <w:rFonts w:eastAsiaTheme="minorEastAsia" w:cs="Arial"/>
          <w:b w:val="0"/>
          <w:color w:val="auto"/>
        </w:rPr>
        <w:t xml:space="preserve"> risk</w:t>
      </w:r>
      <w:r w:rsidR="002F5A45" w:rsidRPr="6A1CF87C">
        <w:rPr>
          <w:rFonts w:eastAsiaTheme="minorEastAsia" w:cs="Arial"/>
          <w:b w:val="0"/>
          <w:color w:val="auto"/>
        </w:rPr>
        <w:t xml:space="preserve"> </w:t>
      </w:r>
      <w:r w:rsidR="00D71ADE" w:rsidRPr="6A1CF87C">
        <w:rPr>
          <w:rFonts w:eastAsiaTheme="minorEastAsia" w:cs="Arial"/>
          <w:b w:val="0"/>
          <w:color w:val="auto"/>
        </w:rPr>
        <w:t xml:space="preserve">control </w:t>
      </w:r>
      <w:r w:rsidR="002F5A45" w:rsidRPr="6A1CF87C">
        <w:rPr>
          <w:rFonts w:eastAsiaTheme="minorEastAsia" w:cs="Arial"/>
          <w:b w:val="0"/>
          <w:color w:val="auto"/>
        </w:rPr>
        <w:t xml:space="preserve">strategies for unit operations, these </w:t>
      </w:r>
      <w:r w:rsidRPr="6A1CF87C">
        <w:rPr>
          <w:rFonts w:eastAsiaTheme="minorEastAsia" w:cs="Arial"/>
          <w:b w:val="0"/>
          <w:color w:val="auto"/>
        </w:rPr>
        <w:t>drop</w:t>
      </w:r>
      <w:r w:rsidR="00D85D78" w:rsidRPr="6A1CF87C">
        <w:rPr>
          <w:rFonts w:eastAsiaTheme="minorEastAsia" w:cs="Arial"/>
          <w:b w:val="0"/>
          <w:color w:val="auto"/>
        </w:rPr>
        <w:t>-</w:t>
      </w:r>
      <w:r w:rsidRPr="6A1CF87C">
        <w:rPr>
          <w:rFonts w:eastAsiaTheme="minorEastAsia" w:cs="Arial"/>
          <w:b w:val="0"/>
          <w:color w:val="auto"/>
        </w:rPr>
        <w:t>down</w:t>
      </w:r>
      <w:r w:rsidR="00D85D78" w:rsidRPr="6A1CF87C">
        <w:rPr>
          <w:rFonts w:eastAsiaTheme="minorEastAsia" w:cs="Arial"/>
          <w:b w:val="0"/>
          <w:color w:val="auto"/>
        </w:rPr>
        <w:t xml:space="preserve"> option</w:t>
      </w:r>
      <w:r w:rsidRPr="6A1CF87C">
        <w:rPr>
          <w:rFonts w:eastAsiaTheme="minorEastAsia" w:cs="Arial"/>
          <w:b w:val="0"/>
          <w:color w:val="auto"/>
        </w:rPr>
        <w:t>s</w:t>
      </w:r>
      <w:r w:rsidR="002F5A45" w:rsidRPr="6A1CF87C">
        <w:rPr>
          <w:rFonts w:eastAsiaTheme="minorEastAsia" w:cs="Arial"/>
          <w:b w:val="0"/>
          <w:color w:val="auto"/>
        </w:rPr>
        <w:t xml:space="preserve"> are automatically tailored </w:t>
      </w:r>
      <w:r w:rsidR="005B025E" w:rsidRPr="6A1CF87C">
        <w:rPr>
          <w:rFonts w:eastAsiaTheme="minorEastAsia" w:cs="Arial"/>
          <w:b w:val="0"/>
          <w:color w:val="auto"/>
        </w:rPr>
        <w:t>to</w:t>
      </w:r>
      <w:r w:rsidR="002F5A45" w:rsidRPr="6A1CF87C">
        <w:rPr>
          <w:rFonts w:eastAsiaTheme="minorEastAsia" w:cs="Arial"/>
          <w:b w:val="0"/>
          <w:color w:val="auto"/>
        </w:rPr>
        <w:t xml:space="preserve"> each </w:t>
      </w:r>
      <w:r w:rsidR="000901E0" w:rsidRPr="6A1CF87C">
        <w:rPr>
          <w:rFonts w:eastAsiaTheme="minorEastAsia" w:cs="Arial"/>
          <w:b w:val="0"/>
          <w:color w:val="auto"/>
        </w:rPr>
        <w:t xml:space="preserve">unit </w:t>
      </w:r>
      <w:r w:rsidR="002F5A45" w:rsidRPr="6A1CF87C">
        <w:rPr>
          <w:rFonts w:eastAsiaTheme="minorEastAsia" w:cs="Arial"/>
          <w:b w:val="0"/>
          <w:color w:val="auto"/>
        </w:rPr>
        <w:t xml:space="preserve">operation. </w:t>
      </w:r>
      <w:r w:rsidR="002F5A45" w:rsidRPr="007C5249">
        <w:rPr>
          <w:rFonts w:eastAsiaTheme="minorEastAsia" w:cs="Arial"/>
          <w:color w:val="auto"/>
        </w:rPr>
        <w:t>Table 2</w:t>
      </w:r>
      <w:r w:rsidR="002F5A45" w:rsidRPr="007C5249">
        <w:rPr>
          <w:rFonts w:eastAsiaTheme="minorEastAsia" w:cs="Arial"/>
          <w:b w:val="0"/>
          <w:color w:val="auto"/>
        </w:rPr>
        <w:t xml:space="preserve"> provides examples of drop</w:t>
      </w:r>
      <w:r w:rsidR="007B41B8" w:rsidRPr="007C5249">
        <w:rPr>
          <w:rFonts w:eastAsiaTheme="minorEastAsia" w:cs="Arial"/>
          <w:b w:val="0"/>
          <w:color w:val="auto"/>
        </w:rPr>
        <w:t>-</w:t>
      </w:r>
      <w:r w:rsidR="002F5A45" w:rsidRPr="007C5249">
        <w:rPr>
          <w:rFonts w:eastAsiaTheme="minorEastAsia" w:cs="Arial"/>
          <w:b w:val="0"/>
          <w:color w:val="auto"/>
        </w:rPr>
        <w:t xml:space="preserve">down menus used to assess unit operations, </w:t>
      </w:r>
      <w:r w:rsidR="00D71ADE" w:rsidRPr="007C5249">
        <w:rPr>
          <w:rFonts w:eastAsiaTheme="minorEastAsia" w:cs="Arial"/>
          <w:b w:val="0"/>
          <w:color w:val="auto"/>
        </w:rPr>
        <w:t xml:space="preserve">i.e., </w:t>
      </w:r>
      <w:r w:rsidR="002F5A45" w:rsidRPr="007C5249">
        <w:rPr>
          <w:rFonts w:eastAsiaTheme="minorEastAsia" w:cs="Arial"/>
          <w:b w:val="0"/>
          <w:color w:val="auto"/>
        </w:rPr>
        <w:t xml:space="preserve">blending and compression, </w:t>
      </w:r>
      <w:r w:rsidR="209FDA65" w:rsidRPr="007C5249">
        <w:rPr>
          <w:rFonts w:eastAsiaTheme="minorEastAsia" w:cs="Arial"/>
          <w:b w:val="0"/>
          <w:color w:val="auto"/>
        </w:rPr>
        <w:t xml:space="preserve">which </w:t>
      </w:r>
      <w:r w:rsidR="0A8CE8B5" w:rsidRPr="007C5249">
        <w:rPr>
          <w:rFonts w:eastAsiaTheme="minorEastAsia" w:cs="Arial"/>
          <w:b w:val="0"/>
          <w:color w:val="auto"/>
        </w:rPr>
        <w:t>document</w:t>
      </w:r>
      <w:r w:rsidR="002F5A45" w:rsidRPr="007C5249">
        <w:rPr>
          <w:rFonts w:eastAsiaTheme="minorEastAsia" w:cs="Arial"/>
          <w:b w:val="0"/>
          <w:color w:val="auto"/>
        </w:rPr>
        <w:t xml:space="preserve"> </w:t>
      </w:r>
      <w:r w:rsidR="00D71ADE" w:rsidRPr="007C5249">
        <w:rPr>
          <w:rFonts w:eastAsiaTheme="minorEastAsia" w:cs="Arial"/>
          <w:b w:val="0"/>
          <w:color w:val="auto"/>
        </w:rPr>
        <w:t xml:space="preserve">risk </w:t>
      </w:r>
      <w:r w:rsidR="3B5D1017" w:rsidRPr="007C5249">
        <w:rPr>
          <w:rFonts w:eastAsiaTheme="minorEastAsia" w:cs="Arial"/>
          <w:b w:val="0"/>
          <w:color w:val="auto"/>
        </w:rPr>
        <w:t xml:space="preserve">mitigation </w:t>
      </w:r>
      <w:r w:rsidR="002F5A45" w:rsidRPr="007C5249">
        <w:rPr>
          <w:rFonts w:eastAsiaTheme="minorEastAsia" w:cs="Arial"/>
          <w:b w:val="0"/>
          <w:color w:val="auto"/>
        </w:rPr>
        <w:t>strategies based on specific considerations of the unit operation, development studies, and potential scale-up proposals</w:t>
      </w:r>
      <w:r w:rsidR="51F606EC" w:rsidRPr="007C5249">
        <w:rPr>
          <w:rFonts w:eastAsiaTheme="minorEastAsia" w:cs="Arial"/>
          <w:b w:val="0"/>
          <w:color w:val="auto"/>
        </w:rPr>
        <w:t>.</w:t>
      </w:r>
      <w:r w:rsidR="00A64E89" w:rsidRPr="007C5249">
        <w:rPr>
          <w:rFonts w:eastAsiaTheme="minorEastAsia" w:cs="Arial"/>
          <w:b w:val="0"/>
          <w:color w:val="auto"/>
        </w:rPr>
        <w:t xml:space="preserve"> </w:t>
      </w:r>
      <w:r w:rsidR="0024296F" w:rsidRPr="007C5249">
        <w:rPr>
          <w:rFonts w:eastAsiaTheme="minorEastAsia" w:cs="Arial"/>
          <w:b w:val="0"/>
          <w:color w:val="auto"/>
        </w:rPr>
        <w:t>Furthermore, the drop</w:t>
      </w:r>
      <w:r w:rsidR="00D40ABA" w:rsidRPr="007C5249">
        <w:rPr>
          <w:rFonts w:eastAsiaTheme="minorEastAsia" w:cs="Arial"/>
          <w:b w:val="0"/>
          <w:color w:val="auto"/>
        </w:rPr>
        <w:t>-</w:t>
      </w:r>
      <w:r w:rsidR="0024296F" w:rsidRPr="007C5249">
        <w:rPr>
          <w:rFonts w:eastAsiaTheme="minorEastAsia" w:cs="Arial"/>
          <w:b w:val="0"/>
          <w:color w:val="auto"/>
        </w:rPr>
        <w:t>down</w:t>
      </w:r>
      <w:r w:rsidR="00D40ABA" w:rsidRPr="007C5249">
        <w:rPr>
          <w:rFonts w:eastAsiaTheme="minorEastAsia" w:cs="Arial"/>
          <w:b w:val="0"/>
          <w:color w:val="auto"/>
        </w:rPr>
        <w:t xml:space="preserve"> option</w:t>
      </w:r>
      <w:r w:rsidR="0024296F" w:rsidRPr="007C5249">
        <w:rPr>
          <w:rFonts w:eastAsiaTheme="minorEastAsia" w:cs="Arial"/>
          <w:b w:val="0"/>
          <w:color w:val="auto"/>
        </w:rPr>
        <w:t xml:space="preserve">s help categorize deficiencies </w:t>
      </w:r>
      <w:r w:rsidR="00114F6F" w:rsidRPr="007C5249">
        <w:rPr>
          <w:rFonts w:eastAsiaTheme="minorEastAsia" w:cs="Arial"/>
          <w:b w:val="0"/>
          <w:color w:val="auto"/>
        </w:rPr>
        <w:t xml:space="preserve">identified </w:t>
      </w:r>
      <w:r w:rsidR="0024296F" w:rsidRPr="007C5249">
        <w:rPr>
          <w:rFonts w:eastAsiaTheme="minorEastAsia" w:cs="Arial"/>
          <w:b w:val="0"/>
          <w:color w:val="auto"/>
        </w:rPr>
        <w:t xml:space="preserve">and assist in analyzing issues related to specific drug products or manufacturing processes over multiple </w:t>
      </w:r>
      <w:r w:rsidR="00D40ABA" w:rsidRPr="007C5249">
        <w:rPr>
          <w:rFonts w:eastAsiaTheme="minorEastAsia" w:cs="Arial"/>
          <w:b w:val="0"/>
          <w:color w:val="auto"/>
        </w:rPr>
        <w:t xml:space="preserve">assessment </w:t>
      </w:r>
      <w:r w:rsidR="0024296F" w:rsidRPr="007C5249">
        <w:rPr>
          <w:rFonts w:eastAsiaTheme="minorEastAsia" w:cs="Arial"/>
          <w:b w:val="0"/>
          <w:color w:val="auto"/>
        </w:rPr>
        <w:t>cycles.</w:t>
      </w:r>
    </w:p>
    <w:p w14:paraId="077DDBC4" w14:textId="77777777" w:rsidR="0024296F" w:rsidRPr="0024296F" w:rsidRDefault="0024296F" w:rsidP="0024296F"/>
    <w:p w14:paraId="05997FEF" w14:textId="7DDBF5E3" w:rsidR="00557B89" w:rsidRPr="006C5B5D" w:rsidRDefault="001602B4" w:rsidP="00CC48FB">
      <w:pPr>
        <w:pStyle w:val="Heading2"/>
      </w:pPr>
      <w:r>
        <w:t xml:space="preserve">2.2.2 </w:t>
      </w:r>
      <w:r w:rsidR="009F6867" w:rsidRPr="006C5B5D">
        <w:t>Buil</w:t>
      </w:r>
      <w:r w:rsidR="009F6867">
        <w:t>t</w:t>
      </w:r>
      <w:r w:rsidR="0052222E" w:rsidRPr="006C5B5D">
        <w:t>-</w:t>
      </w:r>
      <w:r w:rsidR="00217CE1" w:rsidRPr="006C5B5D">
        <w:t>in decision tree</w:t>
      </w:r>
    </w:p>
    <w:p w14:paraId="277A1C96" w14:textId="6DF00A58" w:rsidR="00DB7224" w:rsidRDefault="43107EFE" w:rsidP="78E6B208">
      <w:pPr>
        <w:rPr>
          <w:rFonts w:ascii="Arial" w:hAnsi="Arial" w:cs="Arial"/>
        </w:rPr>
      </w:pPr>
      <w:r w:rsidRPr="78E6B208">
        <w:rPr>
          <w:rFonts w:ascii="Arial" w:hAnsi="Arial" w:cs="Arial"/>
        </w:rPr>
        <w:t xml:space="preserve">One of the knowledge-aided features includes built-in decision trees to support assessment processes. For instance, embedded decision trees guide assessors through the necessary steps to </w:t>
      </w:r>
      <w:r w:rsidR="14A82378" w:rsidRPr="78E6B208">
        <w:rPr>
          <w:rFonts w:ascii="Arial" w:hAnsi="Arial" w:cs="Arial"/>
        </w:rPr>
        <w:t xml:space="preserve">assess the </w:t>
      </w:r>
      <w:r w:rsidR="40D0FBA0" w:rsidRPr="78E6B208">
        <w:rPr>
          <w:rFonts w:ascii="Arial" w:hAnsi="Arial" w:cs="Arial"/>
        </w:rPr>
        <w:t xml:space="preserve">adequacy of </w:t>
      </w:r>
      <w:r w:rsidRPr="78E6B208">
        <w:rPr>
          <w:rFonts w:ascii="Arial" w:hAnsi="Arial" w:cs="Arial"/>
        </w:rPr>
        <w:t xml:space="preserve">microbial </w:t>
      </w:r>
      <w:r w:rsidR="14A82378" w:rsidRPr="78E6B208">
        <w:rPr>
          <w:rFonts w:ascii="Arial" w:hAnsi="Arial" w:cs="Arial"/>
        </w:rPr>
        <w:t xml:space="preserve">controls </w:t>
      </w:r>
      <w:r w:rsidR="6E8F7BC5" w:rsidRPr="78E6B208">
        <w:rPr>
          <w:rFonts w:ascii="Arial" w:hAnsi="Arial" w:cs="Arial"/>
        </w:rPr>
        <w:t xml:space="preserve">during </w:t>
      </w:r>
      <w:r w:rsidRPr="78E6B208">
        <w:rPr>
          <w:rFonts w:ascii="Arial" w:hAnsi="Arial" w:cs="Arial"/>
        </w:rPr>
        <w:t xml:space="preserve">manufacturing and </w:t>
      </w:r>
      <w:r w:rsidR="6E8F7BC5" w:rsidRPr="78E6B208">
        <w:rPr>
          <w:rFonts w:ascii="Arial" w:hAnsi="Arial" w:cs="Arial"/>
        </w:rPr>
        <w:t xml:space="preserve">in the finished </w:t>
      </w:r>
      <w:r w:rsidR="439C6E3B" w:rsidRPr="78E6B208">
        <w:rPr>
          <w:rFonts w:ascii="Arial" w:hAnsi="Arial" w:cs="Arial"/>
        </w:rPr>
        <w:t>non-</w:t>
      </w:r>
      <w:r w:rsidR="0E4BB338" w:rsidRPr="78E6B208">
        <w:rPr>
          <w:rFonts w:ascii="Arial" w:hAnsi="Arial" w:cs="Arial"/>
        </w:rPr>
        <w:t xml:space="preserve">sterile SODF </w:t>
      </w:r>
      <w:r w:rsidR="5B03E2F1" w:rsidRPr="78E6B208">
        <w:rPr>
          <w:rFonts w:ascii="Arial" w:hAnsi="Arial" w:cs="Arial"/>
        </w:rPr>
        <w:t>d</w:t>
      </w:r>
      <w:r w:rsidR="3C1F03CD" w:rsidRPr="78E6B208">
        <w:rPr>
          <w:rFonts w:ascii="Arial" w:hAnsi="Arial" w:cs="Arial"/>
        </w:rPr>
        <w:t xml:space="preserve">rug </w:t>
      </w:r>
      <w:r w:rsidRPr="78E6B208">
        <w:rPr>
          <w:rFonts w:ascii="Arial" w:hAnsi="Arial" w:cs="Arial"/>
        </w:rPr>
        <w:t xml:space="preserve">products. </w:t>
      </w:r>
      <w:r w:rsidR="37024049" w:rsidRPr="78E6B208">
        <w:rPr>
          <w:rFonts w:ascii="Arial" w:hAnsi="Arial" w:cs="Arial"/>
        </w:rPr>
        <w:t>Th</w:t>
      </w:r>
      <w:r w:rsidR="184D0467" w:rsidRPr="78E6B208">
        <w:rPr>
          <w:rFonts w:ascii="Arial" w:hAnsi="Arial" w:cs="Arial"/>
        </w:rPr>
        <w:t>ese</w:t>
      </w:r>
      <w:r w:rsidR="37024049" w:rsidRPr="78E6B208">
        <w:rPr>
          <w:rFonts w:ascii="Arial" w:hAnsi="Arial" w:cs="Arial"/>
        </w:rPr>
        <w:t xml:space="preserve"> </w:t>
      </w:r>
      <w:r w:rsidR="40D0FBA0" w:rsidRPr="78E6B208">
        <w:rPr>
          <w:rFonts w:ascii="Arial" w:hAnsi="Arial" w:cs="Arial"/>
        </w:rPr>
        <w:t xml:space="preserve">microbial control </w:t>
      </w:r>
      <w:r w:rsidR="37024049" w:rsidRPr="78E6B208">
        <w:rPr>
          <w:rFonts w:ascii="Arial" w:hAnsi="Arial" w:cs="Arial"/>
        </w:rPr>
        <w:t>decision tree</w:t>
      </w:r>
      <w:r w:rsidR="5E80EC0A" w:rsidRPr="78E6B208">
        <w:rPr>
          <w:rFonts w:ascii="Arial" w:hAnsi="Arial" w:cs="Arial"/>
        </w:rPr>
        <w:t>s</w:t>
      </w:r>
      <w:r w:rsidRPr="78E6B208">
        <w:rPr>
          <w:rFonts w:ascii="Arial" w:hAnsi="Arial" w:cs="Arial"/>
        </w:rPr>
        <w:t xml:space="preserve"> follow a risk-based approach. </w:t>
      </w:r>
      <w:r w:rsidR="690616A9" w:rsidRPr="78E6B208">
        <w:rPr>
          <w:rFonts w:ascii="Arial" w:hAnsi="Arial" w:cs="Arial"/>
        </w:rPr>
        <w:t xml:space="preserve">For microbial risk assessment, </w:t>
      </w:r>
      <w:r w:rsidR="5B964D3C" w:rsidRPr="78E6B208">
        <w:rPr>
          <w:rFonts w:ascii="Arial" w:hAnsi="Arial" w:cs="Arial"/>
        </w:rPr>
        <w:t xml:space="preserve">a decision tree is used with an overarching question regarding microbial </w:t>
      </w:r>
      <w:r w:rsidR="0BF79D6C" w:rsidRPr="78E6B208">
        <w:rPr>
          <w:rFonts w:ascii="Arial" w:hAnsi="Arial" w:cs="Arial"/>
        </w:rPr>
        <w:t>specifications</w:t>
      </w:r>
      <w:r w:rsidR="5B964D3C" w:rsidRPr="78E6B208">
        <w:rPr>
          <w:rFonts w:ascii="Arial" w:hAnsi="Arial" w:cs="Arial"/>
        </w:rPr>
        <w:t xml:space="preserve"> for drug product at release and </w:t>
      </w:r>
      <w:r w:rsidR="5C4D7599" w:rsidRPr="78E6B208">
        <w:rPr>
          <w:rFonts w:ascii="Arial" w:hAnsi="Arial" w:cs="Arial"/>
        </w:rPr>
        <w:t xml:space="preserve">on </w:t>
      </w:r>
      <w:r w:rsidR="5B964D3C" w:rsidRPr="78E6B208">
        <w:rPr>
          <w:rFonts w:ascii="Arial" w:hAnsi="Arial" w:cs="Arial"/>
        </w:rPr>
        <w:t>stability</w:t>
      </w:r>
      <w:r w:rsidR="0BF79D6C" w:rsidRPr="78E6B208">
        <w:rPr>
          <w:rFonts w:ascii="Arial" w:hAnsi="Arial" w:cs="Arial"/>
        </w:rPr>
        <w:t xml:space="preserve"> and then dwells into other detailed assessment based on risk factors such as </w:t>
      </w:r>
      <w:r w:rsidRPr="78E6B208">
        <w:rPr>
          <w:rFonts w:ascii="Arial" w:hAnsi="Arial" w:cs="Arial"/>
        </w:rPr>
        <w:t xml:space="preserve">formulation details, raw material specifications </w:t>
      </w:r>
      <w:r w:rsidR="7DA3C087" w:rsidRPr="78E6B208">
        <w:rPr>
          <w:rFonts w:ascii="Arial" w:hAnsi="Arial" w:cs="Arial"/>
        </w:rPr>
        <w:t xml:space="preserve">for </w:t>
      </w:r>
      <w:r w:rsidR="435D2778" w:rsidRPr="78E6B208">
        <w:rPr>
          <w:rFonts w:ascii="Arial" w:hAnsi="Arial" w:cs="Arial"/>
        </w:rPr>
        <w:t xml:space="preserve">drug substance </w:t>
      </w:r>
      <w:r w:rsidRPr="78E6B208">
        <w:rPr>
          <w:rFonts w:ascii="Arial" w:hAnsi="Arial" w:cs="Arial"/>
        </w:rPr>
        <w:t>and excipients, and stability results. Each step is automatically recorded</w:t>
      </w:r>
      <w:r w:rsidR="7BFD83E9" w:rsidRPr="78E6B208">
        <w:rPr>
          <w:rFonts w:ascii="Arial" w:hAnsi="Arial" w:cs="Arial"/>
        </w:rPr>
        <w:t xml:space="preserve">. </w:t>
      </w:r>
      <w:r w:rsidR="00071B90" w:rsidRPr="00071B90">
        <w:rPr>
          <w:rFonts w:ascii="Arial" w:hAnsi="Arial" w:cs="Arial"/>
          <w:color w:val="2F5496" w:themeColor="accent1" w:themeShade="BF"/>
        </w:rPr>
        <w:t>The system flags concerns and automatically generates boilerplate language developed internally by microbial subject experts for an information request, which is subsequently reviewed and modified as necessary by the assessors, minimizing the need for extensive</w:t>
      </w:r>
      <w:r w:rsidR="00771EC5">
        <w:rPr>
          <w:rFonts w:ascii="Arial" w:hAnsi="Arial" w:cs="Arial"/>
          <w:color w:val="2F5496" w:themeColor="accent1" w:themeShade="BF"/>
        </w:rPr>
        <w:t xml:space="preserve"> </w:t>
      </w:r>
      <w:r w:rsidR="00071B90" w:rsidRPr="00071B90">
        <w:rPr>
          <w:rFonts w:ascii="Arial" w:hAnsi="Arial" w:cs="Arial"/>
          <w:color w:val="2F5496" w:themeColor="accent1" w:themeShade="BF"/>
        </w:rPr>
        <w:t>editing</w:t>
      </w:r>
      <w:r w:rsidR="00071B90" w:rsidRPr="00071B90">
        <w:rPr>
          <w:rFonts w:ascii="Arial" w:hAnsi="Arial" w:cs="Arial"/>
        </w:rPr>
        <w:t>.</w:t>
      </w:r>
    </w:p>
    <w:p w14:paraId="77379A95" w14:textId="77777777" w:rsidR="001602B4" w:rsidRDefault="001602B4" w:rsidP="00DB7224">
      <w:pPr>
        <w:rPr>
          <w:rFonts w:ascii="Arial" w:hAnsi="Arial" w:cs="Arial"/>
        </w:rPr>
      </w:pPr>
    </w:p>
    <w:p w14:paraId="27AC6CB9" w14:textId="44898521" w:rsidR="00B63EC4" w:rsidRPr="006C5B5D" w:rsidRDefault="001602B4" w:rsidP="00FE6B83">
      <w:pPr>
        <w:pStyle w:val="Heading2"/>
      </w:pPr>
      <w:r>
        <w:t xml:space="preserve">2.2.3 </w:t>
      </w:r>
      <w:r w:rsidR="00286D5E" w:rsidRPr="006C5B5D">
        <w:t>Links for integrated databases</w:t>
      </w:r>
    </w:p>
    <w:p w14:paraId="610FD761" w14:textId="52B81DD1" w:rsidR="001602B4" w:rsidRDefault="00CE5FD0" w:rsidP="004B4113">
      <w:pPr>
        <w:rPr>
          <w:rFonts w:ascii="Arial" w:hAnsi="Arial" w:cs="Arial"/>
        </w:rPr>
      </w:pPr>
      <w:r w:rsidRPr="6A1CF87C">
        <w:rPr>
          <w:rFonts w:ascii="Arial" w:hAnsi="Arial" w:cs="Arial"/>
        </w:rPr>
        <w:t xml:space="preserve">KASA provides real-time access to multiple databases, enabling assessors to quickly retrieve up-to-date information with just a few clicks. During facility assessments, assessors can access comprehensive data from various FDA </w:t>
      </w:r>
      <w:r w:rsidR="00F5769D" w:rsidRPr="6A1CF87C">
        <w:rPr>
          <w:rFonts w:ascii="Arial" w:hAnsi="Arial" w:cs="Arial"/>
        </w:rPr>
        <w:t>centered databases</w:t>
      </w:r>
      <w:r w:rsidRPr="6A1CF87C">
        <w:rPr>
          <w:rFonts w:ascii="Arial" w:hAnsi="Arial" w:cs="Arial"/>
        </w:rPr>
        <w:t>, including supply chain details,</w:t>
      </w:r>
      <w:r w:rsidR="0F4D1F77" w:rsidRPr="6A1CF87C">
        <w:rPr>
          <w:rFonts w:ascii="Arial" w:hAnsi="Arial" w:cs="Arial"/>
        </w:rPr>
        <w:t xml:space="preserve"> </w:t>
      </w:r>
      <w:r w:rsidR="0F4D1F77" w:rsidRPr="6A1CF87C">
        <w:rPr>
          <w:rFonts w:ascii="Arial" w:hAnsi="Arial" w:cs="Arial"/>
          <w:color w:val="000000" w:themeColor="text1"/>
        </w:rPr>
        <w:lastRenderedPageBreak/>
        <w:t>c</w:t>
      </w:r>
      <w:r w:rsidR="088C255F" w:rsidRPr="6A1CF87C">
        <w:rPr>
          <w:rFonts w:ascii="Arial" w:hAnsi="Arial" w:cs="Arial"/>
          <w:color w:val="000000" w:themeColor="text1"/>
        </w:rPr>
        <w:t>urrent</w:t>
      </w:r>
      <w:r w:rsidRPr="6A1CF87C">
        <w:rPr>
          <w:rFonts w:ascii="Arial" w:hAnsi="Arial" w:cs="Arial"/>
          <w:color w:val="000000" w:themeColor="text1"/>
        </w:rPr>
        <w:t xml:space="preserve"> </w:t>
      </w:r>
      <w:r w:rsidR="5E9BA3C0" w:rsidRPr="6A1CF87C">
        <w:rPr>
          <w:rFonts w:ascii="Arial" w:hAnsi="Arial" w:cs="Arial"/>
          <w:color w:val="000000" w:themeColor="text1"/>
        </w:rPr>
        <w:t xml:space="preserve">Good Manufacturing Practice (cGMP) </w:t>
      </w:r>
      <w:r w:rsidRPr="6A1CF87C">
        <w:rPr>
          <w:rFonts w:ascii="Arial" w:hAnsi="Arial" w:cs="Arial"/>
        </w:rPr>
        <w:t xml:space="preserve">compliance </w:t>
      </w:r>
      <w:r w:rsidR="00F26DC7" w:rsidRPr="6A1CF87C">
        <w:rPr>
          <w:rFonts w:ascii="Arial" w:hAnsi="Arial" w:cs="Arial"/>
        </w:rPr>
        <w:t>history</w:t>
      </w:r>
      <w:r w:rsidR="003811CC" w:rsidRPr="6A1CF87C">
        <w:rPr>
          <w:rFonts w:ascii="Arial" w:hAnsi="Arial" w:cs="Arial"/>
        </w:rPr>
        <w:t xml:space="preserve"> of facilities</w:t>
      </w:r>
      <w:r w:rsidRPr="6A1CF87C">
        <w:rPr>
          <w:rFonts w:ascii="Arial" w:hAnsi="Arial" w:cs="Arial"/>
        </w:rPr>
        <w:t>,</w:t>
      </w:r>
      <w:r w:rsidR="3A81E0C3" w:rsidRPr="6A1CF87C">
        <w:rPr>
          <w:rFonts w:ascii="Arial" w:hAnsi="Arial" w:cs="Arial"/>
        </w:rPr>
        <w:t xml:space="preserve"> and </w:t>
      </w:r>
      <w:r w:rsidRPr="6A1CF87C">
        <w:rPr>
          <w:rFonts w:ascii="Arial" w:hAnsi="Arial" w:cs="Arial"/>
        </w:rPr>
        <w:t>inspection</w:t>
      </w:r>
      <w:r w:rsidR="3EE9B66B" w:rsidRPr="6A1CF87C">
        <w:rPr>
          <w:rFonts w:ascii="Arial" w:hAnsi="Arial" w:cs="Arial"/>
        </w:rPr>
        <w:t xml:space="preserve"> result</w:t>
      </w:r>
      <w:r w:rsidR="776513FB" w:rsidRPr="6A1CF87C">
        <w:rPr>
          <w:rFonts w:ascii="Arial" w:hAnsi="Arial" w:cs="Arial"/>
        </w:rPr>
        <w:t>s</w:t>
      </w:r>
      <w:r w:rsidR="00BE2BB3" w:rsidRPr="6A1CF87C">
        <w:rPr>
          <w:rFonts w:ascii="Arial" w:hAnsi="Arial" w:cs="Arial"/>
        </w:rPr>
        <w:t>.</w:t>
      </w:r>
    </w:p>
    <w:p w14:paraId="0ED40F3F" w14:textId="77777777" w:rsidR="00763DFB" w:rsidRDefault="00763DFB" w:rsidP="004B4113">
      <w:pPr>
        <w:rPr>
          <w:rFonts w:ascii="Arial" w:hAnsi="Arial" w:cs="Arial"/>
        </w:rPr>
      </w:pPr>
    </w:p>
    <w:p w14:paraId="5045D4B6" w14:textId="2AB5E899" w:rsidR="0040568D" w:rsidRPr="006C5B5D" w:rsidRDefault="001602B4" w:rsidP="00FE6B83">
      <w:pPr>
        <w:pStyle w:val="Heading2"/>
      </w:pPr>
      <w:r>
        <w:t xml:space="preserve">2.2.4 </w:t>
      </w:r>
      <w:r w:rsidR="005154B4" w:rsidRPr="006C5B5D">
        <w:t>Quantitative</w:t>
      </w:r>
      <w:r w:rsidR="0043425F" w:rsidRPr="006C5B5D">
        <w:t xml:space="preserve"> models</w:t>
      </w:r>
      <w:r w:rsidR="009702C6" w:rsidRPr="006C5B5D">
        <w:t xml:space="preserve"> for initial risk </w:t>
      </w:r>
      <w:r w:rsidR="002F5A45">
        <w:t>assessment</w:t>
      </w:r>
    </w:p>
    <w:p w14:paraId="0523DD83" w14:textId="2F43910B" w:rsidR="008147D1" w:rsidRDefault="00B90A30" w:rsidP="6E98053B">
      <w:pPr>
        <w:pStyle w:val="Heading2"/>
        <w:rPr>
          <w:rFonts w:eastAsiaTheme="minorEastAsia" w:cs="Arial"/>
          <w:b w:val="0"/>
          <w:color w:val="auto"/>
          <w:sz w:val="22"/>
          <w:szCs w:val="22"/>
        </w:rPr>
      </w:pPr>
      <w:bookmarkStart w:id="1" w:name="_Toc176894526"/>
      <w:r w:rsidRPr="6E98053B">
        <w:rPr>
          <w:rFonts w:eastAsiaTheme="minorEastAsia" w:cs="Arial"/>
          <w:b w:val="0"/>
          <w:color w:val="000000" w:themeColor="text1"/>
          <w:sz w:val="22"/>
          <w:szCs w:val="22"/>
        </w:rPr>
        <w:t>A</w:t>
      </w:r>
      <w:r w:rsidR="001863DB" w:rsidRPr="6E98053B">
        <w:rPr>
          <w:rFonts w:eastAsiaTheme="minorEastAsia" w:cs="Arial"/>
          <w:b w:val="0"/>
          <w:color w:val="000000" w:themeColor="text1"/>
          <w:sz w:val="22"/>
          <w:szCs w:val="22"/>
        </w:rPr>
        <w:t xml:space="preserve"> key pillar </w:t>
      </w:r>
      <w:r w:rsidRPr="6E98053B">
        <w:rPr>
          <w:rFonts w:eastAsiaTheme="minorEastAsia" w:cs="Arial"/>
          <w:b w:val="0"/>
          <w:color w:val="000000" w:themeColor="text1"/>
          <w:sz w:val="22"/>
          <w:szCs w:val="22"/>
        </w:rPr>
        <w:t>of KASA is</w:t>
      </w:r>
      <w:r w:rsidR="001863DB" w:rsidRPr="6E98053B">
        <w:rPr>
          <w:rFonts w:eastAsiaTheme="minorEastAsia" w:cs="Arial"/>
          <w:b w:val="0"/>
          <w:color w:val="000000" w:themeColor="text1"/>
          <w:sz w:val="22"/>
          <w:szCs w:val="22"/>
        </w:rPr>
        <w:t xml:space="preserve"> </w:t>
      </w:r>
      <w:r w:rsidRPr="6E98053B">
        <w:rPr>
          <w:rFonts w:eastAsiaTheme="minorEastAsia" w:cs="Arial"/>
          <w:b w:val="0"/>
          <w:color w:val="000000" w:themeColor="text1"/>
          <w:sz w:val="22"/>
          <w:szCs w:val="22"/>
        </w:rPr>
        <w:t>applying</w:t>
      </w:r>
      <w:r w:rsidR="001863DB" w:rsidRPr="6E98053B">
        <w:rPr>
          <w:rFonts w:eastAsiaTheme="minorEastAsia" w:cs="Arial"/>
          <w:b w:val="0"/>
          <w:color w:val="000000" w:themeColor="text1"/>
          <w:sz w:val="22"/>
          <w:szCs w:val="22"/>
        </w:rPr>
        <w:t xml:space="preserve"> predefined rules and algorithms to estimate initial risks</w:t>
      </w:r>
      <w:r w:rsidRPr="6E98053B">
        <w:rPr>
          <w:rFonts w:eastAsiaTheme="minorEastAsia" w:cs="Arial"/>
          <w:b w:val="0"/>
          <w:color w:val="000000" w:themeColor="text1"/>
          <w:sz w:val="22"/>
          <w:szCs w:val="22"/>
        </w:rPr>
        <w:t xml:space="preserve"> for drug </w:t>
      </w:r>
      <w:r w:rsidR="00150D07">
        <w:rPr>
          <w:rFonts w:eastAsiaTheme="minorEastAsia" w:cs="Arial"/>
          <w:b w:val="0"/>
          <w:color w:val="000000" w:themeColor="text1"/>
          <w:sz w:val="22"/>
          <w:szCs w:val="22"/>
        </w:rPr>
        <w:t xml:space="preserve">product </w:t>
      </w:r>
      <w:r w:rsidRPr="6E98053B">
        <w:rPr>
          <w:rFonts w:eastAsiaTheme="minorEastAsia" w:cs="Arial"/>
          <w:b w:val="0"/>
          <w:color w:val="000000" w:themeColor="text1"/>
          <w:sz w:val="22"/>
          <w:szCs w:val="22"/>
        </w:rPr>
        <w:t xml:space="preserve">quality </w:t>
      </w:r>
      <w:r w:rsidRPr="6E98053B">
        <w:rPr>
          <w:rFonts w:eastAsiaTheme="minorEastAsia" w:cs="Arial"/>
          <w:b w:val="0"/>
          <w:color w:val="auto"/>
          <w:sz w:val="22"/>
          <w:szCs w:val="22"/>
          <w:shd w:val="clear" w:color="auto" w:fill="E6E6E6"/>
        </w:rPr>
        <w:fldChar w:fldCharType="begin"/>
      </w:r>
      <w:r w:rsidRPr="6E98053B">
        <w:rPr>
          <w:rFonts w:eastAsiaTheme="minorEastAsia" w:cs="Arial"/>
          <w:b w:val="0"/>
          <w:color w:val="auto"/>
          <w:sz w:val="22"/>
          <w:szCs w:val="22"/>
        </w:rPr>
        <w:instrText xml:space="preserve"> ADDIN EN.CITE &lt;EndNote&gt;&lt;Cite&gt;&lt;Author&gt;Yu&lt;/Author&gt;&lt;Year&gt;2019&lt;/Year&gt;&lt;RecNum&gt;1&lt;/RecNum&gt;&lt;DisplayText&gt;(Yu, et al, 2019)&lt;/DisplayText&gt;&lt;record&gt;&lt;rec-number&gt;1&lt;/rec-number&gt;&lt;foreign-keys&gt;&lt;key app="EN" db-id="retve2w0r25svretdfkxxaprfsr0990sw95r" timestamp="1726262114"&gt;1&lt;/key&gt;&lt;/foreign-keys&gt;&lt;ref-type name="Journal Article"&gt;17&lt;/ref-type&gt;&lt;contributors&gt;&lt;authors&gt;&lt;author&gt;Yu, Lawrence X.&lt;/author&gt;&lt;author&gt;Raw, Andre&lt;/author&gt;&lt;author&gt;Wu, Larisa&lt;/author&gt;&lt;author&gt;Capacci-Daniel, Christina&lt;/author&gt;&lt;author&gt;Zhang, Ying&lt;/author&gt;&lt;author&gt;Rosencrance, Susan&lt;/author&gt;&lt;/authors&gt;&lt;/contributors&gt;&lt;titles&gt;&lt;title&gt;FDA’s new pharmaceutical quality initiative: Knowledge-aided assessment &amp;amp; structured applications&lt;/title&gt;&lt;secondary-title&gt;International Journal of Pharmaceutics: X&lt;/secondary-title&gt;&lt;/titles&gt;&lt;periodical&gt;&lt;full-title&gt;International Journal of Pharmaceutics: X&lt;/full-title&gt;&lt;/periodical&gt;&lt;pages&gt;100010&lt;/pages&gt;&lt;volume&gt;1&lt;/volume&gt;&lt;keywords&gt;&lt;keyword&gt;Pharmaceutical quality&lt;/keyword&gt;&lt;keyword&gt;Knowledge management&lt;/keyword&gt;&lt;keyword&gt;Risk assessment&lt;/keyword&gt;&lt;keyword&gt;Risk control&lt;/keyword&gt;&lt;keyword&gt;Structured application&lt;/keyword&gt;&lt;/keywords&gt;&lt;dates&gt;&lt;year&gt;2019&lt;/year&gt;&lt;pub-dates&gt;&lt;date&gt;2019/12/01/&lt;/date&gt;&lt;/pub-dates&gt;&lt;/dates&gt;&lt;isbn&gt;2590-1567&lt;/isbn&gt;&lt;urls&gt;&lt;related-urls&gt;&lt;url&gt;https://www.sciencedirect.com/science/article/pii/S2590156719300246&lt;/url&gt;&lt;/related-urls&gt;&lt;/urls&gt;&lt;electronic-resource-num&gt;https://doi.org/10.1016/j.ijpx.2019.100010&lt;/electronic-resource-num&gt;&lt;/record&gt;&lt;/Cite&gt;&lt;/EndNote&gt;</w:instrText>
      </w:r>
      <w:r w:rsidRPr="6E98053B">
        <w:rPr>
          <w:rFonts w:eastAsiaTheme="minorEastAsia" w:cs="Arial"/>
          <w:b w:val="0"/>
          <w:color w:val="auto"/>
          <w:sz w:val="22"/>
          <w:szCs w:val="22"/>
          <w:shd w:val="clear" w:color="auto" w:fill="E6E6E6"/>
        </w:rPr>
        <w:fldChar w:fldCharType="separate"/>
      </w:r>
      <w:r w:rsidR="00E26481" w:rsidRPr="6E98053B">
        <w:rPr>
          <w:rFonts w:eastAsiaTheme="minorEastAsia" w:cs="Arial"/>
          <w:b w:val="0"/>
          <w:noProof/>
          <w:color w:val="auto"/>
          <w:sz w:val="22"/>
          <w:szCs w:val="22"/>
        </w:rPr>
        <w:t>(Yu, et al, 2019)</w:t>
      </w:r>
      <w:r w:rsidRPr="6E98053B">
        <w:rPr>
          <w:rFonts w:eastAsiaTheme="minorEastAsia" w:cs="Arial"/>
          <w:b w:val="0"/>
          <w:color w:val="auto"/>
          <w:sz w:val="22"/>
          <w:szCs w:val="22"/>
          <w:shd w:val="clear" w:color="auto" w:fill="E6E6E6"/>
        </w:rPr>
        <w:fldChar w:fldCharType="end"/>
      </w:r>
      <w:r w:rsidR="001863DB" w:rsidRPr="6E98053B">
        <w:rPr>
          <w:rFonts w:eastAsiaTheme="minorEastAsia" w:cs="Arial"/>
          <w:b w:val="0"/>
          <w:color w:val="auto"/>
          <w:sz w:val="22"/>
          <w:szCs w:val="22"/>
        </w:rPr>
        <w:t xml:space="preserve">. </w:t>
      </w:r>
      <w:r w:rsidR="001863DB" w:rsidRPr="00150D07">
        <w:rPr>
          <w:rFonts w:eastAsiaTheme="minorEastAsia" w:cs="Arial"/>
          <w:b w:val="0"/>
          <w:color w:val="auto"/>
          <w:sz w:val="22"/>
          <w:szCs w:val="22"/>
        </w:rPr>
        <w:t xml:space="preserve">The current </w:t>
      </w:r>
      <w:r w:rsidR="0063077E" w:rsidRPr="009E1E55">
        <w:rPr>
          <w:rFonts w:cs="Arial"/>
          <w:b w:val="0"/>
          <w:sz w:val="22"/>
          <w:szCs w:val="22"/>
        </w:rPr>
        <w:t>manufacturing section of KASA platform for non-sterile SODF ANDAs</w:t>
      </w:r>
      <w:r w:rsidRPr="00150D07">
        <w:rPr>
          <w:rFonts w:eastAsiaTheme="minorEastAsia" w:cs="Arial"/>
          <w:b w:val="0"/>
          <w:color w:val="auto"/>
          <w:sz w:val="22"/>
          <w:szCs w:val="22"/>
        </w:rPr>
        <w:t xml:space="preserve"> </w:t>
      </w:r>
      <w:r w:rsidR="00E26481" w:rsidRPr="00150D07">
        <w:rPr>
          <w:rFonts w:eastAsiaTheme="minorEastAsia" w:cs="Arial"/>
          <w:b w:val="0"/>
          <w:color w:val="auto"/>
          <w:sz w:val="22"/>
          <w:szCs w:val="22"/>
        </w:rPr>
        <w:t xml:space="preserve">has </w:t>
      </w:r>
      <w:r w:rsidR="000E5A61" w:rsidRPr="00150D07">
        <w:rPr>
          <w:rFonts w:eastAsiaTheme="minorEastAsia" w:cs="Arial"/>
          <w:b w:val="0"/>
          <w:color w:val="auto"/>
          <w:sz w:val="22"/>
          <w:szCs w:val="22"/>
        </w:rPr>
        <w:t>embedded</w:t>
      </w:r>
      <w:r w:rsidR="001863DB" w:rsidRPr="00150D07">
        <w:rPr>
          <w:rFonts w:eastAsiaTheme="minorEastAsia" w:cs="Arial"/>
          <w:b w:val="0"/>
          <w:color w:val="auto"/>
          <w:sz w:val="22"/>
          <w:szCs w:val="22"/>
        </w:rPr>
        <w:t xml:space="preserve"> two quantitative risk models: facility </w:t>
      </w:r>
      <w:r w:rsidR="00B87FB4" w:rsidRPr="00150D07">
        <w:rPr>
          <w:rFonts w:eastAsiaTheme="minorEastAsia" w:cs="Arial"/>
          <w:b w:val="0"/>
          <w:color w:val="auto"/>
          <w:sz w:val="22"/>
          <w:szCs w:val="22"/>
        </w:rPr>
        <w:t xml:space="preserve">model </w:t>
      </w:r>
      <w:r w:rsidR="001863DB" w:rsidRPr="00150D07">
        <w:rPr>
          <w:rFonts w:eastAsiaTheme="minorEastAsia" w:cs="Arial"/>
          <w:b w:val="0"/>
          <w:color w:val="auto"/>
          <w:sz w:val="22"/>
          <w:szCs w:val="22"/>
        </w:rPr>
        <w:t>and manufacturing model</w:t>
      </w:r>
      <w:r w:rsidR="00F346EA">
        <w:rPr>
          <w:rFonts w:eastAsiaTheme="minorEastAsia" w:cs="Arial"/>
          <w:b w:val="0"/>
          <w:color w:val="auto"/>
          <w:sz w:val="22"/>
          <w:szCs w:val="22"/>
        </w:rPr>
        <w:t xml:space="preserve"> </w:t>
      </w:r>
      <w:r w:rsidR="009621DD">
        <w:rPr>
          <w:rFonts w:eastAsiaTheme="minorEastAsia" w:cs="Arial"/>
          <w:b w:val="0"/>
          <w:color w:val="auto"/>
          <w:sz w:val="22"/>
          <w:szCs w:val="22"/>
        </w:rPr>
        <w:t>as</w:t>
      </w:r>
      <w:r w:rsidR="0000626B">
        <w:rPr>
          <w:rFonts w:eastAsiaTheme="minorEastAsia" w:cs="Arial"/>
          <w:b w:val="0"/>
          <w:color w:val="auto"/>
          <w:sz w:val="22"/>
          <w:szCs w:val="22"/>
        </w:rPr>
        <w:t xml:space="preserve"> described </w:t>
      </w:r>
      <w:r w:rsidR="00ED5309">
        <w:rPr>
          <w:rFonts w:eastAsiaTheme="minorEastAsia" w:cs="Arial"/>
          <w:b w:val="0"/>
          <w:color w:val="auto"/>
          <w:sz w:val="22"/>
          <w:szCs w:val="22"/>
        </w:rPr>
        <w:t xml:space="preserve">in </w:t>
      </w:r>
      <w:r w:rsidR="00F240A8">
        <w:rPr>
          <w:rFonts w:eastAsiaTheme="minorEastAsia" w:cs="Arial"/>
          <w:b w:val="0"/>
          <w:color w:val="auto"/>
          <w:sz w:val="22"/>
          <w:szCs w:val="22"/>
        </w:rPr>
        <w:t xml:space="preserve">sections </w:t>
      </w:r>
      <w:r w:rsidR="0000626B">
        <w:rPr>
          <w:rFonts w:eastAsiaTheme="minorEastAsia" w:cs="Arial"/>
          <w:b w:val="0"/>
          <w:color w:val="auto"/>
          <w:sz w:val="22"/>
          <w:szCs w:val="22"/>
        </w:rPr>
        <w:t>2.1.1.2 and 2.1.1.3</w:t>
      </w:r>
      <w:r w:rsidR="001863DB" w:rsidRPr="00150D07">
        <w:rPr>
          <w:rFonts w:eastAsiaTheme="minorEastAsia" w:cs="Arial"/>
          <w:b w:val="0"/>
          <w:color w:val="auto"/>
          <w:sz w:val="22"/>
          <w:szCs w:val="22"/>
        </w:rPr>
        <w:t>. Both risk models are based on Failure</w:t>
      </w:r>
      <w:r w:rsidR="001863DB" w:rsidRPr="6E98053B">
        <w:rPr>
          <w:rFonts w:eastAsiaTheme="minorEastAsia" w:cs="Arial"/>
          <w:b w:val="0"/>
          <w:color w:val="auto"/>
          <w:sz w:val="22"/>
          <w:szCs w:val="22"/>
        </w:rPr>
        <w:t xml:space="preserve"> Modes and Effects Analysis (FMEA)</w:t>
      </w:r>
      <w:r w:rsidR="00612583" w:rsidRPr="6E98053B">
        <w:rPr>
          <w:rFonts w:eastAsiaTheme="minorEastAsia" w:cs="Arial"/>
          <w:b w:val="0"/>
          <w:color w:val="auto"/>
          <w:sz w:val="22"/>
          <w:szCs w:val="22"/>
        </w:rPr>
        <w:t xml:space="preserve"> </w:t>
      </w:r>
      <w:r w:rsidR="002A4C05" w:rsidRPr="6E98053B">
        <w:rPr>
          <w:rFonts w:eastAsiaTheme="minorEastAsia" w:cs="Arial"/>
          <w:b w:val="0"/>
          <w:color w:val="auto"/>
          <w:sz w:val="22"/>
          <w:szCs w:val="22"/>
        </w:rPr>
        <w:t>approach</w:t>
      </w:r>
      <w:r w:rsidR="001863DB" w:rsidRPr="6E98053B">
        <w:rPr>
          <w:rFonts w:eastAsiaTheme="minorEastAsia" w:cs="Arial"/>
          <w:b w:val="0"/>
          <w:color w:val="auto"/>
          <w:sz w:val="22"/>
          <w:szCs w:val="22"/>
        </w:rPr>
        <w:t xml:space="preserve">, which evaluates potential failure modes, their causes, and the effects on the system. </w:t>
      </w:r>
      <w:r w:rsidR="00EB09B8" w:rsidRPr="6E98053B">
        <w:rPr>
          <w:rFonts w:eastAsiaTheme="minorEastAsia" w:cs="Arial"/>
          <w:b w:val="0"/>
          <w:color w:val="auto"/>
          <w:sz w:val="22"/>
          <w:szCs w:val="22"/>
        </w:rPr>
        <w:t xml:space="preserve">The FMEA approach starts by identifying failure modes and quantifying the associated risks using the </w:t>
      </w:r>
      <w:bookmarkStart w:id="2" w:name="_Hlk179967741"/>
      <w:r w:rsidR="00EB09B8" w:rsidRPr="6E98053B">
        <w:rPr>
          <w:rFonts w:eastAsiaTheme="minorEastAsia" w:cs="Arial"/>
          <w:b w:val="0"/>
          <w:color w:val="auto"/>
          <w:sz w:val="22"/>
          <w:szCs w:val="22"/>
        </w:rPr>
        <w:t>Risk Priority Number (</w:t>
      </w:r>
      <w:bookmarkEnd w:id="2"/>
      <w:r w:rsidR="00EB09B8" w:rsidRPr="6E98053B">
        <w:rPr>
          <w:rFonts w:eastAsiaTheme="minorEastAsia" w:cs="Arial"/>
          <w:b w:val="0"/>
          <w:color w:val="auto"/>
          <w:sz w:val="22"/>
          <w:szCs w:val="22"/>
        </w:rPr>
        <w:t xml:space="preserve">RPN), which is calculated by multiplying the severity, occurrence, and detection ratings. The </w:t>
      </w:r>
      <w:r w:rsidR="00EE14E4" w:rsidRPr="6E98053B">
        <w:rPr>
          <w:rFonts w:eastAsiaTheme="minorEastAsia" w:cs="Arial"/>
          <w:b w:val="0"/>
          <w:color w:val="auto"/>
          <w:sz w:val="22"/>
          <w:szCs w:val="22"/>
        </w:rPr>
        <w:t xml:space="preserve">quantitative </w:t>
      </w:r>
      <w:r w:rsidR="00282AC7">
        <w:rPr>
          <w:rFonts w:eastAsiaTheme="minorEastAsia" w:cs="Arial"/>
          <w:b w:val="0"/>
          <w:color w:val="auto"/>
          <w:sz w:val="22"/>
          <w:szCs w:val="22"/>
        </w:rPr>
        <w:t>ratings</w:t>
      </w:r>
      <w:r w:rsidR="00282AC7" w:rsidRPr="6E98053B">
        <w:rPr>
          <w:rFonts w:eastAsiaTheme="minorEastAsia" w:cs="Arial"/>
          <w:b w:val="0"/>
          <w:color w:val="auto"/>
          <w:sz w:val="22"/>
          <w:szCs w:val="22"/>
        </w:rPr>
        <w:t xml:space="preserve"> </w:t>
      </w:r>
      <w:r w:rsidR="00EB09B8" w:rsidRPr="6E98053B">
        <w:rPr>
          <w:rFonts w:eastAsiaTheme="minorEastAsia" w:cs="Arial"/>
          <w:b w:val="0"/>
          <w:color w:val="auto"/>
          <w:sz w:val="22"/>
          <w:szCs w:val="22"/>
        </w:rPr>
        <w:t xml:space="preserve">for severity, occurrence, and detection, along with any </w:t>
      </w:r>
      <w:r w:rsidR="00EE14E4" w:rsidRPr="6E98053B">
        <w:rPr>
          <w:rFonts w:eastAsiaTheme="minorEastAsia" w:cs="Arial"/>
          <w:b w:val="0"/>
          <w:color w:val="auto"/>
          <w:sz w:val="22"/>
          <w:szCs w:val="22"/>
        </w:rPr>
        <w:t xml:space="preserve">quantitative </w:t>
      </w:r>
      <w:r w:rsidR="00EB09B8" w:rsidRPr="6E98053B">
        <w:rPr>
          <w:rFonts w:eastAsiaTheme="minorEastAsia" w:cs="Arial"/>
          <w:b w:val="0"/>
          <w:color w:val="auto"/>
          <w:sz w:val="22"/>
          <w:szCs w:val="22"/>
        </w:rPr>
        <w:t xml:space="preserve">modifications to these </w:t>
      </w:r>
      <w:r w:rsidR="00A51BDA">
        <w:rPr>
          <w:rFonts w:eastAsiaTheme="minorEastAsia" w:cs="Arial"/>
          <w:b w:val="0"/>
          <w:color w:val="auto"/>
          <w:sz w:val="22"/>
          <w:szCs w:val="22"/>
        </w:rPr>
        <w:t>ratings</w:t>
      </w:r>
      <w:r w:rsidR="00EB09B8" w:rsidRPr="6E98053B">
        <w:rPr>
          <w:rFonts w:eastAsiaTheme="minorEastAsia" w:cs="Arial"/>
          <w:b w:val="0"/>
          <w:color w:val="auto"/>
          <w:sz w:val="22"/>
          <w:szCs w:val="22"/>
        </w:rPr>
        <w:t xml:space="preserve">, are determined based on </w:t>
      </w:r>
      <w:r w:rsidR="009E2F91">
        <w:rPr>
          <w:rFonts w:eastAsiaTheme="minorEastAsia" w:cs="Arial"/>
          <w:b w:val="0"/>
          <w:color w:val="auto"/>
          <w:sz w:val="22"/>
          <w:szCs w:val="22"/>
        </w:rPr>
        <w:t xml:space="preserve">available </w:t>
      </w:r>
      <w:r w:rsidR="00544DB0">
        <w:rPr>
          <w:rFonts w:eastAsiaTheme="minorEastAsia" w:cs="Arial"/>
          <w:b w:val="0"/>
          <w:color w:val="auto"/>
          <w:sz w:val="22"/>
          <w:szCs w:val="22"/>
        </w:rPr>
        <w:t xml:space="preserve">system </w:t>
      </w:r>
      <w:r w:rsidR="00EB09B8" w:rsidRPr="6E98053B">
        <w:rPr>
          <w:rFonts w:eastAsiaTheme="minorEastAsia" w:cs="Arial"/>
          <w:b w:val="0"/>
          <w:color w:val="auto"/>
          <w:sz w:val="22"/>
          <w:szCs w:val="22"/>
        </w:rPr>
        <w:t>data and input</w:t>
      </w:r>
      <w:r w:rsidR="007E1BB9">
        <w:rPr>
          <w:rFonts w:eastAsiaTheme="minorEastAsia" w:cs="Arial"/>
          <w:b w:val="0"/>
          <w:color w:val="auto"/>
          <w:sz w:val="22"/>
          <w:szCs w:val="22"/>
        </w:rPr>
        <w:t>s</w:t>
      </w:r>
      <w:r w:rsidR="00EB09B8" w:rsidRPr="6E98053B">
        <w:rPr>
          <w:rFonts w:eastAsiaTheme="minorEastAsia" w:cs="Arial"/>
          <w:b w:val="0"/>
          <w:color w:val="auto"/>
          <w:sz w:val="22"/>
          <w:szCs w:val="22"/>
        </w:rPr>
        <w:t xml:space="preserve"> from </w:t>
      </w:r>
      <w:r w:rsidR="005F3F3D" w:rsidRPr="6E98053B">
        <w:rPr>
          <w:rFonts w:eastAsiaTheme="minorEastAsia" w:cs="Arial"/>
          <w:b w:val="0"/>
          <w:color w:val="auto"/>
          <w:sz w:val="22"/>
          <w:szCs w:val="22"/>
        </w:rPr>
        <w:t xml:space="preserve">OPMA’s </w:t>
      </w:r>
      <w:r w:rsidR="00EB09B8" w:rsidRPr="6E98053B">
        <w:rPr>
          <w:rFonts w:eastAsiaTheme="minorEastAsia" w:cs="Arial"/>
          <w:b w:val="0"/>
          <w:color w:val="auto"/>
          <w:sz w:val="22"/>
          <w:szCs w:val="22"/>
        </w:rPr>
        <w:t>subject matter experts.</w:t>
      </w:r>
      <w:r w:rsidR="008C7482" w:rsidRPr="6E98053B">
        <w:rPr>
          <w:rFonts w:eastAsiaTheme="minorEastAsia" w:cs="Arial"/>
          <w:b w:val="0"/>
          <w:color w:val="auto"/>
          <w:sz w:val="22"/>
          <w:szCs w:val="22"/>
        </w:rPr>
        <w:t xml:space="preserve"> </w:t>
      </w:r>
    </w:p>
    <w:p w14:paraId="2AD336E8" w14:textId="77777777" w:rsidR="00763DFB" w:rsidRDefault="00763DFB" w:rsidP="005A3845">
      <w:pPr>
        <w:pStyle w:val="Heading2"/>
        <w:rPr>
          <w:rFonts w:cs="Arial"/>
        </w:rPr>
      </w:pPr>
    </w:p>
    <w:p w14:paraId="3A94BA6B" w14:textId="7A76637A" w:rsidR="00C656F5" w:rsidRPr="00693E2F" w:rsidRDefault="001F1C7E" w:rsidP="005A3845">
      <w:pPr>
        <w:pStyle w:val="Heading2"/>
        <w:rPr>
          <w:rFonts w:cs="Arial"/>
        </w:rPr>
      </w:pPr>
      <w:r w:rsidRPr="00693E2F">
        <w:rPr>
          <w:rFonts w:cs="Arial"/>
        </w:rPr>
        <w:t xml:space="preserve">2.2.5 Automatic validation </w:t>
      </w:r>
    </w:p>
    <w:p w14:paraId="54151446" w14:textId="138AAB7D" w:rsidR="005C37E1" w:rsidRPr="005A3845" w:rsidRDefault="001A487A" w:rsidP="005C37E1">
      <w:pPr>
        <w:rPr>
          <w:rFonts w:ascii="Arial" w:hAnsi="Arial" w:cs="Arial"/>
          <w:color w:val="2F5496" w:themeColor="accent1" w:themeShade="BF"/>
        </w:rPr>
      </w:pPr>
      <w:r w:rsidRPr="005A3845">
        <w:rPr>
          <w:rFonts w:ascii="Arial" w:hAnsi="Arial" w:cs="Arial"/>
          <w:color w:val="2F5496" w:themeColor="accent1" w:themeShade="BF"/>
        </w:rPr>
        <w:t xml:space="preserve">KASA includes automated validation features designed to ensure that all internally required sections within each module and sub-module are completed before the primary assessor can submit the assessment to the secondary assessor. These features also verify that all communications between assessors are fully addressed and resolved </w:t>
      </w:r>
      <w:r w:rsidR="00FE6C0F" w:rsidRPr="00FE6C0F">
        <w:rPr>
          <w:rFonts w:ascii="Arial" w:hAnsi="Arial" w:cs="Arial"/>
          <w:color w:val="2F5496" w:themeColor="accent1" w:themeShade="BF"/>
        </w:rPr>
        <w:t>before</w:t>
      </w:r>
      <w:r w:rsidR="00FE6C0F">
        <w:rPr>
          <w:rFonts w:ascii="Arial" w:hAnsi="Arial" w:cs="Arial"/>
          <w:color w:val="2F5496" w:themeColor="accent1" w:themeShade="BF"/>
        </w:rPr>
        <w:t xml:space="preserve"> </w:t>
      </w:r>
      <w:r w:rsidRPr="005A3845">
        <w:rPr>
          <w:rFonts w:ascii="Arial" w:hAnsi="Arial" w:cs="Arial"/>
          <w:color w:val="2F5496" w:themeColor="accent1" w:themeShade="BF"/>
        </w:rPr>
        <w:t xml:space="preserve">assessment finalization. </w:t>
      </w:r>
      <w:r w:rsidR="0066556D" w:rsidRPr="005A3845">
        <w:rPr>
          <w:rFonts w:ascii="Arial" w:hAnsi="Arial" w:cs="Arial"/>
          <w:color w:val="2F5496" w:themeColor="accent1" w:themeShade="BF"/>
        </w:rPr>
        <w:t>These features promote completeness and thoroughness in the assessment process.</w:t>
      </w:r>
    </w:p>
    <w:p w14:paraId="7D45790E" w14:textId="77777777" w:rsidR="0066556D" w:rsidRDefault="0066556D" w:rsidP="005C37E1"/>
    <w:p w14:paraId="3B90F8F2" w14:textId="722A5408" w:rsidR="005C37E1" w:rsidRPr="00415C90" w:rsidRDefault="00650B25" w:rsidP="005A3845">
      <w:pPr>
        <w:pStyle w:val="Heading1"/>
        <w:spacing w:after="120"/>
      </w:pPr>
      <w:r>
        <w:t xml:space="preserve">3. </w:t>
      </w:r>
      <w:r w:rsidR="005F39D4">
        <w:t>R</w:t>
      </w:r>
      <w:r w:rsidR="004077C0">
        <w:t>isk model discussion</w:t>
      </w:r>
    </w:p>
    <w:p w14:paraId="6FD21078" w14:textId="02A260C8" w:rsidR="00E93958" w:rsidRPr="006C5B5D" w:rsidRDefault="006C5B5D" w:rsidP="006C5B5D">
      <w:pPr>
        <w:pStyle w:val="Heading2"/>
      </w:pPr>
      <w:r>
        <w:t xml:space="preserve">3.1 </w:t>
      </w:r>
      <w:r w:rsidR="00E93958">
        <w:t xml:space="preserve">Facility </w:t>
      </w:r>
      <w:r w:rsidR="0034010B">
        <w:t xml:space="preserve">initial </w:t>
      </w:r>
      <w:r w:rsidR="006F5A02">
        <w:t xml:space="preserve">risk </w:t>
      </w:r>
      <w:r w:rsidR="0034010B">
        <w:t xml:space="preserve">assessment </w:t>
      </w:r>
      <w:r w:rsidR="004E4288">
        <w:t>model</w:t>
      </w:r>
    </w:p>
    <w:bookmarkEnd w:id="1"/>
    <w:p w14:paraId="207410FA" w14:textId="66BA0A52" w:rsidR="00DC246C" w:rsidRPr="00671E6F" w:rsidRDefault="00DC246C" w:rsidP="00DC246C">
      <w:pPr>
        <w:rPr>
          <w:rFonts w:ascii="Arial" w:hAnsi="Arial" w:cs="Arial"/>
        </w:rPr>
      </w:pPr>
      <w:r w:rsidRPr="6E98053B">
        <w:rPr>
          <w:rFonts w:ascii="Arial" w:hAnsi="Arial" w:cs="Arial"/>
        </w:rPr>
        <w:t xml:space="preserve">For a facility risk model, the risk scoring system </w:t>
      </w:r>
      <w:r w:rsidR="00F63413" w:rsidRPr="6E98053B">
        <w:rPr>
          <w:rFonts w:ascii="Arial" w:hAnsi="Arial" w:cs="Arial"/>
        </w:rPr>
        <w:t>is implemented</w:t>
      </w:r>
      <w:r w:rsidRPr="6E98053B">
        <w:rPr>
          <w:rFonts w:ascii="Arial" w:hAnsi="Arial" w:cs="Arial"/>
        </w:rPr>
        <w:t xml:space="preserve"> to reflect each </w:t>
      </w:r>
      <w:r w:rsidR="00CF214D" w:rsidRPr="6E98053B">
        <w:rPr>
          <w:rFonts w:ascii="Arial" w:hAnsi="Arial" w:cs="Arial"/>
        </w:rPr>
        <w:t xml:space="preserve">facility's </w:t>
      </w:r>
      <w:r w:rsidRPr="6E98053B">
        <w:rPr>
          <w:rFonts w:ascii="Arial" w:hAnsi="Arial" w:cs="Arial"/>
        </w:rPr>
        <w:t xml:space="preserve">responsibilities and associated risk categories and factors. A typical commercial drug product manufacturing </w:t>
      </w:r>
      <w:r w:rsidR="008F72B0" w:rsidRPr="6E98053B">
        <w:rPr>
          <w:rFonts w:ascii="Arial" w:hAnsi="Arial" w:cs="Arial"/>
        </w:rPr>
        <w:t>facility</w:t>
      </w:r>
      <w:r w:rsidRPr="6E98053B">
        <w:rPr>
          <w:rFonts w:ascii="Arial" w:hAnsi="Arial" w:cs="Arial"/>
        </w:rPr>
        <w:t>, given its more complex operations compared to a physical chemistry</w:t>
      </w:r>
      <w:r w:rsidR="00D53B2B">
        <w:rPr>
          <w:rFonts w:ascii="Arial" w:hAnsi="Arial" w:cs="Arial"/>
        </w:rPr>
        <w:t xml:space="preserve"> tes</w:t>
      </w:r>
      <w:r w:rsidR="00931DE7">
        <w:rPr>
          <w:rFonts w:ascii="Arial" w:hAnsi="Arial" w:cs="Arial"/>
        </w:rPr>
        <w:t>t</w:t>
      </w:r>
      <w:r w:rsidR="00D53B2B">
        <w:rPr>
          <w:rFonts w:ascii="Arial" w:hAnsi="Arial" w:cs="Arial"/>
        </w:rPr>
        <w:t>ing</w:t>
      </w:r>
      <w:r w:rsidRPr="6E98053B">
        <w:rPr>
          <w:rFonts w:ascii="Arial" w:hAnsi="Arial" w:cs="Arial"/>
        </w:rPr>
        <w:t xml:space="preserve"> lab, </w:t>
      </w:r>
      <w:r w:rsidR="00CC272B" w:rsidRPr="6E98053B">
        <w:rPr>
          <w:rFonts w:ascii="Arial" w:hAnsi="Arial" w:cs="Arial"/>
        </w:rPr>
        <w:t>is</w:t>
      </w:r>
      <w:r w:rsidRPr="6E98053B">
        <w:rPr>
          <w:rFonts w:ascii="Arial" w:hAnsi="Arial" w:cs="Arial"/>
        </w:rPr>
        <w:t xml:space="preserve"> evaluated using a broader range of factors. These may include process experience, quality oversight, quality defect signals, data integrity concerns, and other potential risk contributors</w:t>
      </w:r>
      <w:r w:rsidR="00CD530D" w:rsidRPr="6E98053B">
        <w:rPr>
          <w:rFonts w:ascii="Arial" w:hAnsi="Arial" w:cs="Arial"/>
        </w:rPr>
        <w:t>.</w:t>
      </w:r>
    </w:p>
    <w:p w14:paraId="0EB6AB26" w14:textId="50B4B483" w:rsidR="00DC246C" w:rsidRPr="00671E6F" w:rsidRDefault="00DC246C" w:rsidP="00DC246C">
      <w:pPr>
        <w:rPr>
          <w:rFonts w:ascii="Arial" w:hAnsi="Arial" w:cs="Arial"/>
        </w:rPr>
      </w:pPr>
      <w:r w:rsidRPr="003568E3">
        <w:rPr>
          <w:rFonts w:ascii="Arial" w:hAnsi="Arial" w:cs="Arial"/>
          <w:color w:val="000000" w:themeColor="text1"/>
        </w:rPr>
        <w:t xml:space="preserve">Process </w:t>
      </w:r>
      <w:r w:rsidR="00FE70EA" w:rsidRPr="003568E3">
        <w:rPr>
          <w:rFonts w:ascii="Arial" w:hAnsi="Arial" w:cs="Arial"/>
          <w:color w:val="000000" w:themeColor="text1"/>
        </w:rPr>
        <w:t>experience</w:t>
      </w:r>
      <w:r w:rsidR="00FE70EA" w:rsidRPr="6E98053B">
        <w:rPr>
          <w:rFonts w:ascii="Arial" w:hAnsi="Arial" w:cs="Arial"/>
          <w:color w:val="000000" w:themeColor="text1"/>
        </w:rPr>
        <w:t xml:space="preserve"> </w:t>
      </w:r>
      <w:r w:rsidRPr="6E98053B">
        <w:rPr>
          <w:rFonts w:ascii="Arial" w:hAnsi="Arial" w:cs="Arial"/>
          <w:color w:val="000000" w:themeColor="text1"/>
        </w:rPr>
        <w:t xml:space="preserve">refers to the facility's </w:t>
      </w:r>
      <w:r w:rsidR="29E05CE6" w:rsidRPr="6E98053B">
        <w:rPr>
          <w:rFonts w:ascii="Arial" w:hAnsi="Arial" w:cs="Arial"/>
          <w:color w:val="000000" w:themeColor="text1"/>
        </w:rPr>
        <w:t>experience</w:t>
      </w:r>
      <w:r w:rsidRPr="6E98053B">
        <w:rPr>
          <w:rFonts w:ascii="Arial" w:hAnsi="Arial" w:cs="Arial"/>
          <w:color w:val="000000" w:themeColor="text1"/>
        </w:rPr>
        <w:t xml:space="preserve"> with the type of manufacturing, as informed </w:t>
      </w:r>
      <w:r w:rsidR="00C822E9" w:rsidRPr="6E98053B">
        <w:rPr>
          <w:rFonts w:ascii="Arial" w:hAnsi="Arial" w:cs="Arial"/>
          <w:color w:val="000000" w:themeColor="text1"/>
        </w:rPr>
        <w:t>from</w:t>
      </w:r>
      <w:r w:rsidRPr="6E98053B">
        <w:rPr>
          <w:rFonts w:ascii="Arial" w:hAnsi="Arial" w:cs="Arial"/>
          <w:color w:val="000000" w:themeColor="text1"/>
        </w:rPr>
        <w:t xml:space="preserve"> </w:t>
      </w:r>
      <w:r w:rsidR="16ADACA5" w:rsidRPr="6E98053B">
        <w:rPr>
          <w:rFonts w:ascii="Arial" w:hAnsi="Arial" w:cs="Arial"/>
          <w:color w:val="000000" w:themeColor="text1"/>
        </w:rPr>
        <w:t>inspections</w:t>
      </w:r>
      <w:r w:rsidRPr="6E98053B">
        <w:rPr>
          <w:rFonts w:ascii="Arial" w:hAnsi="Arial" w:cs="Arial"/>
          <w:color w:val="000000" w:themeColor="text1"/>
        </w:rPr>
        <w:t xml:space="preserve">. </w:t>
      </w:r>
      <w:r w:rsidRPr="6E98053B">
        <w:rPr>
          <w:rFonts w:ascii="Arial" w:hAnsi="Arial" w:cs="Arial"/>
        </w:rPr>
        <w:t xml:space="preserve">This </w:t>
      </w:r>
      <w:r w:rsidR="00E423CE" w:rsidRPr="6E98053B">
        <w:rPr>
          <w:rFonts w:ascii="Arial" w:hAnsi="Arial" w:cs="Arial"/>
        </w:rPr>
        <w:t xml:space="preserve">factor </w:t>
      </w:r>
      <w:r w:rsidRPr="6E98053B">
        <w:rPr>
          <w:rFonts w:ascii="Arial" w:hAnsi="Arial" w:cs="Arial"/>
        </w:rPr>
        <w:t xml:space="preserve">includes whether the facility is engaged in </w:t>
      </w:r>
      <w:r w:rsidR="008C5765" w:rsidRPr="6E98053B">
        <w:rPr>
          <w:rFonts w:ascii="Arial" w:hAnsi="Arial" w:cs="Arial"/>
        </w:rPr>
        <w:t xml:space="preserve">similar </w:t>
      </w:r>
      <w:r w:rsidR="59869495" w:rsidRPr="6E98053B">
        <w:rPr>
          <w:rFonts w:ascii="Arial" w:hAnsi="Arial" w:cs="Arial"/>
        </w:rPr>
        <w:t xml:space="preserve">unit </w:t>
      </w:r>
      <w:r w:rsidRPr="6E98053B">
        <w:rPr>
          <w:rFonts w:ascii="Arial" w:hAnsi="Arial" w:cs="Arial"/>
        </w:rPr>
        <w:t xml:space="preserve">operations or </w:t>
      </w:r>
      <w:r w:rsidR="6167B494" w:rsidRPr="6E98053B">
        <w:rPr>
          <w:rFonts w:ascii="Arial" w:hAnsi="Arial" w:cs="Arial"/>
        </w:rPr>
        <w:t xml:space="preserve">changing to a </w:t>
      </w:r>
      <w:r w:rsidRPr="6E98053B">
        <w:rPr>
          <w:rFonts w:ascii="Arial" w:hAnsi="Arial" w:cs="Arial"/>
        </w:rPr>
        <w:t xml:space="preserve">more complex or novel process. </w:t>
      </w:r>
      <w:r w:rsidRPr="00A47738">
        <w:rPr>
          <w:rFonts w:ascii="Arial" w:hAnsi="Arial" w:cs="Arial"/>
        </w:rPr>
        <w:t xml:space="preserve">Facilities with no prior inspection history or undergoing significant process changes </w:t>
      </w:r>
      <w:r w:rsidR="00823C4E" w:rsidRPr="00A47738">
        <w:rPr>
          <w:rFonts w:ascii="Arial" w:hAnsi="Arial" w:cs="Arial"/>
        </w:rPr>
        <w:t xml:space="preserve">may </w:t>
      </w:r>
      <w:r w:rsidR="00CC7553" w:rsidRPr="00A47738">
        <w:rPr>
          <w:rFonts w:ascii="Arial" w:hAnsi="Arial" w:cs="Arial"/>
        </w:rPr>
        <w:t xml:space="preserve">likely have a higher risk and </w:t>
      </w:r>
      <w:r w:rsidR="00823C4E" w:rsidRPr="00A47738">
        <w:rPr>
          <w:rFonts w:ascii="Arial" w:hAnsi="Arial" w:cs="Arial"/>
        </w:rPr>
        <w:t xml:space="preserve">need additional </w:t>
      </w:r>
      <w:r w:rsidR="00821E86" w:rsidRPr="00A47738">
        <w:rPr>
          <w:rFonts w:ascii="Arial" w:hAnsi="Arial" w:cs="Arial"/>
        </w:rPr>
        <w:t>scrutin</w:t>
      </w:r>
      <w:r w:rsidR="00821E86" w:rsidRPr="006314A9">
        <w:rPr>
          <w:rFonts w:ascii="Arial" w:hAnsi="Arial" w:cs="Arial"/>
        </w:rPr>
        <w:t>y.</w:t>
      </w:r>
    </w:p>
    <w:p w14:paraId="2AA62D5F" w14:textId="7F42ECA8" w:rsidR="00DC246C" w:rsidRPr="006778F2" w:rsidRDefault="000A3C3C" w:rsidP="00DC246C">
      <w:pPr>
        <w:rPr>
          <w:rFonts w:ascii="Arial" w:hAnsi="Arial" w:cs="Arial"/>
        </w:rPr>
      </w:pPr>
      <w:r w:rsidRPr="6E98053B">
        <w:rPr>
          <w:rFonts w:ascii="Arial" w:hAnsi="Arial" w:cs="Arial"/>
        </w:rPr>
        <w:t xml:space="preserve">Quality </w:t>
      </w:r>
      <w:r w:rsidR="00160959" w:rsidRPr="6E98053B">
        <w:rPr>
          <w:rFonts w:ascii="Arial" w:hAnsi="Arial" w:cs="Arial"/>
        </w:rPr>
        <w:t xml:space="preserve">oversight </w:t>
      </w:r>
      <w:proofErr w:type="gramStart"/>
      <w:r w:rsidRPr="6E98053B">
        <w:rPr>
          <w:rFonts w:ascii="Arial" w:hAnsi="Arial" w:cs="Arial"/>
        </w:rPr>
        <w:t>takes into account</w:t>
      </w:r>
      <w:proofErr w:type="gramEnd"/>
      <w:r w:rsidRPr="6E98053B">
        <w:rPr>
          <w:rFonts w:ascii="Arial" w:hAnsi="Arial" w:cs="Arial"/>
        </w:rPr>
        <w:t xml:space="preserve"> the facility's compliance history, including whether the </w:t>
      </w:r>
      <w:r w:rsidR="00ED4C63" w:rsidRPr="6E98053B">
        <w:rPr>
          <w:rFonts w:ascii="Arial" w:hAnsi="Arial" w:cs="Arial"/>
        </w:rPr>
        <w:t xml:space="preserve">facility </w:t>
      </w:r>
      <w:r w:rsidRPr="6E98053B">
        <w:rPr>
          <w:rFonts w:ascii="Arial" w:hAnsi="Arial" w:cs="Arial"/>
        </w:rPr>
        <w:t xml:space="preserve">has received </w:t>
      </w:r>
      <w:r w:rsidR="00A050DC" w:rsidRPr="6E98053B">
        <w:rPr>
          <w:rFonts w:ascii="Arial" w:hAnsi="Arial" w:cs="Arial"/>
        </w:rPr>
        <w:t xml:space="preserve">Form </w:t>
      </w:r>
      <w:r w:rsidRPr="6E98053B">
        <w:rPr>
          <w:rFonts w:ascii="Arial" w:hAnsi="Arial" w:cs="Arial"/>
        </w:rPr>
        <w:t xml:space="preserve">FDA 483 observations, </w:t>
      </w:r>
      <w:r w:rsidR="0017607D" w:rsidRPr="6E98053B">
        <w:rPr>
          <w:rFonts w:ascii="Arial" w:hAnsi="Arial" w:cs="Arial"/>
        </w:rPr>
        <w:t xml:space="preserve">whether </w:t>
      </w:r>
      <w:r w:rsidR="00E458A6" w:rsidRPr="6E98053B">
        <w:rPr>
          <w:rFonts w:ascii="Arial" w:hAnsi="Arial" w:cs="Arial"/>
        </w:rPr>
        <w:t>the relevant</w:t>
      </w:r>
      <w:r w:rsidR="003911F2" w:rsidRPr="6E98053B">
        <w:rPr>
          <w:rFonts w:ascii="Arial" w:hAnsi="Arial" w:cs="Arial"/>
        </w:rPr>
        <w:t xml:space="preserve"> 483</w:t>
      </w:r>
      <w:r w:rsidR="00E458A6" w:rsidRPr="6E98053B">
        <w:rPr>
          <w:rFonts w:ascii="Arial" w:hAnsi="Arial" w:cs="Arial"/>
        </w:rPr>
        <w:t xml:space="preserve"> </w:t>
      </w:r>
      <w:r w:rsidRPr="6E98053B">
        <w:rPr>
          <w:rFonts w:ascii="Arial" w:hAnsi="Arial" w:cs="Arial"/>
        </w:rPr>
        <w:t xml:space="preserve">observations could </w:t>
      </w:r>
      <w:r w:rsidRPr="6E98053B">
        <w:rPr>
          <w:rFonts w:ascii="Arial" w:hAnsi="Arial" w:cs="Arial"/>
        </w:rPr>
        <w:lastRenderedPageBreak/>
        <w:t xml:space="preserve">impact </w:t>
      </w:r>
      <w:r w:rsidR="003911F2" w:rsidRPr="6E98053B">
        <w:rPr>
          <w:rFonts w:ascii="Arial" w:hAnsi="Arial" w:cs="Arial"/>
        </w:rPr>
        <w:t xml:space="preserve">manufacturing of the </w:t>
      </w:r>
      <w:r w:rsidRPr="6E98053B">
        <w:rPr>
          <w:rFonts w:ascii="Arial" w:hAnsi="Arial" w:cs="Arial"/>
        </w:rPr>
        <w:t xml:space="preserve">proposed drug product, and whether the responses and </w:t>
      </w:r>
      <w:r w:rsidR="0087666B" w:rsidRPr="6E98053B">
        <w:rPr>
          <w:rFonts w:ascii="Arial" w:hAnsi="Arial" w:cs="Arial"/>
        </w:rPr>
        <w:t>Corrective Actions and Preventive Actions (</w:t>
      </w:r>
      <w:r w:rsidRPr="6E98053B">
        <w:rPr>
          <w:rFonts w:ascii="Arial" w:hAnsi="Arial" w:cs="Arial"/>
        </w:rPr>
        <w:t>CAPAs</w:t>
      </w:r>
      <w:r w:rsidR="0087666B" w:rsidRPr="6E98053B">
        <w:rPr>
          <w:rFonts w:ascii="Arial" w:hAnsi="Arial" w:cs="Arial"/>
        </w:rPr>
        <w:t>)</w:t>
      </w:r>
      <w:r w:rsidRPr="6E98053B">
        <w:rPr>
          <w:rFonts w:ascii="Arial" w:hAnsi="Arial" w:cs="Arial"/>
        </w:rPr>
        <w:t xml:space="preserve"> </w:t>
      </w:r>
      <w:r w:rsidR="00562847">
        <w:rPr>
          <w:rFonts w:ascii="Arial" w:hAnsi="Arial" w:cs="Arial"/>
        </w:rPr>
        <w:t>have been</w:t>
      </w:r>
      <w:r w:rsidR="007D1D07" w:rsidRPr="6E98053B">
        <w:rPr>
          <w:rFonts w:ascii="Arial" w:hAnsi="Arial" w:cs="Arial"/>
        </w:rPr>
        <w:t xml:space="preserve"> </w:t>
      </w:r>
      <w:r w:rsidR="00EB6A01" w:rsidRPr="6E98053B">
        <w:rPr>
          <w:rFonts w:ascii="Arial" w:hAnsi="Arial" w:cs="Arial"/>
        </w:rPr>
        <w:t xml:space="preserve">adequate to address </w:t>
      </w:r>
      <w:r w:rsidRPr="6E98053B">
        <w:rPr>
          <w:rFonts w:ascii="Arial" w:hAnsi="Arial" w:cs="Arial"/>
        </w:rPr>
        <w:t xml:space="preserve">the </w:t>
      </w:r>
      <w:r w:rsidR="009E5FAF" w:rsidRPr="6E98053B">
        <w:rPr>
          <w:rFonts w:ascii="Arial" w:hAnsi="Arial" w:cs="Arial"/>
        </w:rPr>
        <w:t>relevant</w:t>
      </w:r>
      <w:r w:rsidRPr="6E98053B">
        <w:rPr>
          <w:rFonts w:ascii="Arial" w:hAnsi="Arial" w:cs="Arial"/>
        </w:rPr>
        <w:t xml:space="preserve"> 483 observations.</w:t>
      </w:r>
      <w:r w:rsidR="00FB3EF7">
        <w:rPr>
          <w:rFonts w:ascii="Arial" w:hAnsi="Arial" w:cs="Arial"/>
        </w:rPr>
        <w:t xml:space="preserve"> </w:t>
      </w:r>
    </w:p>
    <w:p w14:paraId="379A04DC" w14:textId="3BE12105" w:rsidR="00DC246C" w:rsidRPr="00671E6F" w:rsidRDefault="00DC246C" w:rsidP="00DC246C">
      <w:pPr>
        <w:rPr>
          <w:rFonts w:ascii="Arial" w:hAnsi="Arial" w:cs="Arial"/>
        </w:rPr>
      </w:pPr>
      <w:r w:rsidRPr="6E98053B">
        <w:rPr>
          <w:rFonts w:ascii="Arial" w:hAnsi="Arial" w:cs="Arial"/>
        </w:rPr>
        <w:t xml:space="preserve">Quality </w:t>
      </w:r>
      <w:r w:rsidR="00F53271" w:rsidRPr="6E98053B">
        <w:rPr>
          <w:rFonts w:ascii="Arial" w:hAnsi="Arial" w:cs="Arial"/>
        </w:rPr>
        <w:t>d</w:t>
      </w:r>
      <w:r w:rsidRPr="6E98053B">
        <w:rPr>
          <w:rFonts w:ascii="Arial" w:hAnsi="Arial" w:cs="Arial"/>
        </w:rPr>
        <w:t xml:space="preserve">efect </w:t>
      </w:r>
      <w:r w:rsidR="006D0AF1" w:rsidRPr="6E98053B">
        <w:rPr>
          <w:rFonts w:ascii="Arial" w:hAnsi="Arial" w:cs="Arial"/>
        </w:rPr>
        <w:t>signal refer</w:t>
      </w:r>
      <w:r w:rsidR="006778F2" w:rsidRPr="6E98053B">
        <w:rPr>
          <w:rFonts w:ascii="Arial" w:hAnsi="Arial" w:cs="Arial"/>
        </w:rPr>
        <w:t>s</w:t>
      </w:r>
      <w:r w:rsidR="006D0AF1" w:rsidRPr="6E98053B">
        <w:rPr>
          <w:rFonts w:ascii="Arial" w:hAnsi="Arial" w:cs="Arial"/>
        </w:rPr>
        <w:t xml:space="preserve"> to </w:t>
      </w:r>
      <w:r w:rsidRPr="6E98053B">
        <w:rPr>
          <w:rFonts w:ascii="Arial" w:hAnsi="Arial" w:cs="Arial"/>
        </w:rPr>
        <w:t>recent Field Alert Reports (FARs) or product recalls</w:t>
      </w:r>
      <w:r w:rsidR="000A3C3C" w:rsidRPr="6E98053B">
        <w:rPr>
          <w:rFonts w:ascii="Arial" w:hAnsi="Arial" w:cs="Arial"/>
        </w:rPr>
        <w:t xml:space="preserve"> from the facility</w:t>
      </w:r>
      <w:r w:rsidR="00B515A2" w:rsidRPr="6E98053B">
        <w:rPr>
          <w:rFonts w:ascii="Arial" w:hAnsi="Arial" w:cs="Arial"/>
        </w:rPr>
        <w:t xml:space="preserve">, which is </w:t>
      </w:r>
      <w:r w:rsidR="00282A36" w:rsidRPr="6E98053B">
        <w:rPr>
          <w:rFonts w:ascii="Arial" w:hAnsi="Arial" w:cs="Arial"/>
        </w:rPr>
        <w:t>covered</w:t>
      </w:r>
      <w:r w:rsidR="00B515A2" w:rsidRPr="6E98053B">
        <w:rPr>
          <w:rFonts w:ascii="Arial" w:hAnsi="Arial" w:cs="Arial"/>
        </w:rPr>
        <w:t xml:space="preserve"> under </w:t>
      </w:r>
      <w:r w:rsidR="00EA60FB" w:rsidRPr="6E98053B">
        <w:rPr>
          <w:rFonts w:ascii="Arial" w:hAnsi="Arial" w:cs="Arial"/>
        </w:rPr>
        <w:t>c</w:t>
      </w:r>
      <w:r w:rsidR="00B515A2" w:rsidRPr="6E98053B">
        <w:rPr>
          <w:rFonts w:ascii="Arial" w:hAnsi="Arial" w:cs="Arial"/>
        </w:rPr>
        <w:t>GMP</w:t>
      </w:r>
      <w:r w:rsidRPr="6E98053B">
        <w:rPr>
          <w:rFonts w:ascii="Arial" w:hAnsi="Arial" w:cs="Arial"/>
        </w:rPr>
        <w:t xml:space="preserve">. This factor assesses the relevance of these signals to the proposed </w:t>
      </w:r>
      <w:r w:rsidR="00E539AE" w:rsidRPr="6E98053B">
        <w:rPr>
          <w:rFonts w:ascii="Arial" w:hAnsi="Arial" w:cs="Arial"/>
        </w:rPr>
        <w:t xml:space="preserve">drug </w:t>
      </w:r>
      <w:r w:rsidRPr="6E98053B">
        <w:rPr>
          <w:rFonts w:ascii="Arial" w:hAnsi="Arial" w:cs="Arial"/>
        </w:rPr>
        <w:t>product and whether sufficient CAPAs</w:t>
      </w:r>
      <w:r w:rsidR="0087666B" w:rsidRPr="6E98053B">
        <w:rPr>
          <w:rFonts w:ascii="Arial" w:hAnsi="Arial" w:cs="Arial"/>
        </w:rPr>
        <w:t xml:space="preserve"> </w:t>
      </w:r>
      <w:r w:rsidRPr="6E98053B">
        <w:rPr>
          <w:rFonts w:ascii="Arial" w:hAnsi="Arial" w:cs="Arial"/>
        </w:rPr>
        <w:t>have been implemented</w:t>
      </w:r>
      <w:r w:rsidR="002974DE" w:rsidRPr="6E98053B">
        <w:rPr>
          <w:rFonts w:ascii="Arial" w:hAnsi="Arial" w:cs="Arial"/>
        </w:rPr>
        <w:t xml:space="preserve"> to adequa</w:t>
      </w:r>
      <w:r w:rsidR="00F85865" w:rsidRPr="6E98053B">
        <w:rPr>
          <w:rFonts w:ascii="Arial" w:hAnsi="Arial" w:cs="Arial"/>
        </w:rPr>
        <w:t>tely address the risk</w:t>
      </w:r>
      <w:r w:rsidR="00B03EF8" w:rsidRPr="6E98053B">
        <w:rPr>
          <w:rFonts w:ascii="Arial" w:hAnsi="Arial" w:cs="Arial"/>
        </w:rPr>
        <w:t xml:space="preserve"> from the FARs or recalls</w:t>
      </w:r>
      <w:r w:rsidRPr="6E98053B">
        <w:rPr>
          <w:rFonts w:ascii="Arial" w:hAnsi="Arial" w:cs="Arial"/>
        </w:rPr>
        <w:t xml:space="preserve">. </w:t>
      </w:r>
    </w:p>
    <w:p w14:paraId="201242E3" w14:textId="6ED78CF6" w:rsidR="00DC246C" w:rsidRPr="00671E6F" w:rsidRDefault="00DC246C" w:rsidP="00DC246C">
      <w:pPr>
        <w:rPr>
          <w:rFonts w:ascii="Arial" w:hAnsi="Arial" w:cs="Arial"/>
        </w:rPr>
      </w:pPr>
      <w:r w:rsidRPr="6E98053B">
        <w:rPr>
          <w:rFonts w:ascii="Arial" w:hAnsi="Arial" w:cs="Arial"/>
        </w:rPr>
        <w:t xml:space="preserve">Data </w:t>
      </w:r>
      <w:r w:rsidR="00B03EF8" w:rsidRPr="6E98053B">
        <w:rPr>
          <w:rFonts w:ascii="Arial" w:hAnsi="Arial" w:cs="Arial"/>
        </w:rPr>
        <w:t>integrity c</w:t>
      </w:r>
      <w:r w:rsidRPr="6E98053B">
        <w:rPr>
          <w:rFonts w:ascii="Arial" w:hAnsi="Arial" w:cs="Arial"/>
        </w:rPr>
        <w:t xml:space="preserve">oncerns involve assessing the </w:t>
      </w:r>
      <w:r w:rsidR="006E110E" w:rsidRPr="6E98053B">
        <w:rPr>
          <w:rFonts w:ascii="Arial" w:hAnsi="Arial" w:cs="Arial"/>
        </w:rPr>
        <w:t>accuracy, completeness, and consistency of data</w:t>
      </w:r>
      <w:r w:rsidR="0075150F" w:rsidRPr="6E98053B">
        <w:rPr>
          <w:rFonts w:ascii="Arial" w:hAnsi="Arial" w:cs="Arial"/>
        </w:rPr>
        <w:t xml:space="preserve"> related to a facility</w:t>
      </w:r>
      <w:r w:rsidRPr="6E98053B">
        <w:rPr>
          <w:rFonts w:ascii="Arial" w:hAnsi="Arial" w:cs="Arial"/>
        </w:rPr>
        <w:t xml:space="preserve">. </w:t>
      </w:r>
      <w:r w:rsidR="001E0ED0" w:rsidRPr="6E98053B">
        <w:rPr>
          <w:rFonts w:ascii="Arial" w:hAnsi="Arial" w:cs="Arial"/>
        </w:rPr>
        <w:t xml:space="preserve">Data integrity is a key aspect of </w:t>
      </w:r>
      <w:r w:rsidR="00F56AB0">
        <w:rPr>
          <w:rFonts w:ascii="Arial" w:hAnsi="Arial" w:cs="Arial"/>
        </w:rPr>
        <w:t>c</w:t>
      </w:r>
      <w:r w:rsidR="00F56AB0" w:rsidRPr="6E98053B">
        <w:rPr>
          <w:rFonts w:ascii="Arial" w:hAnsi="Arial" w:cs="Arial"/>
        </w:rPr>
        <w:t xml:space="preserve">GMP </w:t>
      </w:r>
      <w:r w:rsidRPr="6E98053B">
        <w:rPr>
          <w:rFonts w:ascii="Arial" w:hAnsi="Arial" w:cs="Arial"/>
          <w:color w:val="2B579A"/>
          <w:shd w:val="clear" w:color="auto" w:fill="E6E6E6"/>
        </w:rPr>
        <w:fldChar w:fldCharType="begin"/>
      </w:r>
      <w:r w:rsidR="003821A3">
        <w:rPr>
          <w:rFonts w:ascii="Arial" w:hAnsi="Arial" w:cs="Arial"/>
          <w:color w:val="2B579A"/>
          <w:shd w:val="clear" w:color="auto" w:fill="E6E6E6"/>
        </w:rPr>
        <w:instrText xml:space="preserve"> ADDIN EN.CITE &lt;EndNote&gt;&lt;Cite&gt;&lt;Author&gt;FDA&lt;/Author&gt;&lt;Year&gt;2016&lt;/Year&gt;&lt;RecNum&gt;35&lt;/RecNum&gt;&lt;DisplayText&gt;(FDA, 2016)&lt;/DisplayText&gt;&lt;record&gt;&lt;rec-number&gt;35&lt;/rec-number&gt;&lt;foreign-keys&gt;&lt;key app="EN" db-id="retve2w0r25svretdfkxxaprfsr0990sw95r" timestamp="1728760834"&gt;35&lt;/key&gt;&lt;/foreign-keys&gt;&lt;ref-type name="Journal Article"&gt;17&lt;/ref-type&gt;&lt;contributors&gt;&lt;authors&gt;&lt;author&gt;FDA&lt;/author&gt;&lt;/authors&gt;&lt;/contributors&gt;&lt;titles&gt;&lt;title&gt;Data Integrity and Compliance With CGMP -- Guidance for Industry&lt;/title&gt;&lt;/titles&gt;&lt;dates&gt;&lt;year&gt;2016&lt;/year&gt;&lt;/dates&gt;&lt;publisher&gt;U.S. Food and Drug Administration&lt;/publisher&gt;&lt;urls&gt;&lt;/urls&gt;&lt;/record&gt;&lt;/Cite&gt;&lt;/EndNote&gt;</w:instrText>
      </w:r>
      <w:r w:rsidRPr="6E98053B">
        <w:rPr>
          <w:rFonts w:ascii="Arial" w:hAnsi="Arial" w:cs="Arial"/>
          <w:color w:val="2B579A"/>
          <w:shd w:val="clear" w:color="auto" w:fill="E6E6E6"/>
        </w:rPr>
        <w:fldChar w:fldCharType="separate"/>
      </w:r>
      <w:r w:rsidR="000F0EAB" w:rsidRPr="6E98053B">
        <w:rPr>
          <w:rFonts w:ascii="Arial" w:hAnsi="Arial" w:cs="Arial"/>
          <w:noProof/>
        </w:rPr>
        <w:t>(FDA, 2016)</w:t>
      </w:r>
      <w:r w:rsidRPr="6E98053B">
        <w:rPr>
          <w:rFonts w:ascii="Arial" w:hAnsi="Arial" w:cs="Arial"/>
          <w:color w:val="2B579A"/>
          <w:shd w:val="clear" w:color="auto" w:fill="E6E6E6"/>
        </w:rPr>
        <w:fldChar w:fldCharType="end"/>
      </w:r>
      <w:r w:rsidR="00E309F6" w:rsidRPr="6E98053B">
        <w:rPr>
          <w:rFonts w:ascii="Arial" w:hAnsi="Arial" w:cs="Arial"/>
        </w:rPr>
        <w:t xml:space="preserve">. </w:t>
      </w:r>
    </w:p>
    <w:p w14:paraId="520714DA" w14:textId="7173291A" w:rsidR="00DC246C" w:rsidRPr="006760BC" w:rsidRDefault="00506B48" w:rsidP="00DC246C">
      <w:pPr>
        <w:rPr>
          <w:rFonts w:ascii="Arial" w:hAnsi="Arial" w:cs="Arial"/>
          <w:color w:val="000000" w:themeColor="text1"/>
        </w:rPr>
      </w:pPr>
      <w:r w:rsidRPr="006760BC">
        <w:rPr>
          <w:rFonts w:ascii="Arial" w:hAnsi="Arial" w:cs="Arial"/>
          <w:color w:val="000000" w:themeColor="text1"/>
        </w:rPr>
        <w:t>O</w:t>
      </w:r>
      <w:r w:rsidR="00DC246C" w:rsidRPr="006760BC">
        <w:rPr>
          <w:rFonts w:ascii="Arial" w:hAnsi="Arial" w:cs="Arial"/>
          <w:color w:val="000000" w:themeColor="text1"/>
        </w:rPr>
        <w:t xml:space="preserve">ther </w:t>
      </w:r>
      <w:r w:rsidR="00774E5C" w:rsidRPr="006760BC">
        <w:rPr>
          <w:rFonts w:ascii="Arial" w:hAnsi="Arial" w:cs="Arial"/>
          <w:color w:val="000000" w:themeColor="text1"/>
        </w:rPr>
        <w:t>potential risk factors</w:t>
      </w:r>
      <w:r w:rsidR="00DC246C" w:rsidRPr="006760BC">
        <w:rPr>
          <w:rFonts w:ascii="Arial" w:hAnsi="Arial" w:cs="Arial"/>
          <w:color w:val="000000" w:themeColor="text1"/>
        </w:rPr>
        <w:t xml:space="preserve"> may include unique </w:t>
      </w:r>
      <w:r w:rsidR="00D63B3F" w:rsidRPr="006760BC">
        <w:rPr>
          <w:rFonts w:ascii="Arial" w:hAnsi="Arial" w:cs="Arial"/>
          <w:color w:val="000000" w:themeColor="text1"/>
        </w:rPr>
        <w:t>risks</w:t>
      </w:r>
      <w:r w:rsidR="00DC246C" w:rsidRPr="006760BC">
        <w:rPr>
          <w:rFonts w:ascii="Arial" w:hAnsi="Arial" w:cs="Arial"/>
          <w:color w:val="000000" w:themeColor="text1"/>
        </w:rPr>
        <w:t xml:space="preserve"> such as facilities resuming operations, those with special environmental concerns, or those involved in particularly complex processing steps. Facilities with potential cross-contamination risks are also </w:t>
      </w:r>
      <w:r w:rsidR="00AA2F4F" w:rsidRPr="006760BC">
        <w:rPr>
          <w:rFonts w:ascii="Arial" w:hAnsi="Arial" w:cs="Arial"/>
          <w:color w:val="000000" w:themeColor="text1"/>
        </w:rPr>
        <w:t>consider</w:t>
      </w:r>
      <w:r w:rsidR="003136DD" w:rsidRPr="006760BC">
        <w:rPr>
          <w:rFonts w:ascii="Arial" w:hAnsi="Arial" w:cs="Arial"/>
          <w:color w:val="000000" w:themeColor="text1"/>
        </w:rPr>
        <w:t>ed</w:t>
      </w:r>
      <w:r w:rsidR="00AA2F4F" w:rsidRPr="006760BC">
        <w:rPr>
          <w:rFonts w:ascii="Arial" w:hAnsi="Arial" w:cs="Arial"/>
          <w:color w:val="000000" w:themeColor="text1"/>
        </w:rPr>
        <w:t xml:space="preserve"> in the risk assessment model</w:t>
      </w:r>
      <w:r w:rsidR="00DC246C" w:rsidRPr="006760BC">
        <w:rPr>
          <w:rFonts w:ascii="Arial" w:hAnsi="Arial" w:cs="Arial"/>
          <w:color w:val="000000" w:themeColor="text1"/>
        </w:rPr>
        <w:t>.</w:t>
      </w:r>
    </w:p>
    <w:p w14:paraId="4E69A79E" w14:textId="6479F225" w:rsidR="00001AF1" w:rsidRPr="005C25DA" w:rsidRDefault="00DC246C" w:rsidP="00DC246C">
      <w:pPr>
        <w:rPr>
          <w:rFonts w:ascii="Arial" w:hAnsi="Arial" w:cs="Arial"/>
          <w:color w:val="2F5496" w:themeColor="accent1" w:themeShade="BF"/>
        </w:rPr>
      </w:pPr>
      <w:r w:rsidRPr="00277277">
        <w:rPr>
          <w:rFonts w:ascii="Arial" w:hAnsi="Arial" w:cs="Arial"/>
        </w:rPr>
        <w:t xml:space="preserve">Based on </w:t>
      </w:r>
      <w:r w:rsidR="007F1069" w:rsidRPr="00277277">
        <w:rPr>
          <w:rFonts w:ascii="Arial" w:hAnsi="Arial" w:cs="Arial"/>
        </w:rPr>
        <w:t>a</w:t>
      </w:r>
      <w:r w:rsidRPr="00277277">
        <w:rPr>
          <w:rFonts w:ascii="Arial" w:hAnsi="Arial" w:cs="Arial"/>
        </w:rPr>
        <w:t xml:space="preserve"> matrix developed </w:t>
      </w:r>
      <w:r w:rsidR="003B723D" w:rsidRPr="00277277">
        <w:rPr>
          <w:rFonts w:ascii="Arial" w:hAnsi="Arial" w:cs="Arial"/>
        </w:rPr>
        <w:t xml:space="preserve">internally </w:t>
      </w:r>
      <w:r w:rsidRPr="00277277">
        <w:rPr>
          <w:rFonts w:ascii="Arial" w:hAnsi="Arial" w:cs="Arial"/>
        </w:rPr>
        <w:t>for these factors</w:t>
      </w:r>
      <w:r w:rsidR="00715373" w:rsidRPr="00277277">
        <w:rPr>
          <w:rFonts w:ascii="Arial" w:hAnsi="Arial" w:cs="Arial"/>
        </w:rPr>
        <w:t xml:space="preserve">, </w:t>
      </w:r>
      <w:r w:rsidRPr="00277277">
        <w:rPr>
          <w:rFonts w:ascii="Arial" w:hAnsi="Arial" w:cs="Arial"/>
        </w:rPr>
        <w:t xml:space="preserve">evaluating </w:t>
      </w:r>
      <w:r w:rsidR="005C6C48" w:rsidRPr="00277277">
        <w:rPr>
          <w:rFonts w:ascii="Arial" w:hAnsi="Arial" w:cs="Arial"/>
        </w:rPr>
        <w:t xml:space="preserve">the </w:t>
      </w:r>
      <w:r w:rsidR="00660FD4" w:rsidRPr="00277277">
        <w:rPr>
          <w:rFonts w:ascii="Arial" w:hAnsi="Arial" w:cs="Arial"/>
        </w:rPr>
        <w:t>proba</w:t>
      </w:r>
      <w:r w:rsidR="005C6C48" w:rsidRPr="00277277">
        <w:rPr>
          <w:rFonts w:ascii="Arial" w:hAnsi="Arial" w:cs="Arial"/>
        </w:rPr>
        <w:t>bility of</w:t>
      </w:r>
      <w:r w:rsidR="00277277" w:rsidRPr="00277277">
        <w:rPr>
          <w:rFonts w:ascii="Arial" w:hAnsi="Arial" w:cs="Arial"/>
        </w:rPr>
        <w:t xml:space="preserve"> </w:t>
      </w:r>
      <w:r w:rsidRPr="00277277">
        <w:rPr>
          <w:rFonts w:ascii="Arial" w:hAnsi="Arial" w:cs="Arial"/>
        </w:rPr>
        <w:t>occurrence, severity, and detectability</w:t>
      </w:r>
      <w:r w:rsidR="00715373" w:rsidRPr="00277277">
        <w:rPr>
          <w:rFonts w:ascii="Arial" w:hAnsi="Arial" w:cs="Arial"/>
        </w:rPr>
        <w:t xml:space="preserve">, </w:t>
      </w:r>
      <w:r w:rsidRPr="00277277">
        <w:rPr>
          <w:rFonts w:ascii="Arial" w:hAnsi="Arial" w:cs="Arial"/>
        </w:rPr>
        <w:t>the overall risk score</w:t>
      </w:r>
      <w:r w:rsidR="00E429B5" w:rsidRPr="00277277">
        <w:rPr>
          <w:rFonts w:ascii="Arial" w:hAnsi="Arial" w:cs="Arial"/>
        </w:rPr>
        <w:t xml:space="preserve"> for a facility</w:t>
      </w:r>
      <w:r w:rsidRPr="00277277">
        <w:rPr>
          <w:rFonts w:ascii="Arial" w:hAnsi="Arial" w:cs="Arial"/>
        </w:rPr>
        <w:t xml:space="preserve"> is calculated.</w:t>
      </w:r>
      <w:r w:rsidR="00C075DC">
        <w:rPr>
          <w:rFonts w:ascii="Arial" w:hAnsi="Arial" w:cs="Arial"/>
        </w:rPr>
        <w:t xml:space="preserve"> </w:t>
      </w:r>
    </w:p>
    <w:p w14:paraId="01F22625" w14:textId="77777777" w:rsidR="00671E6F" w:rsidRPr="00671E6F" w:rsidRDefault="00671E6F" w:rsidP="00DC246C">
      <w:pPr>
        <w:rPr>
          <w:rFonts w:ascii="Arial" w:hAnsi="Arial" w:cs="Arial"/>
        </w:rPr>
      </w:pPr>
    </w:p>
    <w:p w14:paraId="63669BAC" w14:textId="0D9D1F97" w:rsidR="00DC246C" w:rsidRPr="00924E1F" w:rsidRDefault="00924E1F" w:rsidP="00924E1F">
      <w:pPr>
        <w:pStyle w:val="Heading2"/>
      </w:pPr>
      <w:r>
        <w:t xml:space="preserve">3.2 </w:t>
      </w:r>
      <w:r w:rsidR="003A4C72" w:rsidRPr="00924E1F">
        <w:t xml:space="preserve">Facility risk </w:t>
      </w:r>
      <w:r w:rsidR="00713F79">
        <w:t>c</w:t>
      </w:r>
      <w:r w:rsidR="005269F0" w:rsidRPr="00924E1F">
        <w:t xml:space="preserve">ontrol </w:t>
      </w:r>
    </w:p>
    <w:p w14:paraId="2FDBD0BF" w14:textId="302327AB" w:rsidR="002B4482" w:rsidRPr="00E423CE" w:rsidRDefault="00E02193" w:rsidP="002B4482">
      <w:pPr>
        <w:rPr>
          <w:rFonts w:ascii="Arial" w:hAnsi="Arial" w:cs="Arial"/>
          <w:color w:val="4472C4" w:themeColor="accent1"/>
        </w:rPr>
      </w:pPr>
      <w:r w:rsidRPr="6E98053B">
        <w:rPr>
          <w:rFonts w:ascii="Arial" w:hAnsi="Arial" w:cs="Arial"/>
        </w:rPr>
        <w:t xml:space="preserve">We demonstrate the strategy for using the risk model to assess a facility’s initial risk, as shown in </w:t>
      </w:r>
      <w:r w:rsidRPr="6E98053B">
        <w:rPr>
          <w:rFonts w:ascii="Arial" w:hAnsi="Arial" w:cs="Arial"/>
          <w:b/>
          <w:bCs/>
        </w:rPr>
        <w:t>Figure 3</w:t>
      </w:r>
      <w:r w:rsidRPr="6E98053B">
        <w:rPr>
          <w:rFonts w:ascii="Arial" w:hAnsi="Arial" w:cs="Arial"/>
        </w:rPr>
        <w:t xml:space="preserve">. </w:t>
      </w:r>
      <w:r w:rsidR="00E423CE" w:rsidRPr="6E98053B">
        <w:rPr>
          <w:rFonts w:ascii="Arial" w:hAnsi="Arial" w:cs="Arial"/>
          <w:color w:val="000000" w:themeColor="text1"/>
        </w:rPr>
        <w:t xml:space="preserve">The </w:t>
      </w:r>
      <w:r w:rsidR="00E92455">
        <w:rPr>
          <w:rFonts w:ascii="Arial" w:hAnsi="Arial" w:cs="Arial"/>
          <w:color w:val="000000" w:themeColor="text1"/>
        </w:rPr>
        <w:t>assessor</w:t>
      </w:r>
      <w:r w:rsidR="00E92455" w:rsidRPr="6E98053B">
        <w:rPr>
          <w:rFonts w:ascii="Arial" w:hAnsi="Arial" w:cs="Arial"/>
          <w:color w:val="000000" w:themeColor="text1"/>
        </w:rPr>
        <w:t xml:space="preserve"> </w:t>
      </w:r>
      <w:r w:rsidR="00951F8C">
        <w:rPr>
          <w:rFonts w:ascii="Arial" w:hAnsi="Arial" w:cs="Arial"/>
          <w:color w:val="000000" w:themeColor="text1"/>
        </w:rPr>
        <w:t>evalu</w:t>
      </w:r>
      <w:r w:rsidR="002C3FB2">
        <w:rPr>
          <w:rFonts w:ascii="Arial" w:hAnsi="Arial" w:cs="Arial"/>
          <w:color w:val="000000" w:themeColor="text1"/>
        </w:rPr>
        <w:t>a</w:t>
      </w:r>
      <w:r w:rsidR="00951F8C">
        <w:rPr>
          <w:rFonts w:ascii="Arial" w:hAnsi="Arial" w:cs="Arial"/>
          <w:color w:val="000000" w:themeColor="text1"/>
        </w:rPr>
        <w:t>tes</w:t>
      </w:r>
      <w:r w:rsidR="00951F8C" w:rsidRPr="6E98053B">
        <w:rPr>
          <w:rFonts w:ascii="Arial" w:hAnsi="Arial" w:cs="Arial"/>
          <w:color w:val="000000" w:themeColor="text1"/>
        </w:rPr>
        <w:t xml:space="preserve"> </w:t>
      </w:r>
      <w:r w:rsidR="00E423CE" w:rsidRPr="6E98053B">
        <w:rPr>
          <w:rFonts w:ascii="Arial" w:hAnsi="Arial" w:cs="Arial"/>
          <w:color w:val="000000" w:themeColor="text1"/>
        </w:rPr>
        <w:t xml:space="preserve">the </w:t>
      </w:r>
      <w:r w:rsidR="00002B90">
        <w:rPr>
          <w:rFonts w:ascii="Arial" w:hAnsi="Arial" w:cs="Arial"/>
          <w:color w:val="000000" w:themeColor="text1"/>
        </w:rPr>
        <w:t xml:space="preserve">ability </w:t>
      </w:r>
      <w:r w:rsidR="003243AA">
        <w:rPr>
          <w:rFonts w:ascii="Arial" w:hAnsi="Arial" w:cs="Arial"/>
          <w:color w:val="000000" w:themeColor="text1"/>
        </w:rPr>
        <w:t xml:space="preserve">of the </w:t>
      </w:r>
      <w:r w:rsidR="00E423CE" w:rsidRPr="6E98053B">
        <w:rPr>
          <w:rFonts w:ascii="Arial" w:hAnsi="Arial" w:cs="Arial"/>
          <w:color w:val="000000" w:themeColor="text1"/>
        </w:rPr>
        <w:t xml:space="preserve">proposed facility </w:t>
      </w:r>
      <w:r w:rsidR="00002B90">
        <w:rPr>
          <w:rFonts w:ascii="Arial" w:hAnsi="Arial" w:cs="Arial"/>
          <w:color w:val="000000" w:themeColor="text1"/>
        </w:rPr>
        <w:t xml:space="preserve">to </w:t>
      </w:r>
      <w:r w:rsidR="00680485">
        <w:rPr>
          <w:rFonts w:ascii="Arial" w:hAnsi="Arial" w:cs="Arial"/>
          <w:color w:val="000000" w:themeColor="text1"/>
        </w:rPr>
        <w:t>execut</w:t>
      </w:r>
      <w:r w:rsidR="00002B90">
        <w:rPr>
          <w:rFonts w:ascii="Arial" w:hAnsi="Arial" w:cs="Arial"/>
          <w:color w:val="000000" w:themeColor="text1"/>
        </w:rPr>
        <w:t>e</w:t>
      </w:r>
      <w:r w:rsidR="00680485">
        <w:rPr>
          <w:rFonts w:ascii="Arial" w:hAnsi="Arial" w:cs="Arial"/>
          <w:color w:val="000000" w:themeColor="text1"/>
        </w:rPr>
        <w:t xml:space="preserve"> the </w:t>
      </w:r>
      <w:r w:rsidR="003243AA">
        <w:rPr>
          <w:rFonts w:ascii="Arial" w:hAnsi="Arial" w:cs="Arial"/>
          <w:color w:val="000000" w:themeColor="text1"/>
        </w:rPr>
        <w:t xml:space="preserve">proposed </w:t>
      </w:r>
      <w:r w:rsidR="00680485">
        <w:rPr>
          <w:rFonts w:ascii="Arial" w:hAnsi="Arial" w:cs="Arial"/>
          <w:color w:val="000000" w:themeColor="text1"/>
        </w:rPr>
        <w:t xml:space="preserve">manufacturing </w:t>
      </w:r>
      <w:r w:rsidR="003243AA">
        <w:rPr>
          <w:rFonts w:ascii="Arial" w:hAnsi="Arial" w:cs="Arial"/>
          <w:color w:val="000000" w:themeColor="text1"/>
        </w:rPr>
        <w:t xml:space="preserve">process </w:t>
      </w:r>
      <w:r w:rsidR="00E423CE" w:rsidRPr="6E98053B">
        <w:rPr>
          <w:rFonts w:ascii="Arial" w:hAnsi="Arial" w:cs="Arial"/>
          <w:color w:val="000000" w:themeColor="text1"/>
        </w:rPr>
        <w:t>in the pending application</w:t>
      </w:r>
      <w:r w:rsidR="0096198D" w:rsidRPr="6E98053B">
        <w:rPr>
          <w:rFonts w:ascii="Arial" w:hAnsi="Arial" w:cs="Arial"/>
          <w:color w:val="000000" w:themeColor="text1"/>
        </w:rPr>
        <w:t>s</w:t>
      </w:r>
      <w:r w:rsidR="00E423CE" w:rsidRPr="6E98053B">
        <w:rPr>
          <w:rFonts w:ascii="Arial" w:hAnsi="Arial" w:cs="Arial"/>
          <w:color w:val="000000" w:themeColor="text1"/>
        </w:rPr>
        <w:t xml:space="preserve"> </w:t>
      </w:r>
      <w:r w:rsidR="00370071">
        <w:rPr>
          <w:rFonts w:ascii="Arial" w:hAnsi="Arial" w:cs="Arial"/>
          <w:color w:val="000000" w:themeColor="text1"/>
        </w:rPr>
        <w:t>using</w:t>
      </w:r>
      <w:r w:rsidR="00370071" w:rsidRPr="6E98053B">
        <w:rPr>
          <w:rFonts w:ascii="Arial" w:hAnsi="Arial" w:cs="Arial"/>
          <w:color w:val="000000" w:themeColor="text1"/>
        </w:rPr>
        <w:t xml:space="preserve"> </w:t>
      </w:r>
      <w:r w:rsidR="00E423CE" w:rsidRPr="6E98053B">
        <w:rPr>
          <w:rFonts w:ascii="Arial" w:hAnsi="Arial" w:cs="Arial"/>
          <w:color w:val="000000" w:themeColor="text1"/>
        </w:rPr>
        <w:t xml:space="preserve">a wide range of factors, including prior experience and capabilities across various dosage forms, </w:t>
      </w:r>
      <w:r w:rsidR="00FB3EF7">
        <w:rPr>
          <w:rFonts w:ascii="Arial" w:hAnsi="Arial" w:cs="Arial"/>
          <w:color w:val="000000" w:themeColor="text1"/>
        </w:rPr>
        <w:t>c</w:t>
      </w:r>
      <w:r w:rsidR="00FB3EF7" w:rsidRPr="6E98053B">
        <w:rPr>
          <w:rFonts w:ascii="Arial" w:hAnsi="Arial" w:cs="Arial"/>
          <w:color w:val="000000" w:themeColor="text1"/>
        </w:rPr>
        <w:t xml:space="preserve">GMP </w:t>
      </w:r>
      <w:r w:rsidR="00E423CE" w:rsidRPr="6E98053B">
        <w:rPr>
          <w:rFonts w:ascii="Arial" w:hAnsi="Arial" w:cs="Arial"/>
          <w:color w:val="000000" w:themeColor="text1"/>
        </w:rPr>
        <w:t xml:space="preserve">compliance history (e.g., inspection classifications, 483 observations, CAPAs, defect signals, data integrity), and control strategies for previously approved drug products. </w:t>
      </w:r>
    </w:p>
    <w:p w14:paraId="1790ACC2" w14:textId="38FD01FB" w:rsidR="002B4482" w:rsidRPr="00CD65E2" w:rsidRDefault="002B4482" w:rsidP="002B4482">
      <w:pPr>
        <w:rPr>
          <w:rFonts w:ascii="Arial" w:hAnsi="Arial" w:cs="Arial"/>
        </w:rPr>
      </w:pPr>
      <w:r w:rsidRPr="6E98053B">
        <w:rPr>
          <w:rFonts w:ascii="Arial" w:hAnsi="Arial" w:cs="Arial"/>
        </w:rPr>
        <w:t>For</w:t>
      </w:r>
      <w:r w:rsidR="00E86F91">
        <w:rPr>
          <w:rFonts w:ascii="Arial" w:hAnsi="Arial" w:cs="Arial"/>
        </w:rPr>
        <w:t xml:space="preserve"> some</w:t>
      </w:r>
      <w:r w:rsidRPr="6E98053B">
        <w:rPr>
          <w:rFonts w:ascii="Arial" w:hAnsi="Arial" w:cs="Arial"/>
        </w:rPr>
        <w:t xml:space="preserve"> facilities, a </w:t>
      </w:r>
      <w:proofErr w:type="spellStart"/>
      <w:r w:rsidR="001A466F" w:rsidRPr="6E98053B">
        <w:rPr>
          <w:rFonts w:ascii="Arial" w:hAnsi="Arial" w:cs="Arial"/>
        </w:rPr>
        <w:t>pre</w:t>
      </w:r>
      <w:r w:rsidR="00C054FF" w:rsidRPr="6E98053B">
        <w:rPr>
          <w:rFonts w:ascii="Arial" w:hAnsi="Arial" w:cs="Arial"/>
        </w:rPr>
        <w:t>-approval</w:t>
      </w:r>
      <w:proofErr w:type="spellEnd"/>
      <w:r w:rsidRPr="6E98053B">
        <w:rPr>
          <w:rFonts w:ascii="Arial" w:hAnsi="Arial" w:cs="Arial"/>
        </w:rPr>
        <w:t xml:space="preserve"> inspection</w:t>
      </w:r>
      <w:r w:rsidR="001A466F" w:rsidRPr="6E98053B">
        <w:rPr>
          <w:rFonts w:ascii="Arial" w:hAnsi="Arial" w:cs="Arial"/>
        </w:rPr>
        <w:t xml:space="preserve"> (PAI)</w:t>
      </w:r>
      <w:r w:rsidRPr="6E98053B">
        <w:rPr>
          <w:rFonts w:ascii="Arial" w:hAnsi="Arial" w:cs="Arial"/>
        </w:rPr>
        <w:t xml:space="preserve"> may be </w:t>
      </w:r>
      <w:r w:rsidR="00CA677F">
        <w:rPr>
          <w:rFonts w:ascii="Arial" w:hAnsi="Arial" w:cs="Arial"/>
        </w:rPr>
        <w:t>required</w:t>
      </w:r>
      <w:r w:rsidR="00CA677F" w:rsidRPr="6E98053B">
        <w:rPr>
          <w:rFonts w:ascii="Arial" w:hAnsi="Arial" w:cs="Arial"/>
        </w:rPr>
        <w:t xml:space="preserve"> </w:t>
      </w:r>
      <w:r w:rsidRPr="6E98053B">
        <w:rPr>
          <w:rFonts w:ascii="Arial" w:hAnsi="Arial" w:cs="Arial"/>
        </w:rPr>
        <w:t xml:space="preserve">to address </w:t>
      </w:r>
      <w:r w:rsidR="0008772B">
        <w:rPr>
          <w:rFonts w:ascii="Arial" w:hAnsi="Arial" w:cs="Arial"/>
        </w:rPr>
        <w:t xml:space="preserve">a </w:t>
      </w:r>
      <w:r w:rsidR="00D9058A">
        <w:rPr>
          <w:rFonts w:ascii="Arial" w:hAnsi="Arial" w:cs="Arial"/>
        </w:rPr>
        <w:t>knowledge</w:t>
      </w:r>
      <w:r w:rsidR="00E86F91">
        <w:rPr>
          <w:rFonts w:ascii="Arial" w:hAnsi="Arial" w:cs="Arial"/>
        </w:rPr>
        <w:t xml:space="preserve"> gap in the information available at the agency</w:t>
      </w:r>
      <w:r w:rsidRPr="6E98053B">
        <w:rPr>
          <w:rFonts w:ascii="Arial" w:hAnsi="Arial" w:cs="Arial"/>
        </w:rPr>
        <w:t xml:space="preserve">. The inspection serves multiple </w:t>
      </w:r>
      <w:r w:rsidR="008E1869" w:rsidRPr="6E98053B">
        <w:rPr>
          <w:rFonts w:ascii="Arial" w:hAnsi="Arial" w:cs="Arial"/>
        </w:rPr>
        <w:t>objectives</w:t>
      </w:r>
      <w:r w:rsidRPr="6E98053B">
        <w:rPr>
          <w:rFonts w:ascii="Arial" w:hAnsi="Arial" w:cs="Arial"/>
        </w:rPr>
        <w:t>: confirming the facility's readiness for commercial manufacturing, ensuring compliance with the application, conducting data integrity audits, and verifying the facility's commitment to quality in pharmaceutical development</w:t>
      </w:r>
      <w:r w:rsidR="00E86F91">
        <w:rPr>
          <w:rFonts w:ascii="Arial" w:hAnsi="Arial" w:cs="Arial"/>
        </w:rPr>
        <w:t xml:space="preserve"> </w:t>
      </w:r>
      <w:r w:rsidR="00086937">
        <w:rPr>
          <w:rFonts w:ascii="Arial" w:hAnsi="Arial" w:cs="Arial"/>
        </w:rPr>
        <w:fldChar w:fldCharType="begin"/>
      </w:r>
      <w:r w:rsidR="003821A3">
        <w:rPr>
          <w:rFonts w:ascii="Arial" w:hAnsi="Arial" w:cs="Arial"/>
        </w:rPr>
        <w:instrText xml:space="preserve"> ADDIN EN.CITE &lt;EndNote&gt;&lt;Cite&gt;&lt;Author&gt;FDA&lt;/Author&gt;&lt;Year&gt;2022&lt;/Year&gt;&lt;RecNum&gt;37&lt;/RecNum&gt;&lt;DisplayText&gt;(FDA, 2022)&lt;/DisplayText&gt;&lt;record&gt;&lt;rec-number&gt;37&lt;/rec-number&gt;&lt;foreign-keys&gt;&lt;key app="EN" db-id="retve2w0r25svretdfkxxaprfsr0990sw95r" timestamp="1733962459"&gt;37&lt;/key&gt;&lt;/foreign-keys&gt;&lt;ref-type name="Government Document"&gt;46&lt;/ref-type&gt;&lt;contributors&gt;&lt;authors&gt;&lt;author&gt;FDA&lt;/author&gt;&lt;/authors&gt;&lt;/contributors&gt;&lt;titles&gt;&lt;title&gt;Compliance program 7346.832--Preapproval Inspections&lt;/title&gt;&lt;/titles&gt;&lt;dates&gt;&lt;year&gt;2022&lt;/year&gt;&lt;/dates&gt;&lt;publisher&gt;U.S. Food and Drug Administration&lt;/publisher&gt;&lt;urls&gt;&lt;/urls&gt;&lt;electronic-resource-num&gt;https://www.fda.gov/regulatory-information/search-fda-guidance-documents/conducting-remote-regulatory-assessments-questions-and-answers&lt;/electronic-resource-num&gt;&lt;/record&gt;&lt;/Cite&gt;&lt;/EndNote&gt;</w:instrText>
      </w:r>
      <w:r w:rsidR="00086937">
        <w:rPr>
          <w:rFonts w:ascii="Arial" w:hAnsi="Arial" w:cs="Arial"/>
        </w:rPr>
        <w:fldChar w:fldCharType="separate"/>
      </w:r>
      <w:r w:rsidR="00086937">
        <w:rPr>
          <w:rFonts w:ascii="Arial" w:hAnsi="Arial" w:cs="Arial"/>
          <w:noProof/>
        </w:rPr>
        <w:t>(FDA, 2022)</w:t>
      </w:r>
      <w:r w:rsidR="00086937">
        <w:rPr>
          <w:rFonts w:ascii="Arial" w:hAnsi="Arial" w:cs="Arial"/>
        </w:rPr>
        <w:fldChar w:fldCharType="end"/>
      </w:r>
      <w:r w:rsidR="00476903">
        <w:rPr>
          <w:rFonts w:ascii="Arial" w:hAnsi="Arial" w:cs="Arial"/>
        </w:rPr>
        <w:t>.</w:t>
      </w:r>
    </w:p>
    <w:p w14:paraId="531A5DB0" w14:textId="75600BAE" w:rsidR="002B4482" w:rsidRPr="00CD65E2" w:rsidRDefault="002B4482" w:rsidP="002B4482">
      <w:pPr>
        <w:rPr>
          <w:rFonts w:ascii="Arial" w:hAnsi="Arial" w:cs="Arial"/>
        </w:rPr>
      </w:pPr>
      <w:r w:rsidRPr="0301FB53">
        <w:rPr>
          <w:rFonts w:ascii="Arial" w:hAnsi="Arial" w:cs="Arial"/>
        </w:rPr>
        <w:t>The FDA also uses other tools to mitigate facility risks</w:t>
      </w:r>
      <w:r w:rsidR="00BE15C9">
        <w:rPr>
          <w:rFonts w:ascii="Arial" w:hAnsi="Arial" w:cs="Arial"/>
        </w:rPr>
        <w:t>.</w:t>
      </w:r>
      <w:r w:rsidRPr="0301FB53">
        <w:rPr>
          <w:rFonts w:ascii="Arial" w:hAnsi="Arial" w:cs="Arial"/>
        </w:rPr>
        <w:t xml:space="preserve"> Mutual Recognition Agreements </w:t>
      </w:r>
      <w:r w:rsidR="00EB436D" w:rsidRPr="0301FB53">
        <w:rPr>
          <w:rFonts w:ascii="Arial" w:hAnsi="Arial" w:cs="Arial"/>
        </w:rPr>
        <w:t>(MR</w:t>
      </w:r>
      <w:r w:rsidR="00E151E1" w:rsidRPr="0301FB53">
        <w:rPr>
          <w:rFonts w:ascii="Arial" w:hAnsi="Arial" w:cs="Arial"/>
        </w:rPr>
        <w:t>A</w:t>
      </w:r>
      <w:r w:rsidR="00EB436D" w:rsidRPr="0301FB53">
        <w:rPr>
          <w:rFonts w:ascii="Arial" w:hAnsi="Arial" w:cs="Arial"/>
        </w:rPr>
        <w:t xml:space="preserve">s) </w:t>
      </w:r>
      <w:r w:rsidRPr="0301FB53">
        <w:rPr>
          <w:rFonts w:ascii="Arial" w:hAnsi="Arial" w:cs="Arial"/>
        </w:rPr>
        <w:t xml:space="preserve">with foreign regulatory authorities allow </w:t>
      </w:r>
      <w:r w:rsidR="00E151E1" w:rsidRPr="0301FB53">
        <w:rPr>
          <w:rFonts w:ascii="Arial" w:hAnsi="Arial" w:cs="Arial"/>
        </w:rPr>
        <w:t xml:space="preserve">assessors </w:t>
      </w:r>
      <w:r w:rsidRPr="0301FB53">
        <w:rPr>
          <w:rFonts w:ascii="Arial" w:hAnsi="Arial" w:cs="Arial"/>
        </w:rPr>
        <w:t xml:space="preserve">to </w:t>
      </w:r>
      <w:r w:rsidR="00BA6A30">
        <w:rPr>
          <w:rFonts w:ascii="Arial" w:hAnsi="Arial" w:cs="Arial"/>
        </w:rPr>
        <w:t>utilize</w:t>
      </w:r>
      <w:r w:rsidR="00200C8C" w:rsidRPr="0301FB53">
        <w:rPr>
          <w:rFonts w:ascii="Arial" w:hAnsi="Arial" w:cs="Arial"/>
        </w:rPr>
        <w:t xml:space="preserve"> inspection data</w:t>
      </w:r>
      <w:r w:rsidR="00200C8C">
        <w:rPr>
          <w:rFonts w:ascii="Arial" w:hAnsi="Arial" w:cs="Arial"/>
        </w:rPr>
        <w:t>/reports</w:t>
      </w:r>
      <w:r w:rsidR="00200C8C" w:rsidRPr="0301FB53">
        <w:rPr>
          <w:rFonts w:ascii="Arial" w:hAnsi="Arial" w:cs="Arial"/>
        </w:rPr>
        <w:t xml:space="preserve"> </w:t>
      </w:r>
      <w:r w:rsidR="00200C8C">
        <w:rPr>
          <w:rFonts w:ascii="Arial" w:hAnsi="Arial" w:cs="Arial"/>
        </w:rPr>
        <w:t>from</w:t>
      </w:r>
      <w:r w:rsidRPr="0301FB53">
        <w:rPr>
          <w:rFonts w:ascii="Arial" w:hAnsi="Arial" w:cs="Arial"/>
        </w:rPr>
        <w:t xml:space="preserve"> </w:t>
      </w:r>
      <w:r w:rsidR="000D4042" w:rsidRPr="0301FB53">
        <w:rPr>
          <w:rFonts w:ascii="Arial" w:hAnsi="Arial" w:cs="Arial"/>
        </w:rPr>
        <w:t>other</w:t>
      </w:r>
      <w:r w:rsidR="00724CFA" w:rsidRPr="0301FB53">
        <w:rPr>
          <w:rFonts w:ascii="Arial" w:hAnsi="Arial" w:cs="Arial"/>
        </w:rPr>
        <w:t xml:space="preserve"> </w:t>
      </w:r>
      <w:r w:rsidR="001A7198">
        <w:rPr>
          <w:rFonts w:ascii="Arial" w:hAnsi="Arial" w:cs="Arial"/>
        </w:rPr>
        <w:t>international</w:t>
      </w:r>
      <w:r w:rsidR="00AD4350">
        <w:rPr>
          <w:rFonts w:ascii="Arial" w:hAnsi="Arial" w:cs="Arial"/>
        </w:rPr>
        <w:t xml:space="preserve"> </w:t>
      </w:r>
      <w:r w:rsidR="00724CFA" w:rsidRPr="0301FB53">
        <w:rPr>
          <w:rFonts w:ascii="Arial" w:hAnsi="Arial" w:cs="Arial"/>
        </w:rPr>
        <w:t>regulatory</w:t>
      </w:r>
      <w:r w:rsidR="00741DC3" w:rsidRPr="0301FB53">
        <w:rPr>
          <w:rFonts w:ascii="Arial" w:hAnsi="Arial" w:cs="Arial"/>
        </w:rPr>
        <w:t xml:space="preserve"> authorities</w:t>
      </w:r>
      <w:r w:rsidR="00BA6A30">
        <w:rPr>
          <w:rFonts w:ascii="Arial" w:hAnsi="Arial" w:cs="Arial"/>
        </w:rPr>
        <w:t xml:space="preserve"> to mitigate risk</w:t>
      </w:r>
      <w:r w:rsidRPr="0301FB53">
        <w:rPr>
          <w:rFonts w:ascii="Arial" w:hAnsi="Arial" w:cs="Arial"/>
        </w:rPr>
        <w:t xml:space="preserve">. Additionally, </w:t>
      </w:r>
      <w:r w:rsidR="001F0D0B" w:rsidRPr="0301FB53">
        <w:rPr>
          <w:rFonts w:ascii="Arial" w:hAnsi="Arial" w:cs="Arial"/>
        </w:rPr>
        <w:t>Remote Regulatory Assessments (</w:t>
      </w:r>
      <w:r w:rsidRPr="0301FB53">
        <w:rPr>
          <w:rFonts w:ascii="Arial" w:hAnsi="Arial" w:cs="Arial"/>
        </w:rPr>
        <w:t>RRAs</w:t>
      </w:r>
      <w:r w:rsidR="001F0D0B" w:rsidRPr="0301FB53">
        <w:rPr>
          <w:rFonts w:ascii="Arial" w:hAnsi="Arial" w:cs="Arial"/>
        </w:rPr>
        <w:t>)</w:t>
      </w:r>
      <w:r w:rsidRPr="0301FB53">
        <w:rPr>
          <w:rFonts w:ascii="Arial" w:hAnsi="Arial" w:cs="Arial"/>
        </w:rPr>
        <w:t xml:space="preserve"> enable the FDA to remotely evaluate compliance </w:t>
      </w:r>
      <w:r w:rsidR="00983FA4">
        <w:rPr>
          <w:rFonts w:ascii="Arial" w:hAnsi="Arial" w:cs="Arial"/>
        </w:rPr>
        <w:t xml:space="preserve">and overall facility </w:t>
      </w:r>
      <w:r w:rsidR="00061AD1">
        <w:rPr>
          <w:rFonts w:ascii="Arial" w:hAnsi="Arial" w:cs="Arial"/>
        </w:rPr>
        <w:t xml:space="preserve">readiness </w:t>
      </w:r>
      <w:r w:rsidR="009F6170">
        <w:rPr>
          <w:rFonts w:ascii="Arial" w:hAnsi="Arial" w:cs="Arial"/>
        </w:rPr>
        <w:t>of</w:t>
      </w:r>
      <w:r w:rsidR="00061BCC">
        <w:rPr>
          <w:rFonts w:ascii="Arial" w:hAnsi="Arial" w:cs="Arial"/>
        </w:rPr>
        <w:t xml:space="preserve"> </w:t>
      </w:r>
      <w:r w:rsidRPr="0301FB53">
        <w:rPr>
          <w:rFonts w:ascii="Arial" w:hAnsi="Arial" w:cs="Arial"/>
        </w:rPr>
        <w:t xml:space="preserve">establishments </w:t>
      </w:r>
      <w:r w:rsidR="00061BCC">
        <w:rPr>
          <w:rFonts w:ascii="Arial" w:hAnsi="Arial" w:cs="Arial"/>
        </w:rPr>
        <w:t xml:space="preserve">which manufacture </w:t>
      </w:r>
      <w:r w:rsidR="00061BCC" w:rsidRPr="0301FB53">
        <w:rPr>
          <w:rFonts w:ascii="Arial" w:hAnsi="Arial" w:cs="Arial"/>
        </w:rPr>
        <w:t xml:space="preserve">FDA regulated products </w:t>
      </w:r>
      <w:r w:rsidRPr="0301FB53">
        <w:rPr>
          <w:rFonts w:ascii="Arial" w:hAnsi="Arial" w:cs="Arial"/>
        </w:rPr>
        <w:t>when appropriate</w:t>
      </w:r>
      <w:r w:rsidR="00331B7D">
        <w:rPr>
          <w:rFonts w:ascii="Arial" w:hAnsi="Arial" w:cs="Arial"/>
        </w:rPr>
        <w:t xml:space="preserve"> </w:t>
      </w:r>
      <w:r w:rsidR="00086937">
        <w:rPr>
          <w:rFonts w:ascii="Arial" w:hAnsi="Arial" w:cs="Arial"/>
        </w:rPr>
        <w:fldChar w:fldCharType="begin"/>
      </w:r>
      <w:r w:rsidR="00D06D4F">
        <w:rPr>
          <w:rFonts w:ascii="Arial" w:hAnsi="Arial" w:cs="Arial"/>
        </w:rPr>
        <w:instrText xml:space="preserve"> ADDIN EN.CITE &lt;EndNote&gt;&lt;Cite&gt;&lt;Author&gt;FDA&lt;/Author&gt;&lt;Year&gt;2024&lt;/Year&gt;&lt;RecNum&gt;38&lt;/RecNum&gt;&lt;DisplayText&gt;(FDA, 2024c)&lt;/DisplayText&gt;&lt;record&gt;&lt;rec-number&gt;38&lt;/rec-number&gt;&lt;foreign-keys&gt;&lt;key app="EN" db-id="retve2w0r25svretdfkxxaprfsr0990sw95r" timestamp="1733963833"&gt;38&lt;/key&gt;&lt;/foreign-keys&gt;&lt;ref-type name="Government Document"&gt;46&lt;/ref-type&gt;&lt;contributors&gt;&lt;authors&gt;&lt;author&gt;FDA&lt;/author&gt;&lt;/authors&gt;&lt;/contributors&gt;&lt;titles&gt;&lt;title&gt;Conducting Remote Regulatory Assessments  Questions and Answers--Draft Guidance for Industry&lt;/title&gt;&lt;/titles&gt;&lt;dates&gt;&lt;year&gt;2024&lt;/year&gt;&lt;/dates&gt;&lt;publisher&gt;Food and Drug Administration&lt;/publisher&gt;&lt;urls&gt;&lt;/urls&gt;&lt;/record&gt;&lt;/Cite&gt;&lt;/EndNote&gt;</w:instrText>
      </w:r>
      <w:r w:rsidR="00086937">
        <w:rPr>
          <w:rFonts w:ascii="Arial" w:hAnsi="Arial" w:cs="Arial"/>
        </w:rPr>
        <w:fldChar w:fldCharType="separate"/>
      </w:r>
      <w:r w:rsidR="00D06D4F">
        <w:rPr>
          <w:rFonts w:ascii="Arial" w:hAnsi="Arial" w:cs="Arial"/>
          <w:noProof/>
        </w:rPr>
        <w:t>(FDA, 2024c)</w:t>
      </w:r>
      <w:r w:rsidR="00086937">
        <w:rPr>
          <w:rFonts w:ascii="Arial" w:hAnsi="Arial" w:cs="Arial"/>
        </w:rPr>
        <w:fldChar w:fldCharType="end"/>
      </w:r>
      <w:r w:rsidR="00086937">
        <w:rPr>
          <w:rFonts w:ascii="Arial" w:hAnsi="Arial" w:cs="Arial"/>
        </w:rPr>
        <w:t>.</w:t>
      </w:r>
    </w:p>
    <w:p w14:paraId="4268674A" w14:textId="3CD71115" w:rsidR="00DC246C" w:rsidRPr="00CD65E2" w:rsidRDefault="005D5E46" w:rsidP="00DC246C">
      <w:pPr>
        <w:rPr>
          <w:rFonts w:ascii="Arial" w:hAnsi="Arial" w:cs="Arial"/>
        </w:rPr>
      </w:pPr>
      <w:r>
        <w:rPr>
          <w:rFonts w:ascii="Arial" w:hAnsi="Arial" w:cs="Arial"/>
        </w:rPr>
        <w:t xml:space="preserve">FDA may utilize </w:t>
      </w:r>
      <w:r w:rsidR="002B4482" w:rsidRPr="6E98053B">
        <w:rPr>
          <w:rFonts w:ascii="Arial" w:hAnsi="Arial" w:cs="Arial"/>
        </w:rPr>
        <w:t xml:space="preserve">post-approval </w:t>
      </w:r>
      <w:r w:rsidR="00492DEF" w:rsidRPr="6E98053B">
        <w:rPr>
          <w:rFonts w:ascii="Arial" w:hAnsi="Arial" w:cs="Arial"/>
        </w:rPr>
        <w:t>inspection</w:t>
      </w:r>
      <w:r w:rsidR="0013280D" w:rsidRPr="6E98053B">
        <w:rPr>
          <w:rFonts w:ascii="Arial" w:hAnsi="Arial" w:cs="Arial"/>
        </w:rPr>
        <w:t>s (</w:t>
      </w:r>
      <w:proofErr w:type="spellStart"/>
      <w:r w:rsidR="0013280D" w:rsidRPr="6E98053B">
        <w:rPr>
          <w:rFonts w:ascii="Arial" w:hAnsi="Arial" w:cs="Arial"/>
        </w:rPr>
        <w:t>PoAIs</w:t>
      </w:r>
      <w:proofErr w:type="spellEnd"/>
      <w:r w:rsidR="0013280D" w:rsidRPr="6E98053B">
        <w:rPr>
          <w:rFonts w:ascii="Arial" w:hAnsi="Arial" w:cs="Arial"/>
        </w:rPr>
        <w:t xml:space="preserve">) </w:t>
      </w:r>
      <w:r w:rsidR="002B4482" w:rsidRPr="6E98053B">
        <w:rPr>
          <w:rFonts w:ascii="Arial" w:hAnsi="Arial" w:cs="Arial"/>
        </w:rPr>
        <w:t>to mitigate residual risks associated with the facility</w:t>
      </w:r>
      <w:r>
        <w:rPr>
          <w:rFonts w:ascii="Arial" w:hAnsi="Arial" w:cs="Arial"/>
        </w:rPr>
        <w:t xml:space="preserve"> after approval of an application</w:t>
      </w:r>
      <w:r w:rsidR="002B4482" w:rsidRPr="6E98053B">
        <w:rPr>
          <w:rFonts w:ascii="Arial" w:hAnsi="Arial" w:cs="Arial"/>
        </w:rPr>
        <w:t xml:space="preserve">. </w:t>
      </w:r>
      <w:r w:rsidR="0075740D">
        <w:rPr>
          <w:rFonts w:ascii="Arial" w:hAnsi="Arial" w:cs="Arial"/>
        </w:rPr>
        <w:t>F</w:t>
      </w:r>
      <w:r w:rsidR="003F3D81" w:rsidRPr="6E98053B">
        <w:rPr>
          <w:rFonts w:ascii="Arial" w:hAnsi="Arial" w:cs="Arial"/>
        </w:rPr>
        <w:t xml:space="preserve">acilities </w:t>
      </w:r>
      <w:r w:rsidR="00767EC3" w:rsidRPr="6E98053B">
        <w:rPr>
          <w:rFonts w:ascii="Arial" w:hAnsi="Arial" w:cs="Arial"/>
        </w:rPr>
        <w:t xml:space="preserve">having </w:t>
      </w:r>
      <w:r w:rsidR="006A7967" w:rsidRPr="6E98053B">
        <w:rPr>
          <w:rFonts w:ascii="Arial" w:hAnsi="Arial" w:cs="Arial"/>
        </w:rPr>
        <w:t xml:space="preserve">residual facility risks </w:t>
      </w:r>
      <w:r w:rsidR="004A291D" w:rsidRPr="6E98053B">
        <w:rPr>
          <w:rFonts w:ascii="Arial" w:hAnsi="Arial" w:cs="Arial"/>
        </w:rPr>
        <w:t>with</w:t>
      </w:r>
      <w:r w:rsidR="005C2DB8" w:rsidRPr="6E98053B">
        <w:rPr>
          <w:rFonts w:ascii="Arial" w:hAnsi="Arial" w:cs="Arial"/>
        </w:rPr>
        <w:t xml:space="preserve">out </w:t>
      </w:r>
      <w:r w:rsidR="00291529">
        <w:rPr>
          <w:rFonts w:ascii="Arial" w:hAnsi="Arial" w:cs="Arial"/>
        </w:rPr>
        <w:t>application</w:t>
      </w:r>
      <w:r w:rsidR="006A7967" w:rsidRPr="6E98053B">
        <w:rPr>
          <w:rFonts w:ascii="Arial" w:hAnsi="Arial" w:cs="Arial"/>
        </w:rPr>
        <w:t xml:space="preserve"> specific concerns </w:t>
      </w:r>
      <w:r w:rsidR="00291529">
        <w:rPr>
          <w:rFonts w:ascii="Arial" w:hAnsi="Arial" w:cs="Arial"/>
        </w:rPr>
        <w:t xml:space="preserve">may be </w:t>
      </w:r>
      <w:r w:rsidR="006A7967" w:rsidRPr="6E98053B">
        <w:rPr>
          <w:rFonts w:ascii="Arial" w:hAnsi="Arial" w:cs="Arial"/>
        </w:rPr>
        <w:t>defer</w:t>
      </w:r>
      <w:r w:rsidR="00291529">
        <w:rPr>
          <w:rFonts w:ascii="Arial" w:hAnsi="Arial" w:cs="Arial"/>
        </w:rPr>
        <w:t>red</w:t>
      </w:r>
      <w:r w:rsidR="006A7967" w:rsidRPr="6E98053B">
        <w:rPr>
          <w:rFonts w:ascii="Arial" w:hAnsi="Arial" w:cs="Arial"/>
        </w:rPr>
        <w:t xml:space="preserve"> </w:t>
      </w:r>
      <w:r w:rsidR="0074296F" w:rsidRPr="6E98053B">
        <w:rPr>
          <w:rFonts w:ascii="Arial" w:hAnsi="Arial" w:cs="Arial"/>
        </w:rPr>
        <w:t xml:space="preserve">to </w:t>
      </w:r>
      <w:r w:rsidR="006A7967" w:rsidRPr="6E98053B">
        <w:rPr>
          <w:rFonts w:ascii="Arial" w:hAnsi="Arial" w:cs="Arial"/>
        </w:rPr>
        <w:t>routine surveillance inspections.</w:t>
      </w:r>
    </w:p>
    <w:p w14:paraId="11B8174C" w14:textId="77777777" w:rsidR="00DC246C" w:rsidRDefault="00DC246C" w:rsidP="00DC246C"/>
    <w:p w14:paraId="7E7D3E14" w14:textId="1C394616" w:rsidR="00A7618D" w:rsidRPr="00415C90" w:rsidRDefault="00E5171A" w:rsidP="00E5171A">
      <w:pPr>
        <w:pStyle w:val="Heading2"/>
      </w:pPr>
      <w:r>
        <w:lastRenderedPageBreak/>
        <w:t xml:space="preserve">3.3 </w:t>
      </w:r>
      <w:r w:rsidR="00A7618D">
        <w:t xml:space="preserve">Manufacturing </w:t>
      </w:r>
      <w:r w:rsidR="009738BE">
        <w:t xml:space="preserve">initial </w:t>
      </w:r>
      <w:r w:rsidR="00912FF7">
        <w:t xml:space="preserve">risk </w:t>
      </w:r>
      <w:r w:rsidR="009738BE">
        <w:t>assessment</w:t>
      </w:r>
      <w:r w:rsidR="008B0BDB">
        <w:t xml:space="preserve"> for a unit operation</w:t>
      </w:r>
    </w:p>
    <w:p w14:paraId="247EE234" w14:textId="538003F5" w:rsidR="00C41A64" w:rsidRPr="00545D58" w:rsidRDefault="004B3962" w:rsidP="00F87E11">
      <w:pPr>
        <w:rPr>
          <w:rFonts w:ascii="Arial" w:hAnsi="Arial" w:cs="Arial"/>
        </w:rPr>
      </w:pPr>
      <w:r w:rsidRPr="00F90166">
        <w:rPr>
          <w:rFonts w:ascii="Arial" w:hAnsi="Arial" w:cs="Arial"/>
        </w:rPr>
        <w:t>Th</w:t>
      </w:r>
      <w:r w:rsidR="00D303B9" w:rsidRPr="00F90166">
        <w:rPr>
          <w:rFonts w:ascii="Arial" w:hAnsi="Arial" w:cs="Arial"/>
        </w:rPr>
        <w:t>e</w:t>
      </w:r>
      <w:r w:rsidRPr="00F90166">
        <w:rPr>
          <w:rFonts w:ascii="Arial" w:hAnsi="Arial" w:cs="Arial"/>
        </w:rPr>
        <w:t xml:space="preserve"> initial</w:t>
      </w:r>
      <w:r w:rsidR="00CC07E1" w:rsidRPr="00F90166">
        <w:rPr>
          <w:rFonts w:ascii="Arial" w:hAnsi="Arial" w:cs="Arial"/>
        </w:rPr>
        <w:t xml:space="preserve"> </w:t>
      </w:r>
      <w:r w:rsidR="0030347A" w:rsidRPr="00F90166">
        <w:rPr>
          <w:rFonts w:ascii="Arial" w:hAnsi="Arial" w:cs="Arial"/>
        </w:rPr>
        <w:t>manufacturing</w:t>
      </w:r>
      <w:r w:rsidRPr="00F90166">
        <w:rPr>
          <w:rFonts w:ascii="Arial" w:hAnsi="Arial" w:cs="Arial"/>
        </w:rPr>
        <w:t xml:space="preserve"> risk score</w:t>
      </w:r>
      <w:r w:rsidR="0030347A" w:rsidRPr="00F90166">
        <w:rPr>
          <w:rFonts w:ascii="Arial" w:hAnsi="Arial" w:cs="Arial"/>
        </w:rPr>
        <w:t xml:space="preserve"> for a </w:t>
      </w:r>
      <w:r w:rsidR="00D303B9" w:rsidRPr="00F90166">
        <w:rPr>
          <w:rFonts w:ascii="Arial" w:hAnsi="Arial" w:cs="Arial"/>
        </w:rPr>
        <w:t>u</w:t>
      </w:r>
      <w:r w:rsidR="0030347A" w:rsidRPr="00F90166">
        <w:rPr>
          <w:rFonts w:ascii="Arial" w:hAnsi="Arial" w:cs="Arial"/>
        </w:rPr>
        <w:t>nit operation</w:t>
      </w:r>
      <w:r w:rsidRPr="00F90166">
        <w:rPr>
          <w:rFonts w:ascii="Arial" w:hAnsi="Arial" w:cs="Arial"/>
        </w:rPr>
        <w:t xml:space="preserve"> is determined by factors derived from the product, process, and facility.</w:t>
      </w:r>
      <w:r w:rsidR="002024C9" w:rsidRPr="00F90166">
        <w:rPr>
          <w:rFonts w:ascii="Arial" w:hAnsi="Arial" w:cs="Arial"/>
        </w:rPr>
        <w:t xml:space="preserve"> </w:t>
      </w:r>
      <w:r w:rsidR="00225C62" w:rsidRPr="00545D58">
        <w:rPr>
          <w:rFonts w:ascii="Arial" w:hAnsi="Arial" w:cs="Arial"/>
        </w:rPr>
        <w:t xml:space="preserve">Due to the complexities of manufacturing supply chains, the variety of drug product strengths, and the numerous unit operations involved in drug production, it is crucial to incorporate flexibility into the model to address these variables. </w:t>
      </w:r>
      <w:r w:rsidR="00C41A64" w:rsidRPr="00545D58">
        <w:rPr>
          <w:rFonts w:ascii="Arial" w:hAnsi="Arial" w:cs="Arial"/>
        </w:rPr>
        <w:t xml:space="preserve"> To ensure that all relevant factors are considered without unnecessarily enumerating every possible combination in drug manufacturing lines, the </w:t>
      </w:r>
      <w:r w:rsidR="00DE1BB5" w:rsidRPr="00545D58">
        <w:rPr>
          <w:rFonts w:ascii="Arial" w:hAnsi="Arial" w:cs="Arial"/>
        </w:rPr>
        <w:t xml:space="preserve">manufacturing </w:t>
      </w:r>
      <w:r w:rsidR="00C41A64" w:rsidRPr="00545D58">
        <w:rPr>
          <w:rFonts w:ascii="Arial" w:hAnsi="Arial" w:cs="Arial"/>
        </w:rPr>
        <w:t xml:space="preserve">risk model </w:t>
      </w:r>
      <w:r w:rsidR="006C2E76" w:rsidRPr="00545D58">
        <w:rPr>
          <w:rFonts w:ascii="Arial" w:hAnsi="Arial" w:cs="Arial"/>
        </w:rPr>
        <w:t xml:space="preserve">was </w:t>
      </w:r>
      <w:r w:rsidR="00C41A64" w:rsidRPr="00545D58">
        <w:rPr>
          <w:rFonts w:ascii="Arial" w:hAnsi="Arial" w:cs="Arial"/>
        </w:rPr>
        <w:t xml:space="preserve">developed </w:t>
      </w:r>
      <w:r w:rsidR="008A41B4" w:rsidRPr="00545D58">
        <w:rPr>
          <w:rFonts w:ascii="Arial" w:hAnsi="Arial" w:cs="Arial"/>
        </w:rPr>
        <w:t>with</w:t>
      </w:r>
      <w:r w:rsidR="00C41A64" w:rsidRPr="00545D58">
        <w:rPr>
          <w:rFonts w:ascii="Arial" w:hAnsi="Arial" w:cs="Arial"/>
        </w:rPr>
        <w:t xml:space="preserve"> </w:t>
      </w:r>
      <w:r w:rsidR="001E1822" w:rsidRPr="00545D58">
        <w:rPr>
          <w:rFonts w:ascii="Arial" w:hAnsi="Arial" w:cs="Arial"/>
        </w:rPr>
        <w:t xml:space="preserve">(1) </w:t>
      </w:r>
      <w:r w:rsidR="00BA0013" w:rsidRPr="00545D58">
        <w:rPr>
          <w:rFonts w:ascii="Arial" w:hAnsi="Arial" w:cs="Arial"/>
        </w:rPr>
        <w:t xml:space="preserve">general questions based on </w:t>
      </w:r>
      <w:r w:rsidR="001E1822" w:rsidRPr="00545D58">
        <w:rPr>
          <w:rFonts w:ascii="Arial" w:hAnsi="Arial" w:cs="Arial"/>
        </w:rPr>
        <w:t xml:space="preserve">a </w:t>
      </w:r>
      <w:r w:rsidR="00166260" w:rsidRPr="00545D58">
        <w:rPr>
          <w:rFonts w:ascii="Arial" w:hAnsi="Arial" w:cs="Arial"/>
        </w:rPr>
        <w:t>manufacturing strategy</w:t>
      </w:r>
      <w:r w:rsidR="001E1822" w:rsidRPr="00545D58">
        <w:rPr>
          <w:rFonts w:ascii="Arial" w:hAnsi="Arial" w:cs="Arial"/>
        </w:rPr>
        <w:t xml:space="preserve">, and (2) specific questions for </w:t>
      </w:r>
      <w:r w:rsidR="00BA0013" w:rsidRPr="00545D58">
        <w:rPr>
          <w:rFonts w:ascii="Arial" w:hAnsi="Arial" w:cs="Arial"/>
        </w:rPr>
        <w:t>each</w:t>
      </w:r>
      <w:r w:rsidR="001E1822" w:rsidRPr="00545D58">
        <w:rPr>
          <w:rFonts w:ascii="Arial" w:hAnsi="Arial" w:cs="Arial"/>
        </w:rPr>
        <w:t xml:space="preserve"> unit operation</w:t>
      </w:r>
      <w:r w:rsidR="00BE5E85">
        <w:rPr>
          <w:rFonts w:ascii="Arial" w:hAnsi="Arial" w:cs="Arial"/>
        </w:rPr>
        <w:t xml:space="preserve"> </w:t>
      </w:r>
      <w:r w:rsidR="001661D5" w:rsidRPr="00545D58">
        <w:rPr>
          <w:rFonts w:ascii="Arial" w:hAnsi="Arial" w:cs="Arial"/>
        </w:rPr>
        <w:t xml:space="preserve">(see </w:t>
      </w:r>
      <w:r w:rsidR="00C43E33" w:rsidRPr="005C25DA">
        <w:rPr>
          <w:rFonts w:ascii="Arial" w:hAnsi="Arial" w:cs="Arial"/>
          <w:b/>
          <w:bCs/>
        </w:rPr>
        <w:t>Figure 4</w:t>
      </w:r>
      <w:r w:rsidR="00504470" w:rsidRPr="00545D58">
        <w:rPr>
          <w:rFonts w:ascii="Arial" w:hAnsi="Arial" w:cs="Arial"/>
        </w:rPr>
        <w:t>).</w:t>
      </w:r>
    </w:p>
    <w:p w14:paraId="6D483CE1" w14:textId="33793399" w:rsidR="00837F9C" w:rsidRPr="00D50AC6" w:rsidRDefault="00C97FBE" w:rsidP="00253E7B">
      <w:r w:rsidRPr="00545D58">
        <w:rPr>
          <w:rFonts w:ascii="Arial" w:hAnsi="Arial" w:cs="Arial"/>
        </w:rPr>
        <w:t xml:space="preserve">At the beginning of the initial manufacturing risk assessment, a </w:t>
      </w:r>
      <w:r w:rsidR="004F2DA9" w:rsidRPr="00545D58">
        <w:rPr>
          <w:rFonts w:ascii="Arial" w:hAnsi="Arial" w:cs="Arial"/>
        </w:rPr>
        <w:t>variable</w:t>
      </w:r>
      <w:r w:rsidRPr="00545D58">
        <w:rPr>
          <w:rFonts w:ascii="Arial" w:hAnsi="Arial" w:cs="Arial"/>
        </w:rPr>
        <w:t xml:space="preserve"> is created </w:t>
      </w:r>
      <w:r w:rsidRPr="00F90166">
        <w:rPr>
          <w:rFonts w:ascii="Arial" w:hAnsi="Arial" w:cs="Arial"/>
        </w:rPr>
        <w:t>to represent</w:t>
      </w:r>
      <w:r w:rsidRPr="00545D58">
        <w:rPr>
          <w:rFonts w:ascii="Arial" w:hAnsi="Arial" w:cs="Arial"/>
        </w:rPr>
        <w:t xml:space="preserve"> </w:t>
      </w:r>
      <w:r w:rsidR="00FF65DB" w:rsidRPr="00545D58">
        <w:rPr>
          <w:rFonts w:ascii="Arial" w:hAnsi="Arial" w:cs="Arial"/>
        </w:rPr>
        <w:t>scenarios of</w:t>
      </w:r>
      <w:r w:rsidRPr="00545D58">
        <w:rPr>
          <w:rFonts w:ascii="Arial" w:hAnsi="Arial" w:cs="Arial"/>
        </w:rPr>
        <w:t xml:space="preserve"> facilities, drug substance</w:t>
      </w:r>
      <w:r w:rsidR="00DB73A1" w:rsidRPr="00545D58">
        <w:rPr>
          <w:rFonts w:ascii="Arial" w:hAnsi="Arial" w:cs="Arial"/>
        </w:rPr>
        <w:t>(</w:t>
      </w:r>
      <w:r w:rsidRPr="00545D58">
        <w:rPr>
          <w:rFonts w:ascii="Arial" w:hAnsi="Arial" w:cs="Arial"/>
        </w:rPr>
        <w:t>s</w:t>
      </w:r>
      <w:r w:rsidR="00585666" w:rsidRPr="00545D58">
        <w:rPr>
          <w:rFonts w:ascii="Arial" w:hAnsi="Arial" w:cs="Arial"/>
        </w:rPr>
        <w:t>),</w:t>
      </w:r>
      <w:r w:rsidRPr="00545D58">
        <w:rPr>
          <w:rFonts w:ascii="Arial" w:hAnsi="Arial" w:cs="Arial"/>
        </w:rPr>
        <w:t xml:space="preserve"> strength</w:t>
      </w:r>
      <w:r w:rsidR="00DB73A1" w:rsidRPr="00545D58">
        <w:rPr>
          <w:rFonts w:ascii="Arial" w:hAnsi="Arial" w:cs="Arial"/>
        </w:rPr>
        <w:t>(</w:t>
      </w:r>
      <w:r w:rsidRPr="00545D58">
        <w:rPr>
          <w:rFonts w:ascii="Arial" w:hAnsi="Arial" w:cs="Arial"/>
        </w:rPr>
        <w:t>s</w:t>
      </w:r>
      <w:r w:rsidR="00DB73A1" w:rsidRPr="00545D58">
        <w:rPr>
          <w:rFonts w:ascii="Arial" w:hAnsi="Arial" w:cs="Arial"/>
        </w:rPr>
        <w:t>)</w:t>
      </w:r>
      <w:r w:rsidRPr="00545D58">
        <w:rPr>
          <w:rFonts w:ascii="Arial" w:hAnsi="Arial" w:cs="Arial"/>
        </w:rPr>
        <w:t xml:space="preserve">, </w:t>
      </w:r>
      <w:r w:rsidR="00FF65DB" w:rsidRPr="00545D58">
        <w:rPr>
          <w:rFonts w:ascii="Arial" w:hAnsi="Arial" w:cs="Arial"/>
        </w:rPr>
        <w:t>and</w:t>
      </w:r>
      <w:r w:rsidR="00501424" w:rsidRPr="00545D58">
        <w:rPr>
          <w:rFonts w:ascii="Arial" w:hAnsi="Arial" w:cs="Arial"/>
        </w:rPr>
        <w:t xml:space="preserve"> </w:t>
      </w:r>
      <w:r w:rsidR="00D47996" w:rsidRPr="00545D58">
        <w:rPr>
          <w:rFonts w:ascii="Arial" w:hAnsi="Arial" w:cs="Arial"/>
        </w:rPr>
        <w:t xml:space="preserve">a </w:t>
      </w:r>
      <w:r w:rsidR="004E18CD" w:rsidRPr="00545D58">
        <w:rPr>
          <w:rFonts w:ascii="Arial" w:hAnsi="Arial" w:cs="Arial"/>
        </w:rPr>
        <w:t xml:space="preserve">drug </w:t>
      </w:r>
      <w:r w:rsidR="00ED72E1" w:rsidRPr="00545D58">
        <w:rPr>
          <w:rFonts w:ascii="Arial" w:hAnsi="Arial" w:cs="Arial"/>
        </w:rPr>
        <w:t>component</w:t>
      </w:r>
      <w:r w:rsidRPr="00545D58">
        <w:rPr>
          <w:rFonts w:ascii="Arial" w:hAnsi="Arial" w:cs="Arial"/>
        </w:rPr>
        <w:t xml:space="preserve"> release mechanism. </w:t>
      </w:r>
      <w:r w:rsidR="00AF49B1" w:rsidRPr="00545D58">
        <w:rPr>
          <w:rFonts w:ascii="Arial" w:hAnsi="Arial" w:cs="Arial"/>
        </w:rPr>
        <w:t xml:space="preserve">Depending on the complexity, either a single </w:t>
      </w:r>
      <w:r w:rsidR="00BA4ACC" w:rsidRPr="00545D58">
        <w:rPr>
          <w:rFonts w:ascii="Arial" w:hAnsi="Arial" w:cs="Arial"/>
        </w:rPr>
        <w:t>variable</w:t>
      </w:r>
      <w:r w:rsidR="00AF49B1" w:rsidRPr="00545D58">
        <w:rPr>
          <w:rFonts w:ascii="Arial" w:hAnsi="Arial" w:cs="Arial"/>
        </w:rPr>
        <w:t xml:space="preserve"> or multiple </w:t>
      </w:r>
      <w:r w:rsidR="00E61139" w:rsidRPr="00545D58">
        <w:rPr>
          <w:rFonts w:ascii="Arial" w:hAnsi="Arial" w:cs="Arial"/>
        </w:rPr>
        <w:t>variables</w:t>
      </w:r>
      <w:r w:rsidR="00AF49B1" w:rsidRPr="00545D58">
        <w:rPr>
          <w:rFonts w:ascii="Arial" w:hAnsi="Arial" w:cs="Arial"/>
        </w:rPr>
        <w:t xml:space="preserve"> may be</w:t>
      </w:r>
      <w:r w:rsidR="00AF49B1" w:rsidRPr="00AF49B1">
        <w:rPr>
          <w:rFonts w:ascii="Arial" w:hAnsi="Arial" w:cs="Arial"/>
        </w:rPr>
        <w:t xml:space="preserve"> needed to </w:t>
      </w:r>
      <w:r w:rsidR="00BA4ACC">
        <w:rPr>
          <w:rFonts w:ascii="Arial" w:hAnsi="Arial" w:cs="Arial"/>
        </w:rPr>
        <w:t>represent the manufacturing process</w:t>
      </w:r>
      <w:r w:rsidR="00837F9C">
        <w:rPr>
          <w:rFonts w:ascii="Arial" w:hAnsi="Arial" w:cs="Arial"/>
        </w:rPr>
        <w:t>.</w:t>
      </w:r>
      <w:r w:rsidR="00E2659B">
        <w:rPr>
          <w:rFonts w:ascii="Arial" w:hAnsi="Arial" w:cs="Arial"/>
        </w:rPr>
        <w:t xml:space="preserve"> </w:t>
      </w:r>
      <w:r w:rsidR="00ED72E1" w:rsidRPr="00ED72E1">
        <w:rPr>
          <w:rFonts w:ascii="Arial" w:hAnsi="Arial" w:cs="Arial"/>
        </w:rPr>
        <w:t xml:space="preserve">A general risk score </w:t>
      </w:r>
      <w:r w:rsidR="00CB7817">
        <w:rPr>
          <w:rFonts w:ascii="Arial" w:hAnsi="Arial" w:cs="Arial"/>
        </w:rPr>
        <w:t>is</w:t>
      </w:r>
      <w:r w:rsidR="00ED72E1" w:rsidRPr="00ED72E1">
        <w:rPr>
          <w:rFonts w:ascii="Arial" w:hAnsi="Arial" w:cs="Arial"/>
        </w:rPr>
        <w:t xml:space="preserve"> calculated for </w:t>
      </w:r>
      <w:r w:rsidR="00CB7817">
        <w:rPr>
          <w:rFonts w:ascii="Arial" w:hAnsi="Arial" w:cs="Arial"/>
        </w:rPr>
        <w:t>each variable</w:t>
      </w:r>
      <w:r w:rsidR="00627C68">
        <w:rPr>
          <w:rFonts w:ascii="Arial" w:hAnsi="Arial" w:cs="Arial"/>
        </w:rPr>
        <w:t>.</w:t>
      </w:r>
    </w:p>
    <w:p w14:paraId="43AF834C" w14:textId="5DFA9171" w:rsidR="00881265" w:rsidRDefault="0062577F" w:rsidP="00881265">
      <w:pPr>
        <w:rPr>
          <w:rFonts w:ascii="Arial" w:hAnsi="Arial" w:cs="Arial"/>
        </w:rPr>
      </w:pPr>
      <w:r w:rsidRPr="6E98053B">
        <w:rPr>
          <w:rFonts w:ascii="Arial" w:hAnsi="Arial" w:cs="Arial"/>
        </w:rPr>
        <w:t xml:space="preserve">Once </w:t>
      </w:r>
      <w:r w:rsidR="00103A69" w:rsidRPr="6E98053B">
        <w:rPr>
          <w:rFonts w:ascii="Arial" w:hAnsi="Arial" w:cs="Arial"/>
        </w:rPr>
        <w:t xml:space="preserve">a </w:t>
      </w:r>
      <w:r w:rsidR="006A3A72">
        <w:rPr>
          <w:rFonts w:ascii="Arial" w:hAnsi="Arial" w:cs="Arial"/>
        </w:rPr>
        <w:t>variable</w:t>
      </w:r>
      <w:r w:rsidR="00D4781A" w:rsidRPr="6E98053B">
        <w:rPr>
          <w:rFonts w:ascii="Arial" w:hAnsi="Arial" w:cs="Arial"/>
        </w:rPr>
        <w:t xml:space="preserve"> </w:t>
      </w:r>
      <w:r w:rsidRPr="6E98053B">
        <w:rPr>
          <w:rFonts w:ascii="Arial" w:hAnsi="Arial" w:cs="Arial"/>
        </w:rPr>
        <w:t>is set</w:t>
      </w:r>
      <w:r w:rsidR="0021670E">
        <w:rPr>
          <w:rFonts w:ascii="Arial" w:hAnsi="Arial" w:cs="Arial"/>
        </w:rPr>
        <w:t xml:space="preserve"> and a general risk score is calculated</w:t>
      </w:r>
      <w:r w:rsidRPr="6E98053B">
        <w:rPr>
          <w:rFonts w:ascii="Arial" w:hAnsi="Arial" w:cs="Arial"/>
        </w:rPr>
        <w:t xml:space="preserve">, all </w:t>
      </w:r>
      <w:r w:rsidR="008510D4" w:rsidRPr="6E98053B">
        <w:rPr>
          <w:rFonts w:ascii="Arial" w:hAnsi="Arial" w:cs="Arial"/>
        </w:rPr>
        <w:t xml:space="preserve">relevant </w:t>
      </w:r>
      <w:r w:rsidRPr="6E98053B">
        <w:rPr>
          <w:rFonts w:ascii="Arial" w:hAnsi="Arial" w:cs="Arial"/>
        </w:rPr>
        <w:t>unit operations</w:t>
      </w:r>
      <w:r w:rsidR="008510D4" w:rsidRPr="6E98053B">
        <w:rPr>
          <w:rFonts w:ascii="Arial" w:hAnsi="Arial" w:cs="Arial"/>
        </w:rPr>
        <w:t xml:space="preserve"> </w:t>
      </w:r>
      <w:r w:rsidR="00103A69" w:rsidRPr="6E98053B">
        <w:rPr>
          <w:rFonts w:ascii="Arial" w:hAnsi="Arial" w:cs="Arial"/>
        </w:rPr>
        <w:t xml:space="preserve">for </w:t>
      </w:r>
      <w:r w:rsidR="00EC0937">
        <w:rPr>
          <w:rFonts w:ascii="Arial" w:hAnsi="Arial" w:cs="Arial"/>
        </w:rPr>
        <w:t>each</w:t>
      </w:r>
      <w:r w:rsidR="00EC0937" w:rsidRPr="6E98053B">
        <w:rPr>
          <w:rFonts w:ascii="Arial" w:hAnsi="Arial" w:cs="Arial"/>
        </w:rPr>
        <w:t xml:space="preserve"> </w:t>
      </w:r>
      <w:r w:rsidR="00A51274" w:rsidRPr="00A51274">
        <w:rPr>
          <w:rFonts w:ascii="Arial" w:hAnsi="Arial" w:cs="Arial"/>
        </w:rPr>
        <w:t>scenario</w:t>
      </w:r>
      <w:r w:rsidR="008510D4" w:rsidRPr="6E98053B">
        <w:rPr>
          <w:rFonts w:ascii="Arial" w:hAnsi="Arial" w:cs="Arial"/>
        </w:rPr>
        <w:t xml:space="preserve"> </w:t>
      </w:r>
      <w:r w:rsidR="00103A69" w:rsidRPr="6E98053B">
        <w:rPr>
          <w:rFonts w:ascii="Arial" w:hAnsi="Arial" w:cs="Arial"/>
        </w:rPr>
        <w:t>should be selected.</w:t>
      </w:r>
      <w:r w:rsidR="00BA1116" w:rsidRPr="6E98053B">
        <w:rPr>
          <w:rFonts w:ascii="Arial" w:hAnsi="Arial" w:cs="Arial"/>
        </w:rPr>
        <w:t xml:space="preserve">  </w:t>
      </w:r>
      <w:r w:rsidRPr="6E98053B">
        <w:rPr>
          <w:rFonts w:ascii="Arial" w:hAnsi="Arial" w:cs="Arial"/>
        </w:rPr>
        <w:t xml:space="preserve">Assessors </w:t>
      </w:r>
      <w:r w:rsidR="000944EB">
        <w:rPr>
          <w:rFonts w:ascii="Arial" w:hAnsi="Arial" w:cs="Arial"/>
        </w:rPr>
        <w:t>are</w:t>
      </w:r>
      <w:r w:rsidRPr="6E98053B">
        <w:rPr>
          <w:rFonts w:ascii="Arial" w:hAnsi="Arial" w:cs="Arial"/>
        </w:rPr>
        <w:t xml:space="preserve"> presented with </w:t>
      </w:r>
      <w:r w:rsidR="005C7AF1" w:rsidRPr="6E98053B">
        <w:rPr>
          <w:rFonts w:ascii="Arial" w:hAnsi="Arial" w:cs="Arial"/>
        </w:rPr>
        <w:t xml:space="preserve">a series of </w:t>
      </w:r>
      <w:r w:rsidRPr="6E98053B">
        <w:rPr>
          <w:rFonts w:ascii="Arial" w:hAnsi="Arial" w:cs="Arial"/>
        </w:rPr>
        <w:t xml:space="preserve">specific questions related to each unit operation. The answers to these questions </w:t>
      </w:r>
      <w:r w:rsidR="00C85CC3">
        <w:rPr>
          <w:rFonts w:ascii="Arial" w:hAnsi="Arial" w:cs="Arial"/>
        </w:rPr>
        <w:t xml:space="preserve">are </w:t>
      </w:r>
      <w:r w:rsidRPr="6E98053B">
        <w:rPr>
          <w:rFonts w:ascii="Arial" w:hAnsi="Arial" w:cs="Arial"/>
        </w:rPr>
        <w:t>used to calculate the initial manufacturing risk score for each</w:t>
      </w:r>
      <w:r w:rsidR="006B0462" w:rsidRPr="6E98053B">
        <w:rPr>
          <w:rFonts w:ascii="Arial" w:hAnsi="Arial" w:cs="Arial"/>
        </w:rPr>
        <w:t xml:space="preserve"> impacted</w:t>
      </w:r>
      <w:r w:rsidRPr="6E98053B">
        <w:rPr>
          <w:rFonts w:ascii="Arial" w:hAnsi="Arial" w:cs="Arial"/>
        </w:rPr>
        <w:t xml:space="preserve"> </w:t>
      </w:r>
      <w:r w:rsidR="00180351" w:rsidRPr="6E98053B">
        <w:rPr>
          <w:rFonts w:ascii="Arial" w:hAnsi="Arial" w:cs="Arial"/>
        </w:rPr>
        <w:t>CQA</w:t>
      </w:r>
      <w:r w:rsidRPr="6E98053B">
        <w:rPr>
          <w:rFonts w:ascii="Arial" w:hAnsi="Arial" w:cs="Arial"/>
        </w:rPr>
        <w:t xml:space="preserve"> of the drug product in every </w:t>
      </w:r>
      <w:r w:rsidR="006B0462" w:rsidRPr="6E98053B">
        <w:rPr>
          <w:rFonts w:ascii="Arial" w:hAnsi="Arial" w:cs="Arial"/>
        </w:rPr>
        <w:t xml:space="preserve">selected </w:t>
      </w:r>
      <w:r w:rsidRPr="6E98053B">
        <w:rPr>
          <w:rFonts w:ascii="Arial" w:hAnsi="Arial" w:cs="Arial"/>
        </w:rPr>
        <w:t xml:space="preserve">unit operation, using the FMEA approach. The risk scores </w:t>
      </w:r>
      <w:r w:rsidR="00C85CC3">
        <w:rPr>
          <w:rFonts w:ascii="Arial" w:hAnsi="Arial" w:cs="Arial"/>
        </w:rPr>
        <w:t>are</w:t>
      </w:r>
      <w:r w:rsidRPr="6E98053B">
        <w:rPr>
          <w:rFonts w:ascii="Arial" w:hAnsi="Arial" w:cs="Arial"/>
        </w:rPr>
        <w:t xml:space="preserve"> determined based on the severity, occurrence, and detectability of the </w:t>
      </w:r>
      <w:r w:rsidR="006274BC" w:rsidRPr="006274BC">
        <w:rPr>
          <w:rFonts w:ascii="Arial" w:hAnsi="Arial" w:cs="Arial"/>
        </w:rPr>
        <w:t>scenario</w:t>
      </w:r>
      <w:r w:rsidRPr="6E98053B">
        <w:rPr>
          <w:rFonts w:ascii="Arial" w:hAnsi="Arial" w:cs="Arial"/>
        </w:rPr>
        <w:t xml:space="preserve"> and the specific factors of each unit operation</w:t>
      </w:r>
      <w:r w:rsidR="00881265">
        <w:rPr>
          <w:rFonts w:ascii="Arial" w:hAnsi="Arial" w:cs="Arial"/>
        </w:rPr>
        <w:t>.</w:t>
      </w:r>
      <w:r w:rsidR="00FC47F8" w:rsidRPr="6E98053B">
        <w:rPr>
          <w:rFonts w:ascii="Arial" w:hAnsi="Arial" w:cs="Arial"/>
        </w:rPr>
        <w:t xml:space="preserve"> </w:t>
      </w:r>
      <w:r w:rsidR="00881265" w:rsidRPr="6E98053B">
        <w:rPr>
          <w:rFonts w:ascii="Arial" w:hAnsi="Arial" w:cs="Arial"/>
        </w:rPr>
        <w:t xml:space="preserve">For each unit operation, multiple CQAs </w:t>
      </w:r>
      <w:r w:rsidR="00881265">
        <w:rPr>
          <w:rFonts w:ascii="Arial" w:hAnsi="Arial" w:cs="Arial"/>
        </w:rPr>
        <w:t xml:space="preserve">risks </w:t>
      </w:r>
      <w:r w:rsidR="00C85CC3">
        <w:rPr>
          <w:rFonts w:ascii="Arial" w:hAnsi="Arial" w:cs="Arial"/>
        </w:rPr>
        <w:t>may be</w:t>
      </w:r>
      <w:r w:rsidR="00881265" w:rsidRPr="6E98053B">
        <w:rPr>
          <w:rFonts w:ascii="Arial" w:hAnsi="Arial" w:cs="Arial"/>
        </w:rPr>
        <w:t xml:space="preserve"> calculated. The overall initial manufacturing risk score for a unit operation </w:t>
      </w:r>
      <w:r w:rsidR="005E1131">
        <w:rPr>
          <w:rFonts w:ascii="Arial" w:hAnsi="Arial" w:cs="Arial"/>
        </w:rPr>
        <w:t>is</w:t>
      </w:r>
      <w:r w:rsidR="00881265" w:rsidRPr="6E98053B">
        <w:rPr>
          <w:rFonts w:ascii="Arial" w:hAnsi="Arial" w:cs="Arial"/>
        </w:rPr>
        <w:t xml:space="preserve"> determined </w:t>
      </w:r>
      <w:r w:rsidR="005E1131">
        <w:rPr>
          <w:rFonts w:ascii="Arial" w:hAnsi="Arial" w:cs="Arial"/>
        </w:rPr>
        <w:t>usin</w:t>
      </w:r>
      <w:r w:rsidR="002A11B7">
        <w:rPr>
          <w:rFonts w:ascii="Arial" w:hAnsi="Arial" w:cs="Arial"/>
        </w:rPr>
        <w:t>g</w:t>
      </w:r>
      <w:r w:rsidR="00881265" w:rsidRPr="6E98053B">
        <w:rPr>
          <w:rFonts w:ascii="Arial" w:hAnsi="Arial" w:cs="Arial"/>
        </w:rPr>
        <w:t xml:space="preserve"> </w:t>
      </w:r>
      <w:proofErr w:type="gramStart"/>
      <w:r w:rsidR="00881265" w:rsidRPr="6E98053B">
        <w:rPr>
          <w:rFonts w:ascii="Arial" w:hAnsi="Arial" w:cs="Arial"/>
        </w:rPr>
        <w:t>all</w:t>
      </w:r>
      <w:r w:rsidR="002A11B7">
        <w:rPr>
          <w:rFonts w:ascii="Arial" w:hAnsi="Arial" w:cs="Arial"/>
        </w:rPr>
        <w:t xml:space="preserve"> of</w:t>
      </w:r>
      <w:proofErr w:type="gramEnd"/>
      <w:r w:rsidR="002A11B7">
        <w:rPr>
          <w:rFonts w:ascii="Arial" w:hAnsi="Arial" w:cs="Arial"/>
        </w:rPr>
        <w:t xml:space="preserve"> the</w:t>
      </w:r>
      <w:r w:rsidR="00881265" w:rsidRPr="6E98053B">
        <w:rPr>
          <w:rFonts w:ascii="Arial" w:hAnsi="Arial" w:cs="Arial"/>
        </w:rPr>
        <w:t xml:space="preserve"> CQA </w:t>
      </w:r>
      <w:r w:rsidR="00881265">
        <w:rPr>
          <w:rFonts w:ascii="Arial" w:hAnsi="Arial" w:cs="Arial"/>
        </w:rPr>
        <w:t xml:space="preserve">risk </w:t>
      </w:r>
      <w:r w:rsidR="00881265" w:rsidRPr="6E98053B">
        <w:rPr>
          <w:rFonts w:ascii="Arial" w:hAnsi="Arial" w:cs="Arial"/>
        </w:rPr>
        <w:t>scores.</w:t>
      </w:r>
    </w:p>
    <w:p w14:paraId="66B18C58" w14:textId="09ADC84D" w:rsidR="00264ACA" w:rsidRPr="00BE05C2" w:rsidRDefault="008A3BF4" w:rsidP="00264ACA">
      <w:pPr>
        <w:rPr>
          <w:rFonts w:ascii="Arial" w:hAnsi="Arial" w:cs="Arial"/>
        </w:rPr>
      </w:pPr>
      <w:r w:rsidRPr="005C25DA">
        <w:rPr>
          <w:rFonts w:ascii="Arial" w:hAnsi="Arial" w:cs="Arial"/>
          <w:b/>
          <w:bCs/>
        </w:rPr>
        <w:t>Figure 5</w:t>
      </w:r>
      <w:r w:rsidRPr="00DA3B73">
        <w:rPr>
          <w:rFonts w:ascii="Arial" w:hAnsi="Arial" w:cs="Arial"/>
        </w:rPr>
        <w:t xml:space="preserve"> shows the </w:t>
      </w:r>
      <w:r w:rsidR="00992B04" w:rsidRPr="00DA3B73">
        <w:rPr>
          <w:rFonts w:ascii="Arial" w:hAnsi="Arial" w:cs="Arial"/>
        </w:rPr>
        <w:t xml:space="preserve">manufacturing initial </w:t>
      </w:r>
      <w:r w:rsidRPr="00DA3B73">
        <w:rPr>
          <w:rFonts w:ascii="Arial" w:hAnsi="Arial" w:cs="Arial"/>
        </w:rPr>
        <w:t xml:space="preserve">risk </w:t>
      </w:r>
      <w:r w:rsidR="009735C0" w:rsidRPr="00DA3B73">
        <w:rPr>
          <w:rFonts w:ascii="Arial" w:hAnsi="Arial" w:cs="Arial"/>
        </w:rPr>
        <w:t>score calculation</w:t>
      </w:r>
      <w:r w:rsidR="00F50155" w:rsidRPr="00DA3B73">
        <w:rPr>
          <w:rFonts w:ascii="Arial" w:hAnsi="Arial" w:cs="Arial"/>
        </w:rPr>
        <w:t xml:space="preserve"> </w:t>
      </w:r>
      <w:r w:rsidR="00EE07B9" w:rsidRPr="00DA3B73">
        <w:rPr>
          <w:rFonts w:ascii="Arial" w:hAnsi="Arial" w:cs="Arial"/>
        </w:rPr>
        <w:t>for</w:t>
      </w:r>
      <w:r w:rsidR="00F50155" w:rsidRPr="00DA3B73">
        <w:rPr>
          <w:rFonts w:ascii="Arial" w:hAnsi="Arial" w:cs="Arial"/>
        </w:rPr>
        <w:t xml:space="preserve"> the potential </w:t>
      </w:r>
      <w:r w:rsidR="00B74CE4" w:rsidRPr="00DA3B73">
        <w:rPr>
          <w:rFonts w:ascii="Arial" w:hAnsi="Arial" w:cs="Arial"/>
        </w:rPr>
        <w:t xml:space="preserve">impact of </w:t>
      </w:r>
      <w:r w:rsidR="00F50155" w:rsidRPr="00DA3B73">
        <w:rPr>
          <w:rFonts w:ascii="Arial" w:hAnsi="Arial" w:cs="Arial"/>
        </w:rPr>
        <w:t>the functional spray coating operation</w:t>
      </w:r>
      <w:r w:rsidRPr="00DA3B73">
        <w:rPr>
          <w:rFonts w:ascii="Arial" w:hAnsi="Arial" w:cs="Arial"/>
        </w:rPr>
        <w:t xml:space="preserve"> </w:t>
      </w:r>
      <w:r w:rsidR="00B74CE4" w:rsidRPr="00DA3B73">
        <w:rPr>
          <w:rFonts w:ascii="Arial" w:hAnsi="Arial" w:cs="Arial"/>
        </w:rPr>
        <w:t xml:space="preserve">on </w:t>
      </w:r>
      <w:r w:rsidR="007A7418" w:rsidRPr="00DA3B73">
        <w:rPr>
          <w:rFonts w:ascii="Arial" w:hAnsi="Arial" w:cs="Arial"/>
        </w:rPr>
        <w:t>dissolution</w:t>
      </w:r>
      <w:r w:rsidR="00A5154B" w:rsidRPr="00DA3B73">
        <w:rPr>
          <w:rFonts w:ascii="Arial" w:hAnsi="Arial" w:cs="Arial"/>
        </w:rPr>
        <w:t xml:space="preserve">, </w:t>
      </w:r>
      <w:r w:rsidR="00D50BE1" w:rsidRPr="00DA3B73">
        <w:rPr>
          <w:rFonts w:ascii="Arial" w:hAnsi="Arial" w:cs="Arial"/>
        </w:rPr>
        <w:t>a CQA</w:t>
      </w:r>
      <w:r w:rsidR="00C11FE3" w:rsidRPr="00C11FE3">
        <w:rPr>
          <w:rFonts w:ascii="Arial" w:hAnsi="Arial" w:cs="Arial"/>
        </w:rPr>
        <w:t xml:space="preserve"> </w:t>
      </w:r>
      <w:r w:rsidR="00C11FE3" w:rsidRPr="00DA3B73">
        <w:rPr>
          <w:rFonts w:ascii="Arial" w:hAnsi="Arial" w:cs="Arial"/>
        </w:rPr>
        <w:t>of the drug product</w:t>
      </w:r>
      <w:r w:rsidR="00D31777" w:rsidRPr="00DA3B73">
        <w:rPr>
          <w:rFonts w:ascii="Arial" w:hAnsi="Arial" w:cs="Arial"/>
        </w:rPr>
        <w:t xml:space="preserve">. Various factors, such as the type of coating, attributes of the </w:t>
      </w:r>
      <w:r w:rsidR="006351FA" w:rsidRPr="00DA3B73">
        <w:rPr>
          <w:rFonts w:ascii="Arial" w:hAnsi="Arial" w:cs="Arial"/>
        </w:rPr>
        <w:t>drug substance</w:t>
      </w:r>
      <w:r w:rsidR="00D31777" w:rsidRPr="00DA3B73">
        <w:rPr>
          <w:rFonts w:ascii="Arial" w:hAnsi="Arial" w:cs="Arial"/>
        </w:rPr>
        <w:t xml:space="preserve">, and information related to </w:t>
      </w:r>
      <w:r w:rsidR="0014452B" w:rsidRPr="00DA3B73">
        <w:rPr>
          <w:rFonts w:ascii="Arial" w:hAnsi="Arial" w:cs="Arial"/>
        </w:rPr>
        <w:t xml:space="preserve">manufacturing </w:t>
      </w:r>
      <w:r w:rsidR="00D31777" w:rsidRPr="00DA3B73">
        <w:rPr>
          <w:rFonts w:ascii="Arial" w:hAnsi="Arial" w:cs="Arial"/>
        </w:rPr>
        <w:t xml:space="preserve">scale-up or the facility, can </w:t>
      </w:r>
      <w:r w:rsidR="00492473" w:rsidRPr="00DA3B73">
        <w:rPr>
          <w:rFonts w:ascii="Arial" w:hAnsi="Arial" w:cs="Arial"/>
        </w:rPr>
        <w:t xml:space="preserve">contribute to calculating the </w:t>
      </w:r>
      <w:r w:rsidR="00032FC3" w:rsidRPr="00DA3B73">
        <w:rPr>
          <w:rFonts w:ascii="Arial" w:hAnsi="Arial" w:cs="Arial"/>
        </w:rPr>
        <w:t>risk to</w:t>
      </w:r>
      <w:r w:rsidR="00492473" w:rsidRPr="00DA3B73">
        <w:rPr>
          <w:rFonts w:ascii="Arial" w:hAnsi="Arial" w:cs="Arial"/>
        </w:rPr>
        <w:t xml:space="preserve"> </w:t>
      </w:r>
      <w:r w:rsidR="001E2794" w:rsidRPr="00DA3B73">
        <w:rPr>
          <w:rFonts w:ascii="Arial" w:hAnsi="Arial" w:cs="Arial"/>
        </w:rPr>
        <w:t>the</w:t>
      </w:r>
      <w:r w:rsidR="00D31777" w:rsidRPr="00DA3B73">
        <w:rPr>
          <w:rFonts w:ascii="Arial" w:hAnsi="Arial" w:cs="Arial"/>
        </w:rPr>
        <w:t xml:space="preserve"> </w:t>
      </w:r>
      <w:r w:rsidR="001E2794" w:rsidRPr="00DA3B73">
        <w:rPr>
          <w:rFonts w:ascii="Arial" w:hAnsi="Arial" w:cs="Arial"/>
        </w:rPr>
        <w:t xml:space="preserve">dissolution </w:t>
      </w:r>
      <w:r w:rsidR="00032FC3" w:rsidRPr="00DA3B73">
        <w:rPr>
          <w:rFonts w:ascii="Arial" w:hAnsi="Arial" w:cs="Arial"/>
        </w:rPr>
        <w:t xml:space="preserve">CQA </w:t>
      </w:r>
      <w:r w:rsidR="001E2794" w:rsidRPr="00DA3B73">
        <w:rPr>
          <w:rFonts w:ascii="Arial" w:hAnsi="Arial" w:cs="Arial"/>
        </w:rPr>
        <w:t>of the drug product.</w:t>
      </w:r>
      <w:r w:rsidR="00C24985" w:rsidRPr="00BE05C2">
        <w:rPr>
          <w:rFonts w:ascii="Arial" w:hAnsi="Arial" w:cs="Arial"/>
        </w:rPr>
        <w:t xml:space="preserve"> The dissolution risk score for the functional spray coating is determined by both the</w:t>
      </w:r>
      <w:r w:rsidR="00476C4B" w:rsidRPr="00BE05C2">
        <w:rPr>
          <w:rFonts w:ascii="Arial" w:hAnsi="Arial" w:cs="Arial"/>
        </w:rPr>
        <w:t xml:space="preserve"> </w:t>
      </w:r>
      <w:r w:rsidR="00DE1320" w:rsidRPr="00BE05C2">
        <w:rPr>
          <w:rFonts w:ascii="Arial" w:hAnsi="Arial" w:cs="Arial"/>
        </w:rPr>
        <w:t>general</w:t>
      </w:r>
      <w:r w:rsidR="00476C4B" w:rsidRPr="00BE05C2">
        <w:rPr>
          <w:rFonts w:ascii="Arial" w:hAnsi="Arial" w:cs="Arial"/>
        </w:rPr>
        <w:t xml:space="preserve"> </w:t>
      </w:r>
      <w:r w:rsidR="00C24985" w:rsidRPr="00BE05C2">
        <w:rPr>
          <w:rFonts w:ascii="Arial" w:hAnsi="Arial" w:cs="Arial"/>
        </w:rPr>
        <w:t>risk</w:t>
      </w:r>
      <w:r w:rsidR="00DE1320" w:rsidRPr="00BE05C2">
        <w:rPr>
          <w:rFonts w:ascii="Arial" w:hAnsi="Arial" w:cs="Arial"/>
        </w:rPr>
        <w:t xml:space="preserve"> by a given s</w:t>
      </w:r>
      <w:r w:rsidR="00264ACA" w:rsidRPr="00BE05C2">
        <w:rPr>
          <w:rFonts w:ascii="Arial" w:hAnsi="Arial" w:cs="Arial"/>
        </w:rPr>
        <w:t>cenario</w:t>
      </w:r>
      <w:r w:rsidR="00C24985" w:rsidRPr="00BE05C2">
        <w:rPr>
          <w:rFonts w:ascii="Arial" w:hAnsi="Arial" w:cs="Arial"/>
        </w:rPr>
        <w:t xml:space="preserve"> and the </w:t>
      </w:r>
      <w:r w:rsidR="00917F52" w:rsidRPr="00BE05C2">
        <w:rPr>
          <w:rFonts w:ascii="Arial" w:hAnsi="Arial" w:cs="Arial"/>
        </w:rPr>
        <w:t xml:space="preserve">spray </w:t>
      </w:r>
      <w:r w:rsidR="00C24985" w:rsidRPr="00BE05C2">
        <w:rPr>
          <w:rFonts w:ascii="Arial" w:hAnsi="Arial" w:cs="Arial"/>
        </w:rPr>
        <w:t xml:space="preserve">coating </w:t>
      </w:r>
      <w:r w:rsidR="00917F52" w:rsidRPr="00BE05C2">
        <w:rPr>
          <w:rFonts w:ascii="Arial" w:hAnsi="Arial" w:cs="Arial"/>
        </w:rPr>
        <w:t xml:space="preserve">specific </w:t>
      </w:r>
      <w:r w:rsidR="00C24985" w:rsidRPr="00BE05C2">
        <w:rPr>
          <w:rFonts w:ascii="Arial" w:hAnsi="Arial" w:cs="Arial"/>
        </w:rPr>
        <w:t>risk.</w:t>
      </w:r>
    </w:p>
    <w:p w14:paraId="464542A7" w14:textId="77777777" w:rsidR="005E3AB9" w:rsidRPr="00BE05C2" w:rsidRDefault="005E3AB9" w:rsidP="00264ACA">
      <w:pPr>
        <w:rPr>
          <w:highlight w:val="cyan"/>
        </w:rPr>
      </w:pPr>
    </w:p>
    <w:p w14:paraId="0D521972" w14:textId="1CFC13BF" w:rsidR="00525855" w:rsidRPr="007E10F7" w:rsidRDefault="00437F95" w:rsidP="00437F95">
      <w:pPr>
        <w:pStyle w:val="Heading2"/>
      </w:pPr>
      <w:r>
        <w:t>3.</w:t>
      </w:r>
      <w:r w:rsidR="00214C46">
        <w:t>4</w:t>
      </w:r>
      <w:r>
        <w:t xml:space="preserve"> </w:t>
      </w:r>
      <w:r w:rsidR="00525855" w:rsidRPr="007E10F7">
        <w:t>Manufacturing risk control</w:t>
      </w:r>
    </w:p>
    <w:p w14:paraId="08D8063F" w14:textId="475A0D6E" w:rsidR="00EF0699" w:rsidRDefault="00025D98" w:rsidP="00EF0699">
      <w:pPr>
        <w:rPr>
          <w:rFonts w:ascii="Arial" w:hAnsi="Arial" w:cs="Arial"/>
        </w:rPr>
      </w:pPr>
      <w:r w:rsidRPr="6E98053B">
        <w:rPr>
          <w:rFonts w:ascii="Arial" w:hAnsi="Arial" w:cs="Arial"/>
        </w:rPr>
        <w:t>T</w:t>
      </w:r>
      <w:r w:rsidR="00213FA4" w:rsidRPr="6E98053B">
        <w:rPr>
          <w:rFonts w:ascii="Arial" w:hAnsi="Arial" w:cs="Arial"/>
        </w:rPr>
        <w:t xml:space="preserve">he current </w:t>
      </w:r>
      <w:r w:rsidR="0090176C" w:rsidRPr="6E98053B">
        <w:rPr>
          <w:rFonts w:ascii="Arial" w:hAnsi="Arial" w:cs="Arial"/>
        </w:rPr>
        <w:t>SODF</w:t>
      </w:r>
      <w:r w:rsidR="00213FA4" w:rsidRPr="6E98053B">
        <w:rPr>
          <w:rFonts w:ascii="Arial" w:hAnsi="Arial" w:cs="Arial"/>
        </w:rPr>
        <w:t xml:space="preserve"> manufacturing </w:t>
      </w:r>
      <w:r w:rsidR="003B098B">
        <w:rPr>
          <w:rFonts w:ascii="Arial" w:hAnsi="Arial" w:cs="Arial"/>
        </w:rPr>
        <w:t xml:space="preserve">section in </w:t>
      </w:r>
      <w:r w:rsidR="007F6FB5" w:rsidRPr="6E98053B">
        <w:rPr>
          <w:rFonts w:ascii="Arial" w:hAnsi="Arial" w:cs="Arial"/>
        </w:rPr>
        <w:t xml:space="preserve">KASA </w:t>
      </w:r>
      <w:r w:rsidR="00213FA4" w:rsidRPr="6E98053B">
        <w:rPr>
          <w:rFonts w:ascii="Arial" w:hAnsi="Arial" w:cs="Arial"/>
        </w:rPr>
        <w:t xml:space="preserve">is aligned with the </w:t>
      </w:r>
      <w:r w:rsidR="002A3C65" w:rsidRPr="6E98053B">
        <w:rPr>
          <w:rFonts w:ascii="Arial" w:hAnsi="Arial" w:cs="Arial"/>
        </w:rPr>
        <w:t>principle</w:t>
      </w:r>
      <w:r w:rsidR="00213FA4" w:rsidRPr="6E98053B">
        <w:rPr>
          <w:rFonts w:ascii="Arial" w:hAnsi="Arial" w:cs="Arial"/>
        </w:rPr>
        <w:t xml:space="preserve"> of ICH Q9 </w:t>
      </w:r>
      <w:r w:rsidR="00BE6C85">
        <w:rPr>
          <w:rFonts w:ascii="Arial" w:hAnsi="Arial" w:cs="Arial"/>
        </w:rPr>
        <w:fldChar w:fldCharType="begin"/>
      </w:r>
      <w:r w:rsidR="007D75E7">
        <w:rPr>
          <w:rFonts w:ascii="Arial" w:hAnsi="Arial" w:cs="Arial"/>
        </w:rPr>
        <w:instrText xml:space="preserve"> ADDIN EN.CITE &lt;EndNote&gt;&lt;Cite&gt;&lt;Author&gt;FDA&lt;/Author&gt;&lt;Year&gt;2023&lt;/Year&gt;&lt;RecNum&gt;17&lt;/RecNum&gt;&lt;DisplayText&gt;(FDA, 2023b)&lt;/DisplayText&gt;&lt;record&gt;&lt;rec-number&gt;17&lt;/rec-number&gt;&lt;foreign-keys&gt;&lt;key app="EN" db-id="retve2w0r25svretdfkxxaprfsr0990sw95r" timestamp="1728488907"&gt;17&lt;/key&gt;&lt;/foreign-keys&gt;&lt;ref-type name="Government Document"&gt;46&lt;/ref-type&gt;&lt;contributors&gt;&lt;authors&gt;&lt;author&gt;FDA&lt;/author&gt;&lt;/authors&gt;&lt;/contributors&gt;&lt;titles&gt;&lt;title&gt;Q9(R1) Quality Risk Management--Guidance for Industry&lt;/title&gt;&lt;/titles&gt;&lt;dates&gt;&lt;year&gt;2023&lt;/year&gt;&lt;/dates&gt;&lt;publisher&gt;U.S. Food and Drug Administration&lt;/publisher&gt;&lt;urls&gt;&lt;/urls&gt;&lt;/record&gt;&lt;/Cite&gt;&lt;/EndNote&gt;</w:instrText>
      </w:r>
      <w:r w:rsidR="00BE6C85">
        <w:rPr>
          <w:rFonts w:ascii="Arial" w:hAnsi="Arial" w:cs="Arial"/>
        </w:rPr>
        <w:fldChar w:fldCharType="separate"/>
      </w:r>
      <w:r w:rsidR="00BE6C85">
        <w:rPr>
          <w:rFonts w:ascii="Arial" w:hAnsi="Arial" w:cs="Arial"/>
          <w:noProof/>
        </w:rPr>
        <w:t>(FDA, 2023b)</w:t>
      </w:r>
      <w:r w:rsidR="00BE6C85">
        <w:rPr>
          <w:rFonts w:ascii="Arial" w:hAnsi="Arial" w:cs="Arial"/>
        </w:rPr>
        <w:fldChar w:fldCharType="end"/>
      </w:r>
      <w:r w:rsidR="00BE6C85">
        <w:rPr>
          <w:rFonts w:ascii="Arial" w:hAnsi="Arial" w:cs="Arial"/>
        </w:rPr>
        <w:t xml:space="preserve"> </w:t>
      </w:r>
      <w:r w:rsidR="006269B8">
        <w:rPr>
          <w:rFonts w:ascii="Arial" w:hAnsi="Arial" w:cs="Arial"/>
        </w:rPr>
        <w:t xml:space="preserve">quality </w:t>
      </w:r>
      <w:r w:rsidR="00213FA4" w:rsidRPr="6E98053B">
        <w:rPr>
          <w:rFonts w:ascii="Arial" w:hAnsi="Arial" w:cs="Arial"/>
        </w:rPr>
        <w:t xml:space="preserve">risk management. </w:t>
      </w:r>
      <w:r w:rsidR="009E1B83" w:rsidRPr="6E98053B">
        <w:rPr>
          <w:rFonts w:ascii="Arial" w:hAnsi="Arial" w:cs="Arial"/>
        </w:rPr>
        <w:t xml:space="preserve">Using the information from drug applications related to </w:t>
      </w:r>
      <w:r w:rsidR="00A105B0" w:rsidRPr="6E98053B">
        <w:rPr>
          <w:rFonts w:ascii="Arial" w:hAnsi="Arial" w:cs="Arial"/>
        </w:rPr>
        <w:t xml:space="preserve">drug </w:t>
      </w:r>
      <w:r w:rsidR="009E1B83" w:rsidRPr="6E98053B">
        <w:rPr>
          <w:rFonts w:ascii="Arial" w:hAnsi="Arial" w:cs="Arial"/>
        </w:rPr>
        <w:t>design, development, processes, and facilities, KASA's embedded algorithm</w:t>
      </w:r>
      <w:r w:rsidR="00882D0A" w:rsidRPr="6E98053B">
        <w:rPr>
          <w:rFonts w:ascii="Arial" w:hAnsi="Arial" w:cs="Arial"/>
        </w:rPr>
        <w:t xml:space="preserve"> </w:t>
      </w:r>
      <w:r w:rsidR="009E1B83" w:rsidRPr="6E98053B">
        <w:rPr>
          <w:rFonts w:ascii="Arial" w:hAnsi="Arial" w:cs="Arial"/>
        </w:rPr>
        <w:t xml:space="preserve">generates an initial </w:t>
      </w:r>
      <w:r w:rsidR="008E622D">
        <w:rPr>
          <w:rFonts w:ascii="Arial" w:hAnsi="Arial" w:cs="Arial"/>
        </w:rPr>
        <w:t xml:space="preserve">manufacturing </w:t>
      </w:r>
      <w:r w:rsidR="009E1B83" w:rsidRPr="6E98053B">
        <w:rPr>
          <w:rFonts w:ascii="Arial" w:hAnsi="Arial" w:cs="Arial"/>
        </w:rPr>
        <w:t>risk score</w:t>
      </w:r>
      <w:r w:rsidR="005B4D60">
        <w:rPr>
          <w:rFonts w:ascii="Arial" w:hAnsi="Arial" w:cs="Arial"/>
        </w:rPr>
        <w:t>s</w:t>
      </w:r>
      <w:r w:rsidR="009E1B83" w:rsidRPr="6E98053B">
        <w:rPr>
          <w:rFonts w:ascii="Arial" w:hAnsi="Arial" w:cs="Arial"/>
        </w:rPr>
        <w:t xml:space="preserve"> </w:t>
      </w:r>
      <w:r w:rsidR="008E622D">
        <w:rPr>
          <w:rFonts w:ascii="Arial" w:hAnsi="Arial" w:cs="Arial"/>
        </w:rPr>
        <w:t>as described in the earlier section</w:t>
      </w:r>
      <w:r w:rsidR="0066775C" w:rsidRPr="6E98053B">
        <w:rPr>
          <w:rFonts w:ascii="Arial" w:hAnsi="Arial" w:cs="Arial"/>
        </w:rPr>
        <w:t>.</w:t>
      </w:r>
      <w:r w:rsidR="00EF0699" w:rsidRPr="00EF0699">
        <w:rPr>
          <w:rFonts w:ascii="Arial" w:hAnsi="Arial" w:cs="Arial"/>
        </w:rPr>
        <w:t xml:space="preserve"> </w:t>
      </w:r>
    </w:p>
    <w:p w14:paraId="6FF8560B" w14:textId="67DADBE2" w:rsidR="00B85091" w:rsidRPr="00C22666" w:rsidRDefault="00EF0699" w:rsidP="001E7F7D">
      <w:pPr>
        <w:rPr>
          <w:rFonts w:ascii="Arial" w:hAnsi="Arial" w:cs="Arial"/>
        </w:rPr>
      </w:pPr>
      <w:r>
        <w:rPr>
          <w:rFonts w:ascii="Arial" w:hAnsi="Arial" w:cs="Arial"/>
        </w:rPr>
        <w:t>Once the initial overall manufacturing risk score is generated for a unit operatio</w:t>
      </w:r>
      <w:r w:rsidR="00755B31">
        <w:rPr>
          <w:rFonts w:ascii="Arial" w:hAnsi="Arial" w:cs="Arial"/>
        </w:rPr>
        <w:t>n</w:t>
      </w:r>
      <w:r w:rsidR="008319D3">
        <w:rPr>
          <w:rFonts w:ascii="Arial" w:hAnsi="Arial" w:cs="Arial"/>
        </w:rPr>
        <w:t xml:space="preserve">. </w:t>
      </w:r>
      <w:r w:rsidR="00633339">
        <w:rPr>
          <w:rFonts w:ascii="Arial" w:hAnsi="Arial" w:cs="Arial"/>
        </w:rPr>
        <w:t>The initial overall manufacturing risk</w:t>
      </w:r>
      <w:r w:rsidR="00633339" w:rsidRPr="6E98053B">
        <w:rPr>
          <w:rFonts w:ascii="Arial" w:hAnsi="Arial" w:cs="Arial"/>
        </w:rPr>
        <w:t xml:space="preserve"> </w:t>
      </w:r>
      <w:r w:rsidR="00A105B0" w:rsidRPr="6E98053B">
        <w:rPr>
          <w:rFonts w:ascii="Arial" w:hAnsi="Arial" w:cs="Arial"/>
        </w:rPr>
        <w:t xml:space="preserve">score will determine the level of effort required for the assessor to evaluate the different unit operations. </w:t>
      </w:r>
      <w:r w:rsidR="008C63FC" w:rsidRPr="6E98053B">
        <w:rPr>
          <w:rFonts w:ascii="Arial" w:hAnsi="Arial" w:cs="Arial"/>
        </w:rPr>
        <w:t xml:space="preserve">For unit operations considered to have medium or high risk, a </w:t>
      </w:r>
      <w:r w:rsidR="006B547C" w:rsidRPr="6E98053B">
        <w:rPr>
          <w:rFonts w:ascii="Arial" w:hAnsi="Arial" w:cs="Arial"/>
        </w:rPr>
        <w:t xml:space="preserve">full assessment sub-module </w:t>
      </w:r>
      <w:r w:rsidR="008C63FC" w:rsidRPr="6E98053B">
        <w:rPr>
          <w:rFonts w:ascii="Arial" w:hAnsi="Arial" w:cs="Arial"/>
        </w:rPr>
        <w:t xml:space="preserve">will be </w:t>
      </w:r>
      <w:r w:rsidR="006B547C" w:rsidRPr="6E98053B">
        <w:rPr>
          <w:rFonts w:ascii="Arial" w:hAnsi="Arial" w:cs="Arial"/>
        </w:rPr>
        <w:t>loaded</w:t>
      </w:r>
      <w:r w:rsidR="008C63FC" w:rsidRPr="6E98053B">
        <w:rPr>
          <w:rFonts w:ascii="Arial" w:hAnsi="Arial" w:cs="Arial"/>
        </w:rPr>
        <w:t xml:space="preserve"> for the </w:t>
      </w:r>
      <w:r w:rsidR="00BF277F" w:rsidRPr="6E98053B">
        <w:rPr>
          <w:rFonts w:ascii="Arial" w:hAnsi="Arial" w:cs="Arial"/>
        </w:rPr>
        <w:t>a</w:t>
      </w:r>
      <w:r w:rsidR="00BF277F">
        <w:rPr>
          <w:rFonts w:ascii="Arial" w:hAnsi="Arial" w:cs="Arial"/>
        </w:rPr>
        <w:t>ss</w:t>
      </w:r>
      <w:r w:rsidR="00BF277F" w:rsidRPr="6E98053B">
        <w:rPr>
          <w:rFonts w:ascii="Arial" w:hAnsi="Arial" w:cs="Arial"/>
        </w:rPr>
        <w:t xml:space="preserve">essor </w:t>
      </w:r>
      <w:r w:rsidR="008C63FC" w:rsidRPr="6E98053B">
        <w:rPr>
          <w:rFonts w:ascii="Arial" w:hAnsi="Arial" w:cs="Arial"/>
        </w:rPr>
        <w:t>to conduct an assessment with substantial effort. For unit operation considered to have low risk, an abbreviated</w:t>
      </w:r>
      <w:r w:rsidR="006A0155" w:rsidRPr="6E98053B">
        <w:rPr>
          <w:rFonts w:ascii="Arial" w:hAnsi="Arial" w:cs="Arial"/>
        </w:rPr>
        <w:t xml:space="preserve"> unit operation</w:t>
      </w:r>
      <w:r w:rsidR="008C63FC" w:rsidRPr="6E98053B">
        <w:rPr>
          <w:rFonts w:ascii="Arial" w:hAnsi="Arial" w:cs="Arial"/>
        </w:rPr>
        <w:t xml:space="preserve"> </w:t>
      </w:r>
      <w:r w:rsidR="006A0155" w:rsidRPr="6E98053B">
        <w:rPr>
          <w:rFonts w:ascii="Arial" w:hAnsi="Arial" w:cs="Arial"/>
        </w:rPr>
        <w:t>sub</w:t>
      </w:r>
      <w:r w:rsidR="008D7A5F">
        <w:rPr>
          <w:rFonts w:ascii="Arial" w:hAnsi="Arial" w:cs="Arial"/>
        </w:rPr>
        <w:t>-</w:t>
      </w:r>
      <w:r w:rsidR="008C63FC" w:rsidRPr="6E98053B">
        <w:rPr>
          <w:rFonts w:ascii="Arial" w:hAnsi="Arial" w:cs="Arial"/>
        </w:rPr>
        <w:t xml:space="preserve">module would be recommended for the </w:t>
      </w:r>
      <w:r w:rsidR="00BF277F" w:rsidRPr="6E98053B">
        <w:rPr>
          <w:rFonts w:ascii="Arial" w:hAnsi="Arial" w:cs="Arial"/>
        </w:rPr>
        <w:t>a</w:t>
      </w:r>
      <w:r w:rsidR="00BF277F">
        <w:rPr>
          <w:rFonts w:ascii="Arial" w:hAnsi="Arial" w:cs="Arial"/>
        </w:rPr>
        <w:t>ss</w:t>
      </w:r>
      <w:r w:rsidR="00BF277F" w:rsidRPr="6E98053B">
        <w:rPr>
          <w:rFonts w:ascii="Arial" w:hAnsi="Arial" w:cs="Arial"/>
        </w:rPr>
        <w:t xml:space="preserve">essor </w:t>
      </w:r>
      <w:r w:rsidR="008C63FC" w:rsidRPr="6E98053B">
        <w:rPr>
          <w:rFonts w:ascii="Arial" w:hAnsi="Arial" w:cs="Arial"/>
        </w:rPr>
        <w:t>to conduct a unit operation assessment with limited effort</w:t>
      </w:r>
      <w:r w:rsidR="000321D2">
        <w:rPr>
          <w:rFonts w:ascii="Arial" w:hAnsi="Arial" w:cs="Arial"/>
        </w:rPr>
        <w:t>.</w:t>
      </w:r>
    </w:p>
    <w:p w14:paraId="764DEEC0" w14:textId="76C78F5A" w:rsidR="00E265AD" w:rsidRDefault="00C70ABF" w:rsidP="00AF434F">
      <w:pPr>
        <w:rPr>
          <w:rFonts w:ascii="Arial" w:hAnsi="Arial" w:cs="Arial"/>
        </w:rPr>
      </w:pPr>
      <w:r w:rsidRPr="6E98053B">
        <w:rPr>
          <w:rFonts w:ascii="Arial" w:hAnsi="Arial" w:cs="Arial"/>
        </w:rPr>
        <w:lastRenderedPageBreak/>
        <w:t>In a typical full assessment sub</w:t>
      </w:r>
      <w:r w:rsidR="008D7A5F">
        <w:rPr>
          <w:rFonts w:ascii="Arial" w:hAnsi="Arial" w:cs="Arial"/>
        </w:rPr>
        <w:t>-</w:t>
      </w:r>
      <w:r w:rsidRPr="6E98053B">
        <w:rPr>
          <w:rFonts w:ascii="Arial" w:hAnsi="Arial" w:cs="Arial"/>
        </w:rPr>
        <w:t xml:space="preserve">module for a unit operation, assessors will evaluate whether the risks identified in the Manufacturing </w:t>
      </w:r>
      <w:r w:rsidR="00522654">
        <w:rPr>
          <w:rFonts w:ascii="Arial" w:hAnsi="Arial" w:cs="Arial"/>
        </w:rPr>
        <w:t>I</w:t>
      </w:r>
      <w:r w:rsidR="00522654" w:rsidRPr="6E98053B">
        <w:rPr>
          <w:rFonts w:ascii="Arial" w:hAnsi="Arial" w:cs="Arial"/>
        </w:rPr>
        <w:t xml:space="preserve">nitial </w:t>
      </w:r>
      <w:r w:rsidRPr="6E98053B">
        <w:rPr>
          <w:rFonts w:ascii="Arial" w:hAnsi="Arial" w:cs="Arial"/>
        </w:rPr>
        <w:t xml:space="preserve">Risk Assessment have been mitigated to an acceptable level. </w:t>
      </w:r>
      <w:r w:rsidR="004A4C1E" w:rsidRPr="005B4D60">
        <w:rPr>
          <w:rFonts w:ascii="Arial" w:hAnsi="Arial" w:cs="Arial"/>
        </w:rPr>
        <w:t xml:space="preserve">The assessment will involve bridging all </w:t>
      </w:r>
      <w:r w:rsidR="00AC2CE4" w:rsidRPr="005B4D60">
        <w:rPr>
          <w:rFonts w:ascii="Arial" w:hAnsi="Arial" w:cs="Arial"/>
        </w:rPr>
        <w:t>necessary</w:t>
      </w:r>
      <w:r w:rsidR="004A4C1E" w:rsidRPr="005B4D60">
        <w:rPr>
          <w:rFonts w:ascii="Arial" w:hAnsi="Arial" w:cs="Arial"/>
        </w:rPr>
        <w:t xml:space="preserve"> information the applicant provided from development </w:t>
      </w:r>
      <w:r w:rsidR="001801F1" w:rsidRPr="005B4D60">
        <w:rPr>
          <w:rFonts w:ascii="Arial" w:hAnsi="Arial" w:cs="Arial"/>
        </w:rPr>
        <w:t>studies</w:t>
      </w:r>
      <w:r w:rsidR="00E30C40">
        <w:rPr>
          <w:rFonts w:ascii="Arial" w:hAnsi="Arial" w:cs="Arial"/>
        </w:rPr>
        <w:t xml:space="preserve"> and</w:t>
      </w:r>
      <w:r w:rsidR="00AC150F" w:rsidRPr="005B4D60">
        <w:rPr>
          <w:rFonts w:ascii="Arial" w:hAnsi="Arial" w:cs="Arial"/>
        </w:rPr>
        <w:t xml:space="preserve"> </w:t>
      </w:r>
      <w:r w:rsidR="00653DD5" w:rsidRPr="005B4D60">
        <w:rPr>
          <w:rFonts w:ascii="Arial" w:hAnsi="Arial" w:cs="Arial"/>
        </w:rPr>
        <w:t>exhibit</w:t>
      </w:r>
      <w:r w:rsidR="00A42768">
        <w:rPr>
          <w:rFonts w:ascii="Arial" w:hAnsi="Arial" w:cs="Arial"/>
        </w:rPr>
        <w:t xml:space="preserve"> or </w:t>
      </w:r>
      <w:r w:rsidR="00653DD5" w:rsidRPr="005B4D60">
        <w:rPr>
          <w:rFonts w:ascii="Arial" w:hAnsi="Arial" w:cs="Arial"/>
        </w:rPr>
        <w:t>executed batch</w:t>
      </w:r>
      <w:r w:rsidR="00805122" w:rsidRPr="005B4D60">
        <w:rPr>
          <w:rFonts w:ascii="Arial" w:hAnsi="Arial" w:cs="Arial"/>
        </w:rPr>
        <w:t>es</w:t>
      </w:r>
      <w:r w:rsidR="00653DD5" w:rsidRPr="005B4D60">
        <w:rPr>
          <w:rFonts w:ascii="Arial" w:hAnsi="Arial" w:cs="Arial"/>
        </w:rPr>
        <w:t xml:space="preserve"> data </w:t>
      </w:r>
      <w:r w:rsidR="00727859" w:rsidRPr="005B4D60">
        <w:rPr>
          <w:rFonts w:ascii="Arial" w:hAnsi="Arial" w:cs="Arial"/>
        </w:rPr>
        <w:t>to</w:t>
      </w:r>
      <w:r w:rsidR="004A4C1E" w:rsidRPr="005B4D60">
        <w:rPr>
          <w:rFonts w:ascii="Arial" w:hAnsi="Arial" w:cs="Arial"/>
        </w:rPr>
        <w:t xml:space="preserve"> the final commercial </w:t>
      </w:r>
      <w:r w:rsidR="003440B6" w:rsidRPr="005B4D60">
        <w:rPr>
          <w:rFonts w:ascii="Arial" w:hAnsi="Arial" w:cs="Arial"/>
        </w:rPr>
        <w:t xml:space="preserve">manufacturing </w:t>
      </w:r>
      <w:r w:rsidR="00AC150F" w:rsidRPr="005B4D60">
        <w:rPr>
          <w:rFonts w:ascii="Arial" w:hAnsi="Arial" w:cs="Arial"/>
        </w:rPr>
        <w:t>proposal</w:t>
      </w:r>
      <w:r w:rsidR="004A4C1E" w:rsidRPr="005B4D60">
        <w:rPr>
          <w:rFonts w:ascii="Arial" w:hAnsi="Arial" w:cs="Arial"/>
        </w:rPr>
        <w:t xml:space="preserve"> and </w:t>
      </w:r>
      <w:r w:rsidR="00E311AE" w:rsidRPr="005B4D60">
        <w:rPr>
          <w:rFonts w:ascii="Arial" w:hAnsi="Arial" w:cs="Arial"/>
        </w:rPr>
        <w:t xml:space="preserve">corresponding </w:t>
      </w:r>
      <w:r w:rsidR="004A4C1E" w:rsidRPr="005B4D60">
        <w:rPr>
          <w:rFonts w:ascii="Arial" w:hAnsi="Arial" w:cs="Arial"/>
        </w:rPr>
        <w:t>risk mitigation strategies for each unit operation</w:t>
      </w:r>
      <w:r w:rsidR="0033185B" w:rsidRPr="005B4D60">
        <w:rPr>
          <w:rFonts w:ascii="Arial" w:hAnsi="Arial" w:cs="Arial"/>
        </w:rPr>
        <w:t xml:space="preserve">. </w:t>
      </w:r>
      <w:r w:rsidR="00D1050C" w:rsidRPr="005B4D60">
        <w:rPr>
          <w:rFonts w:ascii="Arial" w:hAnsi="Arial" w:cs="Arial"/>
        </w:rPr>
        <w:t xml:space="preserve"> </w:t>
      </w:r>
    </w:p>
    <w:p w14:paraId="46E5CDDB" w14:textId="51FA7E64" w:rsidR="00422485" w:rsidRDefault="5874674D" w:rsidP="000F25A0">
      <w:pPr>
        <w:rPr>
          <w:rFonts w:ascii="Arial" w:hAnsi="Arial" w:cs="Arial"/>
        </w:rPr>
      </w:pPr>
      <w:r w:rsidRPr="78E6B208">
        <w:rPr>
          <w:rFonts w:ascii="Arial" w:hAnsi="Arial" w:cs="Arial"/>
        </w:rPr>
        <w:t>The commercial manufacturing conditions</w:t>
      </w:r>
      <w:r w:rsidR="67C08E7A" w:rsidRPr="78E6B208">
        <w:rPr>
          <w:rFonts w:ascii="Arial" w:hAnsi="Arial" w:cs="Arial"/>
        </w:rPr>
        <w:t xml:space="preserve"> sub</w:t>
      </w:r>
      <w:r w:rsidR="3824EDC1" w:rsidRPr="78E6B208">
        <w:rPr>
          <w:rFonts w:ascii="Arial" w:hAnsi="Arial" w:cs="Arial"/>
        </w:rPr>
        <w:t>-</w:t>
      </w:r>
      <w:r w:rsidR="67C08E7A" w:rsidRPr="78E6B208">
        <w:rPr>
          <w:rFonts w:ascii="Arial" w:hAnsi="Arial" w:cs="Arial"/>
        </w:rPr>
        <w:t>section</w:t>
      </w:r>
      <w:r w:rsidRPr="78E6B208">
        <w:rPr>
          <w:rFonts w:ascii="Arial" w:hAnsi="Arial" w:cs="Arial"/>
        </w:rPr>
        <w:t xml:space="preserve"> in the unit operation covers details such as equipment types, proposed </w:t>
      </w:r>
      <w:r w:rsidR="00FA3508">
        <w:rPr>
          <w:rFonts w:ascii="Arial" w:hAnsi="Arial" w:cs="Arial"/>
        </w:rPr>
        <w:t>IPCs</w:t>
      </w:r>
      <w:r w:rsidRPr="78E6B208">
        <w:rPr>
          <w:rFonts w:ascii="Arial" w:hAnsi="Arial" w:cs="Arial"/>
        </w:rPr>
        <w:t xml:space="preserve">, and critical process </w:t>
      </w:r>
      <w:r w:rsidR="6CF57EB6" w:rsidRPr="78E6B208">
        <w:rPr>
          <w:rFonts w:ascii="Arial" w:hAnsi="Arial" w:cs="Arial"/>
        </w:rPr>
        <w:t xml:space="preserve">parameters </w:t>
      </w:r>
      <w:r w:rsidR="00903593">
        <w:rPr>
          <w:rFonts w:ascii="Arial" w:hAnsi="Arial" w:cs="Arial"/>
        </w:rPr>
        <w:t>(</w:t>
      </w:r>
      <w:r w:rsidR="00FA3508">
        <w:rPr>
          <w:rFonts w:ascii="Arial" w:hAnsi="Arial" w:cs="Arial"/>
        </w:rPr>
        <w:t>CPPs</w:t>
      </w:r>
      <w:r w:rsidR="00903593">
        <w:rPr>
          <w:rFonts w:ascii="Arial" w:hAnsi="Arial" w:cs="Arial"/>
        </w:rPr>
        <w:t>)</w:t>
      </w:r>
      <w:r w:rsidR="00FA3508">
        <w:rPr>
          <w:rFonts w:ascii="Arial" w:hAnsi="Arial" w:cs="Arial"/>
        </w:rPr>
        <w:t xml:space="preserve"> </w:t>
      </w:r>
      <w:r w:rsidR="6CF57EB6" w:rsidRPr="78E6B208">
        <w:rPr>
          <w:rFonts w:ascii="Arial" w:hAnsi="Arial" w:cs="Arial"/>
        </w:rPr>
        <w:t>(</w:t>
      </w:r>
      <w:r w:rsidR="58529022" w:rsidRPr="78E6B208">
        <w:rPr>
          <w:rFonts w:ascii="Arial" w:hAnsi="Arial" w:cs="Arial"/>
        </w:rPr>
        <w:t xml:space="preserve">as </w:t>
      </w:r>
      <w:r w:rsidR="3923F990" w:rsidRPr="78E6B208">
        <w:rPr>
          <w:rFonts w:ascii="Arial" w:hAnsi="Arial" w:cs="Arial"/>
        </w:rPr>
        <w:t>shown in</w:t>
      </w:r>
      <w:r w:rsidR="58529022" w:rsidRPr="78E6B208">
        <w:rPr>
          <w:rFonts w:ascii="Arial" w:hAnsi="Arial" w:cs="Arial"/>
        </w:rPr>
        <w:t xml:space="preserve"> </w:t>
      </w:r>
      <w:r w:rsidR="58529022" w:rsidRPr="78E6B208">
        <w:rPr>
          <w:rFonts w:ascii="Arial" w:hAnsi="Arial" w:cs="Arial"/>
          <w:b/>
          <w:bCs/>
        </w:rPr>
        <w:t>Figure 2</w:t>
      </w:r>
      <w:r w:rsidR="58529022" w:rsidRPr="78E6B208">
        <w:rPr>
          <w:rFonts w:ascii="Arial" w:hAnsi="Arial" w:cs="Arial"/>
        </w:rPr>
        <w:t>).</w:t>
      </w:r>
      <w:r w:rsidR="56772E17" w:rsidRPr="78E6B208">
        <w:rPr>
          <w:rFonts w:ascii="Arial" w:hAnsi="Arial" w:cs="Arial"/>
        </w:rPr>
        <w:t xml:space="preserve"> </w:t>
      </w:r>
      <w:r w:rsidR="71CBDE21" w:rsidRPr="78E6B208">
        <w:rPr>
          <w:rFonts w:ascii="Arial" w:hAnsi="Arial" w:cs="Arial"/>
        </w:rPr>
        <w:t xml:space="preserve">The </w:t>
      </w:r>
      <w:r w:rsidR="2DABCE14" w:rsidRPr="78E6B208">
        <w:rPr>
          <w:rFonts w:ascii="Arial" w:hAnsi="Arial" w:cs="Arial"/>
        </w:rPr>
        <w:t xml:space="preserve">design </w:t>
      </w:r>
      <w:r w:rsidR="71CBDE21" w:rsidRPr="78E6B208">
        <w:rPr>
          <w:rFonts w:ascii="Arial" w:hAnsi="Arial" w:cs="Arial"/>
        </w:rPr>
        <w:t xml:space="preserve">and </w:t>
      </w:r>
      <w:r w:rsidR="2DABCE14" w:rsidRPr="78E6B208">
        <w:rPr>
          <w:rFonts w:ascii="Arial" w:hAnsi="Arial" w:cs="Arial"/>
        </w:rPr>
        <w:t xml:space="preserve">development </w:t>
      </w:r>
      <w:r w:rsidR="1D850032" w:rsidRPr="78E6B208">
        <w:rPr>
          <w:rFonts w:ascii="Arial" w:hAnsi="Arial" w:cs="Arial"/>
        </w:rPr>
        <w:t>sub-</w:t>
      </w:r>
      <w:r w:rsidR="71CBDE21" w:rsidRPr="78E6B208">
        <w:rPr>
          <w:rFonts w:ascii="Arial" w:hAnsi="Arial" w:cs="Arial"/>
        </w:rPr>
        <w:t xml:space="preserve">section addresses special considerations, process development, and scale-up proposals. KASA will automatically present common strategies to the assessor based on established knowledge and the specific unit operation under review. The assessor </w:t>
      </w:r>
      <w:r w:rsidR="3CE1F08B" w:rsidRPr="78E6B208">
        <w:rPr>
          <w:rFonts w:ascii="Arial" w:hAnsi="Arial" w:cs="Arial"/>
        </w:rPr>
        <w:t>evaluates whether</w:t>
      </w:r>
      <w:r w:rsidR="71CBDE21" w:rsidRPr="78E6B208">
        <w:rPr>
          <w:rFonts w:ascii="Arial" w:hAnsi="Arial" w:cs="Arial"/>
        </w:rPr>
        <w:t xml:space="preserve"> the proposed processes and control strategies are appropriate for their intended purpose and scalable</w:t>
      </w:r>
      <w:r w:rsidR="3CE1F08B" w:rsidRPr="78E6B208">
        <w:rPr>
          <w:rFonts w:ascii="Arial" w:hAnsi="Arial" w:cs="Arial"/>
        </w:rPr>
        <w:t>.</w:t>
      </w:r>
      <w:r w:rsidR="25408769" w:rsidRPr="78E6B208">
        <w:rPr>
          <w:rFonts w:ascii="Arial" w:hAnsi="Arial" w:cs="Arial"/>
        </w:rPr>
        <w:t xml:space="preserve"> </w:t>
      </w:r>
    </w:p>
    <w:p w14:paraId="69440602" w14:textId="6641262B" w:rsidR="00A62E07" w:rsidRPr="007B5CCB" w:rsidRDefault="003341E9" w:rsidP="000F25A0">
      <w:pPr>
        <w:rPr>
          <w:rFonts w:ascii="Arial" w:hAnsi="Arial" w:cs="Arial"/>
        </w:rPr>
      </w:pPr>
      <w:r>
        <w:rPr>
          <w:rFonts w:ascii="Arial" w:hAnsi="Arial" w:cs="Arial"/>
        </w:rPr>
        <w:t>KASA</w:t>
      </w:r>
      <w:r w:rsidR="00203860">
        <w:rPr>
          <w:rFonts w:ascii="Arial" w:hAnsi="Arial" w:cs="Arial"/>
        </w:rPr>
        <w:t xml:space="preserve"> gives information in easily accessible and readable format that assessors can </w:t>
      </w:r>
      <w:r w:rsidR="00F04205">
        <w:rPr>
          <w:rFonts w:ascii="Arial" w:hAnsi="Arial" w:cs="Arial"/>
        </w:rPr>
        <w:t>readily</w:t>
      </w:r>
      <w:r w:rsidR="00B25896" w:rsidRPr="6E98053B">
        <w:rPr>
          <w:rFonts w:ascii="Arial" w:hAnsi="Arial" w:cs="Arial"/>
        </w:rPr>
        <w:t xml:space="preserve"> </w:t>
      </w:r>
      <w:r w:rsidR="00F75F10" w:rsidRPr="6E98053B">
        <w:rPr>
          <w:rFonts w:ascii="Arial" w:hAnsi="Arial" w:cs="Arial"/>
        </w:rPr>
        <w:t>document and evaluate the applicant's proposed risk management strategies to confirm that the unit operation is adequately controlled and that risks are effectively mitigated.</w:t>
      </w:r>
      <w:r w:rsidR="00422485">
        <w:rPr>
          <w:rFonts w:ascii="Arial" w:hAnsi="Arial" w:cs="Arial"/>
        </w:rPr>
        <w:t xml:space="preserve"> </w:t>
      </w:r>
      <w:r w:rsidR="001E2122" w:rsidRPr="001E2122">
        <w:rPr>
          <w:rFonts w:ascii="Arial" w:hAnsi="Arial" w:cs="Arial"/>
        </w:rPr>
        <w:t xml:space="preserve">The risk score will be updated </w:t>
      </w:r>
      <w:r w:rsidR="00B238FE">
        <w:rPr>
          <w:rFonts w:ascii="Arial" w:hAnsi="Arial" w:cs="Arial"/>
        </w:rPr>
        <w:t xml:space="preserve">and </w:t>
      </w:r>
      <w:r w:rsidR="00CB51AF">
        <w:rPr>
          <w:rFonts w:ascii="Arial" w:hAnsi="Arial" w:cs="Arial"/>
        </w:rPr>
        <w:t>w</w:t>
      </w:r>
      <w:r w:rsidR="003C6DCA">
        <w:rPr>
          <w:rFonts w:ascii="Arial" w:hAnsi="Arial" w:cs="Arial"/>
        </w:rPr>
        <w:t xml:space="preserve">ill </w:t>
      </w:r>
      <w:r w:rsidR="00B238FE">
        <w:rPr>
          <w:rFonts w:ascii="Arial" w:hAnsi="Arial" w:cs="Arial"/>
        </w:rPr>
        <w:t>lead to a</w:t>
      </w:r>
      <w:r w:rsidR="001E2122" w:rsidRPr="001E2122">
        <w:rPr>
          <w:rFonts w:ascii="Arial" w:hAnsi="Arial" w:cs="Arial"/>
        </w:rPr>
        <w:t xml:space="preserve"> final manufacturing risk for each unit operation, based on a holistic assessment that considers all relevant factors to ensure comprehensive risk control</w:t>
      </w:r>
      <w:r w:rsidR="001E2122" w:rsidRPr="006F0A1B">
        <w:rPr>
          <w:rFonts w:ascii="Arial" w:hAnsi="Arial" w:cs="Arial"/>
        </w:rPr>
        <w:t xml:space="preserve">. </w:t>
      </w:r>
      <w:r w:rsidR="007B5CCB" w:rsidRPr="00934D22">
        <w:rPr>
          <w:rFonts w:ascii="Arial" w:hAnsi="Arial" w:cs="Arial"/>
        </w:rPr>
        <w:t>The</w:t>
      </w:r>
      <w:r w:rsidR="00F75F10" w:rsidRPr="00934D22">
        <w:rPr>
          <w:rFonts w:ascii="Arial" w:hAnsi="Arial" w:cs="Arial"/>
        </w:rPr>
        <w:t xml:space="preserve"> residual risk may</w:t>
      </w:r>
      <w:r w:rsidR="0092011A" w:rsidRPr="00934D22">
        <w:rPr>
          <w:rFonts w:ascii="Arial" w:hAnsi="Arial" w:cs="Arial"/>
        </w:rPr>
        <w:t xml:space="preserve"> be</w:t>
      </w:r>
      <w:r w:rsidR="00F75F10" w:rsidRPr="00934D22">
        <w:rPr>
          <w:rFonts w:ascii="Arial" w:hAnsi="Arial" w:cs="Arial"/>
        </w:rPr>
        <w:t xml:space="preserve"> </w:t>
      </w:r>
      <w:r w:rsidR="00CC07E1" w:rsidRPr="00934D22">
        <w:rPr>
          <w:rFonts w:ascii="Arial" w:hAnsi="Arial" w:cs="Arial"/>
        </w:rPr>
        <w:t>controlled</w:t>
      </w:r>
      <w:r w:rsidR="0092011A" w:rsidRPr="00934D22">
        <w:rPr>
          <w:rFonts w:ascii="Arial" w:hAnsi="Arial" w:cs="Arial"/>
        </w:rPr>
        <w:t xml:space="preserve"> </w:t>
      </w:r>
      <w:r w:rsidR="00F75F10" w:rsidRPr="00934D22">
        <w:rPr>
          <w:rFonts w:ascii="Arial" w:hAnsi="Arial" w:cs="Arial"/>
        </w:rPr>
        <w:t xml:space="preserve">beyond the </w:t>
      </w:r>
      <w:r w:rsidR="00EC23E8" w:rsidRPr="00934D22">
        <w:rPr>
          <w:rFonts w:ascii="Arial" w:hAnsi="Arial" w:cs="Arial"/>
        </w:rPr>
        <w:t xml:space="preserve">review </w:t>
      </w:r>
      <w:r w:rsidR="00F75F10" w:rsidRPr="00934D22">
        <w:rPr>
          <w:rFonts w:ascii="Arial" w:hAnsi="Arial" w:cs="Arial"/>
        </w:rPr>
        <w:t xml:space="preserve">cycle and be incorporated into </w:t>
      </w:r>
      <w:r w:rsidR="00EC23E8" w:rsidRPr="00934D22">
        <w:rPr>
          <w:rFonts w:ascii="Arial" w:hAnsi="Arial" w:cs="Arial"/>
        </w:rPr>
        <w:t>life</w:t>
      </w:r>
      <w:r w:rsidR="00F75F10" w:rsidRPr="00934D22">
        <w:rPr>
          <w:rFonts w:ascii="Arial" w:hAnsi="Arial" w:cs="Arial"/>
        </w:rPr>
        <w:t>cycle management</w:t>
      </w:r>
      <w:r w:rsidR="0051657E" w:rsidRPr="00934D22">
        <w:rPr>
          <w:rFonts w:ascii="Arial" w:hAnsi="Arial" w:cs="Arial"/>
        </w:rPr>
        <w:t xml:space="preserve"> </w:t>
      </w:r>
      <w:r w:rsidR="007D1600" w:rsidRPr="00934D22">
        <w:rPr>
          <w:rFonts w:ascii="Arial" w:hAnsi="Arial" w:cs="Arial"/>
        </w:rPr>
        <w:t>consideration</w:t>
      </w:r>
      <w:r w:rsidR="00A17626" w:rsidRPr="00934D22">
        <w:rPr>
          <w:rFonts w:ascii="Arial" w:hAnsi="Arial" w:cs="Arial"/>
        </w:rPr>
        <w:t xml:space="preserve"> section in the KASA platform</w:t>
      </w:r>
      <w:r w:rsidR="00F75F10" w:rsidRPr="00934D22">
        <w:rPr>
          <w:rFonts w:ascii="Arial" w:hAnsi="Arial" w:cs="Arial"/>
        </w:rPr>
        <w:t>.</w:t>
      </w:r>
      <w:r w:rsidR="00F75F10" w:rsidRPr="006F0A1B">
        <w:rPr>
          <w:rFonts w:ascii="Arial" w:hAnsi="Arial" w:cs="Arial"/>
        </w:rPr>
        <w:t xml:space="preserve"> These</w:t>
      </w:r>
      <w:r w:rsidR="00F75F10" w:rsidRPr="6E98053B">
        <w:rPr>
          <w:rFonts w:ascii="Arial" w:hAnsi="Arial" w:cs="Arial"/>
        </w:rPr>
        <w:t xml:space="preserve"> tasks could include f</w:t>
      </w:r>
      <w:r w:rsidR="00EC23E8" w:rsidRPr="6E98053B">
        <w:rPr>
          <w:rFonts w:ascii="Arial" w:hAnsi="Arial" w:cs="Arial"/>
        </w:rPr>
        <w:t>ulfilling post-marketing change agreements</w:t>
      </w:r>
      <w:r w:rsidR="00F75F10" w:rsidRPr="6E98053B">
        <w:rPr>
          <w:rFonts w:ascii="Arial" w:hAnsi="Arial" w:cs="Arial"/>
        </w:rPr>
        <w:t>, addressing scale-up challenges, considering process validation, managing changes to critical established conditions, overseeing novel or complex unit operations or control strategies, handling facility implementation issues, and responding to post-approval inspection recommendations.</w:t>
      </w:r>
    </w:p>
    <w:p w14:paraId="203DF67D" w14:textId="77777777" w:rsidR="00F75F10" w:rsidRDefault="00F75F10" w:rsidP="000F25A0">
      <w:pPr>
        <w:rPr>
          <w:u w:val="single"/>
        </w:rPr>
      </w:pPr>
    </w:p>
    <w:p w14:paraId="64628978" w14:textId="12E1DADE" w:rsidR="00734C33" w:rsidRPr="0022636F" w:rsidRDefault="00214C46" w:rsidP="00214C46">
      <w:pPr>
        <w:pStyle w:val="Heading2"/>
      </w:pPr>
      <w:r w:rsidRPr="0022636F">
        <w:t xml:space="preserve">3.5 </w:t>
      </w:r>
      <w:r w:rsidR="00A62E07" w:rsidRPr="0022636F">
        <w:t>C</w:t>
      </w:r>
      <w:r w:rsidR="00734C33" w:rsidRPr="0022636F">
        <w:t xml:space="preserve">ase </w:t>
      </w:r>
      <w:r w:rsidR="00E71955">
        <w:t>s</w:t>
      </w:r>
      <w:r w:rsidR="00F40DCA" w:rsidRPr="0022636F">
        <w:t>tudies</w:t>
      </w:r>
    </w:p>
    <w:p w14:paraId="0EAB765F" w14:textId="66E7EB72" w:rsidR="00F92C6D" w:rsidRPr="002D302E" w:rsidRDefault="00C01327" w:rsidP="00F92C6D">
      <w:pPr>
        <w:rPr>
          <w:rFonts w:ascii="Arial" w:hAnsi="Arial" w:cs="Arial"/>
        </w:rPr>
      </w:pPr>
      <w:r w:rsidRPr="6E98053B">
        <w:rPr>
          <w:rFonts w:ascii="Arial" w:hAnsi="Arial" w:cs="Arial"/>
        </w:rPr>
        <w:t>This section presents</w:t>
      </w:r>
      <w:r w:rsidR="00B21E4D">
        <w:rPr>
          <w:rFonts w:ascii="Arial" w:hAnsi="Arial" w:cs="Arial"/>
        </w:rPr>
        <w:t xml:space="preserve"> </w:t>
      </w:r>
      <w:r w:rsidR="00B964EA">
        <w:rPr>
          <w:rFonts w:ascii="Arial" w:hAnsi="Arial" w:cs="Arial"/>
        </w:rPr>
        <w:t>constructed</w:t>
      </w:r>
      <w:r w:rsidR="00B964EA" w:rsidRPr="6E98053B">
        <w:rPr>
          <w:rFonts w:ascii="Arial" w:hAnsi="Arial" w:cs="Arial"/>
        </w:rPr>
        <w:t xml:space="preserve"> </w:t>
      </w:r>
      <w:r w:rsidRPr="6E98053B">
        <w:rPr>
          <w:rFonts w:ascii="Arial" w:hAnsi="Arial" w:cs="Arial"/>
        </w:rPr>
        <w:t xml:space="preserve">case studies to </w:t>
      </w:r>
      <w:r w:rsidR="00356368">
        <w:rPr>
          <w:rFonts w:ascii="Arial" w:hAnsi="Arial" w:cs="Arial"/>
        </w:rPr>
        <w:t>illustrate</w:t>
      </w:r>
      <w:r w:rsidR="00356368" w:rsidRPr="6E98053B">
        <w:rPr>
          <w:rFonts w:ascii="Arial" w:hAnsi="Arial" w:cs="Arial"/>
        </w:rPr>
        <w:t xml:space="preserve"> </w:t>
      </w:r>
      <w:r w:rsidRPr="6E98053B">
        <w:rPr>
          <w:rFonts w:ascii="Arial" w:hAnsi="Arial" w:cs="Arial"/>
        </w:rPr>
        <w:t xml:space="preserve">how initial </w:t>
      </w:r>
      <w:r w:rsidR="006C7A3C">
        <w:rPr>
          <w:rFonts w:ascii="Arial" w:hAnsi="Arial" w:cs="Arial"/>
        </w:rPr>
        <w:t xml:space="preserve">manufacturing </w:t>
      </w:r>
      <w:r w:rsidRPr="6E98053B">
        <w:rPr>
          <w:rFonts w:ascii="Arial" w:hAnsi="Arial" w:cs="Arial"/>
        </w:rPr>
        <w:t xml:space="preserve">risk assessment and control strategies </w:t>
      </w:r>
      <w:r w:rsidR="007D5111">
        <w:rPr>
          <w:rFonts w:ascii="Arial" w:hAnsi="Arial" w:cs="Arial"/>
        </w:rPr>
        <w:t>are</w:t>
      </w:r>
      <w:r w:rsidR="007D5111" w:rsidRPr="6E98053B">
        <w:rPr>
          <w:rFonts w:ascii="Arial" w:hAnsi="Arial" w:cs="Arial"/>
        </w:rPr>
        <w:t xml:space="preserve"> </w:t>
      </w:r>
      <w:r w:rsidRPr="6E98053B">
        <w:rPr>
          <w:rFonts w:ascii="Arial" w:hAnsi="Arial" w:cs="Arial"/>
        </w:rPr>
        <w:t xml:space="preserve">applied to manage </w:t>
      </w:r>
      <w:r w:rsidR="00DA1345">
        <w:rPr>
          <w:rFonts w:ascii="Arial" w:hAnsi="Arial" w:cs="Arial"/>
        </w:rPr>
        <w:t xml:space="preserve">blend uniformity (BU) and </w:t>
      </w:r>
      <w:r w:rsidRPr="6E98053B">
        <w:rPr>
          <w:rFonts w:ascii="Arial" w:hAnsi="Arial" w:cs="Arial"/>
        </w:rPr>
        <w:t xml:space="preserve">content uniformity (CU) risk scores during the </w:t>
      </w:r>
      <w:r w:rsidR="00DA1345">
        <w:rPr>
          <w:rFonts w:ascii="Arial" w:hAnsi="Arial" w:cs="Arial"/>
        </w:rPr>
        <w:t xml:space="preserve">blending </w:t>
      </w:r>
      <w:r w:rsidR="004233A2">
        <w:rPr>
          <w:rFonts w:ascii="Arial" w:hAnsi="Arial" w:cs="Arial"/>
        </w:rPr>
        <w:t xml:space="preserve">and </w:t>
      </w:r>
      <w:r w:rsidRPr="6E98053B">
        <w:rPr>
          <w:rFonts w:ascii="Arial" w:hAnsi="Arial" w:cs="Arial"/>
        </w:rPr>
        <w:t xml:space="preserve">compression </w:t>
      </w:r>
      <w:r w:rsidR="004233A2">
        <w:rPr>
          <w:rFonts w:ascii="Arial" w:hAnsi="Arial" w:cs="Arial"/>
        </w:rPr>
        <w:t xml:space="preserve">unit </w:t>
      </w:r>
      <w:r w:rsidRPr="6E98053B">
        <w:rPr>
          <w:rFonts w:ascii="Arial" w:hAnsi="Arial" w:cs="Arial"/>
        </w:rPr>
        <w:t>operation</w:t>
      </w:r>
      <w:r w:rsidR="004233A2">
        <w:rPr>
          <w:rFonts w:ascii="Arial" w:hAnsi="Arial" w:cs="Arial"/>
        </w:rPr>
        <w:t>s</w:t>
      </w:r>
      <w:r w:rsidR="0008323B" w:rsidRPr="6E98053B">
        <w:rPr>
          <w:rFonts w:ascii="Arial" w:hAnsi="Arial" w:cs="Arial"/>
        </w:rPr>
        <w:t xml:space="preserve"> as shown in </w:t>
      </w:r>
      <w:r w:rsidR="00A93B97" w:rsidRPr="6E98053B">
        <w:rPr>
          <w:rFonts w:ascii="Arial" w:hAnsi="Arial" w:cs="Arial"/>
          <w:b/>
          <w:bCs/>
        </w:rPr>
        <w:t>Figure 6</w:t>
      </w:r>
      <w:r w:rsidR="00F92C6D" w:rsidRPr="6E98053B">
        <w:rPr>
          <w:rFonts w:ascii="Arial" w:hAnsi="Arial" w:cs="Arial"/>
        </w:rPr>
        <w:t>.</w:t>
      </w:r>
    </w:p>
    <w:p w14:paraId="1A669B3D" w14:textId="1A61C9DB" w:rsidR="00F92C6D" w:rsidRPr="002D302E" w:rsidRDefault="00F92C6D" w:rsidP="00F92C6D">
      <w:pPr>
        <w:rPr>
          <w:rFonts w:ascii="Arial" w:hAnsi="Arial" w:cs="Arial"/>
        </w:rPr>
      </w:pPr>
      <w:r w:rsidRPr="6E98053B">
        <w:rPr>
          <w:rFonts w:ascii="Arial" w:hAnsi="Arial" w:cs="Arial"/>
        </w:rPr>
        <w:t xml:space="preserve">In </w:t>
      </w:r>
      <w:r w:rsidR="00881265">
        <w:rPr>
          <w:rFonts w:ascii="Arial" w:hAnsi="Arial" w:cs="Arial"/>
        </w:rPr>
        <w:t>a</w:t>
      </w:r>
      <w:r w:rsidR="00881265" w:rsidRPr="6E98053B">
        <w:rPr>
          <w:rFonts w:ascii="Arial" w:hAnsi="Arial" w:cs="Arial"/>
        </w:rPr>
        <w:t xml:space="preserve">pplication </w:t>
      </w:r>
      <w:r w:rsidRPr="6E98053B">
        <w:rPr>
          <w:rFonts w:ascii="Arial" w:hAnsi="Arial" w:cs="Arial"/>
        </w:rPr>
        <w:t xml:space="preserve">A, an immediate-release (IR) tablet with a low </w:t>
      </w:r>
      <w:r w:rsidR="0041148E" w:rsidRPr="6E98053B">
        <w:rPr>
          <w:rFonts w:ascii="Arial" w:hAnsi="Arial" w:cs="Arial"/>
        </w:rPr>
        <w:t>drug</w:t>
      </w:r>
      <w:r w:rsidRPr="6E98053B">
        <w:rPr>
          <w:rFonts w:ascii="Arial" w:hAnsi="Arial" w:cs="Arial"/>
        </w:rPr>
        <w:t xml:space="preserve"> load</w:t>
      </w:r>
      <w:r w:rsidR="0041148E" w:rsidRPr="6E98053B">
        <w:rPr>
          <w:rFonts w:ascii="Arial" w:hAnsi="Arial" w:cs="Arial"/>
        </w:rPr>
        <w:t xml:space="preserve"> (e.g., &lt;</w:t>
      </w:r>
      <w:r w:rsidR="005C4FEE">
        <w:rPr>
          <w:rFonts w:ascii="Arial" w:hAnsi="Arial" w:cs="Arial"/>
        </w:rPr>
        <w:t xml:space="preserve"> </w:t>
      </w:r>
      <w:r w:rsidR="0041148E" w:rsidRPr="6E98053B">
        <w:rPr>
          <w:rFonts w:ascii="Arial" w:hAnsi="Arial" w:cs="Arial"/>
        </w:rPr>
        <w:t>5%)</w:t>
      </w:r>
      <w:r w:rsidR="00652B99">
        <w:rPr>
          <w:rFonts w:ascii="Arial" w:hAnsi="Arial" w:cs="Arial"/>
        </w:rPr>
        <w:t xml:space="preserve"> </w:t>
      </w:r>
      <w:r w:rsidR="00E8188E">
        <w:rPr>
          <w:rFonts w:ascii="Arial" w:hAnsi="Arial" w:cs="Arial"/>
        </w:rPr>
        <w:t xml:space="preserve">was </w:t>
      </w:r>
      <w:r w:rsidR="007A2EF4" w:rsidRPr="6E98053B">
        <w:rPr>
          <w:rFonts w:ascii="Arial" w:hAnsi="Arial" w:cs="Arial"/>
        </w:rPr>
        <w:t xml:space="preserve">manufactured </w:t>
      </w:r>
      <w:r w:rsidRPr="6E98053B">
        <w:rPr>
          <w:rFonts w:ascii="Arial" w:hAnsi="Arial" w:cs="Arial"/>
        </w:rPr>
        <w:t xml:space="preserve">using direct compression. Initially, the </w:t>
      </w:r>
      <w:r w:rsidR="0077465D">
        <w:rPr>
          <w:rFonts w:ascii="Arial" w:hAnsi="Arial" w:cs="Arial"/>
        </w:rPr>
        <w:t xml:space="preserve">initial </w:t>
      </w:r>
      <w:r w:rsidRPr="6E98053B">
        <w:rPr>
          <w:rFonts w:ascii="Arial" w:hAnsi="Arial" w:cs="Arial"/>
        </w:rPr>
        <w:t xml:space="preserve">risk for CU in the compression process </w:t>
      </w:r>
      <w:r w:rsidR="00E8188E">
        <w:rPr>
          <w:rFonts w:ascii="Arial" w:hAnsi="Arial" w:cs="Arial"/>
        </w:rPr>
        <w:t>was</w:t>
      </w:r>
      <w:r w:rsidR="00DE6918">
        <w:rPr>
          <w:rFonts w:ascii="Arial" w:hAnsi="Arial" w:cs="Arial"/>
        </w:rPr>
        <w:t xml:space="preserve"> </w:t>
      </w:r>
      <w:r w:rsidR="0041148E" w:rsidRPr="6E98053B">
        <w:rPr>
          <w:rFonts w:ascii="Arial" w:hAnsi="Arial" w:cs="Arial"/>
        </w:rPr>
        <w:t xml:space="preserve">calculated as </w:t>
      </w:r>
      <w:r w:rsidRPr="6E98053B">
        <w:rPr>
          <w:rFonts w:ascii="Arial" w:hAnsi="Arial" w:cs="Arial"/>
        </w:rPr>
        <w:t xml:space="preserve">high. </w:t>
      </w:r>
      <w:r w:rsidR="0041148E" w:rsidRPr="6E98053B">
        <w:rPr>
          <w:rFonts w:ascii="Arial" w:hAnsi="Arial" w:cs="Arial"/>
        </w:rPr>
        <w:t>Several</w:t>
      </w:r>
      <w:r w:rsidRPr="6E98053B">
        <w:rPr>
          <w:rFonts w:ascii="Arial" w:hAnsi="Arial" w:cs="Arial"/>
        </w:rPr>
        <w:t xml:space="preserve"> process and facility controls</w:t>
      </w:r>
      <w:r w:rsidR="0041148E" w:rsidRPr="6E98053B">
        <w:rPr>
          <w:rFonts w:ascii="Arial" w:hAnsi="Arial" w:cs="Arial"/>
        </w:rPr>
        <w:t xml:space="preserve"> </w:t>
      </w:r>
      <w:r w:rsidR="00F40DCA">
        <w:rPr>
          <w:rFonts w:ascii="Arial" w:hAnsi="Arial" w:cs="Arial"/>
        </w:rPr>
        <w:t>were</w:t>
      </w:r>
      <w:r w:rsidR="00F40DCA" w:rsidRPr="6E98053B">
        <w:rPr>
          <w:rFonts w:ascii="Arial" w:hAnsi="Arial" w:cs="Arial"/>
        </w:rPr>
        <w:t xml:space="preserve"> </w:t>
      </w:r>
      <w:r w:rsidR="0041148E" w:rsidRPr="6E98053B">
        <w:rPr>
          <w:rFonts w:ascii="Arial" w:hAnsi="Arial" w:cs="Arial"/>
        </w:rPr>
        <w:t>proposed to</w:t>
      </w:r>
      <w:r w:rsidRPr="6E98053B">
        <w:rPr>
          <w:rFonts w:ascii="Arial" w:hAnsi="Arial" w:cs="Arial"/>
        </w:rPr>
        <w:t xml:space="preserve"> mitigate the risk. On the process </w:t>
      </w:r>
      <w:r w:rsidR="006176F1" w:rsidRPr="6E98053B">
        <w:rPr>
          <w:rFonts w:ascii="Arial" w:hAnsi="Arial" w:cs="Arial"/>
        </w:rPr>
        <w:t>perspective</w:t>
      </w:r>
      <w:r w:rsidRPr="6E98053B">
        <w:rPr>
          <w:rFonts w:ascii="Arial" w:hAnsi="Arial" w:cs="Arial"/>
        </w:rPr>
        <w:t xml:space="preserve">, the firm </w:t>
      </w:r>
      <w:r w:rsidR="008C52E3" w:rsidRPr="6E98053B">
        <w:rPr>
          <w:rFonts w:ascii="Arial" w:hAnsi="Arial" w:cs="Arial"/>
        </w:rPr>
        <w:t>employ</w:t>
      </w:r>
      <w:r w:rsidR="008C52E3">
        <w:rPr>
          <w:rFonts w:ascii="Arial" w:hAnsi="Arial" w:cs="Arial"/>
        </w:rPr>
        <w:t>ed</w:t>
      </w:r>
      <w:r w:rsidR="008C52E3" w:rsidRPr="6E98053B">
        <w:rPr>
          <w:rFonts w:ascii="Arial" w:hAnsi="Arial" w:cs="Arial"/>
        </w:rPr>
        <w:t xml:space="preserve"> </w:t>
      </w:r>
      <w:r w:rsidRPr="6E98053B">
        <w:rPr>
          <w:rFonts w:ascii="Arial" w:hAnsi="Arial" w:cs="Arial"/>
        </w:rPr>
        <w:t>online monitoring</w:t>
      </w:r>
      <w:r w:rsidR="00CA00CF">
        <w:rPr>
          <w:rFonts w:ascii="Arial" w:hAnsi="Arial" w:cs="Arial"/>
        </w:rPr>
        <w:t xml:space="preserve"> of active conce</w:t>
      </w:r>
      <w:r w:rsidR="00CE6ADE">
        <w:rPr>
          <w:rFonts w:ascii="Arial" w:hAnsi="Arial" w:cs="Arial"/>
        </w:rPr>
        <w:t>ntration</w:t>
      </w:r>
      <w:r w:rsidRPr="6E98053B">
        <w:rPr>
          <w:rFonts w:ascii="Arial" w:hAnsi="Arial" w:cs="Arial"/>
        </w:rPr>
        <w:t xml:space="preserve"> and </w:t>
      </w:r>
      <w:r w:rsidR="008C52E3" w:rsidRPr="6E98053B">
        <w:rPr>
          <w:rFonts w:ascii="Arial" w:hAnsi="Arial" w:cs="Arial"/>
        </w:rPr>
        <w:t>provide</w:t>
      </w:r>
      <w:r w:rsidR="008C52E3">
        <w:rPr>
          <w:rFonts w:ascii="Arial" w:hAnsi="Arial" w:cs="Arial"/>
        </w:rPr>
        <w:t>d</w:t>
      </w:r>
      <w:r w:rsidR="008C52E3" w:rsidRPr="6E98053B">
        <w:rPr>
          <w:rFonts w:ascii="Arial" w:hAnsi="Arial" w:cs="Arial"/>
        </w:rPr>
        <w:t xml:space="preserve"> </w:t>
      </w:r>
      <w:r w:rsidRPr="6E98053B">
        <w:rPr>
          <w:rFonts w:ascii="Arial" w:hAnsi="Arial" w:cs="Arial"/>
        </w:rPr>
        <w:t>developmental studies to</w:t>
      </w:r>
      <w:r w:rsidR="0094305B" w:rsidRPr="6E98053B">
        <w:rPr>
          <w:rFonts w:ascii="Arial" w:hAnsi="Arial" w:cs="Arial"/>
        </w:rPr>
        <w:t xml:space="preserve"> demonstrate </w:t>
      </w:r>
      <w:r w:rsidR="00CE6ADE">
        <w:rPr>
          <w:rFonts w:ascii="Arial" w:hAnsi="Arial" w:cs="Arial"/>
        </w:rPr>
        <w:t>an</w:t>
      </w:r>
      <w:r w:rsidR="00CE6ADE" w:rsidRPr="6E98053B">
        <w:rPr>
          <w:rFonts w:ascii="Arial" w:hAnsi="Arial" w:cs="Arial"/>
        </w:rPr>
        <w:t xml:space="preserve"> </w:t>
      </w:r>
      <w:r w:rsidRPr="6E98053B">
        <w:rPr>
          <w:rFonts w:ascii="Arial" w:hAnsi="Arial" w:cs="Arial"/>
        </w:rPr>
        <w:t>enhance</w:t>
      </w:r>
      <w:r w:rsidR="0094305B" w:rsidRPr="6E98053B">
        <w:rPr>
          <w:rFonts w:ascii="Arial" w:hAnsi="Arial" w:cs="Arial"/>
        </w:rPr>
        <w:t>d</w:t>
      </w:r>
      <w:r w:rsidRPr="6E98053B">
        <w:rPr>
          <w:rFonts w:ascii="Arial" w:hAnsi="Arial" w:cs="Arial"/>
        </w:rPr>
        <w:t xml:space="preserve"> process understanding. On the facility </w:t>
      </w:r>
      <w:r w:rsidR="006176F1" w:rsidRPr="6E98053B">
        <w:rPr>
          <w:rFonts w:ascii="Arial" w:hAnsi="Arial" w:cs="Arial"/>
        </w:rPr>
        <w:t>perspective</w:t>
      </w:r>
      <w:r w:rsidRPr="6E98053B">
        <w:rPr>
          <w:rFonts w:ascii="Arial" w:hAnsi="Arial" w:cs="Arial"/>
        </w:rPr>
        <w:t xml:space="preserve">, the manufacturing site </w:t>
      </w:r>
      <w:r w:rsidR="008C52E3">
        <w:rPr>
          <w:rFonts w:ascii="Arial" w:hAnsi="Arial" w:cs="Arial"/>
        </w:rPr>
        <w:t>was</w:t>
      </w:r>
      <w:r w:rsidR="008C52E3" w:rsidRPr="6E98053B">
        <w:rPr>
          <w:rFonts w:ascii="Arial" w:hAnsi="Arial" w:cs="Arial"/>
        </w:rPr>
        <w:t xml:space="preserve"> </w:t>
      </w:r>
      <w:r w:rsidR="00B72675" w:rsidRPr="6E98053B">
        <w:rPr>
          <w:rFonts w:ascii="Arial" w:hAnsi="Arial" w:cs="Arial"/>
        </w:rPr>
        <w:t>cGMP compliant. The site also</w:t>
      </w:r>
      <w:r w:rsidRPr="6E98053B">
        <w:rPr>
          <w:rFonts w:ascii="Arial" w:hAnsi="Arial" w:cs="Arial"/>
        </w:rPr>
        <w:t xml:space="preserve"> </w:t>
      </w:r>
      <w:r w:rsidR="008C52E3" w:rsidRPr="6E98053B">
        <w:rPr>
          <w:rFonts w:ascii="Arial" w:hAnsi="Arial" w:cs="Arial"/>
        </w:rPr>
        <w:t>ha</w:t>
      </w:r>
      <w:r w:rsidR="008C52E3">
        <w:rPr>
          <w:rFonts w:ascii="Arial" w:hAnsi="Arial" w:cs="Arial"/>
        </w:rPr>
        <w:t>d s</w:t>
      </w:r>
      <w:r w:rsidRPr="6E98053B">
        <w:rPr>
          <w:rFonts w:ascii="Arial" w:hAnsi="Arial" w:cs="Arial"/>
        </w:rPr>
        <w:t xml:space="preserve">ubstantial tablet manufacturing experience, and no documented issues with BU or CU. With these controls in place, the updated CU risk score </w:t>
      </w:r>
      <w:r w:rsidR="007F0E3F">
        <w:rPr>
          <w:rFonts w:ascii="Arial" w:hAnsi="Arial" w:cs="Arial"/>
        </w:rPr>
        <w:t>can be changed to a lower risk level</w:t>
      </w:r>
      <w:r w:rsidRPr="6E98053B">
        <w:rPr>
          <w:rFonts w:ascii="Arial" w:hAnsi="Arial" w:cs="Arial"/>
        </w:rPr>
        <w:t>.</w:t>
      </w:r>
    </w:p>
    <w:p w14:paraId="4F9B5148" w14:textId="392AEAFA" w:rsidR="00F92C6D" w:rsidRPr="007A2EF4" w:rsidRDefault="00F92C6D" w:rsidP="00F92C6D">
      <w:pPr>
        <w:rPr>
          <w:rFonts w:ascii="Arial" w:hAnsi="Arial" w:cs="Arial"/>
        </w:rPr>
      </w:pPr>
      <w:r w:rsidRPr="6E98053B">
        <w:rPr>
          <w:rFonts w:ascii="Arial" w:hAnsi="Arial" w:cs="Arial"/>
        </w:rPr>
        <w:t xml:space="preserve">In </w:t>
      </w:r>
      <w:r w:rsidR="00881265">
        <w:rPr>
          <w:rFonts w:ascii="Arial" w:hAnsi="Arial" w:cs="Arial"/>
        </w:rPr>
        <w:t>a</w:t>
      </w:r>
      <w:r w:rsidR="00881265" w:rsidRPr="6E98053B">
        <w:rPr>
          <w:rFonts w:ascii="Arial" w:hAnsi="Arial" w:cs="Arial"/>
        </w:rPr>
        <w:t xml:space="preserve">pplication </w:t>
      </w:r>
      <w:r w:rsidRPr="6E98053B">
        <w:rPr>
          <w:rFonts w:ascii="Arial" w:hAnsi="Arial" w:cs="Arial"/>
        </w:rPr>
        <w:t xml:space="preserve">B, a similar IR tablet with a low API load </w:t>
      </w:r>
      <w:r w:rsidR="00DE6918">
        <w:rPr>
          <w:rFonts w:ascii="Arial" w:hAnsi="Arial" w:cs="Arial"/>
        </w:rPr>
        <w:t>was</w:t>
      </w:r>
      <w:r w:rsidR="00DE6918" w:rsidRPr="6E98053B">
        <w:rPr>
          <w:rFonts w:ascii="Arial" w:hAnsi="Arial" w:cs="Arial"/>
        </w:rPr>
        <w:t xml:space="preserve"> </w:t>
      </w:r>
      <w:r w:rsidRPr="6E98053B">
        <w:rPr>
          <w:rFonts w:ascii="Arial" w:hAnsi="Arial" w:cs="Arial"/>
        </w:rPr>
        <w:t>manufactured using direct compression, but with an additional risk factor</w:t>
      </w:r>
      <w:r w:rsidR="007A2EF4" w:rsidRPr="6E98053B">
        <w:rPr>
          <w:rFonts w:ascii="Arial" w:hAnsi="Arial" w:cs="Arial"/>
        </w:rPr>
        <w:t>, i.e.,</w:t>
      </w:r>
      <w:r w:rsidRPr="6E98053B">
        <w:rPr>
          <w:rFonts w:ascii="Arial" w:hAnsi="Arial" w:cs="Arial"/>
        </w:rPr>
        <w:t xml:space="preserve"> the site </w:t>
      </w:r>
      <w:r w:rsidR="0095671F" w:rsidRPr="6E98053B">
        <w:rPr>
          <w:rFonts w:ascii="Arial" w:hAnsi="Arial" w:cs="Arial"/>
        </w:rPr>
        <w:t>lack</w:t>
      </w:r>
      <w:r w:rsidR="0095671F">
        <w:rPr>
          <w:rFonts w:ascii="Arial" w:hAnsi="Arial" w:cs="Arial"/>
        </w:rPr>
        <w:t>ed</w:t>
      </w:r>
      <w:r w:rsidR="0095671F" w:rsidRPr="6E98053B">
        <w:rPr>
          <w:rFonts w:ascii="Arial" w:hAnsi="Arial" w:cs="Arial"/>
        </w:rPr>
        <w:t xml:space="preserve"> </w:t>
      </w:r>
      <w:r w:rsidRPr="6E98053B">
        <w:rPr>
          <w:rFonts w:ascii="Arial" w:hAnsi="Arial" w:cs="Arial"/>
        </w:rPr>
        <w:t xml:space="preserve">documented tablet manufacturing experience from previous inspections. </w:t>
      </w:r>
      <w:r w:rsidR="005673EC" w:rsidRPr="005673EC">
        <w:rPr>
          <w:rFonts w:ascii="Arial" w:hAnsi="Arial" w:cs="Arial"/>
        </w:rPr>
        <w:t>To mitigate the high risk of CU from the process factor, the firm present</w:t>
      </w:r>
      <w:r w:rsidR="00576BB1">
        <w:rPr>
          <w:rFonts w:ascii="Arial" w:hAnsi="Arial" w:cs="Arial"/>
        </w:rPr>
        <w:t>ed</w:t>
      </w:r>
      <w:r w:rsidR="005673EC" w:rsidRPr="005673EC">
        <w:rPr>
          <w:rFonts w:ascii="Arial" w:hAnsi="Arial" w:cs="Arial"/>
        </w:rPr>
        <w:t xml:space="preserve"> sufficient data from development studies and provide</w:t>
      </w:r>
      <w:r w:rsidR="00A7280F">
        <w:rPr>
          <w:rFonts w:ascii="Arial" w:hAnsi="Arial" w:cs="Arial"/>
        </w:rPr>
        <w:t>d</w:t>
      </w:r>
      <w:r w:rsidR="005673EC" w:rsidRPr="005673EC">
        <w:rPr>
          <w:rFonts w:ascii="Arial" w:hAnsi="Arial" w:cs="Arial"/>
        </w:rPr>
        <w:t xml:space="preserve"> well-supported scale-up plans for commercial manufacturing. They also </w:t>
      </w:r>
      <w:r w:rsidR="0007067C" w:rsidRPr="005673EC">
        <w:rPr>
          <w:rFonts w:ascii="Arial" w:hAnsi="Arial" w:cs="Arial"/>
        </w:rPr>
        <w:t>pla</w:t>
      </w:r>
      <w:r w:rsidR="0007067C">
        <w:rPr>
          <w:rFonts w:ascii="Arial" w:hAnsi="Arial" w:cs="Arial"/>
        </w:rPr>
        <w:t>nned</w:t>
      </w:r>
      <w:r w:rsidR="00576BB1">
        <w:rPr>
          <w:rFonts w:ascii="Arial" w:hAnsi="Arial" w:cs="Arial"/>
        </w:rPr>
        <w:t xml:space="preserve"> </w:t>
      </w:r>
      <w:r w:rsidR="005673EC" w:rsidRPr="005673EC">
        <w:rPr>
          <w:rFonts w:ascii="Arial" w:hAnsi="Arial" w:cs="Arial"/>
        </w:rPr>
        <w:t xml:space="preserve">to implement an </w:t>
      </w:r>
      <w:r w:rsidR="005673EC" w:rsidRPr="005673EC">
        <w:rPr>
          <w:rFonts w:ascii="Arial" w:hAnsi="Arial" w:cs="Arial"/>
        </w:rPr>
        <w:lastRenderedPageBreak/>
        <w:t xml:space="preserve">enhanced in-process sampling plan, combined with a statistically validated method, to demonstrate </w:t>
      </w:r>
      <w:r w:rsidR="003E126F">
        <w:rPr>
          <w:rFonts w:ascii="Arial" w:hAnsi="Arial" w:cs="Arial"/>
        </w:rPr>
        <w:t xml:space="preserve">product uniformity using </w:t>
      </w:r>
      <w:r w:rsidR="009A3BC6">
        <w:rPr>
          <w:rFonts w:ascii="Arial" w:hAnsi="Arial" w:cs="Arial"/>
        </w:rPr>
        <w:t xml:space="preserve">in-process CU testing </w:t>
      </w:r>
      <w:r w:rsidR="005673EC" w:rsidRPr="005673EC">
        <w:rPr>
          <w:rFonts w:ascii="Arial" w:hAnsi="Arial" w:cs="Arial"/>
        </w:rPr>
        <w:t xml:space="preserve">at the commercial scale. Regarding the facility factor, a </w:t>
      </w:r>
      <w:proofErr w:type="spellStart"/>
      <w:r w:rsidR="00A23195">
        <w:rPr>
          <w:rFonts w:ascii="Arial" w:hAnsi="Arial" w:cs="Arial"/>
        </w:rPr>
        <w:t>p</w:t>
      </w:r>
      <w:r w:rsidR="00A23195" w:rsidRPr="005673EC">
        <w:rPr>
          <w:rFonts w:ascii="Arial" w:hAnsi="Arial" w:cs="Arial"/>
        </w:rPr>
        <w:t>re</w:t>
      </w:r>
      <w:r w:rsidR="00FA2CC6" w:rsidRPr="005673EC">
        <w:rPr>
          <w:rFonts w:ascii="Arial" w:hAnsi="Arial" w:cs="Arial"/>
        </w:rPr>
        <w:t>-approval</w:t>
      </w:r>
      <w:proofErr w:type="spellEnd"/>
      <w:r w:rsidR="005673EC" w:rsidRPr="005673EC">
        <w:rPr>
          <w:rFonts w:ascii="Arial" w:hAnsi="Arial" w:cs="Arial"/>
        </w:rPr>
        <w:t xml:space="preserve"> inspection was conducted to verify the site's capability for the proposed drug product manufacturing. With these strategies in place, the updated CU risk </w:t>
      </w:r>
      <w:r w:rsidR="00F63358">
        <w:rPr>
          <w:rFonts w:ascii="Arial" w:hAnsi="Arial" w:cs="Arial"/>
        </w:rPr>
        <w:t xml:space="preserve">was </w:t>
      </w:r>
      <w:r w:rsidR="005673EC" w:rsidRPr="005673EC">
        <w:rPr>
          <w:rFonts w:ascii="Arial" w:hAnsi="Arial" w:cs="Arial"/>
        </w:rPr>
        <w:t>considered low</w:t>
      </w:r>
      <w:r w:rsidR="002D267E">
        <w:rPr>
          <w:rFonts w:ascii="Arial" w:hAnsi="Arial" w:cs="Arial"/>
        </w:rPr>
        <w:t>.</w:t>
      </w:r>
    </w:p>
    <w:p w14:paraId="620B95B6" w14:textId="5FD7ED95" w:rsidR="00053318" w:rsidRPr="004F3BD6" w:rsidRDefault="00F92C6D" w:rsidP="00053318">
      <w:pPr>
        <w:rPr>
          <w:rFonts w:ascii="Arial" w:hAnsi="Arial" w:cs="Arial"/>
          <w:color w:val="2F5496" w:themeColor="accent1" w:themeShade="BF"/>
        </w:rPr>
      </w:pPr>
      <w:r w:rsidRPr="6E98053B">
        <w:rPr>
          <w:rFonts w:ascii="Arial" w:hAnsi="Arial" w:cs="Arial"/>
        </w:rPr>
        <w:t xml:space="preserve">In </w:t>
      </w:r>
      <w:r w:rsidR="00881265">
        <w:rPr>
          <w:rFonts w:ascii="Arial" w:hAnsi="Arial" w:cs="Arial"/>
        </w:rPr>
        <w:t>a</w:t>
      </w:r>
      <w:r w:rsidR="00881265" w:rsidRPr="6E98053B">
        <w:rPr>
          <w:rFonts w:ascii="Arial" w:hAnsi="Arial" w:cs="Arial"/>
        </w:rPr>
        <w:t xml:space="preserve">pplication </w:t>
      </w:r>
      <w:r w:rsidRPr="6E98053B">
        <w:rPr>
          <w:rFonts w:ascii="Arial" w:hAnsi="Arial" w:cs="Arial"/>
        </w:rPr>
        <w:t xml:space="preserve">C, the drug product </w:t>
      </w:r>
      <w:r w:rsidR="002D267E">
        <w:rPr>
          <w:rFonts w:ascii="Arial" w:hAnsi="Arial" w:cs="Arial"/>
        </w:rPr>
        <w:t>was</w:t>
      </w:r>
      <w:r w:rsidR="002D267E" w:rsidRPr="6E98053B">
        <w:rPr>
          <w:rFonts w:ascii="Arial" w:hAnsi="Arial" w:cs="Arial"/>
        </w:rPr>
        <w:t xml:space="preserve"> </w:t>
      </w:r>
      <w:r w:rsidRPr="6E98053B">
        <w:rPr>
          <w:rFonts w:ascii="Arial" w:hAnsi="Arial" w:cs="Arial"/>
        </w:rPr>
        <w:t>an IR tablet with a medium drug load</w:t>
      </w:r>
      <w:r w:rsidR="007A2EF4" w:rsidRPr="6E98053B">
        <w:rPr>
          <w:rFonts w:ascii="Arial" w:hAnsi="Arial" w:cs="Arial"/>
        </w:rPr>
        <w:t xml:space="preserve"> (e.g.</w:t>
      </w:r>
      <w:r w:rsidR="00B6215C">
        <w:rPr>
          <w:rFonts w:ascii="Arial" w:hAnsi="Arial" w:cs="Arial"/>
        </w:rPr>
        <w:t xml:space="preserve">, </w:t>
      </w:r>
      <w:r w:rsidR="007A2EF4" w:rsidRPr="6E98053B">
        <w:rPr>
          <w:rFonts w:ascii="Arial" w:hAnsi="Arial" w:cs="Arial"/>
        </w:rPr>
        <w:t>~ 10%) manufactured using direct compression</w:t>
      </w:r>
      <w:r w:rsidRPr="6E98053B">
        <w:rPr>
          <w:rFonts w:ascii="Arial" w:hAnsi="Arial" w:cs="Arial"/>
        </w:rPr>
        <w:t xml:space="preserve">. While the site </w:t>
      </w:r>
      <w:r w:rsidR="00CA202C">
        <w:rPr>
          <w:rFonts w:ascii="Arial" w:hAnsi="Arial" w:cs="Arial"/>
        </w:rPr>
        <w:t>was</w:t>
      </w:r>
      <w:r w:rsidR="00CA202C" w:rsidRPr="6E98053B">
        <w:rPr>
          <w:rFonts w:ascii="Arial" w:hAnsi="Arial" w:cs="Arial"/>
        </w:rPr>
        <w:t xml:space="preserve"> </w:t>
      </w:r>
      <w:r w:rsidR="00B72675" w:rsidRPr="6E98053B">
        <w:rPr>
          <w:rFonts w:ascii="Arial" w:hAnsi="Arial" w:cs="Arial"/>
        </w:rPr>
        <w:t>c</w:t>
      </w:r>
      <w:r w:rsidRPr="6E98053B">
        <w:rPr>
          <w:rFonts w:ascii="Arial" w:hAnsi="Arial" w:cs="Arial"/>
        </w:rPr>
        <w:t>GMP</w:t>
      </w:r>
      <w:r w:rsidR="00B72675" w:rsidRPr="6E98053B">
        <w:rPr>
          <w:rFonts w:ascii="Arial" w:hAnsi="Arial" w:cs="Arial"/>
        </w:rPr>
        <w:t xml:space="preserve"> </w:t>
      </w:r>
      <w:r w:rsidRPr="6E98053B">
        <w:rPr>
          <w:rFonts w:ascii="Arial" w:hAnsi="Arial" w:cs="Arial"/>
        </w:rPr>
        <w:t xml:space="preserve">compliant, there </w:t>
      </w:r>
      <w:r w:rsidR="00CC484B">
        <w:rPr>
          <w:rFonts w:ascii="Arial" w:hAnsi="Arial" w:cs="Arial"/>
        </w:rPr>
        <w:t>were</w:t>
      </w:r>
      <w:r w:rsidR="00CC484B" w:rsidRPr="6E98053B">
        <w:rPr>
          <w:rFonts w:ascii="Arial" w:hAnsi="Arial" w:cs="Arial"/>
        </w:rPr>
        <w:t xml:space="preserve"> </w:t>
      </w:r>
      <w:r w:rsidRPr="6E98053B">
        <w:rPr>
          <w:rFonts w:ascii="Arial" w:hAnsi="Arial" w:cs="Arial"/>
        </w:rPr>
        <w:t>documented issues with BU and CU</w:t>
      </w:r>
      <w:r w:rsidR="00E2128B">
        <w:rPr>
          <w:rFonts w:ascii="Arial" w:hAnsi="Arial" w:cs="Arial"/>
        </w:rPr>
        <w:t xml:space="preserve"> </w:t>
      </w:r>
      <w:r w:rsidR="00CC484B">
        <w:rPr>
          <w:rFonts w:ascii="Arial" w:hAnsi="Arial" w:cs="Arial"/>
        </w:rPr>
        <w:t>in the</w:t>
      </w:r>
      <w:r w:rsidR="00200B7F">
        <w:rPr>
          <w:rFonts w:ascii="Arial" w:hAnsi="Arial" w:cs="Arial"/>
        </w:rPr>
        <w:t xml:space="preserve"> inspection</w:t>
      </w:r>
      <w:r w:rsidR="00CC484B">
        <w:rPr>
          <w:rFonts w:ascii="Arial" w:hAnsi="Arial" w:cs="Arial"/>
        </w:rPr>
        <w:t xml:space="preserve"> reports</w:t>
      </w:r>
      <w:r w:rsidR="00200B7F">
        <w:rPr>
          <w:rFonts w:ascii="Arial" w:hAnsi="Arial" w:cs="Arial"/>
        </w:rPr>
        <w:t xml:space="preserve">. </w:t>
      </w:r>
      <w:r w:rsidR="006176F1" w:rsidRPr="6E98053B">
        <w:rPr>
          <w:rFonts w:ascii="Arial" w:hAnsi="Arial" w:cs="Arial"/>
        </w:rPr>
        <w:t>Therefore, the initial risk</w:t>
      </w:r>
      <w:r w:rsidR="00607EB3">
        <w:rPr>
          <w:rFonts w:ascii="Arial" w:hAnsi="Arial" w:cs="Arial"/>
        </w:rPr>
        <w:t xml:space="preserve"> </w:t>
      </w:r>
      <w:r w:rsidR="00D67BEE">
        <w:rPr>
          <w:rFonts w:ascii="Arial" w:hAnsi="Arial" w:cs="Arial"/>
        </w:rPr>
        <w:t>was</w:t>
      </w:r>
      <w:r w:rsidR="006176F1" w:rsidRPr="6E98053B">
        <w:rPr>
          <w:rFonts w:ascii="Arial" w:hAnsi="Arial" w:cs="Arial"/>
        </w:rPr>
        <w:t xml:space="preserve"> considered medium for the CU on the compression operation.</w:t>
      </w:r>
      <w:r w:rsidR="00CE0997">
        <w:rPr>
          <w:rFonts w:ascii="Arial" w:hAnsi="Arial" w:cs="Arial"/>
        </w:rPr>
        <w:t xml:space="preserve"> </w:t>
      </w:r>
      <w:r w:rsidR="00CE0997" w:rsidRPr="004F3BD6">
        <w:rPr>
          <w:rFonts w:ascii="Arial" w:hAnsi="Arial" w:cs="Arial"/>
          <w:color w:val="2F5496" w:themeColor="accent1" w:themeShade="BF"/>
        </w:rPr>
        <w:t>The firm provided control strategies, including acceptable development data such as hardness challenge studies for compression forces and studies on press speed effects on tablet CQAs to determine compression speed ranges. The proposed IPCs (e.g., hardness, thickness, tablet weights, dissolution, and uniformity) for commercial batches were justified by developmental and executed batch data. From the facility perspective, the firm addressed previous BU/CU issues from responses to FDA's 483 observations, and the facility's CAPAs were deemed adequate upon review. Considering all factors, the overall risk for CU for the unit operation was also deemed low.</w:t>
      </w:r>
    </w:p>
    <w:p w14:paraId="0AF8637C" w14:textId="74DF0BF8" w:rsidR="0087517A" w:rsidRPr="004F3BD6" w:rsidRDefault="0087517A" w:rsidP="0087517A">
      <w:pPr>
        <w:rPr>
          <w:rFonts w:ascii="Times New Roman" w:hAnsi="Times New Roman" w:cs="Times New Roman"/>
          <w:color w:val="2F5496" w:themeColor="accent1" w:themeShade="BF"/>
        </w:rPr>
      </w:pPr>
      <w:r w:rsidRPr="004F3BD6">
        <w:rPr>
          <w:rFonts w:ascii="Arial" w:hAnsi="Arial" w:cs="Arial"/>
          <w:color w:val="2F5496" w:themeColor="accent1" w:themeShade="BF"/>
        </w:rPr>
        <w:t xml:space="preserve">In application D, the drug product was an IR tablet with a low drug load, manufactured using a blending unit operation. The API exhibited poor to marginal flowability, resulting in a higher initial risk of segregation and, consequently, an elevated risk to BU </w:t>
      </w:r>
      <w:r w:rsidR="00183584">
        <w:rPr>
          <w:rFonts w:ascii="Arial" w:hAnsi="Arial" w:cs="Arial"/>
          <w:color w:val="2F5496" w:themeColor="accent1" w:themeShade="BF"/>
        </w:rPr>
        <w:t xml:space="preserve">in </w:t>
      </w:r>
      <w:r w:rsidRPr="004F3BD6">
        <w:rPr>
          <w:rFonts w:ascii="Arial" w:hAnsi="Arial" w:cs="Arial"/>
          <w:color w:val="2F5496" w:themeColor="accent1" w:themeShade="BF"/>
        </w:rPr>
        <w:t>the unit operation. To mitigate this risk, the firm conducted development studies demonstrating that optimization of blending speed and time for the API–excipient mixture effectively minimized segregation, as supported by BU and downstream CU data. IPCs, including BU testing, were established based on development data and implemented for commercial production. From a facility perspective, the manufacturing site demonstrated extensive experience with similar operations. Considering these controls and mitigation strategies, the overall risk to uniformity for the blending unit operation was deemed low</w:t>
      </w:r>
      <w:r w:rsidRPr="004F3BD6">
        <w:rPr>
          <w:rFonts w:ascii="Times New Roman" w:hAnsi="Times New Roman" w:cs="Times New Roman"/>
          <w:color w:val="2F5496" w:themeColor="accent1" w:themeShade="BF"/>
        </w:rPr>
        <w:t>.</w:t>
      </w:r>
    </w:p>
    <w:p w14:paraId="182D45BE" w14:textId="7C06FCC4" w:rsidR="000F25A0" w:rsidRPr="007A2EF4" w:rsidRDefault="002D302E" w:rsidP="00F92C6D">
      <w:pPr>
        <w:rPr>
          <w:rFonts w:ascii="Arial" w:hAnsi="Arial" w:cs="Arial"/>
        </w:rPr>
      </w:pPr>
      <w:r w:rsidRPr="6E98053B">
        <w:rPr>
          <w:rFonts w:ascii="Arial" w:hAnsi="Arial" w:cs="Arial"/>
        </w:rPr>
        <w:t>These</w:t>
      </w:r>
      <w:r w:rsidR="00F92C6D" w:rsidRPr="6E98053B">
        <w:rPr>
          <w:rFonts w:ascii="Arial" w:hAnsi="Arial" w:cs="Arial"/>
        </w:rPr>
        <w:t xml:space="preserve"> case stud</w:t>
      </w:r>
      <w:r w:rsidRPr="6E98053B">
        <w:rPr>
          <w:rFonts w:ascii="Arial" w:hAnsi="Arial" w:cs="Arial"/>
        </w:rPr>
        <w:t>ies</w:t>
      </w:r>
      <w:r w:rsidR="00F92C6D" w:rsidRPr="6E98053B">
        <w:rPr>
          <w:rFonts w:ascii="Arial" w:hAnsi="Arial" w:cs="Arial"/>
        </w:rPr>
        <w:t xml:space="preserve"> illustrate how the</w:t>
      </w:r>
      <w:r w:rsidR="00EB4401" w:rsidRPr="6E98053B">
        <w:rPr>
          <w:rFonts w:ascii="Arial" w:hAnsi="Arial" w:cs="Arial"/>
        </w:rPr>
        <w:t xml:space="preserve"> </w:t>
      </w:r>
      <w:r w:rsidR="0090176C" w:rsidRPr="6E98053B">
        <w:rPr>
          <w:rFonts w:ascii="Arial" w:hAnsi="Arial" w:cs="Arial"/>
        </w:rPr>
        <w:t>SODF</w:t>
      </w:r>
      <w:r w:rsidR="00EB4401" w:rsidRPr="6E98053B">
        <w:rPr>
          <w:rFonts w:ascii="Arial" w:hAnsi="Arial" w:cs="Arial"/>
        </w:rPr>
        <w:t xml:space="preserve"> manufacturing</w:t>
      </w:r>
      <w:r w:rsidR="00F92C6D" w:rsidRPr="6E98053B">
        <w:rPr>
          <w:rFonts w:ascii="Arial" w:hAnsi="Arial" w:cs="Arial"/>
        </w:rPr>
        <w:t xml:space="preserve"> </w:t>
      </w:r>
      <w:r w:rsidR="007F6FB5" w:rsidRPr="6E98053B">
        <w:rPr>
          <w:rFonts w:ascii="Arial" w:hAnsi="Arial" w:cs="Arial"/>
        </w:rPr>
        <w:t>KASA platform</w:t>
      </w:r>
      <w:r w:rsidR="00F92C6D" w:rsidRPr="6E98053B">
        <w:rPr>
          <w:rFonts w:ascii="Arial" w:hAnsi="Arial" w:cs="Arial"/>
        </w:rPr>
        <w:t xml:space="preserve"> supports a systematic approach for assessors to conduct risk-based evaluations consistently across applications. Assessors use </w:t>
      </w:r>
      <w:proofErr w:type="gramStart"/>
      <w:r w:rsidR="005321A3" w:rsidRPr="6E98053B">
        <w:rPr>
          <w:rFonts w:ascii="Arial" w:hAnsi="Arial" w:cs="Arial"/>
        </w:rPr>
        <w:t>drop</w:t>
      </w:r>
      <w:r w:rsidR="003173F3">
        <w:rPr>
          <w:rFonts w:ascii="Arial" w:hAnsi="Arial" w:cs="Arial"/>
        </w:rPr>
        <w:t>-</w:t>
      </w:r>
      <w:r w:rsidR="005321A3">
        <w:rPr>
          <w:rFonts w:ascii="Arial" w:hAnsi="Arial" w:cs="Arial"/>
        </w:rPr>
        <w:t>downs</w:t>
      </w:r>
      <w:proofErr w:type="gramEnd"/>
      <w:r w:rsidR="00F92C6D" w:rsidRPr="6E98053B">
        <w:rPr>
          <w:rFonts w:ascii="Arial" w:hAnsi="Arial" w:cs="Arial"/>
        </w:rPr>
        <w:t xml:space="preserve"> and structured descriptors to document their reviews in alignment with the risk management principles of ICH Q9</w:t>
      </w:r>
      <w:r w:rsidR="00017621">
        <w:rPr>
          <w:rFonts w:ascii="Arial" w:hAnsi="Arial" w:cs="Arial"/>
        </w:rPr>
        <w:t xml:space="preserve"> Guideline</w:t>
      </w:r>
      <w:r w:rsidR="00F92C6D" w:rsidRPr="6E98053B">
        <w:rPr>
          <w:rFonts w:ascii="Arial" w:hAnsi="Arial" w:cs="Arial"/>
        </w:rPr>
        <w:t>. Additionally, by incorporating real-time information through multiple database links,</w:t>
      </w:r>
      <w:r w:rsidR="00017621">
        <w:rPr>
          <w:rFonts w:ascii="Arial" w:hAnsi="Arial" w:cs="Arial"/>
        </w:rPr>
        <w:t xml:space="preserve"> </w:t>
      </w:r>
      <w:r w:rsidR="00F92C6D" w:rsidRPr="6E98053B">
        <w:rPr>
          <w:rFonts w:ascii="Arial" w:hAnsi="Arial" w:cs="Arial"/>
        </w:rPr>
        <w:t xml:space="preserve">assessors can make </w:t>
      </w:r>
      <w:r w:rsidR="001F325F" w:rsidRPr="6E98053B">
        <w:rPr>
          <w:rFonts w:ascii="Arial" w:hAnsi="Arial" w:cs="Arial"/>
        </w:rPr>
        <w:t>data</w:t>
      </w:r>
      <w:r w:rsidR="001F325F">
        <w:rPr>
          <w:rFonts w:ascii="Arial" w:hAnsi="Arial" w:cs="Arial"/>
        </w:rPr>
        <w:t>-</w:t>
      </w:r>
      <w:r w:rsidR="00106434" w:rsidRPr="6E98053B">
        <w:rPr>
          <w:rFonts w:ascii="Arial" w:hAnsi="Arial" w:cs="Arial"/>
        </w:rPr>
        <w:t>driven</w:t>
      </w:r>
      <w:r w:rsidR="00F92C6D" w:rsidRPr="6E98053B">
        <w:rPr>
          <w:rFonts w:ascii="Arial" w:hAnsi="Arial" w:cs="Arial"/>
        </w:rPr>
        <w:t xml:space="preserve"> decisions to support the application</w:t>
      </w:r>
      <w:r w:rsidR="000E5C40">
        <w:rPr>
          <w:rFonts w:ascii="Arial" w:hAnsi="Arial" w:cs="Arial"/>
        </w:rPr>
        <w:t xml:space="preserve">’s regulatory </w:t>
      </w:r>
      <w:proofErr w:type="gramStart"/>
      <w:r w:rsidR="000E5C40">
        <w:rPr>
          <w:rFonts w:ascii="Arial" w:hAnsi="Arial" w:cs="Arial"/>
        </w:rPr>
        <w:t>final outcome</w:t>
      </w:r>
      <w:proofErr w:type="gramEnd"/>
      <w:r w:rsidR="00F92C6D" w:rsidRPr="6E98053B">
        <w:rPr>
          <w:rFonts w:ascii="Arial" w:hAnsi="Arial" w:cs="Arial"/>
        </w:rPr>
        <w:t>.</w:t>
      </w:r>
    </w:p>
    <w:p w14:paraId="0EDA8D47" w14:textId="77777777" w:rsidR="000F25A0" w:rsidRPr="002D302E" w:rsidRDefault="000F25A0" w:rsidP="000F25A0">
      <w:pPr>
        <w:rPr>
          <w:rFonts w:ascii="Arial" w:hAnsi="Arial" w:cs="Arial"/>
        </w:rPr>
      </w:pPr>
    </w:p>
    <w:p w14:paraId="38CF8C92" w14:textId="26531D56" w:rsidR="00696A0B" w:rsidRPr="00AD68C1" w:rsidRDefault="00AD68C1" w:rsidP="00B25E09">
      <w:pPr>
        <w:pStyle w:val="Heading1"/>
        <w:spacing w:after="120"/>
      </w:pPr>
      <w:r w:rsidRPr="00AD68C1">
        <w:t>4. Conclusion</w:t>
      </w:r>
    </w:p>
    <w:p w14:paraId="49A60E67" w14:textId="45F7E629" w:rsidR="00CE7D86" w:rsidRDefault="00CE7D86" w:rsidP="0079721F">
      <w:pPr>
        <w:rPr>
          <w:rFonts w:ascii="Arial" w:hAnsi="Arial" w:cs="Arial"/>
          <w:color w:val="000000" w:themeColor="text1"/>
        </w:rPr>
      </w:pPr>
      <w:r w:rsidRPr="6E98053B">
        <w:rPr>
          <w:rFonts w:ascii="Arial" w:hAnsi="Arial" w:cs="Arial"/>
          <w:color w:val="000000" w:themeColor="text1"/>
        </w:rPr>
        <w:t>In this paper, we provide</w:t>
      </w:r>
      <w:r w:rsidR="00C75FCF">
        <w:rPr>
          <w:rFonts w:ascii="Arial" w:hAnsi="Arial" w:cs="Arial"/>
          <w:color w:val="000000" w:themeColor="text1"/>
        </w:rPr>
        <w:t xml:space="preserve"> industry</w:t>
      </w:r>
      <w:r w:rsidRPr="6E98053B">
        <w:rPr>
          <w:rFonts w:ascii="Arial" w:hAnsi="Arial" w:cs="Arial"/>
          <w:color w:val="000000" w:themeColor="text1"/>
        </w:rPr>
        <w:t xml:space="preserve"> </w:t>
      </w:r>
      <w:r w:rsidR="00A25BCA">
        <w:rPr>
          <w:rFonts w:ascii="Arial" w:hAnsi="Arial" w:cs="Arial"/>
          <w:color w:val="000000" w:themeColor="text1"/>
        </w:rPr>
        <w:t xml:space="preserve">a clear picture </w:t>
      </w:r>
      <w:r w:rsidRPr="6E98053B">
        <w:rPr>
          <w:rFonts w:ascii="Arial" w:hAnsi="Arial" w:cs="Arial"/>
          <w:color w:val="000000" w:themeColor="text1"/>
        </w:rPr>
        <w:t xml:space="preserve">on how the manufacturing section of KASA has been implemented within OPMA and offer an in-depth description of </w:t>
      </w:r>
      <w:r w:rsidR="009C593E" w:rsidRPr="26A4AF46">
        <w:rPr>
          <w:rFonts w:ascii="Arial" w:hAnsi="Arial" w:cs="Arial"/>
        </w:rPr>
        <w:t xml:space="preserve">KASA manufacturing section for </w:t>
      </w:r>
      <w:r w:rsidR="009C593E" w:rsidRPr="0006642E">
        <w:rPr>
          <w:rFonts w:ascii="Arial" w:hAnsi="Arial" w:cs="Arial"/>
        </w:rPr>
        <w:t xml:space="preserve">non-sterile </w:t>
      </w:r>
      <w:r w:rsidR="009C593E" w:rsidRPr="26A4AF46">
        <w:rPr>
          <w:rFonts w:ascii="Arial" w:hAnsi="Arial" w:cs="Arial"/>
        </w:rPr>
        <w:t>SODF</w:t>
      </w:r>
      <w:r w:rsidR="009C593E">
        <w:rPr>
          <w:rFonts w:ascii="Arial" w:hAnsi="Arial" w:cs="Arial"/>
        </w:rPr>
        <w:t xml:space="preserve"> drug products</w:t>
      </w:r>
      <w:r w:rsidRPr="6E98053B">
        <w:rPr>
          <w:rFonts w:ascii="Arial" w:hAnsi="Arial" w:cs="Arial"/>
          <w:color w:val="000000" w:themeColor="text1"/>
        </w:rPr>
        <w:t xml:space="preserve">. We summarize the key features of KASA as a structured application, highlighting its knowledge-aided tools that assist assessors in conducting ANDA assessments. We also </w:t>
      </w:r>
      <w:r w:rsidR="004C7C50" w:rsidRPr="6E98053B">
        <w:rPr>
          <w:rFonts w:ascii="Arial" w:hAnsi="Arial" w:cs="Arial"/>
          <w:color w:val="000000" w:themeColor="text1"/>
        </w:rPr>
        <w:t>describe</w:t>
      </w:r>
      <w:r w:rsidRPr="6E98053B">
        <w:rPr>
          <w:rFonts w:ascii="Arial" w:hAnsi="Arial" w:cs="Arial"/>
          <w:color w:val="000000" w:themeColor="text1"/>
        </w:rPr>
        <w:t xml:space="preserve"> the</w:t>
      </w:r>
      <w:r w:rsidR="007823B3" w:rsidRPr="6E98053B">
        <w:rPr>
          <w:rFonts w:ascii="Arial" w:hAnsi="Arial" w:cs="Arial"/>
          <w:color w:val="000000" w:themeColor="text1"/>
        </w:rPr>
        <w:t xml:space="preserve"> quantitative</w:t>
      </w:r>
      <w:r w:rsidRPr="6E98053B">
        <w:rPr>
          <w:rFonts w:ascii="Arial" w:hAnsi="Arial" w:cs="Arial"/>
          <w:color w:val="000000" w:themeColor="text1"/>
        </w:rPr>
        <w:t xml:space="preserve"> risk models applied to both facilities and manufacturing processes to ensure effective and consistent </w:t>
      </w:r>
      <w:r w:rsidR="007823B3" w:rsidRPr="6E98053B">
        <w:rPr>
          <w:rFonts w:ascii="Arial" w:hAnsi="Arial" w:cs="Arial"/>
          <w:color w:val="000000" w:themeColor="text1"/>
        </w:rPr>
        <w:t xml:space="preserve">initial </w:t>
      </w:r>
      <w:r w:rsidRPr="6E98053B">
        <w:rPr>
          <w:rFonts w:ascii="Arial" w:hAnsi="Arial" w:cs="Arial"/>
          <w:color w:val="000000" w:themeColor="text1"/>
        </w:rPr>
        <w:t xml:space="preserve">risk </w:t>
      </w:r>
      <w:r w:rsidR="00671E6F" w:rsidRPr="6E98053B">
        <w:rPr>
          <w:rFonts w:ascii="Arial" w:hAnsi="Arial" w:cs="Arial"/>
          <w:color w:val="000000" w:themeColor="text1"/>
        </w:rPr>
        <w:t>assessment and</w:t>
      </w:r>
      <w:r w:rsidRPr="6E98053B">
        <w:rPr>
          <w:rFonts w:ascii="Arial" w:hAnsi="Arial" w:cs="Arial"/>
          <w:color w:val="000000" w:themeColor="text1"/>
        </w:rPr>
        <w:t xml:space="preserve"> discuss the knowledge-based </w:t>
      </w:r>
      <w:proofErr w:type="gramStart"/>
      <w:r w:rsidRPr="6E98053B">
        <w:rPr>
          <w:rFonts w:ascii="Arial" w:hAnsi="Arial" w:cs="Arial"/>
          <w:color w:val="000000" w:themeColor="text1"/>
        </w:rPr>
        <w:t>drop</w:t>
      </w:r>
      <w:r w:rsidR="00400BFA">
        <w:rPr>
          <w:rFonts w:ascii="Arial" w:hAnsi="Arial" w:cs="Arial"/>
          <w:color w:val="000000" w:themeColor="text1"/>
        </w:rPr>
        <w:t>-</w:t>
      </w:r>
      <w:r w:rsidRPr="6E98053B">
        <w:rPr>
          <w:rFonts w:ascii="Arial" w:hAnsi="Arial" w:cs="Arial"/>
          <w:color w:val="000000" w:themeColor="text1"/>
        </w:rPr>
        <w:t>downs</w:t>
      </w:r>
      <w:proofErr w:type="gramEnd"/>
      <w:r w:rsidRPr="6E98053B">
        <w:rPr>
          <w:rFonts w:ascii="Arial" w:hAnsi="Arial" w:cs="Arial"/>
          <w:color w:val="000000" w:themeColor="text1"/>
        </w:rPr>
        <w:t xml:space="preserve"> that support </w:t>
      </w:r>
      <w:r w:rsidR="00F2776B">
        <w:rPr>
          <w:rFonts w:ascii="Arial" w:hAnsi="Arial" w:cs="Arial"/>
          <w:color w:val="000000" w:themeColor="text1"/>
        </w:rPr>
        <w:t xml:space="preserve">the evaluation of </w:t>
      </w:r>
      <w:r w:rsidRPr="6E98053B">
        <w:rPr>
          <w:rFonts w:ascii="Arial" w:hAnsi="Arial" w:cs="Arial"/>
          <w:color w:val="000000" w:themeColor="text1"/>
        </w:rPr>
        <w:t xml:space="preserve">risk control strategies. </w:t>
      </w:r>
      <w:r w:rsidRPr="6E98053B">
        <w:rPr>
          <w:rFonts w:ascii="Arial" w:hAnsi="Arial" w:cs="Arial"/>
          <w:color w:val="000000" w:themeColor="text1"/>
        </w:rPr>
        <w:lastRenderedPageBreak/>
        <w:t xml:space="preserve">Additionally, we present case studies to demonstrate how risk assessments and control </w:t>
      </w:r>
      <w:r w:rsidR="005F2A26" w:rsidRPr="6E98053B">
        <w:rPr>
          <w:rFonts w:ascii="Arial" w:hAnsi="Arial" w:cs="Arial"/>
          <w:color w:val="000000" w:themeColor="text1"/>
        </w:rPr>
        <w:t>strategies</w:t>
      </w:r>
      <w:r w:rsidRPr="6E98053B">
        <w:rPr>
          <w:rFonts w:ascii="Arial" w:hAnsi="Arial" w:cs="Arial"/>
          <w:color w:val="000000" w:themeColor="text1"/>
        </w:rPr>
        <w:t xml:space="preserve"> have been conducted within the KASA interface.</w:t>
      </w:r>
      <w:r w:rsidR="003A2E01" w:rsidRPr="6E98053B">
        <w:rPr>
          <w:rFonts w:ascii="Arial" w:hAnsi="Arial" w:cs="Arial"/>
          <w:color w:val="000000" w:themeColor="text1"/>
        </w:rPr>
        <w:t xml:space="preserve"> </w:t>
      </w:r>
    </w:p>
    <w:p w14:paraId="05EDF762" w14:textId="73135CB0" w:rsidR="00493ED8" w:rsidDel="00C57ABB" w:rsidRDefault="00D746A3" w:rsidP="00493ED8">
      <w:pPr>
        <w:rPr>
          <w:rFonts w:ascii="Arial" w:hAnsi="Arial" w:cs="Arial"/>
        </w:rPr>
      </w:pPr>
      <w:r w:rsidRPr="00136A6C">
        <w:rPr>
          <w:rFonts w:ascii="Arial" w:hAnsi="Arial" w:cs="Arial"/>
          <w:color w:val="2F5496" w:themeColor="accent1" w:themeShade="BF"/>
        </w:rPr>
        <w:t xml:space="preserve">The implementation of the KASA manufacturing section for non-sterile SODF drug products embraces the principles of the three pillars outlined in the original KASA white paper </w:t>
      </w:r>
      <w:r w:rsidR="00BB583A" w:rsidRPr="00136A6C">
        <w:rPr>
          <w:rFonts w:ascii="Arial" w:hAnsi="Arial" w:cs="Arial"/>
          <w:color w:val="2F5496" w:themeColor="accent1" w:themeShade="BF"/>
        </w:rPr>
        <w:fldChar w:fldCharType="begin"/>
      </w:r>
      <w:r w:rsidR="00BB583A" w:rsidRPr="00136A6C">
        <w:rPr>
          <w:rFonts w:ascii="Arial" w:hAnsi="Arial" w:cs="Arial"/>
          <w:color w:val="2F5496" w:themeColor="accent1" w:themeShade="BF"/>
        </w:rPr>
        <w:instrText xml:space="preserve"> ADDIN EN.CITE &lt;EndNote&gt;&lt;Cite&gt;&lt;Author&gt;Yu&lt;/Author&gt;&lt;Year&gt;2019&lt;/Year&gt;&lt;RecNum&gt;1&lt;/RecNum&gt;&lt;DisplayText&gt;(Yu, et al, 2019)&lt;/DisplayText&gt;&lt;record&gt;&lt;rec-number&gt;1&lt;/rec-number&gt;&lt;foreign-keys&gt;&lt;key app="EN" db-id="retve2w0r25svretdfkxxaprfsr0990sw95r" timestamp="1726262114"&gt;1&lt;/key&gt;&lt;/foreign-keys&gt;&lt;ref-type name="Journal Article"&gt;17&lt;/ref-type&gt;&lt;contributors&gt;&lt;authors&gt;&lt;author&gt;Yu, Lawrence X.&lt;/author&gt;&lt;author&gt;Raw, Andre&lt;/author&gt;&lt;author&gt;Wu, Larisa&lt;/author&gt;&lt;author&gt;Capacci-Daniel, Christina&lt;/author&gt;&lt;author&gt;Zhang, Ying&lt;/author&gt;&lt;author&gt;Rosencrance, Susan&lt;/author&gt;&lt;/authors&gt;&lt;/contributors&gt;&lt;titles&gt;&lt;title&gt;FDA’s new pharmaceutical quality initiative: Knowledge-aided assessment &amp;amp; structured applications&lt;/title&gt;&lt;secondary-title&gt;International Journal of Pharmaceutics: X&lt;/secondary-title&gt;&lt;/titles&gt;&lt;periodical&gt;&lt;full-title&gt;International Journal of Pharmaceutics: X&lt;/full-title&gt;&lt;/periodical&gt;&lt;pages&gt;100010&lt;/pages&gt;&lt;volume&gt;1&lt;/volume&gt;&lt;keywords&gt;&lt;keyword&gt;Pharmaceutical quality&lt;/keyword&gt;&lt;keyword&gt;Knowledge management&lt;/keyword&gt;&lt;keyword&gt;Risk assessment&lt;/keyword&gt;&lt;keyword&gt;Risk control&lt;/keyword&gt;&lt;keyword&gt;Structured application&lt;/keyword&gt;&lt;/keywords&gt;&lt;dates&gt;&lt;year&gt;2019&lt;/year&gt;&lt;pub-dates&gt;&lt;date&gt;2019/12/01/&lt;/date&gt;&lt;/pub-dates&gt;&lt;/dates&gt;&lt;isbn&gt;2590-1567&lt;/isbn&gt;&lt;urls&gt;&lt;related-urls&gt;&lt;url&gt;https://www.sciencedirect.com/science/article/pii/S2590156719300246&lt;/url&gt;&lt;/related-urls&gt;&lt;/urls&gt;&lt;electronic-resource-num&gt;https://doi.org/10.1016/j.ijpx.2019.100010&lt;/electronic-resource-num&gt;&lt;/record&gt;&lt;/Cite&gt;&lt;/EndNote&gt;</w:instrText>
      </w:r>
      <w:r w:rsidR="00BB583A" w:rsidRPr="00136A6C">
        <w:rPr>
          <w:rFonts w:ascii="Arial" w:hAnsi="Arial" w:cs="Arial"/>
          <w:color w:val="2F5496" w:themeColor="accent1" w:themeShade="BF"/>
        </w:rPr>
        <w:fldChar w:fldCharType="separate"/>
      </w:r>
      <w:r w:rsidR="00BB583A" w:rsidRPr="00136A6C">
        <w:rPr>
          <w:rFonts w:ascii="Arial" w:hAnsi="Arial" w:cs="Arial"/>
          <w:noProof/>
          <w:color w:val="2F5496" w:themeColor="accent1" w:themeShade="BF"/>
        </w:rPr>
        <w:t>(Yu, et al, 2019)</w:t>
      </w:r>
      <w:r w:rsidR="00BB583A" w:rsidRPr="00136A6C">
        <w:rPr>
          <w:rFonts w:ascii="Arial" w:hAnsi="Arial" w:cs="Arial"/>
          <w:color w:val="2F5496" w:themeColor="accent1" w:themeShade="BF"/>
        </w:rPr>
        <w:fldChar w:fldCharType="end"/>
      </w:r>
      <w:r w:rsidR="00CB23B4" w:rsidRPr="00136A6C">
        <w:rPr>
          <w:rFonts w:ascii="Arial" w:hAnsi="Arial" w:cs="Arial"/>
          <w:color w:val="2F5496" w:themeColor="accent1" w:themeShade="BF"/>
        </w:rPr>
        <w:t>.</w:t>
      </w:r>
      <w:r w:rsidR="00D15C42" w:rsidRPr="00136A6C">
        <w:rPr>
          <w:rFonts w:ascii="Arial" w:hAnsi="Arial" w:cs="Arial"/>
          <w:color w:val="2F5496" w:themeColor="accent1" w:themeShade="BF"/>
        </w:rPr>
        <w:t xml:space="preserve"> </w:t>
      </w:r>
      <w:r w:rsidR="000873E5" w:rsidRPr="00136A6C">
        <w:rPr>
          <w:rFonts w:ascii="Arial" w:hAnsi="Arial" w:cs="Arial"/>
          <w:color w:val="2F5496" w:themeColor="accent1" w:themeShade="BF"/>
        </w:rPr>
        <w:t xml:space="preserve">It supports risk assessment through predefined rules, algorithms, and structured frameworks that systematically identify and evaluate product and process risks. It facilitates risk evaluation by integrating product design, process understanding, and quality standards to determine the adequacy of control strategies. Finally, it improves risk control by linking evaluation outcomes to process design, facility capability assessment, and inspection or </w:t>
      </w:r>
      <w:proofErr w:type="spellStart"/>
      <w:r w:rsidR="0043691B" w:rsidRPr="00136A6C">
        <w:rPr>
          <w:rFonts w:ascii="Arial" w:hAnsi="Arial" w:cs="Arial"/>
          <w:color w:val="2F5496" w:themeColor="accent1" w:themeShade="BF"/>
        </w:rPr>
        <w:t>pre</w:t>
      </w:r>
      <w:r w:rsidR="00622E6B" w:rsidRPr="00136A6C">
        <w:rPr>
          <w:rFonts w:ascii="Arial" w:hAnsi="Arial" w:cs="Arial"/>
          <w:color w:val="2F5496" w:themeColor="accent1" w:themeShade="BF"/>
        </w:rPr>
        <w:t>-</w:t>
      </w:r>
      <w:r w:rsidR="0043691B" w:rsidRPr="00136A6C">
        <w:rPr>
          <w:rFonts w:ascii="Arial" w:hAnsi="Arial" w:cs="Arial"/>
          <w:color w:val="2F5496" w:themeColor="accent1" w:themeShade="BF"/>
        </w:rPr>
        <w:t>approval</w:t>
      </w:r>
      <w:proofErr w:type="spellEnd"/>
      <w:r w:rsidR="000873E5" w:rsidRPr="00136A6C">
        <w:rPr>
          <w:rFonts w:ascii="Arial" w:hAnsi="Arial" w:cs="Arial"/>
          <w:color w:val="2F5496" w:themeColor="accent1" w:themeShade="BF"/>
        </w:rPr>
        <w:t xml:space="preserve"> activities, ensuring effective management of residual risks</w:t>
      </w:r>
      <w:r w:rsidR="000873E5" w:rsidRPr="000873E5">
        <w:rPr>
          <w:rFonts w:ascii="Arial" w:hAnsi="Arial" w:cs="Arial"/>
          <w:color w:val="000000" w:themeColor="text1"/>
        </w:rPr>
        <w:t>. The KASA manufacturing section has been instrumental for OPMA assessors in facilitating risk evaluation, as well as process and facility assessments. The implementation of the KASA manufacturing section has empowered OPMA assessors to establish an efficient, consistent, science- and risk-based assessment framework for pharmaceutical manufacturing processes and facilities. This accomplishment advances the FDA's priority of modernizing the assessment frameworks for regulated products. Since the KASA platform was implemented for routine assessments of SODF ANDAs in February 2021, OPMA assessors have successfully used KASA to complete the first review cycle of more than 1,130 original ANDA applications, demonstrating its practical reliability and the success of its implementation in OPQ's regulatory assessments</w:t>
      </w:r>
      <w:r w:rsidR="00493ED8" w:rsidRPr="6E98053B">
        <w:rPr>
          <w:rFonts w:ascii="Arial" w:hAnsi="Arial" w:cs="Arial"/>
        </w:rPr>
        <w:t>.</w:t>
      </w:r>
    </w:p>
    <w:p w14:paraId="32DBC429" w14:textId="21C029DC" w:rsidR="00FC51C5" w:rsidRPr="00082D24" w:rsidRDefault="00E86AC9" w:rsidP="0079721F">
      <w:pPr>
        <w:rPr>
          <w:rFonts w:ascii="Arial" w:hAnsi="Arial" w:cs="Arial"/>
          <w:b/>
          <w:bCs/>
        </w:rPr>
      </w:pPr>
      <w:r w:rsidRPr="6E98053B">
        <w:rPr>
          <w:rFonts w:ascii="Arial" w:hAnsi="Arial" w:cs="Arial"/>
          <w:color w:val="000000" w:themeColor="text1"/>
        </w:rPr>
        <w:t xml:space="preserve">The expected new release of KASA </w:t>
      </w:r>
      <w:r w:rsidR="00DB33F5" w:rsidRPr="6E98053B">
        <w:rPr>
          <w:rFonts w:ascii="Arial" w:hAnsi="Arial" w:cs="Arial"/>
          <w:color w:val="000000" w:themeColor="text1"/>
        </w:rPr>
        <w:t>future versions</w:t>
      </w:r>
      <w:r w:rsidRPr="6E98053B">
        <w:rPr>
          <w:rFonts w:ascii="Arial" w:hAnsi="Arial" w:cs="Arial"/>
          <w:color w:val="000000" w:themeColor="text1"/>
        </w:rPr>
        <w:t xml:space="preserve"> aim to expand </w:t>
      </w:r>
      <w:r w:rsidR="00555A3C" w:rsidRPr="6E98053B">
        <w:rPr>
          <w:rFonts w:ascii="Arial" w:hAnsi="Arial" w:cs="Arial"/>
          <w:color w:val="000000" w:themeColor="text1"/>
        </w:rPr>
        <w:t>KASA</w:t>
      </w:r>
      <w:r w:rsidRPr="6E98053B">
        <w:rPr>
          <w:rFonts w:ascii="Arial" w:hAnsi="Arial" w:cs="Arial"/>
          <w:color w:val="000000" w:themeColor="text1"/>
        </w:rPr>
        <w:t xml:space="preserve"> application to other dosage forms, such as liquid dosage forms, and will include multiple-component drug products,</w:t>
      </w:r>
      <w:r w:rsidR="00F47918" w:rsidRPr="6E98053B">
        <w:rPr>
          <w:rFonts w:ascii="Arial" w:hAnsi="Arial" w:cs="Arial"/>
          <w:color w:val="000000" w:themeColor="text1"/>
        </w:rPr>
        <w:t xml:space="preserve"> </w:t>
      </w:r>
      <w:r w:rsidR="004C7C50" w:rsidRPr="6E98053B">
        <w:rPr>
          <w:rFonts w:ascii="Arial" w:hAnsi="Arial" w:cs="Arial"/>
          <w:color w:val="000000" w:themeColor="text1"/>
        </w:rPr>
        <w:t>such as</w:t>
      </w:r>
      <w:r w:rsidRPr="6E98053B">
        <w:rPr>
          <w:rFonts w:ascii="Arial" w:hAnsi="Arial" w:cs="Arial"/>
          <w:color w:val="000000" w:themeColor="text1"/>
        </w:rPr>
        <w:t xml:space="preserve"> combination drug products. </w:t>
      </w:r>
      <w:r w:rsidR="004C7C50" w:rsidRPr="6E98053B">
        <w:rPr>
          <w:rFonts w:ascii="Arial" w:hAnsi="Arial" w:cs="Arial"/>
          <w:color w:val="000000" w:themeColor="text1"/>
        </w:rPr>
        <w:t>KASA</w:t>
      </w:r>
      <w:r w:rsidRPr="6E98053B">
        <w:rPr>
          <w:rFonts w:ascii="Arial" w:hAnsi="Arial" w:cs="Arial"/>
          <w:color w:val="000000" w:themeColor="text1"/>
        </w:rPr>
        <w:t xml:space="preserve"> will also be applicable to NDA</w:t>
      </w:r>
      <w:r w:rsidR="004067DD">
        <w:rPr>
          <w:rFonts w:ascii="Arial" w:hAnsi="Arial" w:cs="Arial"/>
          <w:color w:val="000000" w:themeColor="text1"/>
        </w:rPr>
        <w:t>s</w:t>
      </w:r>
      <w:r w:rsidRPr="6E98053B">
        <w:rPr>
          <w:rFonts w:ascii="Arial" w:hAnsi="Arial" w:cs="Arial"/>
          <w:color w:val="000000" w:themeColor="text1"/>
        </w:rPr>
        <w:t xml:space="preserve"> and </w:t>
      </w:r>
      <w:r w:rsidR="00690B3F">
        <w:rPr>
          <w:rFonts w:ascii="Arial" w:hAnsi="Arial" w:cs="Arial"/>
          <w:color w:val="000000" w:themeColor="text1"/>
        </w:rPr>
        <w:t>BLA</w:t>
      </w:r>
      <w:r w:rsidR="004067DD">
        <w:rPr>
          <w:rFonts w:ascii="Arial" w:hAnsi="Arial" w:cs="Arial"/>
          <w:color w:val="000000" w:themeColor="text1"/>
        </w:rPr>
        <w:t>s</w:t>
      </w:r>
      <w:r w:rsidR="00690B3F">
        <w:rPr>
          <w:rFonts w:ascii="Arial" w:hAnsi="Arial" w:cs="Arial"/>
          <w:color w:val="000000" w:themeColor="text1"/>
        </w:rPr>
        <w:t xml:space="preserve"> </w:t>
      </w:r>
      <w:r w:rsidR="004C7C50" w:rsidRPr="6E98053B">
        <w:rPr>
          <w:rFonts w:ascii="Arial" w:hAnsi="Arial" w:cs="Arial"/>
          <w:color w:val="000000" w:themeColor="text1"/>
        </w:rPr>
        <w:t>assessments</w:t>
      </w:r>
      <w:r w:rsidRPr="6E98053B">
        <w:rPr>
          <w:rFonts w:ascii="Arial" w:hAnsi="Arial" w:cs="Arial"/>
          <w:color w:val="000000" w:themeColor="text1"/>
        </w:rPr>
        <w:t>. By integrating other initiatives and innovations</w:t>
      </w:r>
      <w:r w:rsidR="00F47918" w:rsidRPr="6E98053B">
        <w:rPr>
          <w:rFonts w:ascii="Arial" w:hAnsi="Arial" w:cs="Arial"/>
          <w:color w:val="000000" w:themeColor="text1"/>
        </w:rPr>
        <w:t xml:space="preserve"> within the CDER</w:t>
      </w:r>
      <w:r w:rsidRPr="6E98053B">
        <w:rPr>
          <w:rFonts w:ascii="Arial" w:hAnsi="Arial" w:cs="Arial"/>
          <w:color w:val="000000" w:themeColor="text1"/>
        </w:rPr>
        <w:t>, such as PQ/CMC and ICH Q4M (R2)</w:t>
      </w:r>
      <w:r w:rsidR="0008621D" w:rsidRPr="6E98053B">
        <w:rPr>
          <w:rFonts w:ascii="Arial" w:hAnsi="Arial" w:cs="Arial"/>
          <w:color w:val="000000" w:themeColor="text1"/>
        </w:rPr>
        <w:t>, ICH Q12</w:t>
      </w:r>
      <w:r w:rsidRPr="6E98053B">
        <w:rPr>
          <w:rFonts w:ascii="Arial" w:hAnsi="Arial" w:cs="Arial"/>
          <w:color w:val="000000" w:themeColor="text1"/>
        </w:rPr>
        <w:t>,</w:t>
      </w:r>
      <w:r w:rsidR="0008621D" w:rsidRPr="6E98053B">
        <w:rPr>
          <w:rFonts w:ascii="Arial" w:hAnsi="Arial" w:cs="Arial"/>
          <w:color w:val="000000" w:themeColor="text1"/>
        </w:rPr>
        <w:t xml:space="preserve"> </w:t>
      </w:r>
      <w:r w:rsidR="00DA3F59" w:rsidRPr="6E98053B">
        <w:rPr>
          <w:rFonts w:ascii="Arial" w:hAnsi="Arial" w:cs="Arial"/>
          <w:color w:val="000000" w:themeColor="text1"/>
        </w:rPr>
        <w:t>QSD</w:t>
      </w:r>
      <w:r w:rsidRPr="6E98053B">
        <w:rPr>
          <w:rFonts w:ascii="Arial" w:hAnsi="Arial" w:cs="Arial"/>
          <w:color w:val="000000" w:themeColor="text1"/>
        </w:rPr>
        <w:t xml:space="preserve"> </w:t>
      </w:r>
      <w:r w:rsidR="00AA021E" w:rsidRPr="6E98053B">
        <w:rPr>
          <w:rFonts w:ascii="Arial" w:hAnsi="Arial" w:cs="Arial"/>
          <w:color w:val="000000" w:themeColor="text1"/>
        </w:rPr>
        <w:t>etc.</w:t>
      </w:r>
      <w:r w:rsidR="00AA021E">
        <w:rPr>
          <w:rFonts w:ascii="Arial" w:hAnsi="Arial" w:cs="Arial"/>
          <w:color w:val="000000" w:themeColor="text1"/>
        </w:rPr>
        <w:t xml:space="preserve"> </w:t>
      </w:r>
      <w:r w:rsidRPr="6E98053B">
        <w:rPr>
          <w:rFonts w:ascii="Arial" w:hAnsi="Arial" w:cs="Arial"/>
          <w:color w:val="000000" w:themeColor="text1"/>
        </w:rPr>
        <w:t xml:space="preserve">KASA will enhance CDER's capability to manage the increasing volume and complexity of regulatory submissions, review processes, and lifecycle management. </w:t>
      </w:r>
      <w:r w:rsidR="002A1C88" w:rsidRPr="6E98053B">
        <w:rPr>
          <w:rFonts w:ascii="Arial" w:hAnsi="Arial" w:cs="Arial"/>
        </w:rPr>
        <w:t xml:space="preserve">Overall, </w:t>
      </w:r>
      <w:r w:rsidR="00C65DF4" w:rsidRPr="6E98053B">
        <w:rPr>
          <w:rFonts w:ascii="Arial" w:hAnsi="Arial" w:cs="Arial"/>
        </w:rPr>
        <w:t>KASA and other</w:t>
      </w:r>
      <w:r w:rsidR="002A1C88" w:rsidRPr="6E98053B">
        <w:rPr>
          <w:rFonts w:ascii="Arial" w:hAnsi="Arial" w:cs="Arial"/>
        </w:rPr>
        <w:t xml:space="preserve"> </w:t>
      </w:r>
      <w:r w:rsidR="000C6BFC">
        <w:rPr>
          <w:rFonts w:ascii="Arial" w:hAnsi="Arial" w:cs="Arial"/>
        </w:rPr>
        <w:t>OPQ ongoing innovati</w:t>
      </w:r>
      <w:r w:rsidR="00586311">
        <w:rPr>
          <w:rFonts w:ascii="Arial" w:hAnsi="Arial" w:cs="Arial"/>
        </w:rPr>
        <w:t xml:space="preserve">on efforts </w:t>
      </w:r>
      <w:r w:rsidR="00082D24" w:rsidRPr="6E98053B">
        <w:rPr>
          <w:rFonts w:ascii="Arial" w:hAnsi="Arial" w:cs="Arial"/>
        </w:rPr>
        <w:t>will ensure consistency and align with the evolving landscape of the pharmaceutical industry and regulatory agencies, which are increasingly applying</w:t>
      </w:r>
      <w:r w:rsidR="004A2F6D">
        <w:rPr>
          <w:rFonts w:ascii="Arial" w:hAnsi="Arial" w:cs="Arial"/>
        </w:rPr>
        <w:t xml:space="preserve"> digital tools</w:t>
      </w:r>
      <w:r w:rsidR="00082D24" w:rsidRPr="6E98053B">
        <w:rPr>
          <w:rFonts w:ascii="Arial" w:hAnsi="Arial" w:cs="Arial"/>
        </w:rPr>
        <w:t xml:space="preserve"> and moving towards digital transformation</w:t>
      </w:r>
      <w:r w:rsidR="0041148E" w:rsidRPr="6E98053B">
        <w:rPr>
          <w:rFonts w:ascii="Arial" w:hAnsi="Arial" w:cs="Arial"/>
        </w:rPr>
        <w:t xml:space="preserve"> and innovations.</w:t>
      </w:r>
    </w:p>
    <w:p w14:paraId="0AF12D29" w14:textId="77777777" w:rsidR="00F27C41" w:rsidRDefault="00F27C41" w:rsidP="00F27C41">
      <w:pPr>
        <w:rPr>
          <w:rFonts w:ascii="Arial" w:hAnsi="Arial" w:cs="Arial"/>
        </w:rPr>
      </w:pPr>
    </w:p>
    <w:p w14:paraId="74906714" w14:textId="7853FC77" w:rsidR="00F27C41" w:rsidRPr="00F27C41" w:rsidRDefault="00696C72" w:rsidP="00F27C41">
      <w:pPr>
        <w:rPr>
          <w:rFonts w:ascii="Arial" w:hAnsi="Arial" w:cs="Arial"/>
        </w:rPr>
      </w:pPr>
      <w:r w:rsidRPr="00696C72">
        <w:rPr>
          <w:rFonts w:ascii="Arial" w:hAnsi="Arial" w:cs="Arial"/>
        </w:rPr>
        <w:br w:type="page"/>
      </w:r>
    </w:p>
    <w:p w14:paraId="02893C7B" w14:textId="268F2E3A" w:rsidR="78E6B208" w:rsidRDefault="78E6B208"/>
    <w:p w14:paraId="280040C5" w14:textId="0173B0A2" w:rsidR="00FD0CFC" w:rsidRDefault="00FD0CFC" w:rsidP="00FD0CFC">
      <w:pPr>
        <w:pStyle w:val="NormalWeb"/>
      </w:pPr>
      <w:r>
        <w:rPr>
          <w:noProof/>
        </w:rPr>
        <w:drawing>
          <wp:inline distT="0" distB="0" distL="0" distR="0" wp14:anchorId="2060433D" wp14:editId="1B0E0B0D">
            <wp:extent cx="6041749" cy="3448666"/>
            <wp:effectExtent l="0" t="0" r="0" b="0"/>
            <wp:docPr id="1798996346"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96346" name="Picture 1" descr="Diagram&#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l="6723" t="3010" r="8375" b="12434"/>
                    <a:stretch/>
                  </pic:blipFill>
                  <pic:spPr bwMode="auto">
                    <a:xfrm>
                      <a:off x="0" y="0"/>
                      <a:ext cx="6059946" cy="3459053"/>
                    </a:xfrm>
                    <a:prstGeom prst="rect">
                      <a:avLst/>
                    </a:prstGeom>
                    <a:noFill/>
                    <a:ln>
                      <a:noFill/>
                    </a:ln>
                    <a:extLst>
                      <a:ext uri="{53640926-AAD7-44D8-BBD7-CCE9431645EC}">
                        <a14:shadowObscured xmlns:a14="http://schemas.microsoft.com/office/drawing/2010/main"/>
                      </a:ext>
                    </a:extLst>
                  </pic:spPr>
                </pic:pic>
              </a:graphicData>
            </a:graphic>
          </wp:inline>
        </w:drawing>
      </w:r>
    </w:p>
    <w:p w14:paraId="03C080C6" w14:textId="2C12C39A" w:rsidR="00867177" w:rsidRDefault="331744BB" w:rsidP="00867177">
      <w:r w:rsidRPr="78E6B208">
        <w:rPr>
          <w:rFonts w:ascii="Arial" w:hAnsi="Arial" w:cs="Arial"/>
          <w:b/>
          <w:bCs/>
        </w:rPr>
        <w:t>Figure 1</w:t>
      </w:r>
      <w:r w:rsidRPr="78E6B208">
        <w:rPr>
          <w:rFonts w:ascii="Arial" w:hAnsi="Arial" w:cs="Arial"/>
        </w:rPr>
        <w:t xml:space="preserve">. The structure of the </w:t>
      </w:r>
      <w:r w:rsidR="00676210" w:rsidRPr="6E98053B">
        <w:rPr>
          <w:rFonts w:ascii="Arial" w:hAnsi="Arial" w:cs="Arial"/>
        </w:rPr>
        <w:t>KASA manufacturing section for non-sterile</w:t>
      </w:r>
      <w:r w:rsidR="00CA6F92">
        <w:rPr>
          <w:rFonts w:ascii="Arial" w:hAnsi="Arial" w:cs="Arial"/>
        </w:rPr>
        <w:t xml:space="preserve"> </w:t>
      </w:r>
      <w:r w:rsidR="00C25469" w:rsidRPr="00C25469">
        <w:rPr>
          <w:rFonts w:ascii="Arial" w:hAnsi="Arial" w:cs="Arial"/>
        </w:rPr>
        <w:t>Solid Oral Dosage Form</w:t>
      </w:r>
      <w:r w:rsidR="00C25469">
        <w:rPr>
          <w:rFonts w:ascii="Arial" w:hAnsi="Arial" w:cs="Arial"/>
        </w:rPr>
        <w:t xml:space="preserve"> (</w:t>
      </w:r>
      <w:r w:rsidR="00676210" w:rsidRPr="6E98053B">
        <w:rPr>
          <w:rFonts w:ascii="Arial" w:hAnsi="Arial" w:cs="Arial"/>
        </w:rPr>
        <w:t>SODF</w:t>
      </w:r>
      <w:r w:rsidR="00C25469">
        <w:rPr>
          <w:rFonts w:ascii="Arial" w:hAnsi="Arial" w:cs="Arial"/>
        </w:rPr>
        <w:t>)</w:t>
      </w:r>
      <w:r w:rsidR="00676210" w:rsidRPr="6E98053B">
        <w:rPr>
          <w:rFonts w:ascii="Arial" w:hAnsi="Arial" w:cs="Arial"/>
        </w:rPr>
        <w:t xml:space="preserve"> ANDAs </w:t>
      </w:r>
      <w:r w:rsidRPr="78E6B208">
        <w:rPr>
          <w:rFonts w:ascii="Arial" w:hAnsi="Arial" w:cs="Arial"/>
        </w:rPr>
        <w:t>is organized into a hierarchy of modules and sub</w:t>
      </w:r>
      <w:r w:rsidR="5EB74F94" w:rsidRPr="78E6B208">
        <w:rPr>
          <w:rFonts w:ascii="Arial" w:hAnsi="Arial" w:cs="Arial"/>
        </w:rPr>
        <w:t>-</w:t>
      </w:r>
      <w:r w:rsidRPr="78E6B208">
        <w:rPr>
          <w:rFonts w:ascii="Arial" w:hAnsi="Arial" w:cs="Arial"/>
        </w:rPr>
        <w:t>modules</w:t>
      </w:r>
      <w:r w:rsidR="56C0FE66" w:rsidRPr="78E6B208">
        <w:rPr>
          <w:rFonts w:ascii="Arial" w:hAnsi="Arial" w:cs="Arial"/>
        </w:rPr>
        <w:t xml:space="preserve">. </w:t>
      </w:r>
      <w:r w:rsidRPr="78E6B208">
        <w:rPr>
          <w:rFonts w:ascii="Arial" w:hAnsi="Arial" w:cs="Arial"/>
        </w:rPr>
        <w:t>The Unit Operation sub</w:t>
      </w:r>
      <w:r w:rsidR="5EB74F94" w:rsidRPr="78E6B208">
        <w:rPr>
          <w:rFonts w:ascii="Arial" w:hAnsi="Arial" w:cs="Arial"/>
        </w:rPr>
        <w:t>-</w:t>
      </w:r>
      <w:r w:rsidRPr="78E6B208">
        <w:rPr>
          <w:rFonts w:ascii="Arial" w:hAnsi="Arial" w:cs="Arial"/>
        </w:rPr>
        <w:t xml:space="preserve">modules may vary depending on individual processes. The figure provides an illustrative example, showing </w:t>
      </w:r>
      <w:r w:rsidR="1BC8F2BC" w:rsidRPr="78E6B208">
        <w:rPr>
          <w:rFonts w:ascii="Arial" w:hAnsi="Arial" w:cs="Arial"/>
        </w:rPr>
        <w:t xml:space="preserve">a </w:t>
      </w:r>
      <w:r w:rsidR="5C54271F" w:rsidRPr="78E6B208">
        <w:rPr>
          <w:rFonts w:ascii="Arial" w:hAnsi="Arial" w:cs="Arial"/>
        </w:rPr>
        <w:t xml:space="preserve">sample of </w:t>
      </w:r>
      <w:r w:rsidRPr="78E6B208">
        <w:rPr>
          <w:rFonts w:ascii="Arial" w:hAnsi="Arial" w:cs="Arial"/>
        </w:rPr>
        <w:t xml:space="preserve">unit operations </w:t>
      </w:r>
      <w:r w:rsidR="1BC8F2BC" w:rsidRPr="78E6B208">
        <w:rPr>
          <w:rFonts w:ascii="Arial" w:hAnsi="Arial" w:cs="Arial"/>
        </w:rPr>
        <w:t>used in manufacturing</w:t>
      </w:r>
      <w:r w:rsidRPr="78E6B208">
        <w:rPr>
          <w:rFonts w:ascii="Arial" w:hAnsi="Arial" w:cs="Arial"/>
        </w:rPr>
        <w:t xml:space="preserve">, which </w:t>
      </w:r>
      <w:r w:rsidR="4EE6DDB2" w:rsidRPr="78E6B208">
        <w:rPr>
          <w:rFonts w:ascii="Arial" w:hAnsi="Arial" w:cs="Arial"/>
        </w:rPr>
        <w:t xml:space="preserve">could </w:t>
      </w:r>
      <w:r w:rsidRPr="78E6B208">
        <w:rPr>
          <w:rFonts w:ascii="Arial" w:hAnsi="Arial" w:cs="Arial"/>
        </w:rPr>
        <w:t xml:space="preserve">include blending, lubrication, </w:t>
      </w:r>
      <w:r w:rsidR="0A24F31D" w:rsidRPr="78E6B208">
        <w:rPr>
          <w:rFonts w:ascii="Arial" w:hAnsi="Arial" w:cs="Arial"/>
        </w:rPr>
        <w:t>c</w:t>
      </w:r>
      <w:r w:rsidRPr="78E6B208">
        <w:rPr>
          <w:rFonts w:ascii="Arial" w:hAnsi="Arial" w:cs="Arial"/>
        </w:rPr>
        <w:t xml:space="preserve">ompression, </w:t>
      </w:r>
      <w:r w:rsidR="37364798" w:rsidRPr="78E6B208">
        <w:rPr>
          <w:rFonts w:ascii="Arial" w:hAnsi="Arial" w:cs="Arial"/>
        </w:rPr>
        <w:t>c</w:t>
      </w:r>
      <w:r w:rsidRPr="78E6B208">
        <w:rPr>
          <w:rFonts w:ascii="Arial" w:hAnsi="Arial" w:cs="Arial"/>
        </w:rPr>
        <w:t>oating/</w:t>
      </w:r>
      <w:r w:rsidR="01DABFDB" w:rsidRPr="78E6B208">
        <w:rPr>
          <w:rFonts w:ascii="Arial" w:hAnsi="Arial" w:cs="Arial"/>
        </w:rPr>
        <w:t>f</w:t>
      </w:r>
      <w:r w:rsidRPr="78E6B208">
        <w:rPr>
          <w:rFonts w:ascii="Arial" w:hAnsi="Arial" w:cs="Arial"/>
        </w:rPr>
        <w:t xml:space="preserve">unctional </w:t>
      </w:r>
      <w:r w:rsidR="6383B472" w:rsidRPr="78E6B208">
        <w:rPr>
          <w:rFonts w:ascii="Arial" w:hAnsi="Arial" w:cs="Arial"/>
        </w:rPr>
        <w:t>s</w:t>
      </w:r>
      <w:r w:rsidRPr="78E6B208">
        <w:rPr>
          <w:rFonts w:ascii="Arial" w:hAnsi="Arial" w:cs="Arial"/>
        </w:rPr>
        <w:t xml:space="preserve">pray coating, and </w:t>
      </w:r>
      <w:r w:rsidR="42925EAE" w:rsidRPr="78E6B208">
        <w:rPr>
          <w:rFonts w:ascii="Arial" w:hAnsi="Arial" w:cs="Arial"/>
        </w:rPr>
        <w:t>p</w:t>
      </w:r>
      <w:r w:rsidRPr="78E6B208">
        <w:rPr>
          <w:rFonts w:ascii="Arial" w:hAnsi="Arial" w:cs="Arial"/>
        </w:rPr>
        <w:t>ackaging</w:t>
      </w:r>
      <w:r w:rsidR="1EF5C6B1" w:rsidRPr="78E6B208">
        <w:rPr>
          <w:rFonts w:ascii="Arial" w:hAnsi="Arial" w:cs="Arial"/>
        </w:rPr>
        <w:t>.</w:t>
      </w:r>
    </w:p>
    <w:p w14:paraId="0B18E4E1" w14:textId="77777777" w:rsidR="00867177" w:rsidRDefault="00867177" w:rsidP="00867177">
      <w:r>
        <w:rPr>
          <w:noProof/>
          <w:color w:val="2B579A"/>
          <w:shd w:val="clear" w:color="auto" w:fill="E6E6E6"/>
        </w:rPr>
        <w:lastRenderedPageBreak/>
        <w:drawing>
          <wp:inline distT="0" distB="0" distL="0" distR="0" wp14:anchorId="5663C9FF" wp14:editId="4D491387">
            <wp:extent cx="5943600" cy="3669030"/>
            <wp:effectExtent l="0" t="0" r="0" b="7620"/>
            <wp:docPr id="1559897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97868" name=""/>
                    <pic:cNvPicPr/>
                  </pic:nvPicPr>
                  <pic:blipFill>
                    <a:blip r:embed="rId9"/>
                    <a:stretch>
                      <a:fillRect/>
                    </a:stretch>
                  </pic:blipFill>
                  <pic:spPr>
                    <a:xfrm>
                      <a:off x="0" y="0"/>
                      <a:ext cx="5943600" cy="3669030"/>
                    </a:xfrm>
                    <a:prstGeom prst="rect">
                      <a:avLst/>
                    </a:prstGeom>
                  </pic:spPr>
                </pic:pic>
              </a:graphicData>
            </a:graphic>
          </wp:inline>
        </w:drawing>
      </w:r>
    </w:p>
    <w:p w14:paraId="55114103" w14:textId="0BDE8E4B" w:rsidR="00867177" w:rsidRPr="00180351" w:rsidRDefault="00867177" w:rsidP="00867177">
      <w:pPr>
        <w:rPr>
          <w:rFonts w:ascii="Arial" w:hAnsi="Arial" w:cs="Arial"/>
        </w:rPr>
      </w:pPr>
      <w:r w:rsidRPr="6E98053B">
        <w:rPr>
          <w:rFonts w:ascii="Arial" w:hAnsi="Arial" w:cs="Arial"/>
          <w:b/>
          <w:bCs/>
        </w:rPr>
        <w:t>Figure 2</w:t>
      </w:r>
      <w:r w:rsidRPr="6E98053B">
        <w:rPr>
          <w:rFonts w:ascii="Arial" w:hAnsi="Arial" w:cs="Arial"/>
        </w:rPr>
        <w:t xml:space="preserve">. An illustrative example of structured descriptors </w:t>
      </w:r>
      <w:r w:rsidR="00B948CE">
        <w:rPr>
          <w:rFonts w:ascii="Arial" w:hAnsi="Arial" w:cs="Arial"/>
        </w:rPr>
        <w:t>captured</w:t>
      </w:r>
      <w:r w:rsidR="00B948CE" w:rsidRPr="6E98053B">
        <w:rPr>
          <w:rFonts w:ascii="Arial" w:hAnsi="Arial" w:cs="Arial"/>
        </w:rPr>
        <w:t xml:space="preserve"> </w:t>
      </w:r>
      <w:r w:rsidRPr="6E98053B">
        <w:rPr>
          <w:rFonts w:ascii="Arial" w:hAnsi="Arial" w:cs="Arial"/>
        </w:rPr>
        <w:t xml:space="preserve">for commercial manufacturing conditions in a unit operation, such as lubrication. </w:t>
      </w:r>
    </w:p>
    <w:p w14:paraId="11F7EF8D" w14:textId="77777777" w:rsidR="00867177" w:rsidRDefault="00867177" w:rsidP="00867177"/>
    <w:p w14:paraId="6FADB76E" w14:textId="361C6A40" w:rsidR="00BC2C09" w:rsidRDefault="00BC2C09">
      <w:r>
        <w:br w:type="page"/>
      </w:r>
    </w:p>
    <w:p w14:paraId="667BB226" w14:textId="77777777" w:rsidR="00C8396C" w:rsidRDefault="00C8396C" w:rsidP="00867177"/>
    <w:p w14:paraId="3ECEA285" w14:textId="77777777" w:rsidR="00B8397B" w:rsidRDefault="00B8397B" w:rsidP="009E05B8">
      <w:pPr>
        <w:pStyle w:val="NormalWeb"/>
        <w:jc w:val="center"/>
      </w:pPr>
      <w:r>
        <w:rPr>
          <w:noProof/>
        </w:rPr>
        <w:drawing>
          <wp:inline distT="0" distB="0" distL="0" distR="0" wp14:anchorId="183DAD3F" wp14:editId="1DB8BD53">
            <wp:extent cx="4828657" cy="2052000"/>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5167" t="13935" r="13808" b="24834"/>
                    <a:stretch/>
                  </pic:blipFill>
                  <pic:spPr bwMode="auto">
                    <a:xfrm>
                      <a:off x="0" y="0"/>
                      <a:ext cx="4848320" cy="2060356"/>
                    </a:xfrm>
                    <a:prstGeom prst="rect">
                      <a:avLst/>
                    </a:prstGeom>
                    <a:noFill/>
                    <a:ln>
                      <a:noFill/>
                    </a:ln>
                    <a:extLst>
                      <a:ext uri="{53640926-AAD7-44D8-BBD7-CCE9431645EC}">
                        <a14:shadowObscured xmlns:a14="http://schemas.microsoft.com/office/drawing/2010/main"/>
                      </a:ext>
                    </a:extLst>
                  </pic:spPr>
                </pic:pic>
              </a:graphicData>
            </a:graphic>
          </wp:inline>
        </w:drawing>
      </w:r>
    </w:p>
    <w:p w14:paraId="4D4C3C75" w14:textId="37F9E107" w:rsidR="00867177" w:rsidRPr="00180351" w:rsidRDefault="00867177" w:rsidP="00867177">
      <w:pPr>
        <w:rPr>
          <w:rFonts w:ascii="Arial" w:hAnsi="Arial" w:cs="Arial"/>
        </w:rPr>
      </w:pPr>
      <w:r w:rsidRPr="668FFEF4">
        <w:rPr>
          <w:rFonts w:ascii="Arial" w:hAnsi="Arial" w:cs="Arial"/>
          <w:b/>
          <w:bCs/>
        </w:rPr>
        <w:t>Figure 3.</w:t>
      </w:r>
      <w:r w:rsidRPr="668FFEF4">
        <w:rPr>
          <w:rFonts w:ascii="Arial" w:hAnsi="Arial" w:cs="Arial"/>
        </w:rPr>
        <w:t xml:space="preserve"> General strategies for knowledge-aided assessment of a facility. </w:t>
      </w:r>
      <w:r w:rsidRPr="74BC21A6" w:rsidDel="00867177">
        <w:rPr>
          <w:rFonts w:ascii="Arial" w:hAnsi="Arial" w:cs="Arial"/>
        </w:rPr>
        <w:t>Typically, the site conducts a risk assessment for the proposed responsibility, considering previous process experience, quality oversight, defect signals, data integration, and other relevant factors impact</w:t>
      </w:r>
      <w:r w:rsidR="004A1522">
        <w:rPr>
          <w:rFonts w:ascii="Arial" w:hAnsi="Arial" w:cs="Arial"/>
        </w:rPr>
        <w:t>ing</w:t>
      </w:r>
      <w:r w:rsidRPr="74BC21A6" w:rsidDel="00867177">
        <w:rPr>
          <w:rFonts w:ascii="Arial" w:hAnsi="Arial" w:cs="Arial"/>
        </w:rPr>
        <w:t xml:space="preserve"> the pending application.</w:t>
      </w:r>
    </w:p>
    <w:p w14:paraId="419A3C1D" w14:textId="4952803C" w:rsidR="377AABD7" w:rsidRDefault="377AABD7" w:rsidP="377AABD7">
      <w:pPr>
        <w:rPr>
          <w:rFonts w:ascii="Arial" w:eastAsia="Arial" w:hAnsi="Arial" w:cs="Arial"/>
        </w:rPr>
      </w:pPr>
    </w:p>
    <w:p w14:paraId="00B824C2" w14:textId="77777777" w:rsidR="00867177" w:rsidRDefault="00867177" w:rsidP="00867177"/>
    <w:p w14:paraId="3366C832" w14:textId="055698E0" w:rsidR="00BC2C09" w:rsidRDefault="00BC2C09">
      <w:r>
        <w:br w:type="page"/>
      </w:r>
    </w:p>
    <w:p w14:paraId="66337A87" w14:textId="77777777" w:rsidR="00867177" w:rsidRDefault="00867177" w:rsidP="00867177"/>
    <w:p w14:paraId="091AF5F8" w14:textId="77777777" w:rsidR="00867177" w:rsidRDefault="00867177" w:rsidP="00867177">
      <w:r w:rsidRPr="006C0E91">
        <w:rPr>
          <w:rFonts w:ascii="Arial" w:hAnsi="Arial" w:cs="Arial"/>
          <w:noProof/>
          <w:color w:val="2B579A"/>
          <w:sz w:val="24"/>
          <w:szCs w:val="24"/>
          <w:shd w:val="clear" w:color="auto" w:fill="E6E6E6"/>
        </w:rPr>
        <w:drawing>
          <wp:inline distT="0" distB="0" distL="0" distR="0" wp14:anchorId="072FD1B7" wp14:editId="508D0DB4">
            <wp:extent cx="5943600" cy="33553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55340"/>
                    </a:xfrm>
                    <a:prstGeom prst="rect">
                      <a:avLst/>
                    </a:prstGeom>
                  </pic:spPr>
                </pic:pic>
              </a:graphicData>
            </a:graphic>
          </wp:inline>
        </w:drawing>
      </w:r>
    </w:p>
    <w:p w14:paraId="0DCE86B5" w14:textId="06515B53" w:rsidR="00867177" w:rsidRDefault="00867177" w:rsidP="00867177">
      <w:r w:rsidRPr="6E98053B">
        <w:rPr>
          <w:rFonts w:ascii="Arial" w:hAnsi="Arial" w:cs="Arial"/>
          <w:b/>
          <w:bCs/>
        </w:rPr>
        <w:t>Figure 4</w:t>
      </w:r>
      <w:r w:rsidRPr="6E98053B">
        <w:rPr>
          <w:rFonts w:ascii="Arial" w:hAnsi="Arial" w:cs="Arial"/>
        </w:rPr>
        <w:t xml:space="preserve">. </w:t>
      </w:r>
      <w:r w:rsidR="008C5A4E" w:rsidRPr="008C5A4E">
        <w:rPr>
          <w:rFonts w:ascii="Arial" w:hAnsi="Arial" w:cs="Arial"/>
        </w:rPr>
        <w:t xml:space="preserve">Mechanism for </w:t>
      </w:r>
      <w:r w:rsidR="003D5F51">
        <w:rPr>
          <w:rFonts w:ascii="Arial" w:hAnsi="Arial" w:cs="Arial"/>
        </w:rPr>
        <w:t>c</w:t>
      </w:r>
      <w:r w:rsidR="003D5F51" w:rsidRPr="008C5A4E">
        <w:rPr>
          <w:rFonts w:ascii="Arial" w:hAnsi="Arial" w:cs="Arial"/>
        </w:rPr>
        <w:t xml:space="preserve">alculating </w:t>
      </w:r>
      <w:r w:rsidR="008C5A4E" w:rsidRPr="008C5A4E">
        <w:rPr>
          <w:rFonts w:ascii="Arial" w:hAnsi="Arial" w:cs="Arial"/>
        </w:rPr>
        <w:t xml:space="preserve">the </w:t>
      </w:r>
      <w:r w:rsidR="003D5F51">
        <w:rPr>
          <w:rFonts w:ascii="Arial" w:hAnsi="Arial" w:cs="Arial"/>
        </w:rPr>
        <w:t>i</w:t>
      </w:r>
      <w:r w:rsidR="003D5F51" w:rsidRPr="008C5A4E">
        <w:rPr>
          <w:rFonts w:ascii="Arial" w:hAnsi="Arial" w:cs="Arial"/>
        </w:rPr>
        <w:t xml:space="preserve">nitial </w:t>
      </w:r>
      <w:r w:rsidR="003D5F51">
        <w:rPr>
          <w:rFonts w:ascii="Arial" w:hAnsi="Arial" w:cs="Arial"/>
        </w:rPr>
        <w:t>m</w:t>
      </w:r>
      <w:r w:rsidR="003D5F51" w:rsidRPr="008C5A4E">
        <w:rPr>
          <w:rFonts w:ascii="Arial" w:hAnsi="Arial" w:cs="Arial"/>
        </w:rPr>
        <w:t xml:space="preserve">anufacturing </w:t>
      </w:r>
      <w:r w:rsidR="003D5F51">
        <w:rPr>
          <w:rFonts w:ascii="Arial" w:hAnsi="Arial" w:cs="Arial"/>
        </w:rPr>
        <w:t>r</w:t>
      </w:r>
      <w:r w:rsidR="003D5F51" w:rsidRPr="008C5A4E">
        <w:rPr>
          <w:rFonts w:ascii="Arial" w:hAnsi="Arial" w:cs="Arial"/>
        </w:rPr>
        <w:t xml:space="preserve">isk </w:t>
      </w:r>
      <w:r w:rsidR="003D5F51">
        <w:rPr>
          <w:rFonts w:ascii="Arial" w:hAnsi="Arial" w:cs="Arial"/>
        </w:rPr>
        <w:t>s</w:t>
      </w:r>
      <w:r w:rsidR="003D5F51" w:rsidRPr="008C5A4E">
        <w:rPr>
          <w:rFonts w:ascii="Arial" w:hAnsi="Arial" w:cs="Arial"/>
        </w:rPr>
        <w:t xml:space="preserve">core </w:t>
      </w:r>
      <w:r w:rsidR="008C5A4E" w:rsidRPr="008C5A4E">
        <w:rPr>
          <w:rFonts w:ascii="Arial" w:hAnsi="Arial" w:cs="Arial"/>
        </w:rPr>
        <w:t xml:space="preserve">for a </w:t>
      </w:r>
      <w:r w:rsidR="003D5F51">
        <w:rPr>
          <w:rFonts w:ascii="Arial" w:hAnsi="Arial" w:cs="Arial"/>
        </w:rPr>
        <w:t>u</w:t>
      </w:r>
      <w:r w:rsidR="003D5F51" w:rsidRPr="008C5A4E">
        <w:rPr>
          <w:rFonts w:ascii="Arial" w:hAnsi="Arial" w:cs="Arial"/>
        </w:rPr>
        <w:t xml:space="preserve">nit </w:t>
      </w:r>
      <w:r w:rsidR="003D5F51">
        <w:rPr>
          <w:rFonts w:ascii="Arial" w:hAnsi="Arial" w:cs="Arial"/>
        </w:rPr>
        <w:t>o</w:t>
      </w:r>
      <w:r w:rsidR="003D5F51" w:rsidRPr="008C5A4E">
        <w:rPr>
          <w:rFonts w:ascii="Arial" w:hAnsi="Arial" w:cs="Arial"/>
        </w:rPr>
        <w:t>peration</w:t>
      </w:r>
      <w:r w:rsidR="008C5A4E" w:rsidRPr="008C5A4E">
        <w:rPr>
          <w:rFonts w:ascii="Arial" w:hAnsi="Arial" w:cs="Arial"/>
        </w:rPr>
        <w:t xml:space="preserve">: The initial manufacturing risk score for a unit operation is determined by combining the general risk of a given scenario (as described in </w:t>
      </w:r>
      <w:r w:rsidR="00786E81">
        <w:rPr>
          <w:rFonts w:ascii="Arial" w:hAnsi="Arial" w:cs="Arial"/>
        </w:rPr>
        <w:t>s</w:t>
      </w:r>
      <w:r w:rsidR="00786E81" w:rsidRPr="008C5A4E">
        <w:rPr>
          <w:rFonts w:ascii="Arial" w:hAnsi="Arial" w:cs="Arial"/>
        </w:rPr>
        <w:t xml:space="preserve">ection </w:t>
      </w:r>
      <w:r w:rsidR="008C5A4E" w:rsidRPr="008C5A4E">
        <w:rPr>
          <w:rFonts w:ascii="Arial" w:hAnsi="Arial" w:cs="Arial"/>
        </w:rPr>
        <w:t xml:space="preserve">3.3), based on general risk questions, with the </w:t>
      </w:r>
      <w:r w:rsidR="00E00935">
        <w:rPr>
          <w:rFonts w:ascii="Arial" w:hAnsi="Arial" w:cs="Arial"/>
        </w:rPr>
        <w:t xml:space="preserve">manufacturing </w:t>
      </w:r>
      <w:r w:rsidR="00A07B2A">
        <w:rPr>
          <w:rFonts w:ascii="Arial" w:hAnsi="Arial" w:cs="Arial"/>
        </w:rPr>
        <w:t>initial</w:t>
      </w:r>
      <w:r w:rsidR="00A07B2A" w:rsidRPr="008C5A4E">
        <w:rPr>
          <w:rFonts w:ascii="Arial" w:hAnsi="Arial" w:cs="Arial"/>
        </w:rPr>
        <w:t xml:space="preserve"> </w:t>
      </w:r>
      <w:r w:rsidR="008C5A4E" w:rsidRPr="008C5A4E">
        <w:rPr>
          <w:rFonts w:ascii="Arial" w:hAnsi="Arial" w:cs="Arial"/>
        </w:rPr>
        <w:t xml:space="preserve">risk </w:t>
      </w:r>
      <w:r w:rsidR="00E00935" w:rsidRPr="008C5A4E">
        <w:rPr>
          <w:rFonts w:ascii="Arial" w:hAnsi="Arial" w:cs="Arial"/>
        </w:rPr>
        <w:t>score</w:t>
      </w:r>
      <w:r w:rsidR="00D10457">
        <w:rPr>
          <w:rFonts w:ascii="Arial" w:hAnsi="Arial" w:cs="Arial"/>
        </w:rPr>
        <w:t>s</w:t>
      </w:r>
      <w:r w:rsidR="00E00935">
        <w:rPr>
          <w:rFonts w:ascii="Arial" w:hAnsi="Arial" w:cs="Arial"/>
        </w:rPr>
        <w:t xml:space="preserve"> of a unit operation</w:t>
      </w:r>
      <w:r w:rsidR="00E00935" w:rsidRPr="008C5A4E">
        <w:rPr>
          <w:rFonts w:ascii="Arial" w:hAnsi="Arial" w:cs="Arial"/>
        </w:rPr>
        <w:t xml:space="preserve"> </w:t>
      </w:r>
      <w:r w:rsidR="008C5A4E" w:rsidRPr="008C5A4E">
        <w:rPr>
          <w:rFonts w:ascii="Arial" w:hAnsi="Arial" w:cs="Arial"/>
        </w:rPr>
        <w:t>derived from unit operation specification questions.</w:t>
      </w:r>
    </w:p>
    <w:p w14:paraId="47128221" w14:textId="77777777" w:rsidR="00867177" w:rsidRDefault="00867177" w:rsidP="00867177"/>
    <w:p w14:paraId="2C17048E" w14:textId="77777777" w:rsidR="00867177" w:rsidRDefault="00867177" w:rsidP="00867177"/>
    <w:p w14:paraId="0A1689E4" w14:textId="77777777" w:rsidR="00867177" w:rsidRDefault="00867177" w:rsidP="00867177"/>
    <w:p w14:paraId="1DB49C30" w14:textId="77777777" w:rsidR="00867177" w:rsidRDefault="00867177" w:rsidP="00867177"/>
    <w:p w14:paraId="34D8A54B" w14:textId="77777777" w:rsidR="00867177" w:rsidRDefault="00867177" w:rsidP="00867177"/>
    <w:p w14:paraId="764A0F80" w14:textId="77777777" w:rsidR="00867177" w:rsidRDefault="00867177" w:rsidP="00867177"/>
    <w:p w14:paraId="124198DD" w14:textId="77777777" w:rsidR="00867177" w:rsidRDefault="00867177" w:rsidP="00867177"/>
    <w:p w14:paraId="79921765" w14:textId="77777777" w:rsidR="00867177" w:rsidRDefault="00867177" w:rsidP="00867177"/>
    <w:p w14:paraId="749877F9" w14:textId="77777777" w:rsidR="00867177" w:rsidRDefault="00867177" w:rsidP="00867177"/>
    <w:p w14:paraId="183F7615" w14:textId="77777777" w:rsidR="00867177" w:rsidRDefault="00867177" w:rsidP="00867177"/>
    <w:p w14:paraId="55A1C963" w14:textId="77777777" w:rsidR="00867177" w:rsidRDefault="00867177" w:rsidP="00867177"/>
    <w:p w14:paraId="65B4A8DC" w14:textId="256F4862" w:rsidR="00867177" w:rsidRDefault="005D1713" w:rsidP="00867177">
      <w:r w:rsidRPr="005D1713">
        <w:rPr>
          <w:noProof/>
        </w:rPr>
        <w:lastRenderedPageBreak/>
        <w:t xml:space="preserve"> </w:t>
      </w:r>
      <w:r w:rsidR="000931B6" w:rsidRPr="000931B6">
        <w:t xml:space="preserve"> </w:t>
      </w:r>
      <w:r w:rsidR="00531E20" w:rsidRPr="00531E20">
        <w:rPr>
          <w:noProof/>
        </w:rPr>
        <w:t xml:space="preserve"> </w:t>
      </w:r>
      <w:r w:rsidR="000F6375">
        <w:rPr>
          <w:noProof/>
        </w:rPr>
        <w:drawing>
          <wp:inline distT="0" distB="0" distL="0" distR="0" wp14:anchorId="00A45D71" wp14:editId="3161D1F4">
            <wp:extent cx="5943600" cy="1993557"/>
            <wp:effectExtent l="0" t="0" r="0" b="6985"/>
            <wp:docPr id="1955218663" name="Picture 4"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18663" name="Picture 4" descr="Table&#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b="40405"/>
                    <a:stretch/>
                  </pic:blipFill>
                  <pic:spPr bwMode="auto">
                    <a:xfrm>
                      <a:off x="0" y="0"/>
                      <a:ext cx="5943600" cy="1993557"/>
                    </a:xfrm>
                    <a:prstGeom prst="rect">
                      <a:avLst/>
                    </a:prstGeom>
                    <a:noFill/>
                    <a:ln>
                      <a:noFill/>
                    </a:ln>
                    <a:extLst>
                      <a:ext uri="{53640926-AAD7-44D8-BBD7-CCE9431645EC}">
                        <a14:shadowObscured xmlns:a14="http://schemas.microsoft.com/office/drawing/2010/main"/>
                      </a:ext>
                    </a:extLst>
                  </pic:spPr>
                </pic:pic>
              </a:graphicData>
            </a:graphic>
          </wp:inline>
        </w:drawing>
      </w:r>
    </w:p>
    <w:p w14:paraId="5EBEDB68" w14:textId="5BEEF4F0" w:rsidR="00867177" w:rsidRDefault="00727EEF" w:rsidP="00867177">
      <w:r w:rsidRPr="00441558">
        <w:rPr>
          <w:noProof/>
          <w:color w:val="2B579A"/>
          <w:shd w:val="clear" w:color="auto" w:fill="E6E6E6"/>
        </w:rPr>
        <mc:AlternateContent>
          <mc:Choice Requires="wps">
            <w:drawing>
              <wp:anchor distT="0" distB="0" distL="114300" distR="114300" simplePos="0" relativeHeight="251658752" behindDoc="0" locked="0" layoutInCell="1" allowOverlap="1" wp14:anchorId="65F80669" wp14:editId="79376FC7">
                <wp:simplePos x="0" y="0"/>
                <wp:positionH relativeFrom="margin">
                  <wp:align>center</wp:align>
                </wp:positionH>
                <wp:positionV relativeFrom="paragraph">
                  <wp:posOffset>123190</wp:posOffset>
                </wp:positionV>
                <wp:extent cx="5497417" cy="568410"/>
                <wp:effectExtent l="0" t="0" r="0" b="0"/>
                <wp:wrapNone/>
                <wp:docPr id="6" name="TextBox 5">
                  <a:extLst xmlns:a="http://schemas.openxmlformats.org/drawingml/2006/main">
                    <a:ext uri="{FF2B5EF4-FFF2-40B4-BE49-F238E27FC236}">
                      <a16:creationId xmlns:a16="http://schemas.microsoft.com/office/drawing/2014/main" id="{EA54CD4C-5021-0EAC-C070-20AD48D77AA1}"/>
                    </a:ext>
                  </a:extLst>
                </wp:docPr>
                <wp:cNvGraphicFramePr/>
                <a:graphic xmlns:a="http://schemas.openxmlformats.org/drawingml/2006/main">
                  <a:graphicData uri="http://schemas.microsoft.com/office/word/2010/wordprocessingShape">
                    <wps:wsp>
                      <wps:cNvSpPr txBox="1"/>
                      <wps:spPr>
                        <a:xfrm>
                          <a:off x="0" y="0"/>
                          <a:ext cx="5497417" cy="568410"/>
                        </a:xfrm>
                        <a:prstGeom prst="rect">
                          <a:avLst/>
                        </a:prstGeom>
                        <a:noFill/>
                      </wps:spPr>
                      <wps:txbx>
                        <w:txbxContent>
                          <w:p w14:paraId="7EF2117D" w14:textId="6DA5FFCC" w:rsidR="00867177" w:rsidRPr="00441558" w:rsidRDefault="00867177" w:rsidP="00867177">
                            <w:pPr>
                              <w:rPr>
                                <w:rFonts w:hAnsi="Calibri"/>
                                <w:b/>
                                <w:bCs/>
                                <w:color w:val="000000" w:themeColor="text1"/>
                                <w:kern w:val="24"/>
                                <w:sz w:val="24"/>
                                <w:szCs w:val="24"/>
                              </w:rPr>
                            </w:pPr>
                            <w:r w:rsidRPr="00441558">
                              <w:rPr>
                                <w:rFonts w:hAnsi="Calibri"/>
                                <w:b/>
                                <w:bCs/>
                                <w:color w:val="000000" w:themeColor="text1"/>
                                <w:kern w:val="24"/>
                                <w:sz w:val="24"/>
                                <w:szCs w:val="24"/>
                              </w:rPr>
                              <w:t>Risk Priority Number</w:t>
                            </w:r>
                            <w:r w:rsidR="00646C73" w:rsidRPr="00646C73">
                              <w:rPr>
                                <w:rFonts w:hAnsi="Calibri"/>
                                <w:b/>
                                <w:bCs/>
                                <w:color w:val="000000" w:themeColor="text1"/>
                                <w:kern w:val="24"/>
                                <w:sz w:val="24"/>
                                <w:szCs w:val="24"/>
                              </w:rPr>
                              <w:t xml:space="preserve"> </w:t>
                            </w:r>
                            <w:r w:rsidR="00646C73">
                              <w:rPr>
                                <w:rFonts w:hAnsi="Calibri"/>
                                <w:b/>
                                <w:bCs/>
                                <w:color w:val="000000" w:themeColor="text1"/>
                                <w:kern w:val="24"/>
                                <w:sz w:val="24"/>
                                <w:szCs w:val="24"/>
                              </w:rPr>
                              <w:t>(</w:t>
                            </w:r>
                            <w:r w:rsidR="00646C73" w:rsidRPr="00441558">
                              <w:rPr>
                                <w:rFonts w:hAnsi="Calibri"/>
                                <w:b/>
                                <w:bCs/>
                                <w:color w:val="000000" w:themeColor="text1"/>
                                <w:kern w:val="24"/>
                                <w:sz w:val="24"/>
                                <w:szCs w:val="24"/>
                              </w:rPr>
                              <w:t>RPN</w:t>
                            </w:r>
                            <w:r w:rsidRPr="00441558">
                              <w:rPr>
                                <w:rFonts w:hAnsi="Calibri"/>
                                <w:b/>
                                <w:bCs/>
                                <w:color w:val="000000" w:themeColor="text1"/>
                                <w:kern w:val="24"/>
                                <w:sz w:val="24"/>
                                <w:szCs w:val="24"/>
                              </w:rPr>
                              <w:t xml:space="preserve">) = Severity score X Occurrence </w:t>
                            </w:r>
                            <w:r w:rsidR="005D1713">
                              <w:rPr>
                                <w:rFonts w:hAnsi="Calibri"/>
                                <w:b/>
                                <w:bCs/>
                                <w:color w:val="000000" w:themeColor="text1"/>
                                <w:kern w:val="24"/>
                                <w:sz w:val="24"/>
                                <w:szCs w:val="24"/>
                              </w:rPr>
                              <w:t>s</w:t>
                            </w:r>
                            <w:r w:rsidR="005D1713" w:rsidRPr="00441558">
                              <w:rPr>
                                <w:rFonts w:hAnsi="Calibri"/>
                                <w:b/>
                                <w:bCs/>
                                <w:color w:val="000000" w:themeColor="text1"/>
                                <w:kern w:val="24"/>
                                <w:sz w:val="24"/>
                                <w:szCs w:val="24"/>
                              </w:rPr>
                              <w:t xml:space="preserve">core </w:t>
                            </w:r>
                            <w:r w:rsidRPr="00441558">
                              <w:rPr>
                                <w:rFonts w:hAnsi="Calibri"/>
                                <w:b/>
                                <w:bCs/>
                                <w:color w:val="000000" w:themeColor="text1"/>
                                <w:kern w:val="24"/>
                                <w:sz w:val="24"/>
                                <w:szCs w:val="24"/>
                              </w:rPr>
                              <w:t xml:space="preserve">X Detectability </w:t>
                            </w:r>
                            <w:r w:rsidR="005D1713">
                              <w:rPr>
                                <w:rFonts w:hAnsi="Calibri"/>
                                <w:b/>
                                <w:bCs/>
                                <w:color w:val="000000" w:themeColor="text1"/>
                                <w:kern w:val="24"/>
                                <w:sz w:val="24"/>
                                <w:szCs w:val="24"/>
                              </w:rPr>
                              <w:t>s</w:t>
                            </w:r>
                            <w:r w:rsidRPr="00441558">
                              <w:rPr>
                                <w:rFonts w:hAnsi="Calibri"/>
                                <w:b/>
                                <w:bCs/>
                                <w:color w:val="000000" w:themeColor="text1"/>
                                <w:kern w:val="24"/>
                                <w:sz w:val="24"/>
                                <w:szCs w:val="24"/>
                              </w:rPr>
                              <w:t>core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5F80669" id="_x0000_t202" coordsize="21600,21600" o:spt="202" path="m,l,21600r21600,l21600,xe">
                <v:stroke joinstyle="miter"/>
                <v:path gradientshapeok="t" o:connecttype="rect"/>
              </v:shapetype>
              <v:shape id="TextBox 5" o:spid="_x0000_s1026" type="#_x0000_t202" style="position:absolute;margin-left:0;margin-top:9.7pt;width:432.85pt;height:44.7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" filled="f" stroked="f">
                <v:textbox>
                  <w:txbxContent>
                    <w:p w14:paraId="7EF2117D" w14:textId="6DA5FFCC" w:rsidR="00867177" w:rsidRPr="00441558" w:rsidRDefault="00867177" w:rsidP="00867177">
                      <w:pPr>
                        <w:rPr>
                          <w:rFonts w:hAnsi="Calibri"/>
                          <w:b/>
                          <w:bCs/>
                          <w:color w:val="000000" w:themeColor="text1"/>
                          <w:kern w:val="24"/>
                          <w:sz w:val="24"/>
                          <w:szCs w:val="24"/>
                        </w:rPr>
                      </w:pPr>
                      <w:r w:rsidRPr="00441558">
                        <w:rPr>
                          <w:rFonts w:hAnsi="Calibri"/>
                          <w:b/>
                          <w:bCs/>
                          <w:color w:val="000000" w:themeColor="text1"/>
                          <w:kern w:val="24"/>
                          <w:sz w:val="24"/>
                          <w:szCs w:val="24"/>
                        </w:rPr>
                        <w:t>Risk Priority Number</w:t>
                      </w:r>
                      <w:r w:rsidR="00646C73" w:rsidRPr="00646C73">
                        <w:rPr>
                          <w:rFonts w:hAnsi="Calibri"/>
                          <w:b/>
                          <w:bCs/>
                          <w:color w:val="000000" w:themeColor="text1"/>
                          <w:kern w:val="24"/>
                          <w:sz w:val="24"/>
                          <w:szCs w:val="24"/>
                        </w:rPr>
                        <w:t xml:space="preserve"> </w:t>
                      </w:r>
                      <w:r w:rsidR="00646C73">
                        <w:rPr>
                          <w:rFonts w:hAnsi="Calibri"/>
                          <w:b/>
                          <w:bCs/>
                          <w:color w:val="000000" w:themeColor="text1"/>
                          <w:kern w:val="24"/>
                          <w:sz w:val="24"/>
                          <w:szCs w:val="24"/>
                        </w:rPr>
                        <w:t>(</w:t>
                      </w:r>
                      <w:r w:rsidR="00646C73" w:rsidRPr="00441558">
                        <w:rPr>
                          <w:rFonts w:hAnsi="Calibri"/>
                          <w:b/>
                          <w:bCs/>
                          <w:color w:val="000000" w:themeColor="text1"/>
                          <w:kern w:val="24"/>
                          <w:sz w:val="24"/>
                          <w:szCs w:val="24"/>
                        </w:rPr>
                        <w:t>RPN</w:t>
                      </w:r>
                      <w:r w:rsidRPr="00441558">
                        <w:rPr>
                          <w:rFonts w:hAnsi="Calibri"/>
                          <w:b/>
                          <w:bCs/>
                          <w:color w:val="000000" w:themeColor="text1"/>
                          <w:kern w:val="24"/>
                          <w:sz w:val="24"/>
                          <w:szCs w:val="24"/>
                        </w:rPr>
                        <w:t xml:space="preserve">) = Severity score X Occurrence </w:t>
                      </w:r>
                      <w:r w:rsidR="005D1713">
                        <w:rPr>
                          <w:rFonts w:hAnsi="Calibri"/>
                          <w:b/>
                          <w:bCs/>
                          <w:color w:val="000000" w:themeColor="text1"/>
                          <w:kern w:val="24"/>
                          <w:sz w:val="24"/>
                          <w:szCs w:val="24"/>
                        </w:rPr>
                        <w:t>s</w:t>
                      </w:r>
                      <w:r w:rsidR="005D1713" w:rsidRPr="00441558">
                        <w:rPr>
                          <w:rFonts w:hAnsi="Calibri"/>
                          <w:b/>
                          <w:bCs/>
                          <w:color w:val="000000" w:themeColor="text1"/>
                          <w:kern w:val="24"/>
                          <w:sz w:val="24"/>
                          <w:szCs w:val="24"/>
                        </w:rPr>
                        <w:t xml:space="preserve">core </w:t>
                      </w:r>
                      <w:r w:rsidRPr="00441558">
                        <w:rPr>
                          <w:rFonts w:hAnsi="Calibri"/>
                          <w:b/>
                          <w:bCs/>
                          <w:color w:val="000000" w:themeColor="text1"/>
                          <w:kern w:val="24"/>
                          <w:sz w:val="24"/>
                          <w:szCs w:val="24"/>
                        </w:rPr>
                        <w:t xml:space="preserve">X Detectability </w:t>
                      </w:r>
                      <w:r w:rsidR="005D1713">
                        <w:rPr>
                          <w:rFonts w:hAnsi="Calibri"/>
                          <w:b/>
                          <w:bCs/>
                          <w:color w:val="000000" w:themeColor="text1"/>
                          <w:kern w:val="24"/>
                          <w:sz w:val="24"/>
                          <w:szCs w:val="24"/>
                        </w:rPr>
                        <w:t>s</w:t>
                      </w:r>
                      <w:r w:rsidRPr="00441558">
                        <w:rPr>
                          <w:rFonts w:hAnsi="Calibri"/>
                          <w:b/>
                          <w:bCs/>
                          <w:color w:val="000000" w:themeColor="text1"/>
                          <w:kern w:val="24"/>
                          <w:sz w:val="24"/>
                          <w:szCs w:val="24"/>
                        </w:rPr>
                        <w:t>core</w:t>
                      </w:r>
                    </w:p>
                  </w:txbxContent>
                </v:textbox>
                <w10:wrap anchorx="margin"/>
              </v:shape>
            </w:pict>
          </mc:Fallback>
        </mc:AlternateContent>
      </w:r>
    </w:p>
    <w:p w14:paraId="5AF41CAA" w14:textId="4E505B6F" w:rsidR="00867177" w:rsidRDefault="00867177" w:rsidP="00867177"/>
    <w:p w14:paraId="324FB8DF" w14:textId="6ED290D7" w:rsidR="00867177" w:rsidRDefault="00867177" w:rsidP="00867177">
      <w:r w:rsidRPr="00441558">
        <w:rPr>
          <w:noProof/>
          <w:color w:val="2B579A"/>
          <w:shd w:val="clear" w:color="auto" w:fill="E6E6E6"/>
        </w:rPr>
        <w:drawing>
          <wp:anchor distT="0" distB="0" distL="114300" distR="114300" simplePos="0" relativeHeight="251658242" behindDoc="0" locked="0" layoutInCell="1" allowOverlap="1" wp14:anchorId="5CFF3CA0" wp14:editId="5473F8BA">
            <wp:simplePos x="0" y="0"/>
            <wp:positionH relativeFrom="margin">
              <wp:posOffset>500881</wp:posOffset>
            </wp:positionH>
            <wp:positionV relativeFrom="paragraph">
              <wp:posOffset>201339</wp:posOffset>
            </wp:positionV>
            <wp:extent cx="4485995" cy="1804670"/>
            <wp:effectExtent l="0" t="0" r="0" b="5080"/>
            <wp:wrapNone/>
            <wp:docPr id="8" name="Picture 7">
              <a:extLst xmlns:a="http://schemas.openxmlformats.org/drawingml/2006/main">
                <a:ext uri="{FF2B5EF4-FFF2-40B4-BE49-F238E27FC236}">
                  <a16:creationId xmlns:a16="http://schemas.microsoft.com/office/drawing/2014/main" id="{991D8AC3-A7C5-97A7-D4F2-4078EFCE0D7C}"/>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91D8AC3-A7C5-97A7-D4F2-4078EFCE0D7C}"/>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88271" cy="1805586"/>
                    </a:xfrm>
                    <a:prstGeom prst="rect">
                      <a:avLst/>
                    </a:prstGeom>
                    <a:noFill/>
                  </pic:spPr>
                </pic:pic>
              </a:graphicData>
            </a:graphic>
            <wp14:sizeRelH relativeFrom="margin">
              <wp14:pctWidth>0</wp14:pctWidth>
            </wp14:sizeRelH>
            <wp14:sizeRelV relativeFrom="margin">
              <wp14:pctHeight>0</wp14:pctHeight>
            </wp14:sizeRelV>
          </wp:anchor>
        </w:drawing>
      </w:r>
    </w:p>
    <w:p w14:paraId="37740E04" w14:textId="77777777" w:rsidR="00867177" w:rsidRDefault="00867177" w:rsidP="00867177"/>
    <w:p w14:paraId="7A4A8278" w14:textId="77777777" w:rsidR="00867177" w:rsidRDefault="00867177" w:rsidP="00867177"/>
    <w:p w14:paraId="177C3FB0" w14:textId="77777777" w:rsidR="00867177" w:rsidRDefault="00867177" w:rsidP="00867177"/>
    <w:p w14:paraId="14A413CA" w14:textId="77777777" w:rsidR="00867177" w:rsidRDefault="00867177" w:rsidP="00867177"/>
    <w:p w14:paraId="7597DF7B" w14:textId="77777777" w:rsidR="00867177" w:rsidRDefault="00867177" w:rsidP="00867177"/>
    <w:p w14:paraId="5E656D3D" w14:textId="77777777" w:rsidR="00867177" w:rsidRDefault="00867177" w:rsidP="00867177"/>
    <w:p w14:paraId="39F83EF5" w14:textId="77777777" w:rsidR="00307109" w:rsidRDefault="00307109" w:rsidP="00867177"/>
    <w:p w14:paraId="741CAB3A" w14:textId="699E3F2F" w:rsidR="00867177" w:rsidRDefault="00867177" w:rsidP="32F416A0">
      <w:pPr>
        <w:rPr>
          <w:rFonts w:ascii="Arial" w:eastAsia="Arial" w:hAnsi="Arial" w:cs="Arial"/>
        </w:rPr>
      </w:pPr>
      <w:r w:rsidRPr="427CD082">
        <w:rPr>
          <w:rFonts w:ascii="Arial" w:hAnsi="Arial" w:cs="Arial"/>
          <w:b/>
          <w:bCs/>
        </w:rPr>
        <w:t>Figure 5.</w:t>
      </w:r>
      <w:r w:rsidR="00D5472F">
        <w:rPr>
          <w:rFonts w:ascii="Arial" w:hAnsi="Arial" w:cs="Arial"/>
        </w:rPr>
        <w:t xml:space="preserve"> </w:t>
      </w:r>
      <w:r w:rsidR="4CC90874" w:rsidRPr="427CD082">
        <w:rPr>
          <w:rFonts w:ascii="Arial" w:eastAsia="Arial" w:hAnsi="Arial" w:cs="Arial"/>
        </w:rPr>
        <w:t xml:space="preserve">FMEA risk score calculation for a Critical Quality Attribute (CQA) in functional spray coating. </w:t>
      </w:r>
      <w:r w:rsidR="00FB2A1C" w:rsidRPr="00FB2A1C">
        <w:rPr>
          <w:rFonts w:ascii="Arial" w:eastAsia="Arial" w:hAnsi="Arial" w:cs="Arial"/>
        </w:rPr>
        <w:t>Factors such as facility characteristics, scale-up considerations, API attributes, and specific unit operations influence the severity and occurrence scores, which in turn affect the initial risk scores for each individual CQA in the coating operation. The overall initial manufacturing risk score for a unit operation is then determined by the weighted scores of all individual CQA risks</w:t>
      </w:r>
      <w:r w:rsidR="00FB2A1C">
        <w:rPr>
          <w:rFonts w:ascii="Arial" w:eastAsia="Arial" w:hAnsi="Arial" w:cs="Arial"/>
        </w:rPr>
        <w:t>.</w:t>
      </w:r>
    </w:p>
    <w:p w14:paraId="4A70CDF3" w14:textId="77777777" w:rsidR="00241841" w:rsidRDefault="00241841" w:rsidP="32F416A0">
      <w:pPr>
        <w:rPr>
          <w:rFonts w:ascii="Arial" w:eastAsia="Arial" w:hAnsi="Arial" w:cs="Arial"/>
        </w:rPr>
      </w:pPr>
    </w:p>
    <w:p w14:paraId="75A89A81" w14:textId="77777777" w:rsidR="00241841" w:rsidRDefault="00241841" w:rsidP="32F416A0">
      <w:pPr>
        <w:rPr>
          <w:rFonts w:ascii="Arial" w:eastAsia="Arial" w:hAnsi="Arial" w:cs="Arial"/>
        </w:rPr>
      </w:pPr>
    </w:p>
    <w:p w14:paraId="589250BE" w14:textId="5286B48C" w:rsidR="00867177" w:rsidRPr="00306F5F" w:rsidRDefault="00306F5F" w:rsidP="00867177">
      <w:pPr>
        <w:rPr>
          <w:color w:val="000000"/>
          <w:shd w:val="clear" w:color="auto" w:fill="FFFFFF"/>
        </w:rPr>
      </w:pPr>
      <w:r w:rsidRPr="00306F5F">
        <w:rPr>
          <w:noProof/>
          <w:color w:val="000000"/>
          <w:shd w:val="clear" w:color="auto" w:fill="FFFFFF"/>
        </w:rPr>
        <w:lastRenderedPageBreak/>
        <w:drawing>
          <wp:inline distT="0" distB="0" distL="0" distR="0" wp14:anchorId="149C43EC" wp14:editId="09B012E5">
            <wp:extent cx="5943600" cy="3345180"/>
            <wp:effectExtent l="0" t="0" r="0" b="7620"/>
            <wp:docPr id="842780913" name="Picture 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80913" name="Picture 3" descr="Diagram&#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r w:rsidR="00F715DA">
        <w:rPr>
          <w:color w:val="000000"/>
          <w:shd w:val="clear" w:color="auto" w:fill="FFFFFF"/>
        </w:rPr>
        <w:br/>
      </w:r>
      <w:r w:rsidR="00867177" w:rsidRPr="6E98053B">
        <w:rPr>
          <w:rFonts w:ascii="Arial" w:hAnsi="Arial" w:cs="Arial"/>
          <w:b/>
          <w:bCs/>
        </w:rPr>
        <w:t>Figure 6</w:t>
      </w:r>
      <w:r w:rsidR="00D5472F">
        <w:rPr>
          <w:rFonts w:ascii="Arial" w:hAnsi="Arial" w:cs="Arial"/>
          <w:b/>
          <w:bCs/>
        </w:rPr>
        <w:t>.</w:t>
      </w:r>
      <w:r w:rsidR="00867177" w:rsidRPr="6E98053B">
        <w:rPr>
          <w:rFonts w:ascii="Arial" w:hAnsi="Arial" w:cs="Arial"/>
        </w:rPr>
        <w:t xml:space="preserve"> </w:t>
      </w:r>
      <w:r w:rsidR="0038356E">
        <w:rPr>
          <w:rFonts w:ascii="Arial" w:hAnsi="Arial" w:cs="Arial"/>
        </w:rPr>
        <w:t>Constructed c</w:t>
      </w:r>
      <w:r w:rsidR="0038356E" w:rsidRPr="6E98053B">
        <w:rPr>
          <w:rFonts w:ascii="Arial" w:hAnsi="Arial" w:cs="Arial"/>
        </w:rPr>
        <w:t xml:space="preserve">ase </w:t>
      </w:r>
      <w:r w:rsidR="00867177" w:rsidRPr="6E98053B">
        <w:rPr>
          <w:rFonts w:ascii="Arial" w:hAnsi="Arial" w:cs="Arial"/>
        </w:rPr>
        <w:t>stud</w:t>
      </w:r>
      <w:r w:rsidR="0038356E">
        <w:rPr>
          <w:rFonts w:ascii="Arial" w:hAnsi="Arial" w:cs="Arial"/>
        </w:rPr>
        <w:t>ies</w:t>
      </w:r>
      <w:r w:rsidR="00D75C2C">
        <w:rPr>
          <w:rFonts w:ascii="Arial" w:hAnsi="Arial" w:cs="Arial"/>
        </w:rPr>
        <w:t xml:space="preserve"> </w:t>
      </w:r>
      <w:r w:rsidR="00867177" w:rsidRPr="6E98053B">
        <w:rPr>
          <w:rFonts w:ascii="Arial" w:hAnsi="Arial" w:cs="Arial"/>
        </w:rPr>
        <w:t xml:space="preserve">of </w:t>
      </w:r>
      <w:r w:rsidR="005C11F8" w:rsidRPr="6E98053B">
        <w:rPr>
          <w:rFonts w:ascii="Arial" w:hAnsi="Arial" w:cs="Arial"/>
        </w:rPr>
        <w:t>manufact</w:t>
      </w:r>
      <w:r w:rsidR="00121A98" w:rsidRPr="6E98053B">
        <w:rPr>
          <w:rFonts w:ascii="Arial" w:hAnsi="Arial" w:cs="Arial"/>
        </w:rPr>
        <w:t>uring risk control</w:t>
      </w:r>
      <w:r w:rsidR="11AF2A04" w:rsidRPr="6E98053B">
        <w:rPr>
          <w:rFonts w:ascii="Arial" w:hAnsi="Arial" w:cs="Arial"/>
        </w:rPr>
        <w:t xml:space="preserve"> </w:t>
      </w:r>
      <w:r w:rsidR="008036BB" w:rsidRPr="6E98053B">
        <w:rPr>
          <w:rFonts w:ascii="Arial" w:hAnsi="Arial" w:cs="Arial"/>
        </w:rPr>
        <w:t xml:space="preserve">for </w:t>
      </w:r>
      <w:r w:rsidR="00867177" w:rsidRPr="6E98053B">
        <w:rPr>
          <w:rFonts w:ascii="Arial" w:hAnsi="Arial" w:cs="Arial"/>
        </w:rPr>
        <w:t>unit operations, such as compression</w:t>
      </w:r>
      <w:r w:rsidR="0039526E">
        <w:rPr>
          <w:rFonts w:ascii="Arial" w:hAnsi="Arial" w:cs="Arial"/>
        </w:rPr>
        <w:t xml:space="preserve"> and blending</w:t>
      </w:r>
      <w:r w:rsidR="00867177" w:rsidRPr="6E98053B">
        <w:rPr>
          <w:rFonts w:ascii="Arial" w:hAnsi="Arial" w:cs="Arial"/>
        </w:rPr>
        <w:t xml:space="preserve"> in various applications, showing how risk factors influence </w:t>
      </w:r>
      <w:r w:rsidR="0039526E">
        <w:rPr>
          <w:rFonts w:ascii="Arial" w:hAnsi="Arial" w:cs="Arial"/>
        </w:rPr>
        <w:t xml:space="preserve">blend uniformity and </w:t>
      </w:r>
      <w:r w:rsidR="00867177" w:rsidRPr="6E98053B">
        <w:rPr>
          <w:rFonts w:ascii="Arial" w:hAnsi="Arial" w:cs="Arial"/>
        </w:rPr>
        <w:t xml:space="preserve">content uniformity risk scores. Different control strategies </w:t>
      </w:r>
      <w:r w:rsidR="00B964EA">
        <w:rPr>
          <w:rFonts w:ascii="Arial" w:hAnsi="Arial" w:cs="Arial"/>
        </w:rPr>
        <w:t>were</w:t>
      </w:r>
      <w:r w:rsidR="00B964EA" w:rsidRPr="6E98053B">
        <w:rPr>
          <w:rFonts w:ascii="Arial" w:hAnsi="Arial" w:cs="Arial"/>
        </w:rPr>
        <w:t xml:space="preserve"> </w:t>
      </w:r>
      <w:r w:rsidR="00867177" w:rsidRPr="6E98053B">
        <w:rPr>
          <w:rFonts w:ascii="Arial" w:hAnsi="Arial" w:cs="Arial"/>
        </w:rPr>
        <w:t>applied, leading to updates in the final risk assessment.</w:t>
      </w:r>
    </w:p>
    <w:p w14:paraId="003070F4" w14:textId="77777777" w:rsidR="00867177" w:rsidRDefault="00867177" w:rsidP="00867177"/>
    <w:p w14:paraId="3C5E64C3" w14:textId="77777777" w:rsidR="00C77847" w:rsidRDefault="00C77847" w:rsidP="00867177"/>
    <w:p w14:paraId="6E561079" w14:textId="77777777" w:rsidR="00B8397B" w:rsidRDefault="00B8397B" w:rsidP="00867177"/>
    <w:p w14:paraId="2DC2D83C" w14:textId="77777777" w:rsidR="00B8397B" w:rsidRDefault="00B8397B" w:rsidP="00867177"/>
    <w:p w14:paraId="1D6C892B" w14:textId="77777777" w:rsidR="00B8397B" w:rsidRDefault="00B8397B" w:rsidP="00867177"/>
    <w:p w14:paraId="3CBCBD49" w14:textId="77777777" w:rsidR="00B8397B" w:rsidRDefault="00B8397B" w:rsidP="00867177"/>
    <w:p w14:paraId="065A57C0" w14:textId="77777777" w:rsidR="00B8397B" w:rsidRDefault="00B8397B" w:rsidP="00867177"/>
    <w:p w14:paraId="706711CC" w14:textId="77777777" w:rsidR="00B8397B" w:rsidRDefault="00B8397B" w:rsidP="00867177"/>
    <w:p w14:paraId="79572EB4" w14:textId="77777777" w:rsidR="00B8397B" w:rsidRDefault="00B8397B" w:rsidP="00867177"/>
    <w:p w14:paraId="59AF6711" w14:textId="77777777" w:rsidR="00B8397B" w:rsidRDefault="00B8397B" w:rsidP="00867177"/>
    <w:p w14:paraId="0029C2FA" w14:textId="77777777" w:rsidR="00B8397B" w:rsidRDefault="00B8397B" w:rsidP="00867177"/>
    <w:p w14:paraId="3B8A6C9E" w14:textId="77777777" w:rsidR="00B8397B" w:rsidRDefault="00B8397B" w:rsidP="00867177"/>
    <w:p w14:paraId="6A7939B1" w14:textId="77777777" w:rsidR="00B8397B" w:rsidRDefault="00B8397B" w:rsidP="00867177"/>
    <w:p w14:paraId="20B57C7F" w14:textId="77777777" w:rsidR="00867177" w:rsidRDefault="00867177" w:rsidP="00867177"/>
    <w:p w14:paraId="6D75C656" w14:textId="04E6955B" w:rsidR="00867177" w:rsidRPr="00FF4977" w:rsidRDefault="00867177" w:rsidP="00867177">
      <w:pPr>
        <w:rPr>
          <w:rFonts w:ascii="Arial" w:hAnsi="Arial" w:cs="Arial"/>
        </w:rPr>
      </w:pPr>
      <w:r w:rsidRPr="6E98053B">
        <w:rPr>
          <w:rFonts w:ascii="Arial" w:hAnsi="Arial" w:cs="Arial"/>
          <w:b/>
          <w:bCs/>
        </w:rPr>
        <w:lastRenderedPageBreak/>
        <w:t>Table 1</w:t>
      </w:r>
      <w:r w:rsidR="003D1708" w:rsidRPr="6E98053B">
        <w:rPr>
          <w:rFonts w:ascii="Arial" w:hAnsi="Arial" w:cs="Arial"/>
          <w:b/>
          <w:bCs/>
        </w:rPr>
        <w:t>.</w:t>
      </w:r>
      <w:r w:rsidRPr="6E98053B">
        <w:rPr>
          <w:rFonts w:ascii="Arial" w:hAnsi="Arial" w:cs="Arial"/>
        </w:rPr>
        <w:t xml:space="preserve"> </w:t>
      </w:r>
      <w:r w:rsidR="00297BCD" w:rsidRPr="6E98053B">
        <w:rPr>
          <w:rFonts w:ascii="Arial" w:hAnsi="Arial" w:cs="Arial"/>
        </w:rPr>
        <w:t>Contr</w:t>
      </w:r>
      <w:r w:rsidR="00006809" w:rsidRPr="6E98053B">
        <w:rPr>
          <w:rFonts w:ascii="Arial" w:hAnsi="Arial" w:cs="Arial"/>
        </w:rPr>
        <w:t xml:space="preserve">olled </w:t>
      </w:r>
      <w:r w:rsidR="003D1708" w:rsidRPr="6E98053B">
        <w:rPr>
          <w:rFonts w:ascii="Arial" w:hAnsi="Arial" w:cs="Arial"/>
        </w:rPr>
        <w:t>v</w:t>
      </w:r>
      <w:r w:rsidR="0087296E" w:rsidRPr="6E98053B">
        <w:rPr>
          <w:rFonts w:ascii="Arial" w:hAnsi="Arial" w:cs="Arial"/>
        </w:rPr>
        <w:t xml:space="preserve">ocabularies </w:t>
      </w:r>
      <w:r w:rsidR="0077759D" w:rsidRPr="6E98053B">
        <w:rPr>
          <w:rFonts w:ascii="Arial" w:hAnsi="Arial" w:cs="Arial"/>
        </w:rPr>
        <w:t>for in-process controls (IPCs)</w:t>
      </w:r>
      <w:r w:rsidR="001024BE" w:rsidRPr="6E98053B">
        <w:rPr>
          <w:rFonts w:ascii="Arial" w:hAnsi="Arial" w:cs="Arial"/>
        </w:rPr>
        <w:t xml:space="preserve"> </w:t>
      </w:r>
      <w:r w:rsidR="00704243" w:rsidRPr="6E98053B">
        <w:rPr>
          <w:rFonts w:ascii="Arial" w:hAnsi="Arial" w:cs="Arial"/>
        </w:rPr>
        <w:t xml:space="preserve">in </w:t>
      </w:r>
      <w:r w:rsidR="00486CCC" w:rsidRPr="6E98053B">
        <w:rPr>
          <w:rFonts w:ascii="Arial" w:hAnsi="Arial" w:cs="Arial"/>
        </w:rPr>
        <w:t xml:space="preserve">two representative </w:t>
      </w:r>
      <w:r w:rsidR="002A001B" w:rsidRPr="6E98053B">
        <w:rPr>
          <w:rFonts w:ascii="Arial" w:hAnsi="Arial" w:cs="Arial"/>
        </w:rPr>
        <w:t>unit</w:t>
      </w:r>
      <w:r w:rsidRPr="6E98053B">
        <w:rPr>
          <w:rFonts w:ascii="Arial" w:hAnsi="Arial" w:cs="Arial"/>
        </w:rPr>
        <w:t xml:space="preserve"> operations, i.e., blending and compression</w:t>
      </w:r>
      <w:r w:rsidR="009B429B" w:rsidRPr="6E98053B">
        <w:rPr>
          <w:rFonts w:ascii="Arial" w:hAnsi="Arial" w:cs="Arial"/>
        </w:rPr>
        <w:t>.</w:t>
      </w:r>
    </w:p>
    <w:tbl>
      <w:tblPr>
        <w:tblW w:w="7340" w:type="dxa"/>
        <w:tblInd w:w="108" w:type="dxa"/>
        <w:tblLook w:val="04A0" w:firstRow="1" w:lastRow="0" w:firstColumn="1" w:lastColumn="0" w:noHBand="0" w:noVBand="1"/>
      </w:tblPr>
      <w:tblGrid>
        <w:gridCol w:w="1780"/>
        <w:gridCol w:w="5560"/>
      </w:tblGrid>
      <w:tr w:rsidR="00867177" w:rsidRPr="00025957" w14:paraId="27C55618" w14:textId="77777777" w:rsidTr="00F91012">
        <w:trPr>
          <w:trHeight w:val="330"/>
        </w:trPr>
        <w:tc>
          <w:tcPr>
            <w:tcW w:w="1780" w:type="dxa"/>
            <w:tcBorders>
              <w:top w:val="single" w:sz="12" w:space="0" w:color="000000"/>
              <w:left w:val="single" w:sz="8" w:space="0" w:color="E7E6E6" w:themeColor="background2"/>
              <w:bottom w:val="single" w:sz="12" w:space="0" w:color="000000"/>
              <w:right w:val="single" w:sz="4" w:space="0" w:color="000000"/>
            </w:tcBorders>
            <w:noWrap/>
            <w:vAlign w:val="bottom"/>
            <w:hideMark/>
          </w:tcPr>
          <w:p w14:paraId="5A46C5E7" w14:textId="77777777" w:rsidR="00867177" w:rsidRPr="00025957" w:rsidRDefault="00867177" w:rsidP="007619F1">
            <w:pPr>
              <w:spacing w:after="0" w:line="240" w:lineRule="auto"/>
              <w:rPr>
                <w:rFonts w:ascii="Calibri" w:eastAsia="Times New Roman" w:hAnsi="Calibri" w:cs="Calibri"/>
                <w:b/>
                <w:bCs/>
                <w:color w:val="000000"/>
              </w:rPr>
            </w:pPr>
            <w:r w:rsidRPr="00025957">
              <w:rPr>
                <w:rFonts w:ascii="Calibri" w:eastAsia="Times New Roman" w:hAnsi="Calibri" w:cs="Calibri"/>
                <w:b/>
                <w:bCs/>
                <w:color w:val="000000"/>
              </w:rPr>
              <w:t xml:space="preserve">Unit Operation </w:t>
            </w:r>
          </w:p>
        </w:tc>
        <w:tc>
          <w:tcPr>
            <w:tcW w:w="5560" w:type="dxa"/>
            <w:tcBorders>
              <w:top w:val="single" w:sz="12" w:space="0" w:color="000000"/>
              <w:left w:val="nil"/>
              <w:bottom w:val="single" w:sz="12" w:space="0" w:color="000000"/>
              <w:right w:val="single" w:sz="8" w:space="0" w:color="E7E6E6" w:themeColor="background2"/>
            </w:tcBorders>
            <w:noWrap/>
            <w:vAlign w:val="bottom"/>
            <w:hideMark/>
          </w:tcPr>
          <w:p w14:paraId="68232813" w14:textId="77777777" w:rsidR="00867177" w:rsidRPr="00025957" w:rsidRDefault="00867177" w:rsidP="007619F1">
            <w:pPr>
              <w:spacing w:after="0" w:line="240" w:lineRule="auto"/>
              <w:rPr>
                <w:rFonts w:ascii="Calibri" w:eastAsia="Times New Roman" w:hAnsi="Calibri" w:cs="Calibri"/>
                <w:b/>
                <w:bCs/>
                <w:color w:val="000000"/>
              </w:rPr>
            </w:pPr>
            <w:r w:rsidRPr="00025957">
              <w:rPr>
                <w:rFonts w:ascii="Calibri" w:eastAsia="Times New Roman" w:hAnsi="Calibri" w:cs="Calibri"/>
                <w:b/>
                <w:bCs/>
                <w:color w:val="000000"/>
              </w:rPr>
              <w:t xml:space="preserve">IPC </w:t>
            </w:r>
            <w:r>
              <w:rPr>
                <w:rFonts w:ascii="Calibri" w:eastAsia="Times New Roman" w:hAnsi="Calibri" w:cs="Calibri"/>
                <w:b/>
                <w:bCs/>
                <w:color w:val="000000"/>
              </w:rPr>
              <w:t>C</w:t>
            </w:r>
            <w:r w:rsidRPr="00025957">
              <w:rPr>
                <w:rFonts w:ascii="Calibri" w:eastAsia="Times New Roman" w:hAnsi="Calibri" w:cs="Calibri"/>
                <w:b/>
                <w:bCs/>
                <w:color w:val="000000"/>
              </w:rPr>
              <w:t xml:space="preserve">ontrolled </w:t>
            </w:r>
            <w:r>
              <w:rPr>
                <w:rFonts w:ascii="Calibri" w:eastAsia="Times New Roman" w:hAnsi="Calibri" w:cs="Calibri"/>
                <w:b/>
                <w:bCs/>
                <w:color w:val="000000"/>
              </w:rPr>
              <w:t>V</w:t>
            </w:r>
            <w:r w:rsidRPr="00025957">
              <w:rPr>
                <w:rFonts w:ascii="Calibri" w:eastAsia="Times New Roman" w:hAnsi="Calibri" w:cs="Calibri"/>
                <w:b/>
                <w:bCs/>
                <w:color w:val="000000"/>
              </w:rPr>
              <w:t>ocabularies</w:t>
            </w:r>
          </w:p>
        </w:tc>
      </w:tr>
      <w:tr w:rsidR="00867177" w:rsidRPr="00025957" w14:paraId="39542B52" w14:textId="77777777" w:rsidTr="00F91012">
        <w:trPr>
          <w:trHeight w:val="315"/>
        </w:trPr>
        <w:tc>
          <w:tcPr>
            <w:tcW w:w="1780" w:type="dxa"/>
            <w:tcBorders>
              <w:top w:val="nil"/>
              <w:left w:val="single" w:sz="8" w:space="0" w:color="E7E6E6" w:themeColor="background2"/>
              <w:bottom w:val="nil"/>
              <w:right w:val="single" w:sz="4" w:space="0" w:color="000000"/>
            </w:tcBorders>
            <w:noWrap/>
            <w:vAlign w:val="bottom"/>
            <w:hideMark/>
          </w:tcPr>
          <w:p w14:paraId="58848D7D" w14:textId="77777777" w:rsidR="00867177" w:rsidRPr="00025957" w:rsidRDefault="00867177" w:rsidP="007619F1">
            <w:pPr>
              <w:spacing w:after="0" w:line="240" w:lineRule="auto"/>
              <w:rPr>
                <w:rFonts w:ascii="Calibri" w:eastAsia="Times New Roman" w:hAnsi="Calibri" w:cs="Calibri"/>
                <w:b/>
                <w:bCs/>
                <w:color w:val="000000"/>
              </w:rPr>
            </w:pPr>
            <w:r w:rsidRPr="00025957">
              <w:rPr>
                <w:rFonts w:ascii="Calibri" w:eastAsia="Times New Roman" w:hAnsi="Calibri" w:cs="Calibri"/>
                <w:b/>
                <w:bCs/>
                <w:color w:val="000000"/>
              </w:rPr>
              <w:t>Blending</w:t>
            </w:r>
          </w:p>
        </w:tc>
        <w:tc>
          <w:tcPr>
            <w:tcW w:w="5560" w:type="dxa"/>
            <w:tcBorders>
              <w:top w:val="nil"/>
              <w:left w:val="nil"/>
              <w:bottom w:val="nil"/>
              <w:right w:val="single" w:sz="8" w:space="0" w:color="E7E6E6" w:themeColor="background2"/>
            </w:tcBorders>
            <w:noWrap/>
            <w:vAlign w:val="bottom"/>
            <w:hideMark/>
          </w:tcPr>
          <w:p w14:paraId="7034EC25"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Assay</w:t>
            </w:r>
          </w:p>
        </w:tc>
      </w:tr>
      <w:tr w:rsidR="00867177" w:rsidRPr="00025957" w14:paraId="25628712"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6D0EC792"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6B0B239F"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Blend uniformity</w:t>
            </w:r>
          </w:p>
        </w:tc>
      </w:tr>
      <w:tr w:rsidR="00867177" w:rsidRPr="00025957" w14:paraId="6E0609C5"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4FE47E34"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0BCA615E"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Water content</w:t>
            </w:r>
          </w:p>
        </w:tc>
      </w:tr>
      <w:tr w:rsidR="00867177" w:rsidRPr="00025957" w14:paraId="31DD8551"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78B1B45D"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54613FE8"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Particle size distribution</w:t>
            </w:r>
          </w:p>
        </w:tc>
      </w:tr>
      <w:tr w:rsidR="00867177" w:rsidRPr="00025957" w14:paraId="759F848F"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1A504CB2"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159AFB18"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Bulk/tapped densities</w:t>
            </w:r>
          </w:p>
        </w:tc>
      </w:tr>
      <w:tr w:rsidR="00867177" w:rsidRPr="00025957" w14:paraId="3905BCCB"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03AD4EAD"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2AAFE58B" w14:textId="6A3EB0B3"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 xml:space="preserve">Assay </w:t>
            </w:r>
            <w:r w:rsidR="00E33491">
              <w:rPr>
                <w:rFonts w:ascii="Calibri" w:eastAsia="Times New Roman" w:hAnsi="Calibri" w:cs="Calibri"/>
              </w:rPr>
              <w:t>a</w:t>
            </w:r>
            <w:r w:rsidR="00E33491" w:rsidRPr="00025957">
              <w:rPr>
                <w:rFonts w:ascii="Calibri" w:eastAsia="Times New Roman" w:hAnsi="Calibri" w:cs="Calibri"/>
              </w:rPr>
              <w:t>larm</w:t>
            </w:r>
          </w:p>
        </w:tc>
      </w:tr>
      <w:tr w:rsidR="00867177" w:rsidRPr="00025957" w14:paraId="353B5ACE"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2C289389"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2BB0B5CE" w14:textId="16CFA178"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 xml:space="preserve">Mass </w:t>
            </w:r>
            <w:r w:rsidR="00E33491">
              <w:rPr>
                <w:rFonts w:ascii="Calibri" w:eastAsia="Times New Roman" w:hAnsi="Calibri" w:cs="Calibri"/>
              </w:rPr>
              <w:t>b</w:t>
            </w:r>
            <w:r w:rsidR="00E33491" w:rsidRPr="00025957">
              <w:rPr>
                <w:rFonts w:ascii="Calibri" w:eastAsia="Times New Roman" w:hAnsi="Calibri" w:cs="Calibri"/>
              </w:rPr>
              <w:t xml:space="preserve">alance </w:t>
            </w:r>
            <w:r w:rsidR="00E33491">
              <w:rPr>
                <w:rFonts w:ascii="Calibri" w:eastAsia="Times New Roman" w:hAnsi="Calibri" w:cs="Calibri"/>
              </w:rPr>
              <w:t>m</w:t>
            </w:r>
            <w:r w:rsidR="00E33491" w:rsidRPr="00025957">
              <w:rPr>
                <w:rFonts w:ascii="Calibri" w:eastAsia="Times New Roman" w:hAnsi="Calibri" w:cs="Calibri"/>
              </w:rPr>
              <w:t xml:space="preserve">odel </w:t>
            </w:r>
            <w:r w:rsidR="00E33491">
              <w:rPr>
                <w:rFonts w:ascii="Calibri" w:eastAsia="Times New Roman" w:hAnsi="Calibri" w:cs="Calibri"/>
              </w:rPr>
              <w:t>a</w:t>
            </w:r>
            <w:r w:rsidR="00E33491" w:rsidRPr="00025957">
              <w:rPr>
                <w:rFonts w:ascii="Calibri" w:eastAsia="Times New Roman" w:hAnsi="Calibri" w:cs="Calibri"/>
              </w:rPr>
              <w:t>larm</w:t>
            </w:r>
          </w:p>
        </w:tc>
      </w:tr>
      <w:tr w:rsidR="00867177" w:rsidRPr="00025957" w14:paraId="6E2BB070"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411768CD"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3A1C63C1" w14:textId="4FCC8FA5" w:rsidR="00867177" w:rsidRPr="00025957" w:rsidRDefault="00BE7C82" w:rsidP="007619F1">
            <w:pPr>
              <w:spacing w:after="0" w:line="240" w:lineRule="auto"/>
              <w:rPr>
                <w:rFonts w:ascii="Calibri" w:eastAsia="Times New Roman" w:hAnsi="Calibri" w:cs="Calibri"/>
              </w:rPr>
            </w:pPr>
            <w:r>
              <w:rPr>
                <w:rFonts w:ascii="Calibri" w:eastAsia="Times New Roman" w:hAnsi="Calibri" w:cs="Calibri"/>
              </w:rPr>
              <w:t>etc.</w:t>
            </w:r>
          </w:p>
        </w:tc>
      </w:tr>
      <w:tr w:rsidR="00867177" w:rsidRPr="00025957" w14:paraId="2EFD1A60"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1D1CA3EA"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6EC8F8C9"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 </w:t>
            </w:r>
          </w:p>
        </w:tc>
      </w:tr>
      <w:tr w:rsidR="00867177" w:rsidRPr="00025957" w14:paraId="2B070D6E"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3EE9A952" w14:textId="77777777" w:rsidR="00867177" w:rsidRPr="00025957" w:rsidRDefault="00867177" w:rsidP="007619F1">
            <w:pPr>
              <w:spacing w:after="0" w:line="240" w:lineRule="auto"/>
              <w:rPr>
                <w:rFonts w:ascii="Calibri" w:eastAsia="Times New Roman" w:hAnsi="Calibri" w:cs="Calibri"/>
                <w:b/>
                <w:bCs/>
                <w:color w:val="000000"/>
              </w:rPr>
            </w:pPr>
            <w:r w:rsidRPr="00025957">
              <w:rPr>
                <w:rFonts w:ascii="Calibri" w:eastAsia="Times New Roman" w:hAnsi="Calibri" w:cs="Calibri"/>
                <w:b/>
                <w:bCs/>
                <w:color w:val="000000"/>
              </w:rPr>
              <w:t>Compression</w:t>
            </w:r>
          </w:p>
        </w:tc>
        <w:tc>
          <w:tcPr>
            <w:tcW w:w="5560" w:type="dxa"/>
            <w:tcBorders>
              <w:top w:val="nil"/>
              <w:left w:val="nil"/>
              <w:bottom w:val="nil"/>
              <w:right w:val="single" w:sz="8" w:space="0" w:color="E7E6E6" w:themeColor="background2"/>
            </w:tcBorders>
            <w:noWrap/>
            <w:vAlign w:val="bottom"/>
            <w:hideMark/>
          </w:tcPr>
          <w:p w14:paraId="25117D77" w14:textId="52E4F7A8"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Appearance</w:t>
            </w:r>
          </w:p>
        </w:tc>
      </w:tr>
      <w:tr w:rsidR="00867177" w:rsidRPr="00025957" w14:paraId="12A04729"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489B0E93"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7F8B0087" w14:textId="323F8435"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 xml:space="preserve">Tablet </w:t>
            </w:r>
            <w:r w:rsidR="004C454E">
              <w:rPr>
                <w:rFonts w:ascii="Calibri" w:eastAsia="Times New Roman" w:hAnsi="Calibri" w:cs="Calibri"/>
              </w:rPr>
              <w:t>i</w:t>
            </w:r>
            <w:r w:rsidRPr="00025957">
              <w:rPr>
                <w:rFonts w:ascii="Calibri" w:eastAsia="Times New Roman" w:hAnsi="Calibri" w:cs="Calibri"/>
              </w:rPr>
              <w:t>ndividual weight</w:t>
            </w:r>
          </w:p>
        </w:tc>
      </w:tr>
      <w:tr w:rsidR="00867177" w:rsidRPr="00025957" w14:paraId="13773FDB"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29D6BD26"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2E2318B2" w14:textId="564A4172"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 xml:space="preserve">Tablet </w:t>
            </w:r>
            <w:r w:rsidR="004C454E">
              <w:rPr>
                <w:rFonts w:ascii="Calibri" w:eastAsia="Times New Roman" w:hAnsi="Calibri" w:cs="Calibri"/>
              </w:rPr>
              <w:t>g</w:t>
            </w:r>
            <w:r w:rsidRPr="00025957">
              <w:rPr>
                <w:rFonts w:ascii="Calibri" w:eastAsia="Times New Roman" w:hAnsi="Calibri" w:cs="Calibri"/>
              </w:rPr>
              <w:t>roup or average weight</w:t>
            </w:r>
          </w:p>
        </w:tc>
      </w:tr>
      <w:tr w:rsidR="00867177" w:rsidRPr="00025957" w14:paraId="2C06DFC5"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60D96A35"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0FCC4F32"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Hardness</w:t>
            </w:r>
          </w:p>
        </w:tc>
      </w:tr>
      <w:tr w:rsidR="00867177" w:rsidRPr="00025957" w14:paraId="61BB759F"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1EC361A9"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488642BF"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Friability</w:t>
            </w:r>
          </w:p>
        </w:tc>
      </w:tr>
      <w:tr w:rsidR="00867177" w:rsidRPr="00025957" w14:paraId="4B33D24C"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6F9C459A"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592713EA"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Thickness</w:t>
            </w:r>
          </w:p>
        </w:tc>
      </w:tr>
      <w:tr w:rsidR="00867177" w:rsidRPr="00025957" w14:paraId="7FC6BE0D"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1E1782BB"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06FF009A" w14:textId="77777777"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Disintegration time</w:t>
            </w:r>
          </w:p>
        </w:tc>
      </w:tr>
      <w:tr w:rsidR="00867177" w:rsidRPr="00025957" w14:paraId="729F373B" w14:textId="77777777" w:rsidTr="00F91012">
        <w:trPr>
          <w:trHeight w:val="300"/>
        </w:trPr>
        <w:tc>
          <w:tcPr>
            <w:tcW w:w="1780" w:type="dxa"/>
            <w:tcBorders>
              <w:top w:val="nil"/>
              <w:left w:val="single" w:sz="8" w:space="0" w:color="E7E6E6" w:themeColor="background2"/>
              <w:bottom w:val="nil"/>
              <w:right w:val="single" w:sz="4" w:space="0" w:color="000000"/>
            </w:tcBorders>
            <w:noWrap/>
            <w:vAlign w:val="bottom"/>
            <w:hideMark/>
          </w:tcPr>
          <w:p w14:paraId="0675FC13"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nil"/>
              <w:right w:val="single" w:sz="8" w:space="0" w:color="E7E6E6" w:themeColor="background2"/>
            </w:tcBorders>
            <w:noWrap/>
            <w:vAlign w:val="bottom"/>
            <w:hideMark/>
          </w:tcPr>
          <w:p w14:paraId="77542869" w14:textId="02296D20" w:rsidR="00867177" w:rsidRPr="00025957" w:rsidRDefault="00867177" w:rsidP="007619F1">
            <w:pPr>
              <w:spacing w:after="0" w:line="240" w:lineRule="auto"/>
              <w:rPr>
                <w:rFonts w:ascii="Calibri" w:eastAsia="Times New Roman" w:hAnsi="Calibri" w:cs="Calibri"/>
              </w:rPr>
            </w:pPr>
            <w:r w:rsidRPr="00025957">
              <w:rPr>
                <w:rFonts w:ascii="Calibri" w:eastAsia="Times New Roman" w:hAnsi="Calibri" w:cs="Calibri"/>
              </w:rPr>
              <w:t>Stratified content uniformity</w:t>
            </w:r>
            <w:r>
              <w:rPr>
                <w:rFonts w:ascii="Calibri" w:eastAsia="Times New Roman" w:hAnsi="Calibri" w:cs="Calibri"/>
              </w:rPr>
              <w:t xml:space="preserve"> or </w:t>
            </w:r>
            <w:r w:rsidR="004C454E">
              <w:rPr>
                <w:rFonts w:ascii="Calibri" w:eastAsia="Times New Roman" w:hAnsi="Calibri" w:cs="Calibri"/>
              </w:rPr>
              <w:t>u</w:t>
            </w:r>
            <w:r w:rsidRPr="00025957">
              <w:rPr>
                <w:rFonts w:ascii="Calibri" w:eastAsia="Times New Roman" w:hAnsi="Calibri" w:cs="Calibri"/>
              </w:rPr>
              <w:t>niformity of dosage units</w:t>
            </w:r>
          </w:p>
        </w:tc>
      </w:tr>
      <w:tr w:rsidR="00867177" w:rsidRPr="00025957" w14:paraId="03E22AFB" w14:textId="77777777" w:rsidTr="00F91012">
        <w:trPr>
          <w:trHeight w:val="315"/>
        </w:trPr>
        <w:tc>
          <w:tcPr>
            <w:tcW w:w="1780" w:type="dxa"/>
            <w:tcBorders>
              <w:top w:val="nil"/>
              <w:left w:val="single" w:sz="8" w:space="0" w:color="E7E6E6" w:themeColor="background2"/>
              <w:bottom w:val="single" w:sz="12" w:space="0" w:color="000000"/>
              <w:right w:val="single" w:sz="4" w:space="0" w:color="000000"/>
            </w:tcBorders>
            <w:noWrap/>
            <w:vAlign w:val="bottom"/>
            <w:hideMark/>
          </w:tcPr>
          <w:p w14:paraId="6116D2A2" w14:textId="77777777" w:rsidR="00867177" w:rsidRPr="00025957" w:rsidRDefault="00867177" w:rsidP="007619F1">
            <w:pPr>
              <w:spacing w:after="0" w:line="240" w:lineRule="auto"/>
              <w:rPr>
                <w:rFonts w:ascii="Calibri" w:eastAsia="Times New Roman" w:hAnsi="Calibri" w:cs="Calibri"/>
                <w:color w:val="000000"/>
              </w:rPr>
            </w:pPr>
            <w:r w:rsidRPr="00025957">
              <w:rPr>
                <w:rFonts w:ascii="Calibri" w:eastAsia="Times New Roman" w:hAnsi="Calibri" w:cs="Calibri"/>
                <w:color w:val="000000"/>
              </w:rPr>
              <w:t> </w:t>
            </w:r>
          </w:p>
        </w:tc>
        <w:tc>
          <w:tcPr>
            <w:tcW w:w="5560" w:type="dxa"/>
            <w:tcBorders>
              <w:top w:val="nil"/>
              <w:left w:val="nil"/>
              <w:bottom w:val="single" w:sz="12" w:space="0" w:color="000000"/>
              <w:right w:val="single" w:sz="8" w:space="0" w:color="E7E6E6" w:themeColor="background2"/>
            </w:tcBorders>
            <w:noWrap/>
            <w:vAlign w:val="bottom"/>
            <w:hideMark/>
          </w:tcPr>
          <w:p w14:paraId="439B88F6" w14:textId="77777777" w:rsidR="00867177" w:rsidRDefault="00867177" w:rsidP="007619F1">
            <w:pPr>
              <w:spacing w:after="0" w:line="240" w:lineRule="auto"/>
              <w:rPr>
                <w:rFonts w:ascii="Calibri" w:eastAsia="Times New Roman" w:hAnsi="Calibri" w:cs="Calibri"/>
              </w:rPr>
            </w:pPr>
            <w:r w:rsidRPr="00025957">
              <w:rPr>
                <w:rFonts w:ascii="Calibri" w:eastAsia="Times New Roman" w:hAnsi="Calibri" w:cs="Calibri"/>
              </w:rPr>
              <w:t>Metal detection</w:t>
            </w:r>
          </w:p>
          <w:p w14:paraId="40E225BA" w14:textId="0B25E19C" w:rsidR="00867177" w:rsidRDefault="00BE7C82" w:rsidP="007619F1">
            <w:pPr>
              <w:spacing w:after="0" w:line="240" w:lineRule="auto"/>
              <w:rPr>
                <w:rFonts w:ascii="Calibri" w:eastAsia="Times New Roman" w:hAnsi="Calibri" w:cs="Calibri"/>
              </w:rPr>
            </w:pPr>
            <w:r>
              <w:rPr>
                <w:rFonts w:ascii="Calibri" w:eastAsia="Times New Roman" w:hAnsi="Calibri" w:cs="Calibri"/>
              </w:rPr>
              <w:t>etc.</w:t>
            </w:r>
          </w:p>
          <w:p w14:paraId="3ECE1AAD" w14:textId="77777777" w:rsidR="00867177" w:rsidRPr="00025957" w:rsidRDefault="00867177" w:rsidP="007619F1">
            <w:pPr>
              <w:spacing w:after="0" w:line="240" w:lineRule="auto"/>
              <w:rPr>
                <w:rFonts w:ascii="Calibri" w:eastAsia="Times New Roman" w:hAnsi="Calibri" w:cs="Calibri"/>
              </w:rPr>
            </w:pPr>
          </w:p>
        </w:tc>
      </w:tr>
    </w:tbl>
    <w:p w14:paraId="16978147" w14:textId="77777777" w:rsidR="00867177" w:rsidRDefault="00867177" w:rsidP="00867177"/>
    <w:p w14:paraId="02B983C3" w14:textId="77777777" w:rsidR="00867177" w:rsidRDefault="00867177" w:rsidP="00867177"/>
    <w:p w14:paraId="5FCDA08B" w14:textId="77777777" w:rsidR="00BC2C09" w:rsidRDefault="00BC2C09">
      <w:pPr>
        <w:rPr>
          <w:rFonts w:ascii="Arial" w:hAnsi="Arial" w:cs="Arial"/>
          <w:b/>
          <w:bCs/>
        </w:rPr>
      </w:pPr>
      <w:r>
        <w:rPr>
          <w:rFonts w:ascii="Arial" w:hAnsi="Arial" w:cs="Arial"/>
          <w:b/>
          <w:bCs/>
        </w:rPr>
        <w:br w:type="page"/>
      </w:r>
    </w:p>
    <w:p w14:paraId="27965649" w14:textId="7F529442" w:rsidR="00003F88" w:rsidRDefault="00F35B2C" w:rsidP="00867177">
      <w:pPr>
        <w:rPr>
          <w:rFonts w:ascii="Arial" w:hAnsi="Arial" w:cs="Arial"/>
        </w:rPr>
      </w:pPr>
      <w:r w:rsidRPr="6E98053B">
        <w:rPr>
          <w:rFonts w:ascii="Arial" w:hAnsi="Arial" w:cs="Arial"/>
          <w:b/>
          <w:bCs/>
        </w:rPr>
        <w:lastRenderedPageBreak/>
        <w:t>Table 2.</w:t>
      </w:r>
      <w:r w:rsidRPr="6E98053B">
        <w:rPr>
          <w:b/>
          <w:bCs/>
        </w:rPr>
        <w:t xml:space="preserve"> </w:t>
      </w:r>
      <w:r w:rsidRPr="6E98053B">
        <w:rPr>
          <w:rFonts w:ascii="Arial" w:hAnsi="Arial" w:cs="Arial"/>
        </w:rPr>
        <w:t>The</w:t>
      </w:r>
      <w:r w:rsidR="00381A95" w:rsidRPr="6E98053B">
        <w:rPr>
          <w:rFonts w:ascii="Arial" w:hAnsi="Arial" w:cs="Arial"/>
        </w:rPr>
        <w:t xml:space="preserve"> drop</w:t>
      </w:r>
      <w:r w:rsidR="00400BFA">
        <w:rPr>
          <w:rFonts w:ascii="Arial" w:hAnsi="Arial" w:cs="Arial"/>
        </w:rPr>
        <w:t>-</w:t>
      </w:r>
      <w:r w:rsidR="00381A95" w:rsidRPr="6E98053B">
        <w:rPr>
          <w:rFonts w:ascii="Arial" w:hAnsi="Arial" w:cs="Arial"/>
        </w:rPr>
        <w:t xml:space="preserve">down </w:t>
      </w:r>
      <w:r w:rsidR="003E1492">
        <w:rPr>
          <w:rFonts w:ascii="Arial" w:hAnsi="Arial" w:cs="Arial"/>
        </w:rPr>
        <w:t xml:space="preserve">representative </w:t>
      </w:r>
      <w:r w:rsidR="00381A95" w:rsidRPr="6E98053B">
        <w:rPr>
          <w:rFonts w:ascii="Arial" w:hAnsi="Arial" w:cs="Arial"/>
        </w:rPr>
        <w:t>options for</w:t>
      </w:r>
      <w:r w:rsidRPr="6E98053B">
        <w:rPr>
          <w:rFonts w:ascii="Arial" w:hAnsi="Arial" w:cs="Arial"/>
        </w:rPr>
        <w:t xml:space="preserve"> design and development for </w:t>
      </w:r>
      <w:r w:rsidR="00432C09" w:rsidRPr="6E98053B">
        <w:rPr>
          <w:rFonts w:ascii="Arial" w:hAnsi="Arial" w:cs="Arial"/>
        </w:rPr>
        <w:t xml:space="preserve">representative </w:t>
      </w:r>
      <w:r w:rsidRPr="6E98053B">
        <w:rPr>
          <w:rFonts w:ascii="Arial" w:hAnsi="Arial" w:cs="Arial"/>
        </w:rPr>
        <w:t>blending and compressio</w:t>
      </w:r>
      <w:r w:rsidR="00432C09" w:rsidRPr="6E98053B">
        <w:rPr>
          <w:rFonts w:ascii="Arial" w:hAnsi="Arial" w:cs="Arial"/>
        </w:rPr>
        <w:t>n</w:t>
      </w:r>
      <w:r w:rsidRPr="6E98053B">
        <w:rPr>
          <w:rFonts w:ascii="Arial" w:hAnsi="Arial" w:cs="Arial"/>
        </w:rPr>
        <w:t xml:space="preserve"> unit operations</w:t>
      </w:r>
      <w:r w:rsidR="00003F88">
        <w:rPr>
          <w:rFonts w:ascii="Arial" w:hAnsi="Arial" w:cs="Arial"/>
        </w:rPr>
        <w:t>.</w:t>
      </w:r>
    </w:p>
    <w:tbl>
      <w:tblPr>
        <w:tblW w:w="9330" w:type="dxa"/>
        <w:tblLook w:val="04A0" w:firstRow="1" w:lastRow="0" w:firstColumn="1" w:lastColumn="0" w:noHBand="0" w:noVBand="1"/>
      </w:tblPr>
      <w:tblGrid>
        <w:gridCol w:w="4180"/>
        <w:gridCol w:w="5150"/>
      </w:tblGrid>
      <w:tr w:rsidR="001B3AC6" w:rsidRPr="001B3AC6" w14:paraId="34EA4A6E" w14:textId="77777777" w:rsidTr="00237A11">
        <w:trPr>
          <w:trHeight w:val="330"/>
        </w:trPr>
        <w:tc>
          <w:tcPr>
            <w:tcW w:w="9330" w:type="dxa"/>
            <w:gridSpan w:val="2"/>
            <w:tcBorders>
              <w:top w:val="single" w:sz="12" w:space="0" w:color="000000"/>
              <w:left w:val="single" w:sz="12" w:space="0" w:color="E7E6E6" w:themeColor="background2"/>
              <w:bottom w:val="single" w:sz="8" w:space="0" w:color="auto"/>
              <w:right w:val="single" w:sz="12" w:space="0" w:color="E7E6E6" w:themeColor="background2"/>
            </w:tcBorders>
            <w:vAlign w:val="center"/>
            <w:hideMark/>
          </w:tcPr>
          <w:p w14:paraId="487468EE" w14:textId="77777777" w:rsidR="001B3AC6" w:rsidRPr="001B3AC6" w:rsidRDefault="001B3AC6" w:rsidP="001B3AC6">
            <w:pPr>
              <w:spacing w:after="0" w:line="240" w:lineRule="auto"/>
              <w:jc w:val="center"/>
              <w:rPr>
                <w:rFonts w:ascii="Calibri" w:eastAsia="Times New Roman" w:hAnsi="Calibri" w:cs="Calibri"/>
                <w:b/>
                <w:bCs/>
                <w:color w:val="000000"/>
              </w:rPr>
            </w:pPr>
            <w:r w:rsidRPr="001B3AC6">
              <w:rPr>
                <w:rFonts w:ascii="Calibri" w:eastAsia="Times New Roman" w:hAnsi="Calibri" w:cs="Calibri"/>
                <w:b/>
                <w:bCs/>
                <w:color w:val="000000"/>
              </w:rPr>
              <w:t xml:space="preserve">Blending </w:t>
            </w:r>
          </w:p>
        </w:tc>
      </w:tr>
      <w:tr w:rsidR="001B3AC6" w:rsidRPr="001B3AC6" w14:paraId="17600C0A" w14:textId="77777777" w:rsidTr="00237A11">
        <w:trPr>
          <w:trHeight w:val="315"/>
        </w:trPr>
        <w:tc>
          <w:tcPr>
            <w:tcW w:w="4180" w:type="dxa"/>
            <w:tcBorders>
              <w:top w:val="nil"/>
              <w:left w:val="single" w:sz="12" w:space="0" w:color="E7E6E6" w:themeColor="background2"/>
              <w:bottom w:val="single" w:sz="8" w:space="0" w:color="auto"/>
              <w:right w:val="single" w:sz="8" w:space="0" w:color="000000"/>
            </w:tcBorders>
            <w:noWrap/>
            <w:vAlign w:val="center"/>
            <w:hideMark/>
          </w:tcPr>
          <w:p w14:paraId="1B361AE1" w14:textId="5D04AE7D"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xml:space="preserve">Risk Control Strategies - </w:t>
            </w:r>
            <w:r w:rsidR="00EB60B2">
              <w:rPr>
                <w:rFonts w:eastAsia="Times New Roman" w:cstheme="minorHAnsi"/>
                <w:b/>
                <w:bCs/>
                <w:color w:val="000000"/>
              </w:rPr>
              <w:t>D</w:t>
            </w:r>
            <w:r w:rsidR="00EB60B2" w:rsidRPr="001B3AC6">
              <w:rPr>
                <w:rFonts w:eastAsia="Times New Roman" w:cstheme="minorHAnsi"/>
                <w:b/>
                <w:bCs/>
                <w:color w:val="000000"/>
              </w:rPr>
              <w:t xml:space="preserve">esign </w:t>
            </w:r>
            <w:r w:rsidRPr="001B3AC6">
              <w:rPr>
                <w:rFonts w:eastAsia="Times New Roman" w:cstheme="minorHAnsi"/>
                <w:b/>
                <w:bCs/>
                <w:color w:val="000000"/>
              </w:rPr>
              <w:t xml:space="preserve">and </w:t>
            </w:r>
            <w:r w:rsidR="00EB60B2">
              <w:rPr>
                <w:rFonts w:eastAsia="Times New Roman" w:cstheme="minorHAnsi"/>
                <w:b/>
                <w:bCs/>
                <w:color w:val="000000"/>
              </w:rPr>
              <w:t>D</w:t>
            </w:r>
            <w:r w:rsidR="00EB60B2" w:rsidRPr="001B3AC6">
              <w:rPr>
                <w:rFonts w:eastAsia="Times New Roman" w:cstheme="minorHAnsi"/>
                <w:b/>
                <w:bCs/>
                <w:color w:val="000000"/>
              </w:rPr>
              <w:t xml:space="preserve">evelopment </w:t>
            </w:r>
          </w:p>
        </w:tc>
        <w:tc>
          <w:tcPr>
            <w:tcW w:w="5150" w:type="dxa"/>
            <w:tcBorders>
              <w:top w:val="nil"/>
              <w:left w:val="nil"/>
              <w:bottom w:val="single" w:sz="8" w:space="0" w:color="auto"/>
              <w:right w:val="single" w:sz="12" w:space="0" w:color="E7E6E6" w:themeColor="background2"/>
            </w:tcBorders>
            <w:noWrap/>
            <w:vAlign w:val="center"/>
            <w:hideMark/>
          </w:tcPr>
          <w:p w14:paraId="05B1F711"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 </w:t>
            </w:r>
          </w:p>
        </w:tc>
      </w:tr>
      <w:tr w:rsidR="001B3AC6" w:rsidRPr="001B3AC6" w14:paraId="2FAD47E8" w14:textId="77777777" w:rsidTr="00237A11">
        <w:trPr>
          <w:trHeight w:val="300"/>
        </w:trPr>
        <w:tc>
          <w:tcPr>
            <w:tcW w:w="4180" w:type="dxa"/>
            <w:tcBorders>
              <w:top w:val="nil"/>
              <w:left w:val="single" w:sz="12" w:space="0" w:color="E7E6E6" w:themeColor="background2"/>
              <w:bottom w:val="nil"/>
              <w:right w:val="single" w:sz="8" w:space="0" w:color="000000"/>
            </w:tcBorders>
            <w:noWrap/>
            <w:vAlign w:val="center"/>
            <w:hideMark/>
          </w:tcPr>
          <w:p w14:paraId="5ABA8C56"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Special Considerations</w:t>
            </w:r>
          </w:p>
        </w:tc>
        <w:tc>
          <w:tcPr>
            <w:tcW w:w="5150" w:type="dxa"/>
            <w:tcBorders>
              <w:top w:val="nil"/>
              <w:left w:val="nil"/>
              <w:bottom w:val="nil"/>
              <w:right w:val="single" w:sz="12" w:space="0" w:color="E7E6E6" w:themeColor="background2"/>
            </w:tcBorders>
            <w:noWrap/>
            <w:vAlign w:val="center"/>
            <w:hideMark/>
          </w:tcPr>
          <w:p w14:paraId="41A69BA1"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Geometric or serial dilution</w:t>
            </w:r>
          </w:p>
        </w:tc>
      </w:tr>
      <w:tr w:rsidR="001B3AC6" w:rsidRPr="001B3AC6" w14:paraId="476B5663" w14:textId="77777777" w:rsidTr="00237A11">
        <w:trPr>
          <w:trHeight w:val="300"/>
        </w:trPr>
        <w:tc>
          <w:tcPr>
            <w:tcW w:w="4180" w:type="dxa"/>
            <w:vMerge w:val="restart"/>
            <w:tcBorders>
              <w:top w:val="nil"/>
              <w:left w:val="single" w:sz="12" w:space="0" w:color="E7E6E6" w:themeColor="background2"/>
              <w:bottom w:val="single" w:sz="8" w:space="0" w:color="000000"/>
              <w:right w:val="single" w:sz="8" w:space="0" w:color="000000"/>
            </w:tcBorders>
            <w:noWrap/>
            <w:vAlign w:val="center"/>
            <w:hideMark/>
          </w:tcPr>
          <w:p w14:paraId="25AC4FA6"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top w:val="nil"/>
              <w:left w:val="nil"/>
              <w:bottom w:val="nil"/>
              <w:right w:val="single" w:sz="12" w:space="0" w:color="E7E6E6" w:themeColor="background2"/>
            </w:tcBorders>
            <w:noWrap/>
            <w:vAlign w:val="center"/>
            <w:hideMark/>
          </w:tcPr>
          <w:p w14:paraId="5E7847E7"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Addition order of components</w:t>
            </w:r>
          </w:p>
        </w:tc>
      </w:tr>
      <w:tr w:rsidR="001B3AC6" w:rsidRPr="001B3AC6" w14:paraId="056D2E98" w14:textId="77777777" w:rsidTr="00237A11">
        <w:trPr>
          <w:trHeight w:val="315"/>
        </w:trPr>
        <w:tc>
          <w:tcPr>
            <w:tcW w:w="4180" w:type="dxa"/>
            <w:vMerge/>
            <w:tcBorders>
              <w:top w:val="nil"/>
              <w:left w:val="single" w:sz="12" w:space="0" w:color="E7E6E6" w:themeColor="background2"/>
              <w:bottom w:val="single" w:sz="8" w:space="0" w:color="000000"/>
              <w:right w:val="single" w:sz="8" w:space="0" w:color="000000"/>
            </w:tcBorders>
            <w:vAlign w:val="center"/>
            <w:hideMark/>
          </w:tcPr>
          <w:p w14:paraId="7BDDFC43" w14:textId="77777777" w:rsidR="001B3AC6" w:rsidRPr="001B3AC6" w:rsidRDefault="001B3AC6" w:rsidP="001B3AC6">
            <w:pPr>
              <w:spacing w:after="0" w:line="240" w:lineRule="auto"/>
              <w:rPr>
                <w:rFonts w:eastAsia="Times New Roman" w:cstheme="minorHAnsi"/>
                <w:b/>
                <w:bCs/>
                <w:color w:val="000000"/>
              </w:rPr>
            </w:pPr>
          </w:p>
        </w:tc>
        <w:tc>
          <w:tcPr>
            <w:tcW w:w="5150" w:type="dxa"/>
            <w:tcBorders>
              <w:top w:val="nil"/>
              <w:left w:val="nil"/>
              <w:bottom w:val="single" w:sz="8" w:space="0" w:color="000000"/>
              <w:right w:val="single" w:sz="12" w:space="0" w:color="E7E6E6" w:themeColor="background2"/>
            </w:tcBorders>
            <w:noWrap/>
            <w:vAlign w:val="center"/>
            <w:hideMark/>
          </w:tcPr>
          <w:p w14:paraId="0E23908D"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themeColor="text1"/>
              </w:rPr>
              <w:t>etc.</w:t>
            </w:r>
          </w:p>
        </w:tc>
      </w:tr>
      <w:tr w:rsidR="001B3AC6" w:rsidRPr="001B3AC6" w14:paraId="0CDD25DD" w14:textId="77777777" w:rsidTr="00237A11">
        <w:trPr>
          <w:trHeight w:val="300"/>
        </w:trPr>
        <w:tc>
          <w:tcPr>
            <w:tcW w:w="4180" w:type="dxa"/>
            <w:tcBorders>
              <w:top w:val="nil"/>
              <w:left w:val="single" w:sz="12" w:space="0" w:color="E7E6E6" w:themeColor="background2"/>
              <w:bottom w:val="nil"/>
              <w:right w:val="single" w:sz="8" w:space="0" w:color="000000"/>
            </w:tcBorders>
            <w:noWrap/>
            <w:vAlign w:val="center"/>
            <w:hideMark/>
          </w:tcPr>
          <w:p w14:paraId="48A127A1"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xml:space="preserve">Process Development - Consideration </w:t>
            </w:r>
          </w:p>
        </w:tc>
        <w:tc>
          <w:tcPr>
            <w:tcW w:w="5150" w:type="dxa"/>
            <w:tcBorders>
              <w:top w:val="nil"/>
              <w:left w:val="nil"/>
              <w:bottom w:val="nil"/>
              <w:right w:val="single" w:sz="12" w:space="0" w:color="E7E6E6" w:themeColor="background2"/>
            </w:tcBorders>
            <w:noWrap/>
            <w:vAlign w:val="center"/>
            <w:hideMark/>
          </w:tcPr>
          <w:p w14:paraId="697A1DFB"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Blend uniformity from exhibit batches</w:t>
            </w:r>
          </w:p>
        </w:tc>
      </w:tr>
      <w:tr w:rsidR="001B3AC6" w:rsidRPr="001B3AC6" w14:paraId="0CFF221E" w14:textId="77777777" w:rsidTr="00237A11">
        <w:trPr>
          <w:trHeight w:val="300"/>
        </w:trPr>
        <w:tc>
          <w:tcPr>
            <w:tcW w:w="4180" w:type="dxa"/>
            <w:tcBorders>
              <w:top w:val="nil"/>
              <w:left w:val="single" w:sz="12" w:space="0" w:color="E7E6E6" w:themeColor="background2"/>
              <w:bottom w:val="nil"/>
              <w:right w:val="single" w:sz="8" w:space="0" w:color="000000"/>
            </w:tcBorders>
            <w:noWrap/>
            <w:vAlign w:val="center"/>
            <w:hideMark/>
          </w:tcPr>
          <w:p w14:paraId="1B02568B"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top w:val="nil"/>
              <w:left w:val="nil"/>
              <w:bottom w:val="nil"/>
              <w:right w:val="single" w:sz="12" w:space="0" w:color="E7E6E6" w:themeColor="background2"/>
            </w:tcBorders>
            <w:noWrap/>
            <w:vAlign w:val="center"/>
            <w:hideMark/>
          </w:tcPr>
          <w:p w14:paraId="43BEE25F"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Development data to support proposed process parameters</w:t>
            </w:r>
          </w:p>
        </w:tc>
      </w:tr>
      <w:tr w:rsidR="001B3AC6" w:rsidRPr="001B3AC6" w14:paraId="1479F6D6" w14:textId="77777777" w:rsidTr="00237A11">
        <w:trPr>
          <w:trHeight w:val="315"/>
        </w:trPr>
        <w:tc>
          <w:tcPr>
            <w:tcW w:w="4180" w:type="dxa"/>
            <w:tcBorders>
              <w:top w:val="nil"/>
              <w:left w:val="single" w:sz="12" w:space="0" w:color="E7E6E6" w:themeColor="background2"/>
              <w:bottom w:val="single" w:sz="8" w:space="0" w:color="000000"/>
              <w:right w:val="single" w:sz="8" w:space="0" w:color="000000"/>
            </w:tcBorders>
            <w:noWrap/>
            <w:vAlign w:val="center"/>
            <w:hideMark/>
          </w:tcPr>
          <w:p w14:paraId="32CC96F1"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top w:val="nil"/>
              <w:left w:val="nil"/>
              <w:bottom w:val="single" w:sz="8" w:space="0" w:color="000000"/>
              <w:right w:val="single" w:sz="12" w:space="0" w:color="E7E6E6" w:themeColor="background2"/>
            </w:tcBorders>
            <w:noWrap/>
            <w:vAlign w:val="center"/>
            <w:hideMark/>
          </w:tcPr>
          <w:p w14:paraId="6DC75E4F"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themeColor="text1"/>
              </w:rPr>
              <w:t>etc.</w:t>
            </w:r>
          </w:p>
        </w:tc>
      </w:tr>
      <w:tr w:rsidR="001B3AC6" w:rsidRPr="001B3AC6" w14:paraId="21F01779" w14:textId="77777777" w:rsidTr="00237A11">
        <w:trPr>
          <w:trHeight w:val="300"/>
        </w:trPr>
        <w:tc>
          <w:tcPr>
            <w:tcW w:w="4180" w:type="dxa"/>
            <w:tcBorders>
              <w:top w:val="nil"/>
              <w:left w:val="single" w:sz="12" w:space="0" w:color="E7E6E6" w:themeColor="background2"/>
              <w:bottom w:val="nil"/>
              <w:right w:val="single" w:sz="8" w:space="0" w:color="000000"/>
            </w:tcBorders>
            <w:noWrap/>
            <w:vAlign w:val="center"/>
            <w:hideMark/>
          </w:tcPr>
          <w:p w14:paraId="25FF2638"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Scale-up Proposal - Consideration</w:t>
            </w:r>
          </w:p>
        </w:tc>
        <w:tc>
          <w:tcPr>
            <w:tcW w:w="5150" w:type="dxa"/>
            <w:tcBorders>
              <w:top w:val="nil"/>
              <w:left w:val="nil"/>
              <w:bottom w:val="nil"/>
              <w:right w:val="single" w:sz="12" w:space="0" w:color="E7E6E6" w:themeColor="background2"/>
            </w:tcBorders>
            <w:noWrap/>
            <w:vAlign w:val="center"/>
            <w:hideMark/>
          </w:tcPr>
          <w:p w14:paraId="4869E7D8"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No scale up proposed</w:t>
            </w:r>
          </w:p>
        </w:tc>
      </w:tr>
      <w:tr w:rsidR="001B3AC6" w:rsidRPr="001B3AC6" w14:paraId="6077241B" w14:textId="77777777" w:rsidTr="00237A11">
        <w:trPr>
          <w:trHeight w:val="300"/>
        </w:trPr>
        <w:tc>
          <w:tcPr>
            <w:tcW w:w="4180" w:type="dxa"/>
            <w:tcBorders>
              <w:top w:val="nil"/>
              <w:left w:val="single" w:sz="12" w:space="0" w:color="E7E6E6" w:themeColor="background2"/>
              <w:bottom w:val="nil"/>
              <w:right w:val="single" w:sz="8" w:space="0" w:color="000000"/>
            </w:tcBorders>
            <w:noWrap/>
            <w:vAlign w:val="center"/>
            <w:hideMark/>
          </w:tcPr>
          <w:p w14:paraId="12C133CF"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top w:val="nil"/>
              <w:left w:val="nil"/>
              <w:bottom w:val="nil"/>
              <w:right w:val="single" w:sz="12" w:space="0" w:color="E7E6E6" w:themeColor="background2"/>
            </w:tcBorders>
            <w:noWrap/>
            <w:vAlign w:val="center"/>
            <w:hideMark/>
          </w:tcPr>
          <w:p w14:paraId="18ED3E2E"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Scale up factor of unit operation</w:t>
            </w:r>
          </w:p>
        </w:tc>
      </w:tr>
      <w:tr w:rsidR="001B3AC6" w:rsidRPr="001B3AC6" w14:paraId="6E33128E" w14:textId="77777777" w:rsidTr="00237A11">
        <w:trPr>
          <w:trHeight w:val="300"/>
        </w:trPr>
        <w:tc>
          <w:tcPr>
            <w:tcW w:w="4180" w:type="dxa"/>
            <w:tcBorders>
              <w:top w:val="nil"/>
              <w:left w:val="single" w:sz="12" w:space="0" w:color="E7E6E6" w:themeColor="background2"/>
              <w:bottom w:val="nil"/>
              <w:right w:val="single" w:sz="8" w:space="0" w:color="000000"/>
            </w:tcBorders>
            <w:noWrap/>
            <w:vAlign w:val="center"/>
            <w:hideMark/>
          </w:tcPr>
          <w:p w14:paraId="55B0FEE4"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top w:val="nil"/>
              <w:left w:val="nil"/>
              <w:bottom w:val="nil"/>
              <w:right w:val="single" w:sz="12" w:space="0" w:color="E7E6E6" w:themeColor="background2"/>
            </w:tcBorders>
            <w:noWrap/>
            <w:vAlign w:val="center"/>
            <w:hideMark/>
          </w:tcPr>
          <w:p w14:paraId="022F5DEE"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Change of equipment principle</w:t>
            </w:r>
          </w:p>
        </w:tc>
      </w:tr>
      <w:tr w:rsidR="001B3AC6" w:rsidRPr="001B3AC6" w14:paraId="4DC89F4D" w14:textId="77777777" w:rsidTr="00237A11">
        <w:trPr>
          <w:trHeight w:val="300"/>
        </w:trPr>
        <w:tc>
          <w:tcPr>
            <w:tcW w:w="4180" w:type="dxa"/>
            <w:vMerge w:val="restart"/>
            <w:tcBorders>
              <w:top w:val="nil"/>
              <w:left w:val="single" w:sz="12" w:space="0" w:color="E7E6E6" w:themeColor="background2"/>
              <w:bottom w:val="single" w:sz="8" w:space="0" w:color="000000"/>
              <w:right w:val="single" w:sz="8" w:space="0" w:color="000000"/>
            </w:tcBorders>
            <w:noWrap/>
            <w:vAlign w:val="center"/>
            <w:hideMark/>
          </w:tcPr>
          <w:p w14:paraId="385BBA0A"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top w:val="nil"/>
              <w:left w:val="nil"/>
              <w:bottom w:val="nil"/>
              <w:right w:val="single" w:sz="12" w:space="0" w:color="E7E6E6" w:themeColor="background2"/>
            </w:tcBorders>
            <w:noWrap/>
            <w:vAlign w:val="center"/>
            <w:hideMark/>
          </w:tcPr>
          <w:p w14:paraId="31FCE421"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Sublots</w:t>
            </w:r>
          </w:p>
        </w:tc>
      </w:tr>
      <w:tr w:rsidR="001B3AC6" w:rsidRPr="001B3AC6" w14:paraId="2C9BC953" w14:textId="77777777" w:rsidTr="00237A11">
        <w:trPr>
          <w:trHeight w:val="315"/>
        </w:trPr>
        <w:tc>
          <w:tcPr>
            <w:tcW w:w="4180" w:type="dxa"/>
            <w:vMerge/>
            <w:tcBorders>
              <w:top w:val="nil"/>
              <w:left w:val="single" w:sz="12" w:space="0" w:color="E7E6E6" w:themeColor="background2"/>
              <w:bottom w:val="single" w:sz="8" w:space="0" w:color="000000"/>
              <w:right w:val="single" w:sz="8" w:space="0" w:color="000000"/>
            </w:tcBorders>
            <w:vAlign w:val="center"/>
            <w:hideMark/>
          </w:tcPr>
          <w:p w14:paraId="24943A98" w14:textId="77777777" w:rsidR="001B3AC6" w:rsidRPr="001B3AC6" w:rsidRDefault="001B3AC6" w:rsidP="001B3AC6">
            <w:pPr>
              <w:spacing w:after="0" w:line="240" w:lineRule="auto"/>
              <w:rPr>
                <w:rFonts w:eastAsia="Times New Roman" w:cstheme="minorHAnsi"/>
                <w:b/>
                <w:bCs/>
                <w:color w:val="000000"/>
              </w:rPr>
            </w:pPr>
          </w:p>
        </w:tc>
        <w:tc>
          <w:tcPr>
            <w:tcW w:w="5150" w:type="dxa"/>
            <w:tcBorders>
              <w:top w:val="nil"/>
              <w:left w:val="nil"/>
              <w:bottom w:val="single" w:sz="8" w:space="0" w:color="000000"/>
              <w:right w:val="single" w:sz="12" w:space="0" w:color="E7E6E6" w:themeColor="background2"/>
            </w:tcBorders>
            <w:noWrap/>
            <w:vAlign w:val="center"/>
            <w:hideMark/>
          </w:tcPr>
          <w:p w14:paraId="6598A917"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themeColor="text1"/>
              </w:rPr>
              <w:t>etc.</w:t>
            </w:r>
          </w:p>
        </w:tc>
      </w:tr>
      <w:tr w:rsidR="001B3AC6" w:rsidRPr="001B3AC6" w14:paraId="30C3C7ED" w14:textId="77777777" w:rsidTr="00237A11">
        <w:trPr>
          <w:trHeight w:val="315"/>
        </w:trPr>
        <w:tc>
          <w:tcPr>
            <w:tcW w:w="9330" w:type="dxa"/>
            <w:gridSpan w:val="2"/>
            <w:tcBorders>
              <w:top w:val="single" w:sz="8" w:space="0" w:color="000000"/>
              <w:left w:val="single" w:sz="12" w:space="0" w:color="E7E6E6" w:themeColor="background2"/>
              <w:bottom w:val="single" w:sz="8" w:space="0" w:color="000000"/>
              <w:right w:val="single" w:sz="12" w:space="0" w:color="E7E6E6" w:themeColor="background2"/>
            </w:tcBorders>
            <w:noWrap/>
            <w:vAlign w:val="center"/>
            <w:hideMark/>
          </w:tcPr>
          <w:p w14:paraId="6F873331" w14:textId="77777777" w:rsidR="001B3AC6" w:rsidRPr="001B3AC6" w:rsidRDefault="001B3AC6" w:rsidP="001B3AC6">
            <w:pPr>
              <w:spacing w:after="0" w:line="240" w:lineRule="auto"/>
              <w:jc w:val="center"/>
              <w:rPr>
                <w:rFonts w:eastAsia="Times New Roman" w:cstheme="minorHAnsi"/>
                <w:b/>
                <w:bCs/>
                <w:color w:val="000000"/>
              </w:rPr>
            </w:pPr>
            <w:r w:rsidRPr="001B3AC6">
              <w:rPr>
                <w:rFonts w:eastAsia="Times New Roman" w:cstheme="minorHAnsi"/>
                <w:b/>
                <w:bCs/>
                <w:color w:val="000000"/>
              </w:rPr>
              <w:t xml:space="preserve">Compression </w:t>
            </w:r>
          </w:p>
        </w:tc>
      </w:tr>
      <w:tr w:rsidR="001B3AC6" w:rsidRPr="001B3AC6" w14:paraId="20824A0F" w14:textId="77777777" w:rsidTr="00237A11">
        <w:trPr>
          <w:trHeight w:val="315"/>
        </w:trPr>
        <w:tc>
          <w:tcPr>
            <w:tcW w:w="4180" w:type="dxa"/>
            <w:tcBorders>
              <w:top w:val="single" w:sz="8" w:space="0" w:color="000000"/>
              <w:left w:val="single" w:sz="12" w:space="0" w:color="E7E6E6" w:themeColor="background2"/>
              <w:bottom w:val="single" w:sz="8" w:space="0" w:color="auto"/>
              <w:right w:val="single" w:sz="8" w:space="0" w:color="auto"/>
            </w:tcBorders>
            <w:noWrap/>
            <w:vAlign w:val="center"/>
            <w:hideMark/>
          </w:tcPr>
          <w:p w14:paraId="61D9A2F1" w14:textId="6137AE3B"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Risk Control Strategies</w:t>
            </w:r>
            <w:r w:rsidR="00EB60B2">
              <w:rPr>
                <w:rFonts w:eastAsia="Times New Roman" w:cstheme="minorHAnsi"/>
                <w:b/>
                <w:bCs/>
                <w:color w:val="000000"/>
              </w:rPr>
              <w:t xml:space="preserve"> </w:t>
            </w:r>
            <w:r w:rsidRPr="001B3AC6">
              <w:rPr>
                <w:rFonts w:eastAsia="Times New Roman" w:cstheme="minorHAnsi"/>
                <w:b/>
                <w:bCs/>
                <w:color w:val="000000"/>
              </w:rPr>
              <w:t xml:space="preserve">- </w:t>
            </w:r>
            <w:r w:rsidR="00EB60B2">
              <w:rPr>
                <w:rFonts w:eastAsia="Times New Roman" w:cstheme="minorHAnsi"/>
                <w:b/>
                <w:bCs/>
                <w:color w:val="000000"/>
              </w:rPr>
              <w:t>D</w:t>
            </w:r>
            <w:r w:rsidR="00EB60B2" w:rsidRPr="001B3AC6">
              <w:rPr>
                <w:rFonts w:eastAsia="Times New Roman" w:cstheme="minorHAnsi"/>
                <w:b/>
                <w:bCs/>
                <w:color w:val="000000"/>
              </w:rPr>
              <w:t xml:space="preserve">esign </w:t>
            </w:r>
            <w:r w:rsidRPr="001B3AC6">
              <w:rPr>
                <w:rFonts w:eastAsia="Times New Roman" w:cstheme="minorHAnsi"/>
                <w:b/>
                <w:bCs/>
                <w:color w:val="000000"/>
              </w:rPr>
              <w:t xml:space="preserve">and </w:t>
            </w:r>
            <w:r w:rsidR="00EB60B2">
              <w:rPr>
                <w:rFonts w:eastAsia="Times New Roman" w:cstheme="minorHAnsi"/>
                <w:b/>
                <w:bCs/>
                <w:color w:val="000000"/>
              </w:rPr>
              <w:t>D</w:t>
            </w:r>
            <w:r w:rsidR="00EB60B2" w:rsidRPr="001B3AC6">
              <w:rPr>
                <w:rFonts w:eastAsia="Times New Roman" w:cstheme="minorHAnsi"/>
                <w:b/>
                <w:bCs/>
                <w:color w:val="000000"/>
              </w:rPr>
              <w:t>evelopment</w:t>
            </w:r>
          </w:p>
        </w:tc>
        <w:tc>
          <w:tcPr>
            <w:tcW w:w="5150" w:type="dxa"/>
            <w:tcBorders>
              <w:top w:val="single" w:sz="8" w:space="0" w:color="000000"/>
              <w:left w:val="single" w:sz="8" w:space="0" w:color="auto"/>
              <w:bottom w:val="single" w:sz="8" w:space="0" w:color="auto"/>
              <w:right w:val="single" w:sz="12" w:space="0" w:color="E7E6E6" w:themeColor="background2"/>
            </w:tcBorders>
            <w:noWrap/>
            <w:vAlign w:val="center"/>
            <w:hideMark/>
          </w:tcPr>
          <w:p w14:paraId="754CDB34"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 </w:t>
            </w:r>
          </w:p>
        </w:tc>
      </w:tr>
      <w:tr w:rsidR="001B3AC6" w:rsidRPr="001B3AC6" w14:paraId="5D5F1C91" w14:textId="77777777" w:rsidTr="00237A11">
        <w:trPr>
          <w:trHeight w:val="300"/>
        </w:trPr>
        <w:tc>
          <w:tcPr>
            <w:tcW w:w="4180" w:type="dxa"/>
            <w:tcBorders>
              <w:top w:val="single" w:sz="8" w:space="0" w:color="auto"/>
              <w:left w:val="single" w:sz="12" w:space="0" w:color="E7E6E6" w:themeColor="background2"/>
              <w:right w:val="single" w:sz="8" w:space="0" w:color="auto"/>
            </w:tcBorders>
            <w:noWrap/>
            <w:vAlign w:val="center"/>
            <w:hideMark/>
          </w:tcPr>
          <w:p w14:paraId="415FF824"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Special Considerations</w:t>
            </w:r>
          </w:p>
        </w:tc>
        <w:tc>
          <w:tcPr>
            <w:tcW w:w="5150" w:type="dxa"/>
            <w:tcBorders>
              <w:top w:val="single" w:sz="8" w:space="0" w:color="auto"/>
              <w:left w:val="single" w:sz="8" w:space="0" w:color="auto"/>
              <w:right w:val="single" w:sz="12" w:space="0" w:color="E7E6E6" w:themeColor="background2"/>
            </w:tcBorders>
            <w:noWrap/>
            <w:vAlign w:val="center"/>
            <w:hideMark/>
          </w:tcPr>
          <w:p w14:paraId="19BF5CFD" w14:textId="431483E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This is a unique design tablet (e.g.</w:t>
            </w:r>
            <w:r w:rsidR="00A2331C">
              <w:rPr>
                <w:rFonts w:ascii="Calibri" w:eastAsia="Times New Roman" w:hAnsi="Calibri" w:cs="Calibri"/>
                <w:color w:val="000000"/>
              </w:rPr>
              <w:t>,</w:t>
            </w:r>
            <w:r w:rsidRPr="001B3AC6">
              <w:rPr>
                <w:rFonts w:ascii="Calibri" w:eastAsia="Times New Roman" w:hAnsi="Calibri" w:cs="Calibri"/>
                <w:color w:val="000000"/>
              </w:rPr>
              <w:t xml:space="preserve"> multi-layer tablet, scored tablet)</w:t>
            </w:r>
          </w:p>
        </w:tc>
      </w:tr>
      <w:tr w:rsidR="001B3AC6" w:rsidRPr="001B3AC6" w14:paraId="1546F672" w14:textId="77777777" w:rsidTr="00237A11">
        <w:trPr>
          <w:trHeight w:val="300"/>
        </w:trPr>
        <w:tc>
          <w:tcPr>
            <w:tcW w:w="4180" w:type="dxa"/>
            <w:tcBorders>
              <w:left w:val="single" w:sz="12" w:space="0" w:color="E7E6E6" w:themeColor="background2"/>
              <w:right w:val="single" w:sz="8" w:space="0" w:color="auto"/>
            </w:tcBorders>
            <w:noWrap/>
            <w:vAlign w:val="center"/>
            <w:hideMark/>
          </w:tcPr>
          <w:p w14:paraId="24D7CB88"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left w:val="single" w:sz="8" w:space="0" w:color="auto"/>
              <w:right w:val="single" w:sz="12" w:space="0" w:color="E7E6E6" w:themeColor="background2"/>
            </w:tcBorders>
            <w:noWrap/>
            <w:vAlign w:val="center"/>
            <w:hideMark/>
          </w:tcPr>
          <w:p w14:paraId="05A7E69E"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Disintegration proposed as a surrogate for dissolution</w:t>
            </w:r>
          </w:p>
        </w:tc>
      </w:tr>
      <w:tr w:rsidR="001B3AC6" w:rsidRPr="001B3AC6" w14:paraId="5AEA8A74" w14:textId="77777777" w:rsidTr="00237A11">
        <w:trPr>
          <w:trHeight w:val="300"/>
        </w:trPr>
        <w:tc>
          <w:tcPr>
            <w:tcW w:w="4180" w:type="dxa"/>
            <w:vMerge w:val="restart"/>
            <w:tcBorders>
              <w:left w:val="single" w:sz="12" w:space="0" w:color="E7E6E6" w:themeColor="background2"/>
              <w:right w:val="single" w:sz="8" w:space="0" w:color="auto"/>
            </w:tcBorders>
            <w:noWrap/>
            <w:vAlign w:val="center"/>
            <w:hideMark/>
          </w:tcPr>
          <w:p w14:paraId="5E692BFC"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left w:val="single" w:sz="8" w:space="0" w:color="auto"/>
              <w:right w:val="single" w:sz="12" w:space="0" w:color="E7E6E6" w:themeColor="background2"/>
            </w:tcBorders>
            <w:noWrap/>
            <w:vAlign w:val="center"/>
            <w:hideMark/>
          </w:tcPr>
          <w:p w14:paraId="03C941B6"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Special consideration for in-coming material attributes</w:t>
            </w:r>
          </w:p>
        </w:tc>
      </w:tr>
      <w:tr w:rsidR="001B3AC6" w:rsidRPr="001B3AC6" w14:paraId="0B662BCD" w14:textId="77777777" w:rsidTr="00237A11">
        <w:trPr>
          <w:trHeight w:val="315"/>
        </w:trPr>
        <w:tc>
          <w:tcPr>
            <w:tcW w:w="4180" w:type="dxa"/>
            <w:vMerge/>
            <w:tcBorders>
              <w:left w:val="single" w:sz="12" w:space="0" w:color="E7E6E6" w:themeColor="background2"/>
              <w:bottom w:val="single" w:sz="8" w:space="0" w:color="auto"/>
              <w:right w:val="single" w:sz="8" w:space="0" w:color="auto"/>
            </w:tcBorders>
            <w:vAlign w:val="center"/>
            <w:hideMark/>
          </w:tcPr>
          <w:p w14:paraId="72CE6BD7" w14:textId="77777777" w:rsidR="001B3AC6" w:rsidRPr="001B3AC6" w:rsidRDefault="001B3AC6" w:rsidP="001B3AC6">
            <w:pPr>
              <w:spacing w:after="0" w:line="240" w:lineRule="auto"/>
              <w:rPr>
                <w:rFonts w:eastAsia="Times New Roman" w:cstheme="minorHAnsi"/>
                <w:b/>
                <w:bCs/>
                <w:color w:val="000000"/>
              </w:rPr>
            </w:pPr>
          </w:p>
        </w:tc>
        <w:tc>
          <w:tcPr>
            <w:tcW w:w="5150" w:type="dxa"/>
            <w:tcBorders>
              <w:left w:val="single" w:sz="8" w:space="0" w:color="auto"/>
              <w:bottom w:val="single" w:sz="8" w:space="0" w:color="auto"/>
              <w:right w:val="single" w:sz="12" w:space="0" w:color="E7E6E6" w:themeColor="background2"/>
            </w:tcBorders>
            <w:noWrap/>
            <w:vAlign w:val="center"/>
            <w:hideMark/>
          </w:tcPr>
          <w:p w14:paraId="740BFFED"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themeColor="text1"/>
              </w:rPr>
              <w:t>etc.</w:t>
            </w:r>
          </w:p>
        </w:tc>
      </w:tr>
      <w:tr w:rsidR="001B3AC6" w:rsidRPr="001B3AC6" w14:paraId="12805E2A" w14:textId="77777777" w:rsidTr="00237A11">
        <w:trPr>
          <w:trHeight w:val="315"/>
        </w:trPr>
        <w:tc>
          <w:tcPr>
            <w:tcW w:w="4180" w:type="dxa"/>
            <w:tcBorders>
              <w:top w:val="single" w:sz="8" w:space="0" w:color="auto"/>
              <w:left w:val="single" w:sz="12" w:space="0" w:color="E7E6E6" w:themeColor="background2"/>
              <w:right w:val="single" w:sz="8" w:space="0" w:color="auto"/>
            </w:tcBorders>
            <w:noWrap/>
            <w:vAlign w:val="center"/>
            <w:hideMark/>
          </w:tcPr>
          <w:p w14:paraId="69AAFEF5"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Process Development - Consideration</w:t>
            </w:r>
          </w:p>
        </w:tc>
        <w:tc>
          <w:tcPr>
            <w:tcW w:w="5150" w:type="dxa"/>
            <w:tcBorders>
              <w:top w:val="single" w:sz="8" w:space="0" w:color="auto"/>
              <w:left w:val="single" w:sz="8" w:space="0" w:color="auto"/>
              <w:right w:val="single" w:sz="12" w:space="0" w:color="E7E6E6" w:themeColor="background2"/>
            </w:tcBorders>
            <w:noWrap/>
            <w:vAlign w:val="center"/>
            <w:hideMark/>
          </w:tcPr>
          <w:p w14:paraId="6003F2A4"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Hardness challenge</w:t>
            </w:r>
          </w:p>
        </w:tc>
      </w:tr>
      <w:tr w:rsidR="001B3AC6" w:rsidRPr="001B3AC6" w14:paraId="30FFBAF1" w14:textId="77777777" w:rsidTr="00237A11">
        <w:trPr>
          <w:trHeight w:val="300"/>
        </w:trPr>
        <w:tc>
          <w:tcPr>
            <w:tcW w:w="4180" w:type="dxa"/>
            <w:tcBorders>
              <w:left w:val="single" w:sz="12" w:space="0" w:color="E7E6E6" w:themeColor="background2"/>
              <w:right w:val="single" w:sz="8" w:space="0" w:color="auto"/>
            </w:tcBorders>
            <w:noWrap/>
            <w:vAlign w:val="center"/>
            <w:hideMark/>
          </w:tcPr>
          <w:p w14:paraId="61A929E7"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left w:val="single" w:sz="8" w:space="0" w:color="auto"/>
              <w:right w:val="single" w:sz="12" w:space="0" w:color="E7E6E6" w:themeColor="background2"/>
            </w:tcBorders>
            <w:noWrap/>
            <w:vAlign w:val="center"/>
            <w:hideMark/>
          </w:tcPr>
          <w:p w14:paraId="31B9690C"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Machine speed study</w:t>
            </w:r>
          </w:p>
        </w:tc>
      </w:tr>
      <w:tr w:rsidR="001B3AC6" w:rsidRPr="001B3AC6" w14:paraId="35450F99" w14:textId="77777777" w:rsidTr="00237A11">
        <w:trPr>
          <w:trHeight w:val="300"/>
        </w:trPr>
        <w:tc>
          <w:tcPr>
            <w:tcW w:w="4180" w:type="dxa"/>
            <w:tcBorders>
              <w:left w:val="single" w:sz="12" w:space="0" w:color="E7E6E6" w:themeColor="background2"/>
              <w:right w:val="single" w:sz="8" w:space="0" w:color="auto"/>
            </w:tcBorders>
            <w:noWrap/>
            <w:vAlign w:val="center"/>
            <w:hideMark/>
          </w:tcPr>
          <w:p w14:paraId="5DB37143"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left w:val="single" w:sz="8" w:space="0" w:color="auto"/>
              <w:right w:val="single" w:sz="12" w:space="0" w:color="E7E6E6" w:themeColor="background2"/>
            </w:tcBorders>
            <w:noWrap/>
            <w:vAlign w:val="center"/>
            <w:hideMark/>
          </w:tcPr>
          <w:p w14:paraId="480CFCA5"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Development data to support proposed process parameters</w:t>
            </w:r>
          </w:p>
        </w:tc>
      </w:tr>
      <w:tr w:rsidR="001B3AC6" w:rsidRPr="001B3AC6" w14:paraId="2ACF6EB6" w14:textId="77777777" w:rsidTr="00237A11">
        <w:trPr>
          <w:trHeight w:val="315"/>
        </w:trPr>
        <w:tc>
          <w:tcPr>
            <w:tcW w:w="4180" w:type="dxa"/>
            <w:tcBorders>
              <w:left w:val="single" w:sz="12" w:space="0" w:color="E7E6E6" w:themeColor="background2"/>
              <w:bottom w:val="single" w:sz="8" w:space="0" w:color="auto"/>
              <w:right w:val="single" w:sz="8" w:space="0" w:color="auto"/>
            </w:tcBorders>
            <w:noWrap/>
            <w:vAlign w:val="center"/>
            <w:hideMark/>
          </w:tcPr>
          <w:p w14:paraId="35742943" w14:textId="77777777" w:rsidR="001B3AC6" w:rsidRPr="001B3AC6" w:rsidRDefault="001B3AC6" w:rsidP="001B3AC6">
            <w:pPr>
              <w:spacing w:after="0" w:line="240" w:lineRule="auto"/>
              <w:rPr>
                <w:rFonts w:eastAsia="Times New Roman" w:cstheme="minorHAnsi"/>
                <w:b/>
                <w:bCs/>
                <w:color w:val="000000"/>
              </w:rPr>
            </w:pPr>
            <w:r w:rsidRPr="001B3AC6">
              <w:rPr>
                <w:rFonts w:eastAsia="Times New Roman" w:cstheme="minorHAnsi"/>
                <w:b/>
                <w:bCs/>
                <w:color w:val="000000"/>
              </w:rPr>
              <w:t> </w:t>
            </w:r>
          </w:p>
        </w:tc>
        <w:tc>
          <w:tcPr>
            <w:tcW w:w="5150" w:type="dxa"/>
            <w:tcBorders>
              <w:left w:val="single" w:sz="8" w:space="0" w:color="auto"/>
              <w:bottom w:val="single" w:sz="8" w:space="0" w:color="auto"/>
              <w:right w:val="single" w:sz="12" w:space="0" w:color="E7E6E6" w:themeColor="background2"/>
            </w:tcBorders>
            <w:noWrap/>
            <w:vAlign w:val="center"/>
            <w:hideMark/>
          </w:tcPr>
          <w:p w14:paraId="445FD086"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themeColor="text1"/>
              </w:rPr>
              <w:t>etc.</w:t>
            </w:r>
          </w:p>
        </w:tc>
      </w:tr>
      <w:tr w:rsidR="001B3AC6" w:rsidRPr="001B3AC6" w14:paraId="12CB8191" w14:textId="77777777" w:rsidTr="00237A11">
        <w:trPr>
          <w:trHeight w:val="315"/>
        </w:trPr>
        <w:tc>
          <w:tcPr>
            <w:tcW w:w="4180" w:type="dxa"/>
            <w:vMerge w:val="restart"/>
            <w:tcBorders>
              <w:top w:val="single" w:sz="8" w:space="0" w:color="auto"/>
              <w:left w:val="single" w:sz="12" w:space="0" w:color="E7E6E6" w:themeColor="background2"/>
              <w:right w:val="single" w:sz="8" w:space="0" w:color="auto"/>
            </w:tcBorders>
            <w:noWrap/>
            <w:vAlign w:val="center"/>
            <w:hideMark/>
          </w:tcPr>
          <w:p w14:paraId="72D70146" w14:textId="4638C176" w:rsidR="001B3AC6" w:rsidRPr="001B3AC6" w:rsidRDefault="00016F99" w:rsidP="001B3AC6">
            <w:pPr>
              <w:spacing w:after="0" w:line="240" w:lineRule="auto"/>
              <w:rPr>
                <w:rFonts w:eastAsia="Times New Roman" w:cstheme="minorHAnsi"/>
                <w:b/>
                <w:bCs/>
                <w:color w:val="000000"/>
              </w:rPr>
            </w:pPr>
            <w:r w:rsidRPr="00016F99">
              <w:rPr>
                <w:rFonts w:eastAsia="Times New Roman" w:cstheme="minorHAnsi"/>
                <w:b/>
                <w:bCs/>
                <w:color w:val="000000"/>
              </w:rPr>
              <w:t>Scale-up Proposal - Consideration</w:t>
            </w:r>
          </w:p>
        </w:tc>
        <w:tc>
          <w:tcPr>
            <w:tcW w:w="5150" w:type="dxa"/>
            <w:tcBorders>
              <w:top w:val="single" w:sz="8" w:space="0" w:color="auto"/>
              <w:left w:val="single" w:sz="8" w:space="0" w:color="auto"/>
              <w:right w:val="single" w:sz="12" w:space="0" w:color="E7E6E6" w:themeColor="background2"/>
            </w:tcBorders>
            <w:noWrap/>
            <w:vAlign w:val="center"/>
            <w:hideMark/>
          </w:tcPr>
          <w:p w14:paraId="3D58CD5F" w14:textId="77777777" w:rsidR="001B3AC6" w:rsidRPr="001B3AC6"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No scale up proposed</w:t>
            </w:r>
          </w:p>
        </w:tc>
      </w:tr>
      <w:tr w:rsidR="001B3AC6" w:rsidRPr="001B3AC6" w14:paraId="3C79B30D" w14:textId="77777777" w:rsidTr="00237A11">
        <w:trPr>
          <w:trHeight w:val="675"/>
        </w:trPr>
        <w:tc>
          <w:tcPr>
            <w:tcW w:w="4180" w:type="dxa"/>
            <w:vMerge/>
            <w:tcBorders>
              <w:left w:val="single" w:sz="12" w:space="0" w:color="E7E6E6" w:themeColor="background2"/>
              <w:bottom w:val="single" w:sz="4" w:space="0" w:color="auto"/>
              <w:right w:val="single" w:sz="8" w:space="0" w:color="auto"/>
            </w:tcBorders>
            <w:vAlign w:val="center"/>
            <w:hideMark/>
          </w:tcPr>
          <w:p w14:paraId="2436592A" w14:textId="77777777" w:rsidR="001B3AC6" w:rsidRPr="001B3AC6" w:rsidRDefault="001B3AC6" w:rsidP="001B3AC6">
            <w:pPr>
              <w:spacing w:after="0" w:line="240" w:lineRule="auto"/>
              <w:rPr>
                <w:rFonts w:ascii="Calibri" w:eastAsia="Times New Roman" w:hAnsi="Calibri" w:cs="Calibri"/>
                <w:b/>
                <w:bCs/>
                <w:color w:val="000000"/>
              </w:rPr>
            </w:pPr>
          </w:p>
        </w:tc>
        <w:tc>
          <w:tcPr>
            <w:tcW w:w="5150" w:type="dxa"/>
            <w:tcBorders>
              <w:left w:val="single" w:sz="8" w:space="0" w:color="auto"/>
              <w:bottom w:val="single" w:sz="4" w:space="0" w:color="auto"/>
              <w:right w:val="single" w:sz="12" w:space="0" w:color="E7E6E6" w:themeColor="background2"/>
            </w:tcBorders>
            <w:noWrap/>
            <w:vAlign w:val="center"/>
            <w:hideMark/>
          </w:tcPr>
          <w:p w14:paraId="0894FAEB" w14:textId="77777777" w:rsidR="00FC68A1" w:rsidRDefault="001B3AC6" w:rsidP="001B3AC6">
            <w:pPr>
              <w:spacing w:after="0" w:line="240" w:lineRule="auto"/>
              <w:rPr>
                <w:rFonts w:ascii="Calibri" w:eastAsia="Times New Roman" w:hAnsi="Calibri" w:cs="Calibri"/>
                <w:color w:val="000000"/>
              </w:rPr>
            </w:pPr>
            <w:r w:rsidRPr="001B3AC6">
              <w:rPr>
                <w:rFonts w:ascii="Calibri" w:eastAsia="Times New Roman" w:hAnsi="Calibri" w:cs="Calibri"/>
                <w:color w:val="000000"/>
              </w:rPr>
              <w:t>Scale up within 10 folds</w:t>
            </w:r>
          </w:p>
          <w:p w14:paraId="420CF144" w14:textId="343FA475" w:rsidR="00FC68A1" w:rsidRPr="008E5FB1" w:rsidRDefault="00FC68A1" w:rsidP="001B3AC6">
            <w:pPr>
              <w:spacing w:after="0" w:line="240" w:lineRule="auto"/>
              <w:rPr>
                <w:rFonts w:ascii="Calibri" w:eastAsia="Times New Roman" w:hAnsi="Calibri" w:cs="Calibri"/>
                <w:color w:val="000000"/>
              </w:rPr>
            </w:pPr>
            <w:r w:rsidRPr="00FC68A1">
              <w:rPr>
                <w:rFonts w:ascii="Calibri" w:eastAsia="Times New Roman" w:hAnsi="Calibri" w:cs="Calibri"/>
                <w:color w:val="000000"/>
              </w:rPr>
              <w:t>Change of equipment principle</w:t>
            </w:r>
          </w:p>
          <w:p w14:paraId="540770A8" w14:textId="7EC6903B" w:rsidR="008E5FB1" w:rsidRPr="001B3AC6" w:rsidRDefault="008E5FB1" w:rsidP="001B3AC6">
            <w:pPr>
              <w:spacing w:after="0" w:line="240" w:lineRule="auto"/>
              <w:rPr>
                <w:rFonts w:ascii="Calibri" w:eastAsia="Times New Roman" w:hAnsi="Calibri" w:cs="Calibri"/>
                <w:color w:val="000000"/>
              </w:rPr>
            </w:pPr>
            <w:r w:rsidRPr="008E5FB1">
              <w:rPr>
                <w:rFonts w:ascii="Calibri" w:eastAsia="Times New Roman" w:hAnsi="Calibri" w:cs="Calibri"/>
                <w:color w:val="000000"/>
              </w:rPr>
              <w:t>etc.</w:t>
            </w:r>
          </w:p>
        </w:tc>
      </w:tr>
    </w:tbl>
    <w:p w14:paraId="709DDB63" w14:textId="77777777" w:rsidR="001B3AC6" w:rsidRDefault="001B3AC6" w:rsidP="00867177">
      <w:pPr>
        <w:rPr>
          <w:rFonts w:ascii="Arial" w:hAnsi="Arial" w:cs="Arial"/>
        </w:rPr>
      </w:pPr>
    </w:p>
    <w:p w14:paraId="4785BCAB" w14:textId="77777777" w:rsidR="003B554F" w:rsidRDefault="003B554F" w:rsidP="00867177">
      <w:pPr>
        <w:rPr>
          <w:rFonts w:ascii="Arial" w:hAnsi="Arial" w:cs="Arial"/>
        </w:rPr>
      </w:pPr>
    </w:p>
    <w:p w14:paraId="2D85FA73" w14:textId="77777777" w:rsidR="003B554F" w:rsidRDefault="003B554F" w:rsidP="00867177">
      <w:pPr>
        <w:rPr>
          <w:rFonts w:ascii="Arial" w:hAnsi="Arial" w:cs="Arial"/>
        </w:rPr>
      </w:pPr>
    </w:p>
    <w:p w14:paraId="3944222F" w14:textId="77777777" w:rsidR="00B46FEE" w:rsidRDefault="00B46FEE">
      <w:pPr>
        <w:rPr>
          <w:rFonts w:ascii="Arial" w:hAnsi="Arial" w:cs="Arial"/>
        </w:rPr>
      </w:pPr>
      <w:r>
        <w:rPr>
          <w:rFonts w:cs="Arial"/>
          <w:b/>
        </w:rPr>
        <w:br w:type="page"/>
      </w:r>
    </w:p>
    <w:p w14:paraId="5B6E107C" w14:textId="040E7250" w:rsidR="00DF039C" w:rsidRDefault="00DC7AF8" w:rsidP="00DC7AF8">
      <w:pPr>
        <w:pStyle w:val="Heading1"/>
        <w:rPr>
          <w:i/>
          <w:iCs/>
        </w:rPr>
      </w:pPr>
      <w:r w:rsidRPr="00DC7AF8">
        <w:rPr>
          <w:i/>
          <w:iCs/>
        </w:rPr>
        <w:lastRenderedPageBreak/>
        <w:t>Abbreviations</w:t>
      </w:r>
    </w:p>
    <w:p w14:paraId="2E9EA188" w14:textId="683F28D8" w:rsidR="00DC7AF8" w:rsidRPr="00DD5A93" w:rsidRDefault="005E6C49" w:rsidP="32F416A0">
      <w:pPr>
        <w:spacing w:after="0"/>
        <w:rPr>
          <w:rFonts w:ascii="Calibri" w:eastAsia="Calibri" w:hAnsi="Calibri" w:cs="Calibri"/>
        </w:rPr>
      </w:pPr>
      <w:r>
        <w:rPr>
          <w:rFonts w:ascii="Calibri" w:eastAsia="Calibri" w:hAnsi="Calibri" w:cs="Calibri"/>
          <w:b/>
          <w:bCs/>
        </w:rPr>
        <w:t xml:space="preserve">          </w:t>
      </w:r>
    </w:p>
    <w:p w14:paraId="36FEEDA4" w14:textId="77777777" w:rsidR="00186873" w:rsidRPr="00186873" w:rsidRDefault="0EEF85CA" w:rsidP="6E98053B">
      <w:pPr>
        <w:pStyle w:val="ListParagraph"/>
        <w:numPr>
          <w:ilvl w:val="0"/>
          <w:numId w:val="1"/>
        </w:numPr>
        <w:spacing w:after="0"/>
        <w:rPr>
          <w:rFonts w:ascii="Arial" w:eastAsia="Calibri" w:hAnsi="Arial" w:cs="Arial"/>
        </w:rPr>
      </w:pPr>
      <w:r w:rsidRPr="00186873">
        <w:rPr>
          <w:rFonts w:ascii="Arial" w:eastAsia="Calibri" w:hAnsi="Arial" w:cs="Arial"/>
          <w:b/>
          <w:bCs/>
        </w:rPr>
        <w:t>API</w:t>
      </w:r>
      <w:r w:rsidRPr="00186873">
        <w:rPr>
          <w:rFonts w:ascii="Arial" w:eastAsia="Calibri" w:hAnsi="Arial" w:cs="Arial"/>
        </w:rPr>
        <w:t>: Active Pharmaceutical Ingredient</w:t>
      </w:r>
      <w:r w:rsidR="00186873" w:rsidRPr="00186873">
        <w:rPr>
          <w:rFonts w:ascii="Arial" w:eastAsia="Calibri" w:hAnsi="Arial" w:cs="Arial"/>
          <w:b/>
          <w:bCs/>
        </w:rPr>
        <w:t xml:space="preserve"> </w:t>
      </w:r>
    </w:p>
    <w:p w14:paraId="67353032" w14:textId="6F996B73" w:rsidR="00DC7AF8" w:rsidRPr="00186873" w:rsidRDefault="00186873" w:rsidP="6E98053B">
      <w:pPr>
        <w:pStyle w:val="ListParagraph"/>
        <w:numPr>
          <w:ilvl w:val="0"/>
          <w:numId w:val="1"/>
        </w:numPr>
        <w:spacing w:after="0"/>
        <w:rPr>
          <w:rFonts w:ascii="Arial" w:eastAsia="Calibri" w:hAnsi="Arial" w:cs="Arial"/>
        </w:rPr>
      </w:pPr>
      <w:r w:rsidRPr="00186873">
        <w:rPr>
          <w:rFonts w:ascii="Arial" w:eastAsia="Calibri" w:hAnsi="Arial" w:cs="Arial"/>
          <w:b/>
          <w:bCs/>
        </w:rPr>
        <w:t>ANDA</w:t>
      </w:r>
      <w:r w:rsidRPr="00186873">
        <w:rPr>
          <w:rFonts w:ascii="Arial" w:eastAsia="Calibri" w:hAnsi="Arial" w:cs="Arial"/>
        </w:rPr>
        <w:t>: Abbreviated New Drug Application</w:t>
      </w:r>
    </w:p>
    <w:p w14:paraId="15C4EB9B" w14:textId="56B49C53"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BCS</w:t>
      </w:r>
      <w:r w:rsidRPr="005E6C49">
        <w:rPr>
          <w:rFonts w:ascii="Arial" w:eastAsia="Calibri" w:hAnsi="Arial" w:cs="Arial"/>
        </w:rPr>
        <w:t>: Biopharmaceutical Classification System</w:t>
      </w:r>
    </w:p>
    <w:p w14:paraId="391B3D9A" w14:textId="70647643"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BLA</w:t>
      </w:r>
      <w:r w:rsidRPr="005E6C49">
        <w:rPr>
          <w:rFonts w:ascii="Arial" w:eastAsia="Calibri" w:hAnsi="Arial" w:cs="Arial"/>
        </w:rPr>
        <w:t>: Biologics License Application</w:t>
      </w:r>
    </w:p>
    <w:p w14:paraId="173234D6" w14:textId="526B59F1"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BU</w:t>
      </w:r>
      <w:r w:rsidRPr="005E6C49">
        <w:rPr>
          <w:rFonts w:ascii="Arial" w:eastAsia="Calibri" w:hAnsi="Arial" w:cs="Arial"/>
        </w:rPr>
        <w:t>: Blend Uniformity</w:t>
      </w:r>
    </w:p>
    <w:p w14:paraId="3D0095EF" w14:textId="51CA1084"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CAPA</w:t>
      </w:r>
      <w:r w:rsidRPr="005E6C49">
        <w:rPr>
          <w:rFonts w:ascii="Arial" w:eastAsia="Calibri" w:hAnsi="Arial" w:cs="Arial"/>
        </w:rPr>
        <w:t>: Corrective and Preventive Action</w:t>
      </w:r>
    </w:p>
    <w:p w14:paraId="3B496B18" w14:textId="7A6ECD55"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CDER</w:t>
      </w:r>
      <w:r w:rsidRPr="005E6C49">
        <w:rPr>
          <w:rFonts w:ascii="Arial" w:eastAsia="Calibri" w:hAnsi="Arial" w:cs="Arial"/>
        </w:rPr>
        <w:t>: Center for Drug Evaluation and Research</w:t>
      </w:r>
    </w:p>
    <w:p w14:paraId="71601C04" w14:textId="676A5294"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cGMP</w:t>
      </w:r>
      <w:r w:rsidRPr="005E6C49">
        <w:rPr>
          <w:rFonts w:ascii="Arial" w:eastAsia="Calibri" w:hAnsi="Arial" w:cs="Arial"/>
        </w:rPr>
        <w:t>: current Good Manufacturing Practice</w:t>
      </w:r>
    </w:p>
    <w:p w14:paraId="69D27144" w14:textId="706CE07A"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CMC</w:t>
      </w:r>
      <w:r w:rsidRPr="005E6C49">
        <w:rPr>
          <w:rFonts w:ascii="Arial" w:eastAsia="Calibri" w:hAnsi="Arial" w:cs="Arial"/>
        </w:rPr>
        <w:t>: Chemistry, Manufacturing, and Controls</w:t>
      </w:r>
    </w:p>
    <w:p w14:paraId="14AB243F" w14:textId="2467DEA7"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CQA</w:t>
      </w:r>
      <w:r w:rsidRPr="005E6C49">
        <w:rPr>
          <w:rFonts w:ascii="Arial" w:eastAsia="Calibri" w:hAnsi="Arial" w:cs="Arial"/>
        </w:rPr>
        <w:t>: Critical Quality Attribute</w:t>
      </w:r>
    </w:p>
    <w:p w14:paraId="21C1E476" w14:textId="790F8F03"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CPP</w:t>
      </w:r>
      <w:r w:rsidRPr="005E6C49">
        <w:rPr>
          <w:rFonts w:ascii="Arial" w:eastAsia="Calibri" w:hAnsi="Arial" w:cs="Arial"/>
        </w:rPr>
        <w:t>: Critical Process Parameter</w:t>
      </w:r>
    </w:p>
    <w:p w14:paraId="76CF5F08" w14:textId="59153FB7"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CU</w:t>
      </w:r>
      <w:r w:rsidRPr="005E6C49">
        <w:rPr>
          <w:rFonts w:ascii="Arial" w:eastAsia="Calibri" w:hAnsi="Arial" w:cs="Arial"/>
        </w:rPr>
        <w:t>: Content Uniformity</w:t>
      </w:r>
    </w:p>
    <w:p w14:paraId="21ABB92B" w14:textId="7A024532" w:rsidR="00DC7AF8"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DR</w:t>
      </w:r>
      <w:r w:rsidRPr="005E6C49">
        <w:rPr>
          <w:rFonts w:ascii="Arial" w:eastAsia="Calibri" w:hAnsi="Arial" w:cs="Arial"/>
        </w:rPr>
        <w:t>: Delayed Release</w:t>
      </w:r>
    </w:p>
    <w:p w14:paraId="55143078" w14:textId="36A7AB7E" w:rsidR="00BB711A" w:rsidRPr="005E6C49" w:rsidRDefault="00BB711A" w:rsidP="6E98053B">
      <w:pPr>
        <w:pStyle w:val="ListParagraph"/>
        <w:numPr>
          <w:ilvl w:val="0"/>
          <w:numId w:val="1"/>
        </w:numPr>
        <w:spacing w:after="0"/>
        <w:rPr>
          <w:rFonts w:ascii="Arial" w:eastAsia="Calibri" w:hAnsi="Arial" w:cs="Arial"/>
        </w:rPr>
      </w:pPr>
      <w:r>
        <w:rPr>
          <w:rFonts w:ascii="Arial" w:eastAsia="Calibri" w:hAnsi="Arial" w:cs="Arial"/>
          <w:b/>
          <w:bCs/>
        </w:rPr>
        <w:t>DS</w:t>
      </w:r>
      <w:r w:rsidRPr="00531E20">
        <w:rPr>
          <w:rFonts w:ascii="Arial" w:eastAsia="Calibri" w:hAnsi="Arial" w:cs="Arial"/>
        </w:rPr>
        <w:t>:</w:t>
      </w:r>
      <w:r>
        <w:rPr>
          <w:rFonts w:ascii="Arial" w:eastAsia="Calibri" w:hAnsi="Arial" w:cs="Arial"/>
        </w:rPr>
        <w:t xml:space="preserve"> </w:t>
      </w:r>
      <w:r w:rsidR="009D5A5B">
        <w:rPr>
          <w:rFonts w:ascii="Arial" w:eastAsia="Calibri" w:hAnsi="Arial" w:cs="Arial"/>
        </w:rPr>
        <w:t>D</w:t>
      </w:r>
      <w:r w:rsidR="009D5A5B" w:rsidRPr="009D5A5B">
        <w:rPr>
          <w:rFonts w:ascii="Arial" w:eastAsia="Calibri" w:hAnsi="Arial" w:cs="Arial"/>
        </w:rPr>
        <w:t>rug substance</w:t>
      </w:r>
    </w:p>
    <w:p w14:paraId="045D5743" w14:textId="6F0BF34C"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ER</w:t>
      </w:r>
      <w:r w:rsidRPr="005E6C49">
        <w:rPr>
          <w:rFonts w:ascii="Arial" w:eastAsia="Calibri" w:hAnsi="Arial" w:cs="Arial"/>
        </w:rPr>
        <w:t>: Extended Release</w:t>
      </w:r>
    </w:p>
    <w:p w14:paraId="1A44A542" w14:textId="71CB11DA"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FMEA</w:t>
      </w:r>
      <w:r w:rsidRPr="005E6C49">
        <w:rPr>
          <w:rFonts w:ascii="Arial" w:eastAsia="Calibri" w:hAnsi="Arial" w:cs="Arial"/>
        </w:rPr>
        <w:t>: Failure Modes and Effects Analysis</w:t>
      </w:r>
    </w:p>
    <w:p w14:paraId="3A149030" w14:textId="01E941CC"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ICH</w:t>
      </w:r>
      <w:r w:rsidRPr="005E6C49">
        <w:rPr>
          <w:rFonts w:ascii="Arial" w:eastAsia="Calibri" w:hAnsi="Arial" w:cs="Arial"/>
        </w:rPr>
        <w:t xml:space="preserve">: International Council for </w:t>
      </w:r>
      <w:proofErr w:type="spellStart"/>
      <w:r w:rsidRPr="005E6C49">
        <w:rPr>
          <w:rFonts w:ascii="Arial" w:eastAsia="Calibri" w:hAnsi="Arial" w:cs="Arial"/>
        </w:rPr>
        <w:t>Harmonisation</w:t>
      </w:r>
      <w:proofErr w:type="spellEnd"/>
      <w:r w:rsidRPr="005E6C49">
        <w:rPr>
          <w:rFonts w:ascii="Arial" w:eastAsia="Calibri" w:hAnsi="Arial" w:cs="Arial"/>
        </w:rPr>
        <w:t xml:space="preserve"> of Technical Requirements for Pharmaceuticals for Human Use</w:t>
      </w:r>
    </w:p>
    <w:p w14:paraId="19CB6A57" w14:textId="0D674739"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IND</w:t>
      </w:r>
      <w:r w:rsidRPr="005E6C49">
        <w:rPr>
          <w:rFonts w:ascii="Arial" w:eastAsia="Calibri" w:hAnsi="Arial" w:cs="Arial"/>
        </w:rPr>
        <w:t>: Investigational New Drug</w:t>
      </w:r>
    </w:p>
    <w:p w14:paraId="11BFDCC6" w14:textId="2A722A93"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IPC</w:t>
      </w:r>
      <w:r w:rsidRPr="005E6C49">
        <w:rPr>
          <w:rFonts w:ascii="Arial" w:eastAsia="Calibri" w:hAnsi="Arial" w:cs="Arial"/>
        </w:rPr>
        <w:t>: In-Process Control</w:t>
      </w:r>
    </w:p>
    <w:p w14:paraId="38BCE8D6" w14:textId="77CB1014"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IQA</w:t>
      </w:r>
      <w:r w:rsidRPr="005E6C49">
        <w:rPr>
          <w:rFonts w:ascii="Arial" w:eastAsia="Calibri" w:hAnsi="Arial" w:cs="Arial"/>
        </w:rPr>
        <w:t>: Integrated Quality Assessment</w:t>
      </w:r>
    </w:p>
    <w:p w14:paraId="2982D25D" w14:textId="2C68D5B0"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IR</w:t>
      </w:r>
      <w:r w:rsidRPr="005E6C49">
        <w:rPr>
          <w:rFonts w:ascii="Arial" w:eastAsia="Calibri" w:hAnsi="Arial" w:cs="Arial"/>
        </w:rPr>
        <w:t>: Immediate Release</w:t>
      </w:r>
    </w:p>
    <w:p w14:paraId="23227924" w14:textId="3FFFB02C"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KASA</w:t>
      </w:r>
      <w:r w:rsidRPr="005E6C49">
        <w:rPr>
          <w:rFonts w:ascii="Arial" w:eastAsia="Calibri" w:hAnsi="Arial" w:cs="Arial"/>
        </w:rPr>
        <w:t>: Knowledge-Aided Assessment &amp; Structured Application</w:t>
      </w:r>
    </w:p>
    <w:p w14:paraId="4E4E1E2C" w14:textId="16BE73D8"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NDA</w:t>
      </w:r>
      <w:r w:rsidRPr="005E6C49">
        <w:rPr>
          <w:rFonts w:ascii="Arial" w:eastAsia="Calibri" w:hAnsi="Arial" w:cs="Arial"/>
        </w:rPr>
        <w:t>: New Drug Application</w:t>
      </w:r>
    </w:p>
    <w:p w14:paraId="14CCF4FC" w14:textId="4F3937D5"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OPMA</w:t>
      </w:r>
      <w:r w:rsidRPr="005E6C49">
        <w:rPr>
          <w:rFonts w:ascii="Arial" w:eastAsia="Calibri" w:hAnsi="Arial" w:cs="Arial"/>
        </w:rPr>
        <w:t>: Office of Pharmaceutical Manufacturing Assessment</w:t>
      </w:r>
    </w:p>
    <w:p w14:paraId="377E0AB2" w14:textId="4CB8F76D"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OPQ</w:t>
      </w:r>
      <w:r w:rsidRPr="005E6C49">
        <w:rPr>
          <w:rFonts w:ascii="Arial" w:eastAsia="Calibri" w:hAnsi="Arial" w:cs="Arial"/>
        </w:rPr>
        <w:t>: Office of Pharmaceutical Quality</w:t>
      </w:r>
    </w:p>
    <w:p w14:paraId="467E757D" w14:textId="718DAAAA" w:rsidR="64A05D50" w:rsidRPr="00186873" w:rsidRDefault="64A05D50" w:rsidP="671D61EC">
      <w:pPr>
        <w:pStyle w:val="ListParagraph"/>
        <w:numPr>
          <w:ilvl w:val="0"/>
          <w:numId w:val="1"/>
        </w:numPr>
        <w:spacing w:after="0"/>
        <w:rPr>
          <w:rFonts w:ascii="Arial" w:eastAsia="Calibri" w:hAnsi="Arial" w:cs="Arial"/>
        </w:rPr>
      </w:pPr>
      <w:r w:rsidRPr="00186873">
        <w:rPr>
          <w:rFonts w:ascii="Arial" w:eastAsia="Calibri" w:hAnsi="Arial" w:cs="Arial"/>
          <w:b/>
          <w:bCs/>
        </w:rPr>
        <w:t xml:space="preserve">PAI: </w:t>
      </w:r>
      <w:r w:rsidRPr="00186873">
        <w:rPr>
          <w:rFonts w:ascii="Arial" w:eastAsia="Calibri" w:hAnsi="Arial" w:cs="Arial"/>
        </w:rPr>
        <w:t>Pre-approval inspection</w:t>
      </w:r>
    </w:p>
    <w:p w14:paraId="5712DB41" w14:textId="42C71F26" w:rsidR="00C65461" w:rsidRPr="00186873" w:rsidRDefault="585E891C" w:rsidP="6E98053B">
      <w:pPr>
        <w:pStyle w:val="ListParagraph"/>
        <w:numPr>
          <w:ilvl w:val="0"/>
          <w:numId w:val="1"/>
        </w:numPr>
        <w:spacing w:after="0"/>
        <w:rPr>
          <w:rFonts w:ascii="Arial" w:eastAsia="Calibri" w:hAnsi="Arial" w:cs="Arial"/>
        </w:rPr>
      </w:pPr>
      <w:proofErr w:type="spellStart"/>
      <w:r w:rsidRPr="00186873">
        <w:rPr>
          <w:rFonts w:ascii="Arial" w:eastAsia="Calibri" w:hAnsi="Arial" w:cs="Arial"/>
          <w:b/>
          <w:bCs/>
        </w:rPr>
        <w:t>PoAI</w:t>
      </w:r>
      <w:proofErr w:type="spellEnd"/>
      <w:r w:rsidRPr="00186873">
        <w:rPr>
          <w:rFonts w:ascii="Arial" w:eastAsia="Calibri" w:hAnsi="Arial" w:cs="Arial"/>
          <w:b/>
          <w:bCs/>
        </w:rPr>
        <w:t>:</w:t>
      </w:r>
      <w:r w:rsidRPr="00186873">
        <w:rPr>
          <w:rFonts w:ascii="Arial" w:eastAsia="Calibri" w:hAnsi="Arial" w:cs="Arial"/>
        </w:rPr>
        <w:t xml:space="preserve"> Post-approval inspection</w:t>
      </w:r>
    </w:p>
    <w:p w14:paraId="51976D23" w14:textId="66FB705F"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PQ/CMC</w:t>
      </w:r>
      <w:r w:rsidRPr="005E6C49">
        <w:rPr>
          <w:rFonts w:ascii="Arial" w:eastAsia="Calibri" w:hAnsi="Arial" w:cs="Arial"/>
        </w:rPr>
        <w:t>: Pharmaceutical Quality/Chemistry, Manufacturing, and Controls</w:t>
      </w:r>
    </w:p>
    <w:p w14:paraId="1947C4D8" w14:textId="0BAE84CE"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QSD</w:t>
      </w:r>
      <w:r w:rsidRPr="005E6C49">
        <w:rPr>
          <w:rFonts w:ascii="Arial" w:eastAsia="Calibri" w:hAnsi="Arial" w:cs="Arial"/>
        </w:rPr>
        <w:t>: Quality Surveillance Dashboard</w:t>
      </w:r>
    </w:p>
    <w:p w14:paraId="2D282AAD" w14:textId="41EFF2E0"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RPN</w:t>
      </w:r>
      <w:r w:rsidRPr="005E6C49">
        <w:rPr>
          <w:rFonts w:ascii="Arial" w:eastAsia="Calibri" w:hAnsi="Arial" w:cs="Arial"/>
        </w:rPr>
        <w:t>: Risk Priority Number</w:t>
      </w:r>
    </w:p>
    <w:p w14:paraId="659A2F32" w14:textId="42E97FAC" w:rsidR="00DC7AF8" w:rsidRPr="005E6C49"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RRA</w:t>
      </w:r>
      <w:r w:rsidRPr="005E6C49">
        <w:rPr>
          <w:rFonts w:ascii="Arial" w:eastAsia="Calibri" w:hAnsi="Arial" w:cs="Arial"/>
        </w:rPr>
        <w:t>: Remote Regulatory Assessment</w:t>
      </w:r>
    </w:p>
    <w:p w14:paraId="17E8552D" w14:textId="429038A6" w:rsidR="00DC7AF8" w:rsidRDefault="0EEF85CA" w:rsidP="6E98053B">
      <w:pPr>
        <w:pStyle w:val="ListParagraph"/>
        <w:numPr>
          <w:ilvl w:val="0"/>
          <w:numId w:val="1"/>
        </w:numPr>
        <w:spacing w:after="0"/>
        <w:rPr>
          <w:rFonts w:ascii="Arial" w:eastAsia="Calibri" w:hAnsi="Arial" w:cs="Arial"/>
        </w:rPr>
      </w:pPr>
      <w:r w:rsidRPr="005E6C49">
        <w:rPr>
          <w:rFonts w:ascii="Arial" w:eastAsia="Calibri" w:hAnsi="Arial" w:cs="Arial"/>
          <w:b/>
          <w:bCs/>
        </w:rPr>
        <w:t>SODF</w:t>
      </w:r>
      <w:r w:rsidRPr="005E6C49">
        <w:rPr>
          <w:rFonts w:ascii="Arial" w:eastAsia="Calibri" w:hAnsi="Arial" w:cs="Arial"/>
        </w:rPr>
        <w:t>: Solid Oral Dosage Form</w:t>
      </w:r>
    </w:p>
    <w:p w14:paraId="0DC3DF9A" w14:textId="13CAA797" w:rsidR="00E454AD" w:rsidRPr="00E454AD" w:rsidRDefault="00E454AD" w:rsidP="6E98053B">
      <w:pPr>
        <w:pStyle w:val="ListParagraph"/>
        <w:numPr>
          <w:ilvl w:val="0"/>
          <w:numId w:val="1"/>
        </w:numPr>
        <w:spacing w:after="0"/>
        <w:rPr>
          <w:rFonts w:ascii="Arial" w:eastAsia="Calibri" w:hAnsi="Arial" w:cs="Arial"/>
        </w:rPr>
      </w:pPr>
      <w:r w:rsidRPr="00213B4B">
        <w:rPr>
          <w:rFonts w:ascii="Arial" w:hAnsi="Arial" w:cs="Arial"/>
          <w:b/>
          <w:bCs/>
        </w:rPr>
        <w:t>SPQS:</w:t>
      </w:r>
      <w:r w:rsidRPr="00213B4B">
        <w:rPr>
          <w:rFonts w:ascii="Arial" w:hAnsi="Arial" w:cs="Arial"/>
        </w:rPr>
        <w:t xml:space="preserve"> Structured Product Quality Submission</w:t>
      </w:r>
    </w:p>
    <w:p w14:paraId="5A1F72DB" w14:textId="5AB7408F" w:rsidR="00DC7AF8" w:rsidRPr="00DD5A93" w:rsidRDefault="00DC7AF8" w:rsidP="32F416A0">
      <w:pPr>
        <w:spacing w:after="0"/>
        <w:ind w:left="30" w:right="30"/>
      </w:pPr>
    </w:p>
    <w:p w14:paraId="7C7A3E06" w14:textId="668B216D" w:rsidR="00DC7AF8" w:rsidRPr="00DD5A93" w:rsidRDefault="00B90A30">
      <w:pPr>
        <w:rPr>
          <w:rFonts w:ascii="Arial" w:hAnsi="Arial" w:cs="Arial"/>
          <w:sz w:val="20"/>
          <w:szCs w:val="20"/>
        </w:rPr>
      </w:pPr>
      <w:r w:rsidRPr="00B90A30">
        <w:rPr>
          <w:rFonts w:ascii="Arial" w:hAnsi="Arial" w:cs="Arial"/>
        </w:rPr>
        <w:t xml:space="preserve"> </w:t>
      </w:r>
      <w:r w:rsidR="00DC7AF8">
        <w:br w:type="page"/>
      </w:r>
    </w:p>
    <w:p w14:paraId="33DC7638" w14:textId="7BB6417A" w:rsidR="00C81158" w:rsidRPr="00F27C41" w:rsidRDefault="00151FDF" w:rsidP="002E77B7">
      <w:pPr>
        <w:pStyle w:val="Heading1"/>
      </w:pPr>
      <w:r w:rsidRPr="00F27C41">
        <w:lastRenderedPageBreak/>
        <w:t>Reference</w:t>
      </w:r>
    </w:p>
    <w:p w14:paraId="362A39CD" w14:textId="77777777" w:rsidR="00B95A0C" w:rsidRDefault="00B95A0C" w:rsidP="00F87E11"/>
    <w:p w14:paraId="12557181" w14:textId="733791B9" w:rsidR="00C167AB" w:rsidRPr="00C167AB" w:rsidRDefault="00B95A0C" w:rsidP="00C167AB">
      <w:pPr>
        <w:pStyle w:val="EndNoteBibliography"/>
        <w:spacing w:after="0"/>
      </w:pPr>
      <w:r>
        <w:rPr>
          <w:color w:val="2B579A"/>
          <w:shd w:val="clear" w:color="auto" w:fill="E6E6E6"/>
        </w:rPr>
        <w:fldChar w:fldCharType="begin"/>
      </w:r>
      <w:r>
        <w:instrText xml:space="preserve"> ADDIN EN.REFLIST </w:instrText>
      </w:r>
      <w:r>
        <w:rPr>
          <w:color w:val="2B579A"/>
          <w:shd w:val="clear" w:color="auto" w:fill="E6E6E6"/>
        </w:rPr>
        <w:fldChar w:fldCharType="separate"/>
      </w:r>
      <w:r w:rsidR="00C167AB" w:rsidRPr="00C167AB">
        <w:t>1.</w:t>
      </w:r>
      <w:r w:rsidR="00C167AB" w:rsidRPr="00C167AB">
        <w:tab/>
        <w:t xml:space="preserve">Yu LX, Raw A, Wu L, Capacci-Daniel C, Zhang Y, Rosencrance S. FDA’s new pharmaceutical quality initiative: Knowledge-aided assessment &amp; structured applications. International Journal of Pharmaceutics: X. 2019;1:100010. doi: </w:t>
      </w:r>
      <w:hyperlink r:id="rId15" w:history="1">
        <w:r w:rsidR="00C167AB" w:rsidRPr="00C167AB">
          <w:rPr>
            <w:rStyle w:val="Hyperlink"/>
          </w:rPr>
          <w:t>https://doi.org/10.1016/j.ijpx.2019.100010</w:t>
        </w:r>
      </w:hyperlink>
      <w:r w:rsidR="00C167AB" w:rsidRPr="00C167AB">
        <w:t>.</w:t>
      </w:r>
    </w:p>
    <w:p w14:paraId="15D723F2" w14:textId="1C329D67" w:rsidR="00C167AB" w:rsidRPr="00C167AB" w:rsidRDefault="00C167AB" w:rsidP="00C167AB">
      <w:pPr>
        <w:pStyle w:val="EndNoteBibliography"/>
        <w:spacing w:after="0"/>
      </w:pPr>
      <w:r w:rsidRPr="00C167AB">
        <w:t>2.</w:t>
      </w:r>
      <w:r w:rsidRPr="00C167AB">
        <w:tab/>
        <w:t xml:space="preserve">Tran R, Fraser G, Fisher AC, Lee SL, Boam A, Tsinontides S, et al. A network of regulatory innovations to improve FDA quality assessments of human drug applications. International Journal of Pharmaceutics: X. 2024;7:100239. doi: </w:t>
      </w:r>
      <w:hyperlink r:id="rId16" w:history="1">
        <w:r w:rsidRPr="00C167AB">
          <w:rPr>
            <w:rStyle w:val="Hyperlink"/>
          </w:rPr>
          <w:t>https://doi.org/10.1016/j.ijpx.2024.100239</w:t>
        </w:r>
      </w:hyperlink>
      <w:r w:rsidRPr="00C167AB">
        <w:t>.</w:t>
      </w:r>
    </w:p>
    <w:p w14:paraId="5881F8CE" w14:textId="77777777" w:rsidR="00C167AB" w:rsidRPr="00C167AB" w:rsidRDefault="00C167AB" w:rsidP="00C167AB">
      <w:pPr>
        <w:pStyle w:val="EndNoteBibliography"/>
        <w:spacing w:after="0"/>
      </w:pPr>
      <w:r w:rsidRPr="00C167AB">
        <w:t>3.</w:t>
      </w:r>
      <w:r w:rsidRPr="00C167AB">
        <w:tab/>
        <w:t>Rosencrance S, Raw A, Smith D, Slack M. FDA’s new initiative: KASA.  4thFDA/PQRI Conference, April 11, 2019.</w:t>
      </w:r>
    </w:p>
    <w:p w14:paraId="46F639A4" w14:textId="77777777" w:rsidR="00C167AB" w:rsidRPr="00C167AB" w:rsidRDefault="00C167AB" w:rsidP="00C167AB">
      <w:pPr>
        <w:pStyle w:val="EndNoteBibliography"/>
        <w:spacing w:after="0"/>
      </w:pPr>
      <w:r w:rsidRPr="00C167AB">
        <w:t>4.</w:t>
      </w:r>
      <w:r w:rsidRPr="00C167AB">
        <w:tab/>
        <w:t>Raw A. The Future of FDA Quality AssessmentKnowledge-Aided Assessment &amp; Structured Application -KASA.  DMF Workshop: GDUFA III Enhancements and Structured Submissions, November 30, 2022.</w:t>
      </w:r>
    </w:p>
    <w:p w14:paraId="6921326C" w14:textId="77777777" w:rsidR="00C167AB" w:rsidRPr="00C167AB" w:rsidRDefault="00C167AB" w:rsidP="00C167AB">
      <w:pPr>
        <w:pStyle w:val="EndNoteBibliography"/>
        <w:spacing w:after="0"/>
      </w:pPr>
      <w:r w:rsidRPr="00C167AB">
        <w:t>5.</w:t>
      </w:r>
      <w:r w:rsidRPr="00C167AB">
        <w:tab/>
        <w:t>Chia E-SJ. Knowledge-Aided Assessment and Structured Application (KASA): Part 1 Modernizing FDA’s Regulatory Assessment.  Pharmaceutical Quality Symposium, October 26, 2021.</w:t>
      </w:r>
    </w:p>
    <w:p w14:paraId="216D34BD" w14:textId="77777777" w:rsidR="00C167AB" w:rsidRPr="00C167AB" w:rsidRDefault="00C167AB" w:rsidP="00C167AB">
      <w:pPr>
        <w:pStyle w:val="EndNoteBibliography"/>
        <w:spacing w:after="0"/>
      </w:pPr>
      <w:r w:rsidRPr="00C167AB">
        <w:t>6.</w:t>
      </w:r>
      <w:r w:rsidRPr="00C167AB">
        <w:tab/>
        <w:t>Welch J. Knowledge-Aided Assessment and Structured Application (KASA): Part 2  Biological Products.  Pharmaceutical Quality Symposium 2021, October 26-27, 2021.</w:t>
      </w:r>
    </w:p>
    <w:p w14:paraId="5C1E4192" w14:textId="77777777" w:rsidR="00C167AB" w:rsidRPr="00C167AB" w:rsidRDefault="00C167AB" w:rsidP="00C167AB">
      <w:pPr>
        <w:pStyle w:val="EndNoteBibliography"/>
        <w:spacing w:after="0"/>
      </w:pPr>
      <w:r w:rsidRPr="00C167AB">
        <w:t>7.</w:t>
      </w:r>
      <w:r w:rsidRPr="00C167AB">
        <w:tab/>
        <w:t>ICH. Concept Paper: M4Q(R2) Common Technical Document on Quality Guideline. ICH; 2021a.</w:t>
      </w:r>
    </w:p>
    <w:p w14:paraId="4768416F" w14:textId="77777777" w:rsidR="00C167AB" w:rsidRPr="00C167AB" w:rsidRDefault="00C167AB" w:rsidP="00C167AB">
      <w:pPr>
        <w:pStyle w:val="EndNoteBibliography"/>
        <w:spacing w:after="0"/>
      </w:pPr>
      <w:r w:rsidRPr="00C167AB">
        <w:t>8.</w:t>
      </w:r>
      <w:r w:rsidRPr="00C167AB">
        <w:tab/>
        <w:t>ICH. Business Plan: M4Q(R2) Common Technical Document on Quality Guideline. ICH; 2021b.</w:t>
      </w:r>
    </w:p>
    <w:p w14:paraId="6BB0EDE0" w14:textId="6CCB5E98" w:rsidR="00C167AB" w:rsidRPr="00C167AB" w:rsidRDefault="00C167AB" w:rsidP="00C167AB">
      <w:pPr>
        <w:pStyle w:val="EndNoteBibliography"/>
        <w:spacing w:after="0"/>
      </w:pPr>
      <w:r w:rsidRPr="00C167AB">
        <w:t>9.</w:t>
      </w:r>
      <w:r w:rsidRPr="00C167AB">
        <w:tab/>
        <w:t xml:space="preserve">FDA. Pharmaceutical Quality - Chemistry, Manufacturing &amp; Controls | PQ/CMC. </w:t>
      </w:r>
      <w:hyperlink r:id="rId17" w:history="1">
        <w:r w:rsidRPr="00C167AB">
          <w:rPr>
            <w:rStyle w:val="Hyperlink"/>
          </w:rPr>
          <w:t>https://www.fda.gov/industry/fda-data-standards-advisory-board/pharmaceutical-quality-chemistry-manufacturing-controls-pqcmc2024a</w:t>
        </w:r>
      </w:hyperlink>
      <w:r w:rsidRPr="00C167AB">
        <w:t>.</w:t>
      </w:r>
    </w:p>
    <w:p w14:paraId="605AB0D8" w14:textId="77777777" w:rsidR="00C167AB" w:rsidRPr="00C167AB" w:rsidRDefault="00C167AB" w:rsidP="00C167AB">
      <w:pPr>
        <w:pStyle w:val="EndNoteBibliography"/>
        <w:spacing w:after="0"/>
      </w:pPr>
      <w:r w:rsidRPr="00C167AB">
        <w:t>10.</w:t>
      </w:r>
      <w:r w:rsidRPr="00C167AB">
        <w:tab/>
        <w:t>FDA. 2024 Investigations Operations Manual (IOM). U.S. Food and Drug Administration; 2024b.</w:t>
      </w:r>
    </w:p>
    <w:p w14:paraId="1EC8D00B" w14:textId="77777777" w:rsidR="00C167AB" w:rsidRPr="00C167AB" w:rsidRDefault="00C167AB" w:rsidP="00C167AB">
      <w:pPr>
        <w:pStyle w:val="EndNoteBibliography"/>
        <w:spacing w:after="0"/>
      </w:pPr>
      <w:r w:rsidRPr="00C167AB">
        <w:t>11.</w:t>
      </w:r>
      <w:r w:rsidRPr="00C167AB">
        <w:tab/>
        <w:t>FDA. Compliance program 7346.832--Preapproval Inspections. U.S. Food and Drug Administration; 2022.</w:t>
      </w:r>
    </w:p>
    <w:p w14:paraId="018E5272" w14:textId="77777777" w:rsidR="00C167AB" w:rsidRPr="00C167AB" w:rsidRDefault="00C167AB" w:rsidP="00C167AB">
      <w:pPr>
        <w:pStyle w:val="EndNoteBibliography"/>
        <w:spacing w:after="0"/>
      </w:pPr>
      <w:r w:rsidRPr="00C167AB">
        <w:t>12.</w:t>
      </w:r>
      <w:r w:rsidRPr="00C167AB">
        <w:tab/>
        <w:t>FDA. Conducting Remote Regulatory Assessments  Questions and Answers--Draft Guidance for Industry. Food and Drug Administration; 2024c.</w:t>
      </w:r>
    </w:p>
    <w:p w14:paraId="725DC720" w14:textId="77777777" w:rsidR="00C167AB" w:rsidRPr="00C167AB" w:rsidRDefault="00C167AB" w:rsidP="00C167AB">
      <w:pPr>
        <w:pStyle w:val="EndNoteBibliography"/>
        <w:spacing w:after="0"/>
      </w:pPr>
      <w:r w:rsidRPr="00C167AB">
        <w:t>13.</w:t>
      </w:r>
      <w:r w:rsidRPr="00C167AB">
        <w:tab/>
        <w:t>FDA. Draft Pharmaceutical Quality Chemistry Manufacturing and Controls (PQ/CMC) Data Exchange. Food and Drug Administration, 2023a.</w:t>
      </w:r>
    </w:p>
    <w:p w14:paraId="1143E387" w14:textId="77777777" w:rsidR="00C167AB" w:rsidRPr="00C167AB" w:rsidRDefault="00C167AB" w:rsidP="00C167AB">
      <w:pPr>
        <w:pStyle w:val="EndNoteBibliography"/>
        <w:spacing w:after="0"/>
      </w:pPr>
      <w:r w:rsidRPr="00C167AB">
        <w:t>14.</w:t>
      </w:r>
      <w:r w:rsidRPr="00C167AB">
        <w:tab/>
        <w:t>FDA. Data Integrity and Compliance With CGMP -- Guidance for Industry. 2016.</w:t>
      </w:r>
    </w:p>
    <w:p w14:paraId="64100852" w14:textId="77777777" w:rsidR="00C167AB" w:rsidRPr="00C167AB" w:rsidRDefault="00C167AB" w:rsidP="00C167AB">
      <w:pPr>
        <w:pStyle w:val="EndNoteBibliography"/>
      </w:pPr>
      <w:r w:rsidRPr="00C167AB">
        <w:t>15.</w:t>
      </w:r>
      <w:r w:rsidRPr="00C167AB">
        <w:tab/>
        <w:t>FDA. Q9(R1) Quality Risk Management--Guidance for Industry. U.S. Food and Drug Administration; 2023b.</w:t>
      </w:r>
    </w:p>
    <w:p w14:paraId="466B7372" w14:textId="747C6A89" w:rsidR="00696A0B" w:rsidRPr="005D003F" w:rsidRDefault="00B95A0C" w:rsidP="00F87E11">
      <w:pPr>
        <w:rPr>
          <w:shd w:val="clear" w:color="auto" w:fill="E6E6E6"/>
        </w:rPr>
      </w:pPr>
      <w:r>
        <w:rPr>
          <w:color w:val="2B579A"/>
          <w:shd w:val="clear" w:color="auto" w:fill="E6E6E6"/>
        </w:rPr>
        <w:fldChar w:fldCharType="end"/>
      </w:r>
    </w:p>
    <w:p w14:paraId="7D863CD3" w14:textId="77777777" w:rsidR="00FE2486" w:rsidRPr="005D003F" w:rsidRDefault="00FE2486" w:rsidP="00F87E11">
      <w:pPr>
        <w:rPr>
          <w:shd w:val="clear" w:color="auto" w:fill="E6E6E6"/>
        </w:rPr>
      </w:pPr>
    </w:p>
    <w:p w14:paraId="0845B157" w14:textId="77777777" w:rsidR="00FE2486" w:rsidRPr="005D003F" w:rsidRDefault="00FE2486" w:rsidP="00F87E11">
      <w:pPr>
        <w:rPr>
          <w:shd w:val="clear" w:color="auto" w:fill="E6E6E6"/>
        </w:rPr>
      </w:pPr>
    </w:p>
    <w:p w14:paraId="4524CD16" w14:textId="77777777" w:rsidR="00FE2486" w:rsidRPr="005D003F" w:rsidRDefault="00FE2486" w:rsidP="00F87E11">
      <w:pPr>
        <w:rPr>
          <w:shd w:val="clear" w:color="auto" w:fill="E6E6E6"/>
        </w:rPr>
      </w:pPr>
    </w:p>
    <w:p w14:paraId="4038C6DC" w14:textId="77777777" w:rsidR="00FE2486" w:rsidRPr="005D003F" w:rsidRDefault="00FE2486" w:rsidP="00F87E11">
      <w:pPr>
        <w:rPr>
          <w:shd w:val="clear" w:color="auto" w:fill="E6E6E6"/>
        </w:rPr>
      </w:pPr>
    </w:p>
    <w:p w14:paraId="621A65CC" w14:textId="77777777" w:rsidR="00FE2486" w:rsidRPr="005D003F" w:rsidRDefault="00FE2486" w:rsidP="00F87E11">
      <w:pPr>
        <w:rPr>
          <w:shd w:val="clear" w:color="auto" w:fill="E6E6E6"/>
        </w:rPr>
      </w:pPr>
    </w:p>
    <w:p w14:paraId="4EE6311D" w14:textId="3BFF859C" w:rsidR="00B46FEE" w:rsidRDefault="00B46FEE">
      <w:pPr>
        <w:rPr>
          <w:shd w:val="clear" w:color="auto" w:fill="E6E6E6"/>
        </w:rPr>
      </w:pPr>
      <w:r>
        <w:rPr>
          <w:shd w:val="clear" w:color="auto" w:fill="E6E6E6"/>
        </w:rPr>
        <w:br w:type="page"/>
      </w:r>
    </w:p>
    <w:p w14:paraId="07546122" w14:textId="2AC42210" w:rsidR="00057646" w:rsidRPr="001E38AD" w:rsidRDefault="001E38AD" w:rsidP="001E38AD">
      <w:pPr>
        <w:pStyle w:val="Heading1"/>
      </w:pPr>
      <w:r w:rsidRPr="001E38AD">
        <w:lastRenderedPageBreak/>
        <w:t xml:space="preserve">Ethics </w:t>
      </w:r>
      <w:r w:rsidR="00FE28ED">
        <w:t>D</w:t>
      </w:r>
      <w:r w:rsidRPr="001E38AD">
        <w:t>eclarations</w:t>
      </w:r>
    </w:p>
    <w:p w14:paraId="56E64516" w14:textId="50358579" w:rsidR="00057646" w:rsidRPr="00EE7DDA" w:rsidRDefault="007A0883" w:rsidP="0060058D">
      <w:pPr>
        <w:spacing w:after="0"/>
        <w:rPr>
          <w:rFonts w:ascii="Arial" w:hAnsi="Arial" w:cs="Arial"/>
          <w:b/>
          <w:bCs/>
        </w:rPr>
      </w:pPr>
      <w:r w:rsidRPr="00EE7DDA">
        <w:rPr>
          <w:rFonts w:ascii="Arial" w:hAnsi="Arial" w:cs="Arial"/>
          <w:b/>
          <w:bCs/>
        </w:rPr>
        <w:t>Ethics approval</w:t>
      </w:r>
    </w:p>
    <w:p w14:paraId="6E382F8A" w14:textId="64915DCC" w:rsidR="007A0883" w:rsidRPr="00652A78" w:rsidRDefault="007A0883" w:rsidP="0060058D">
      <w:pPr>
        <w:spacing w:after="0"/>
        <w:rPr>
          <w:rFonts w:cstheme="minorHAnsi"/>
        </w:rPr>
      </w:pPr>
      <w:r w:rsidRPr="00652A78">
        <w:rPr>
          <w:rFonts w:cstheme="minorHAnsi"/>
        </w:rPr>
        <w:t xml:space="preserve">Not </w:t>
      </w:r>
      <w:r w:rsidR="00B04AF1" w:rsidRPr="00B04AF1">
        <w:rPr>
          <w:rFonts w:cstheme="minorHAnsi"/>
        </w:rPr>
        <w:t>applicable</w:t>
      </w:r>
    </w:p>
    <w:p w14:paraId="19FB93BF" w14:textId="77777777" w:rsidR="0060058D" w:rsidRDefault="0060058D" w:rsidP="00057646">
      <w:pPr>
        <w:rPr>
          <w:rFonts w:ascii="Arial" w:hAnsi="Arial" w:cs="Arial"/>
          <w:b/>
          <w:bCs/>
        </w:rPr>
      </w:pPr>
    </w:p>
    <w:p w14:paraId="6AFC031C" w14:textId="02914473" w:rsidR="00057646" w:rsidRDefault="00057646" w:rsidP="0060058D">
      <w:pPr>
        <w:spacing w:after="0"/>
        <w:rPr>
          <w:rFonts w:ascii="Arial" w:hAnsi="Arial" w:cs="Arial"/>
          <w:b/>
          <w:bCs/>
        </w:rPr>
      </w:pPr>
      <w:r w:rsidRPr="00096C8B">
        <w:rPr>
          <w:rFonts w:ascii="Arial" w:hAnsi="Arial" w:cs="Arial"/>
          <w:b/>
          <w:bCs/>
        </w:rPr>
        <w:t>Availability of data and materials</w:t>
      </w:r>
    </w:p>
    <w:p w14:paraId="6C63C66C" w14:textId="77777777" w:rsidR="005D3CD7" w:rsidRPr="00652A78" w:rsidRDefault="005D3CD7" w:rsidP="0060058D">
      <w:pPr>
        <w:spacing w:after="0"/>
        <w:rPr>
          <w:rFonts w:cstheme="minorHAnsi"/>
        </w:rPr>
      </w:pPr>
      <w:r w:rsidRPr="00652A78">
        <w:rPr>
          <w:rFonts w:cstheme="minorHAnsi"/>
        </w:rPr>
        <w:t>Not appliable</w:t>
      </w:r>
    </w:p>
    <w:p w14:paraId="51B34D76" w14:textId="77777777" w:rsidR="0060058D" w:rsidRDefault="0060058D" w:rsidP="00057646">
      <w:pPr>
        <w:rPr>
          <w:rFonts w:ascii="Arial" w:hAnsi="Arial" w:cs="Arial"/>
          <w:b/>
          <w:bCs/>
        </w:rPr>
      </w:pPr>
    </w:p>
    <w:p w14:paraId="486B9E97" w14:textId="5A9643C9" w:rsidR="00057646" w:rsidRDefault="00057646" w:rsidP="00057646">
      <w:pPr>
        <w:rPr>
          <w:rFonts w:ascii="Arial" w:hAnsi="Arial" w:cs="Arial"/>
          <w:b/>
          <w:bCs/>
        </w:rPr>
      </w:pPr>
      <w:r w:rsidRPr="00096C8B">
        <w:rPr>
          <w:rFonts w:ascii="Arial" w:hAnsi="Arial" w:cs="Arial"/>
          <w:b/>
          <w:bCs/>
        </w:rPr>
        <w:t>Competing interests</w:t>
      </w:r>
    </w:p>
    <w:p w14:paraId="63AFE783" w14:textId="77777777" w:rsidR="00057646" w:rsidRPr="00652A78" w:rsidRDefault="00057646" w:rsidP="00057646">
      <w:pPr>
        <w:rPr>
          <w:rFonts w:cstheme="minorHAnsi"/>
        </w:rPr>
      </w:pPr>
      <w:r w:rsidRPr="00652A78">
        <w:rPr>
          <w:rFonts w:cstheme="minorHAnsi"/>
        </w:rPr>
        <w:t>The authors declare that they have no competing interests.</w:t>
      </w:r>
    </w:p>
    <w:p w14:paraId="344111B1" w14:textId="77777777" w:rsidR="00956598" w:rsidRDefault="00956598" w:rsidP="00057646">
      <w:pPr>
        <w:rPr>
          <w:rFonts w:ascii="Arial" w:hAnsi="Arial" w:cs="Arial"/>
          <w:b/>
          <w:bCs/>
        </w:rPr>
      </w:pPr>
    </w:p>
    <w:p w14:paraId="6E517291" w14:textId="180FE140" w:rsidR="00057646" w:rsidRDefault="00057646" w:rsidP="0060058D">
      <w:pPr>
        <w:spacing w:after="0"/>
        <w:rPr>
          <w:rFonts w:ascii="Arial" w:hAnsi="Arial" w:cs="Arial"/>
          <w:b/>
          <w:bCs/>
        </w:rPr>
      </w:pPr>
      <w:r w:rsidRPr="00096C8B">
        <w:rPr>
          <w:rFonts w:ascii="Arial" w:hAnsi="Arial" w:cs="Arial"/>
          <w:b/>
          <w:bCs/>
        </w:rPr>
        <w:t>Funding</w:t>
      </w:r>
    </w:p>
    <w:p w14:paraId="3958A071" w14:textId="77130F96" w:rsidR="00956598" w:rsidRDefault="004337C8" w:rsidP="009A58CC">
      <w:pPr>
        <w:rPr>
          <w:rFonts w:cstheme="minorHAnsi"/>
        </w:rPr>
      </w:pPr>
      <w:r w:rsidRPr="004337C8">
        <w:rPr>
          <w:rFonts w:cstheme="minorHAnsi"/>
        </w:rPr>
        <w:t>This research did not receive external funding.</w:t>
      </w:r>
    </w:p>
    <w:p w14:paraId="23631BCE" w14:textId="77777777" w:rsidR="00BD5DEC" w:rsidRDefault="00BD5DEC" w:rsidP="009A58CC">
      <w:pPr>
        <w:rPr>
          <w:rFonts w:ascii="Arial" w:hAnsi="Arial" w:cs="Arial"/>
          <w:b/>
          <w:bCs/>
        </w:rPr>
      </w:pPr>
    </w:p>
    <w:p w14:paraId="65D01AAA" w14:textId="5A7799EB" w:rsidR="009A58CC" w:rsidRDefault="009A58CC" w:rsidP="0060058D">
      <w:pPr>
        <w:spacing w:after="0"/>
        <w:rPr>
          <w:rFonts w:ascii="Arial" w:hAnsi="Arial" w:cs="Arial"/>
          <w:b/>
          <w:bCs/>
        </w:rPr>
      </w:pPr>
      <w:r w:rsidRPr="00096C8B">
        <w:rPr>
          <w:rFonts w:ascii="Arial" w:hAnsi="Arial" w:cs="Arial"/>
          <w:b/>
          <w:bCs/>
        </w:rPr>
        <w:t>Acknowledgements</w:t>
      </w:r>
    </w:p>
    <w:p w14:paraId="65ECB575" w14:textId="77777777" w:rsidR="003E1DC8" w:rsidRPr="003222BC" w:rsidRDefault="003E1DC8" w:rsidP="0060058D">
      <w:pPr>
        <w:pStyle w:val="EndNoteBibliography"/>
        <w:spacing w:after="0"/>
        <w:rPr>
          <w:rFonts w:cs="Arial"/>
          <w:bCs/>
        </w:rPr>
      </w:pPr>
      <w:r w:rsidRPr="003222BC">
        <w:rPr>
          <w:rFonts w:cs="Arial"/>
          <w:bCs/>
        </w:rPr>
        <w:t xml:space="preserve">The </w:t>
      </w:r>
      <w:r w:rsidRPr="003222BC">
        <w:rPr>
          <w:bCs/>
        </w:rPr>
        <w:t>authors</w:t>
      </w:r>
      <w:r w:rsidRPr="003222BC">
        <w:rPr>
          <w:rFonts w:cs="Arial"/>
          <w:bCs/>
        </w:rPr>
        <w:t xml:space="preserve"> would like to thank the KASA Working Group members and all assessors who served as KASA beta testers</w:t>
      </w:r>
    </w:p>
    <w:p w14:paraId="504F3D69" w14:textId="77777777" w:rsidR="003E1DC8" w:rsidRDefault="003E1DC8" w:rsidP="00EA7A68">
      <w:pPr>
        <w:pStyle w:val="Heading1"/>
        <w:rPr>
          <w:rFonts w:eastAsiaTheme="minorEastAsia" w:cs="Arial"/>
          <w:bCs/>
          <w:sz w:val="22"/>
          <w:szCs w:val="22"/>
        </w:rPr>
      </w:pPr>
    </w:p>
    <w:p w14:paraId="5D5E180D" w14:textId="166AA34A" w:rsidR="009F67A8" w:rsidRPr="009F67A8" w:rsidRDefault="009F67A8" w:rsidP="009F67A8">
      <w:pPr>
        <w:pStyle w:val="Heading1"/>
        <w:rPr>
          <w:rFonts w:eastAsiaTheme="minorEastAsia" w:cs="Arial"/>
          <w:bCs/>
          <w:sz w:val="22"/>
          <w:szCs w:val="22"/>
        </w:rPr>
      </w:pPr>
      <w:r w:rsidRPr="009F67A8">
        <w:rPr>
          <w:rFonts w:eastAsiaTheme="minorEastAsia" w:cs="Arial"/>
          <w:bCs/>
          <w:sz w:val="22"/>
          <w:szCs w:val="22"/>
        </w:rPr>
        <w:t xml:space="preserve">Consent for </w:t>
      </w:r>
      <w:r w:rsidR="00152591" w:rsidRPr="009F67A8">
        <w:rPr>
          <w:rFonts w:eastAsiaTheme="minorEastAsia" w:cs="Arial"/>
          <w:bCs/>
          <w:sz w:val="22"/>
          <w:szCs w:val="22"/>
        </w:rPr>
        <w:t>publication.</w:t>
      </w:r>
    </w:p>
    <w:p w14:paraId="42BC2930" w14:textId="028E422C" w:rsidR="003E1DC8" w:rsidRDefault="00961A44" w:rsidP="009B551B">
      <w:pPr>
        <w:pStyle w:val="EndNoteBibliography"/>
        <w:spacing w:after="0"/>
      </w:pPr>
      <w:r w:rsidRPr="00961A44">
        <w:t>Not applicable</w:t>
      </w:r>
    </w:p>
    <w:p w14:paraId="16198E23" w14:textId="77777777" w:rsidR="00051E8F" w:rsidRPr="009B551B" w:rsidRDefault="00051E8F" w:rsidP="009B551B">
      <w:pPr>
        <w:pStyle w:val="EndNoteBibliography"/>
        <w:spacing w:after="0"/>
      </w:pPr>
    </w:p>
    <w:p w14:paraId="6375B8C9" w14:textId="0AF3B6E5" w:rsidR="00EA7A68" w:rsidRPr="00EA7A68" w:rsidRDefault="00EA7A68" w:rsidP="00EA7A68">
      <w:pPr>
        <w:pStyle w:val="Heading1"/>
      </w:pPr>
      <w:r w:rsidRPr="00EA7A68">
        <w:t>Authors' information</w:t>
      </w:r>
    </w:p>
    <w:p w14:paraId="6BC58D41" w14:textId="77777777" w:rsidR="00DD3BD3" w:rsidRDefault="00057646" w:rsidP="0060058D">
      <w:pPr>
        <w:spacing w:after="0"/>
        <w:rPr>
          <w:rFonts w:ascii="Arial" w:hAnsi="Arial" w:cs="Arial"/>
          <w:b/>
          <w:bCs/>
        </w:rPr>
      </w:pPr>
      <w:r w:rsidRPr="00096C8B">
        <w:rPr>
          <w:rFonts w:ascii="Arial" w:hAnsi="Arial" w:cs="Arial"/>
          <w:b/>
          <w:bCs/>
        </w:rPr>
        <w:t>Authors' contributions</w:t>
      </w:r>
    </w:p>
    <w:p w14:paraId="25609A66" w14:textId="61207292" w:rsidR="00EC472F" w:rsidRDefault="00057646" w:rsidP="0060058D">
      <w:pPr>
        <w:spacing w:after="100" w:afterAutospacing="1"/>
      </w:pPr>
      <w:r w:rsidRPr="00D72FB7">
        <w:rPr>
          <w:rFonts w:ascii="Calibri" w:hAnsi="Calibri" w:cs="Calibri"/>
        </w:rPr>
        <w:t xml:space="preserve">Zhouxi Wang:  </w:t>
      </w:r>
      <w:r w:rsidR="001834C5" w:rsidRPr="001834C5">
        <w:t xml:space="preserve">Conceptualization, Visualization, </w:t>
      </w:r>
      <w:r w:rsidR="00810DF6" w:rsidRPr="00810DF6">
        <w:t xml:space="preserve">Writing </w:t>
      </w:r>
      <w:r w:rsidR="00DA01C8">
        <w:t>-</w:t>
      </w:r>
      <w:r w:rsidR="00810DF6" w:rsidRPr="00810DF6">
        <w:t xml:space="preserve"> original draft, Writing</w:t>
      </w:r>
      <w:r w:rsidR="00DA01C8">
        <w:t xml:space="preserve"> - </w:t>
      </w:r>
      <w:r w:rsidR="00810DF6" w:rsidRPr="00810DF6">
        <w:t>review &amp; editing</w:t>
      </w:r>
      <w:r w:rsidR="0027563B">
        <w:t xml:space="preserve">. </w:t>
      </w:r>
      <w:r w:rsidR="00152591">
        <w:t xml:space="preserve"> </w:t>
      </w:r>
      <w:r w:rsidRPr="00D72FB7">
        <w:rPr>
          <w:rFonts w:ascii="Calibri" w:hAnsi="Calibri" w:cs="Calibri"/>
        </w:rPr>
        <w:t xml:space="preserve">Jingbo Xiao:  </w:t>
      </w:r>
      <w:r w:rsidR="00F1134C" w:rsidRPr="00F1134C">
        <w:t>Conceptualization, Writing - review &amp; editing</w:t>
      </w:r>
      <w:r w:rsidRPr="00D72FB7">
        <w:rPr>
          <w:rFonts w:ascii="Calibri" w:hAnsi="Calibri" w:cs="Calibri"/>
        </w:rPr>
        <w:t>.</w:t>
      </w:r>
      <w:r w:rsidR="0027563B">
        <w:rPr>
          <w:rFonts w:ascii="Calibri" w:hAnsi="Calibri" w:cs="Calibri"/>
        </w:rPr>
        <w:t xml:space="preserve">  </w:t>
      </w:r>
      <w:r w:rsidRPr="00D72FB7">
        <w:rPr>
          <w:rFonts w:ascii="Calibri" w:hAnsi="Calibri" w:cs="Calibri"/>
        </w:rPr>
        <w:t xml:space="preserve">Daniel Obrzut: </w:t>
      </w:r>
      <w:r w:rsidR="00F1134C" w:rsidRPr="00F1134C">
        <w:t>Writing - review &amp; editing</w:t>
      </w:r>
      <w:r w:rsidRPr="00D72FB7">
        <w:rPr>
          <w:rFonts w:ascii="Calibri" w:hAnsi="Calibri" w:cs="Calibri"/>
        </w:rPr>
        <w:t>.</w:t>
      </w:r>
      <w:r w:rsidR="0027563B">
        <w:rPr>
          <w:rFonts w:ascii="Calibri" w:hAnsi="Calibri" w:cs="Calibri"/>
        </w:rPr>
        <w:t xml:space="preserve">  </w:t>
      </w:r>
      <w:r w:rsidRPr="00D72FB7">
        <w:rPr>
          <w:rFonts w:ascii="Calibri" w:hAnsi="Calibri" w:cs="Calibri"/>
        </w:rPr>
        <w:t xml:space="preserve">Stelios Tsinontides: </w:t>
      </w:r>
      <w:r w:rsidR="00F1134C" w:rsidRPr="00F1134C">
        <w:t>Writing - review &amp; editing</w:t>
      </w:r>
      <w:r w:rsidRPr="00D72FB7">
        <w:rPr>
          <w:rFonts w:ascii="Calibri" w:hAnsi="Calibri" w:cs="Calibri"/>
        </w:rPr>
        <w:t>.</w:t>
      </w:r>
      <w:r w:rsidR="0027563B">
        <w:rPr>
          <w:rFonts w:ascii="Calibri" w:hAnsi="Calibri" w:cs="Calibri"/>
        </w:rPr>
        <w:t xml:space="preserve">  </w:t>
      </w:r>
      <w:r w:rsidRPr="00D72FB7">
        <w:rPr>
          <w:rFonts w:ascii="Calibri" w:hAnsi="Calibri" w:cs="Calibri"/>
        </w:rPr>
        <w:t xml:space="preserve">Rakhi Shah:  </w:t>
      </w:r>
      <w:r w:rsidR="00EC472F" w:rsidRPr="00EC472F">
        <w:t>Supervision</w:t>
      </w:r>
      <w:r w:rsidR="00EC472F">
        <w:t>,</w:t>
      </w:r>
      <w:r w:rsidR="00EC472F" w:rsidRPr="00EC472F">
        <w:t xml:space="preserve"> </w:t>
      </w:r>
      <w:r w:rsidR="00EC472F" w:rsidRPr="00F1134C">
        <w:t>Writing - review &amp; editing</w:t>
      </w:r>
      <w:r w:rsidR="00EC472F" w:rsidRPr="00D72FB7">
        <w:rPr>
          <w:rFonts w:ascii="Calibri" w:hAnsi="Calibri" w:cs="Calibri"/>
        </w:rPr>
        <w:t>.</w:t>
      </w:r>
    </w:p>
    <w:p w14:paraId="30A85641" w14:textId="7386C0FE" w:rsidR="00EC472F" w:rsidRDefault="00BC2DA7" w:rsidP="0060058D">
      <w:pPr>
        <w:pStyle w:val="EndNoteBibliography"/>
        <w:spacing w:after="100" w:afterAutospacing="1"/>
      </w:pPr>
      <w:r w:rsidRPr="009B551B">
        <w:t>All authors read and approved the final manuscript</w:t>
      </w:r>
    </w:p>
    <w:p w14:paraId="1791A09B" w14:textId="77777777" w:rsidR="00D72FB7" w:rsidRPr="00D72FB7" w:rsidRDefault="00D72FB7" w:rsidP="00D72FB7">
      <w:pPr>
        <w:pStyle w:val="EndNoteBibliography"/>
        <w:spacing w:after="0"/>
      </w:pPr>
    </w:p>
    <w:p w14:paraId="3623E0A6" w14:textId="3F51C470" w:rsidR="00057646" w:rsidRPr="00096C8B" w:rsidRDefault="009A58CC" w:rsidP="0060058D">
      <w:pPr>
        <w:spacing w:after="0"/>
        <w:rPr>
          <w:rFonts w:ascii="Arial" w:hAnsi="Arial" w:cs="Arial"/>
          <w:b/>
          <w:bCs/>
        </w:rPr>
      </w:pPr>
      <w:r w:rsidRPr="009A58CC">
        <w:rPr>
          <w:rFonts w:ascii="Arial" w:hAnsi="Arial" w:cs="Arial"/>
          <w:b/>
          <w:bCs/>
        </w:rPr>
        <w:t>Authors and Affiliations</w:t>
      </w:r>
    </w:p>
    <w:p w14:paraId="2D362E69" w14:textId="77777777" w:rsidR="00057646" w:rsidRPr="00DD3BD3" w:rsidRDefault="00057646" w:rsidP="00D72FB7">
      <w:pPr>
        <w:pStyle w:val="EndNoteBibliography"/>
        <w:spacing w:after="0"/>
        <w:rPr>
          <w:rFonts w:asciiTheme="minorHAnsi" w:hAnsiTheme="minorHAnsi" w:cstheme="minorHAnsi"/>
        </w:rPr>
      </w:pPr>
      <w:r w:rsidRPr="00DD3BD3">
        <w:rPr>
          <w:rFonts w:asciiTheme="minorHAnsi" w:hAnsiTheme="minorHAnsi" w:cstheme="minorHAnsi"/>
        </w:rPr>
        <w:t>Office of Pharmaceutical Manufacturing Assessment, Office of Pharmaceutical Quality, Center for Drug Evaluation and Research, Food and Drug Administration, 10903 New Hampshire Ave, Silver Spring, MD, 20993, USA</w:t>
      </w:r>
    </w:p>
    <w:p w14:paraId="5B17C499" w14:textId="77777777" w:rsidR="00DD3BD3" w:rsidRPr="00DD3BD3" w:rsidRDefault="00DD3BD3" w:rsidP="00DD3BD3">
      <w:pPr>
        <w:spacing w:after="0" w:line="240" w:lineRule="atLeast"/>
        <w:rPr>
          <w:rFonts w:cstheme="minorHAnsi"/>
        </w:rPr>
      </w:pPr>
      <w:r w:rsidRPr="00DD3BD3">
        <w:rPr>
          <w:rFonts w:cstheme="minorHAnsi"/>
        </w:rPr>
        <w:t>Zhouxi Wang, Jingbo Xiao, Daniel Obrzut, Stelios Tsinontides and Rakhi Shah</w:t>
      </w:r>
    </w:p>
    <w:p w14:paraId="129F4B63" w14:textId="77777777" w:rsidR="00057646" w:rsidRDefault="00057646" w:rsidP="00057646">
      <w:pPr>
        <w:rPr>
          <w:rFonts w:ascii="Arial" w:hAnsi="Arial" w:cs="Arial"/>
          <w:b/>
          <w:bCs/>
        </w:rPr>
      </w:pPr>
    </w:p>
    <w:p w14:paraId="4A9950B2" w14:textId="4C53B06E" w:rsidR="006126D8" w:rsidRDefault="006126D8" w:rsidP="0060058D">
      <w:pPr>
        <w:spacing w:after="0"/>
        <w:rPr>
          <w:rFonts w:ascii="Arial" w:hAnsi="Arial" w:cs="Arial"/>
          <w:b/>
          <w:bCs/>
        </w:rPr>
      </w:pPr>
      <w:r w:rsidRPr="006126D8">
        <w:rPr>
          <w:rFonts w:ascii="Arial" w:hAnsi="Arial" w:cs="Arial"/>
          <w:b/>
          <w:bCs/>
        </w:rPr>
        <w:t>Corresponding author</w:t>
      </w:r>
    </w:p>
    <w:p w14:paraId="771B2E01" w14:textId="587A65B9" w:rsidR="006126D8" w:rsidRDefault="006126D8" w:rsidP="006126D8">
      <w:pPr>
        <w:pStyle w:val="EndNoteBibliography"/>
        <w:spacing w:after="0"/>
        <w:rPr>
          <w:rFonts w:asciiTheme="minorHAnsi" w:hAnsiTheme="minorHAnsi" w:cstheme="minorHAnsi"/>
        </w:rPr>
      </w:pPr>
      <w:r w:rsidRPr="006126D8">
        <w:rPr>
          <w:rFonts w:asciiTheme="minorHAnsi" w:hAnsiTheme="minorHAnsi" w:cstheme="minorHAnsi"/>
        </w:rPr>
        <w:t>Correspondence to Zhouxi Wang</w:t>
      </w:r>
    </w:p>
    <w:p w14:paraId="0661CC40" w14:textId="77777777" w:rsidR="006126D8" w:rsidRPr="006126D8" w:rsidRDefault="006126D8" w:rsidP="006126D8">
      <w:pPr>
        <w:pStyle w:val="EndNoteBibliography"/>
        <w:spacing w:after="0"/>
        <w:rPr>
          <w:rFonts w:asciiTheme="minorHAnsi" w:hAnsiTheme="minorHAnsi" w:cstheme="minorHAnsi"/>
        </w:rPr>
      </w:pPr>
    </w:p>
    <w:p w14:paraId="041BD542" w14:textId="7A84FEE5" w:rsidR="00057646" w:rsidRDefault="00057646" w:rsidP="005F5999">
      <w:pPr>
        <w:pStyle w:val="Heading1"/>
        <w:rPr>
          <w:rFonts w:cs="Arial"/>
          <w:b w:val="0"/>
          <w:bCs/>
        </w:rPr>
      </w:pPr>
      <w:r w:rsidRPr="00F27C41">
        <w:rPr>
          <w:rFonts w:cs="Arial"/>
          <w:bCs/>
        </w:rPr>
        <w:lastRenderedPageBreak/>
        <w:t>Disclaimer</w:t>
      </w:r>
    </w:p>
    <w:p w14:paraId="631BE844" w14:textId="5EB37C9C" w:rsidR="00587B64" w:rsidRPr="00652A78" w:rsidRDefault="00587B64" w:rsidP="00652A78">
      <w:pPr>
        <w:pStyle w:val="EndNoteBibliography"/>
        <w:spacing w:after="0"/>
      </w:pPr>
      <w:r w:rsidRPr="00652A78">
        <w:t>Springer Nature remains neutral with regard to jurisdictional claims in published maps and institutional affiliations.</w:t>
      </w:r>
    </w:p>
    <w:p w14:paraId="3AD0F29C" w14:textId="77777777" w:rsidR="00057646" w:rsidRPr="00652A78" w:rsidRDefault="00057646" w:rsidP="00652A78">
      <w:pPr>
        <w:pStyle w:val="EndNoteBibliography"/>
        <w:spacing w:after="0"/>
      </w:pPr>
      <w:r w:rsidRPr="00652A78">
        <w:t>This publication reflects the views of the authors and should not be construed to represent FDA’s views or policies.</w:t>
      </w:r>
    </w:p>
    <w:p w14:paraId="7022EFBF" w14:textId="77777777" w:rsidR="00057646" w:rsidRDefault="00057646" w:rsidP="00F87E11"/>
    <w:sectPr w:rsidR="0005764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4DB5A" w14:textId="77777777" w:rsidR="00FA2D84" w:rsidRDefault="00FA2D84" w:rsidP="007D7ED9">
      <w:pPr>
        <w:spacing w:after="0" w:line="240" w:lineRule="auto"/>
      </w:pPr>
      <w:r>
        <w:separator/>
      </w:r>
    </w:p>
  </w:endnote>
  <w:endnote w:type="continuationSeparator" w:id="0">
    <w:p w14:paraId="5E255EEE" w14:textId="77777777" w:rsidR="00FA2D84" w:rsidRDefault="00FA2D84" w:rsidP="007D7ED9">
      <w:pPr>
        <w:spacing w:after="0" w:line="240" w:lineRule="auto"/>
      </w:pPr>
      <w:r>
        <w:continuationSeparator/>
      </w:r>
    </w:p>
  </w:endnote>
  <w:endnote w:type="continuationNotice" w:id="1">
    <w:p w14:paraId="5582A152" w14:textId="77777777" w:rsidR="00FA2D84" w:rsidRDefault="00FA2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651268"/>
      <w:docPartObj>
        <w:docPartGallery w:val="Page Numbers (Bottom of Page)"/>
        <w:docPartUnique/>
      </w:docPartObj>
    </w:sdtPr>
    <w:sdtEndPr>
      <w:rPr>
        <w:noProof/>
      </w:rPr>
    </w:sdtEndPr>
    <w:sdtContent>
      <w:p w14:paraId="41D80DD1" w14:textId="71FBE55A" w:rsidR="00C77847" w:rsidRDefault="00C778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2BFF60" w14:textId="77777777" w:rsidR="007D7ED9" w:rsidRDefault="007D7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5DC2" w14:textId="77777777" w:rsidR="00FA2D84" w:rsidRDefault="00FA2D84" w:rsidP="007D7ED9">
      <w:pPr>
        <w:spacing w:after="0" w:line="240" w:lineRule="auto"/>
      </w:pPr>
      <w:r>
        <w:separator/>
      </w:r>
    </w:p>
  </w:footnote>
  <w:footnote w:type="continuationSeparator" w:id="0">
    <w:p w14:paraId="378D6888" w14:textId="77777777" w:rsidR="00FA2D84" w:rsidRDefault="00FA2D84" w:rsidP="007D7ED9">
      <w:pPr>
        <w:spacing w:after="0" w:line="240" w:lineRule="auto"/>
      </w:pPr>
      <w:r>
        <w:continuationSeparator/>
      </w:r>
    </w:p>
  </w:footnote>
  <w:footnote w:type="continuationNotice" w:id="1">
    <w:p w14:paraId="7E7A736C" w14:textId="77777777" w:rsidR="00FA2D84" w:rsidRDefault="00FA2D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6E40"/>
    <w:multiLevelType w:val="hybridMultilevel"/>
    <w:tmpl w:val="E9E6D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A4D04"/>
    <w:multiLevelType w:val="hybridMultilevel"/>
    <w:tmpl w:val="9AD41D02"/>
    <w:lvl w:ilvl="0" w:tplc="4D52A22E">
      <w:start w:val="1"/>
      <w:numFmt w:val="bullet"/>
      <w:lvlText w:val=""/>
      <w:lvlJc w:val="left"/>
      <w:pPr>
        <w:ind w:left="720" w:hanging="360"/>
      </w:pPr>
      <w:rPr>
        <w:rFonts w:ascii="Symbol" w:hAnsi="Symbol" w:hint="default"/>
      </w:rPr>
    </w:lvl>
    <w:lvl w:ilvl="1" w:tplc="449EB8AA">
      <w:start w:val="1"/>
      <w:numFmt w:val="bullet"/>
      <w:lvlText w:val="o"/>
      <w:lvlJc w:val="left"/>
      <w:pPr>
        <w:ind w:left="1440" w:hanging="360"/>
      </w:pPr>
      <w:rPr>
        <w:rFonts w:ascii="Courier New" w:hAnsi="Courier New" w:hint="default"/>
      </w:rPr>
    </w:lvl>
    <w:lvl w:ilvl="2" w:tplc="D0B428E6">
      <w:start w:val="1"/>
      <w:numFmt w:val="bullet"/>
      <w:lvlText w:val=""/>
      <w:lvlJc w:val="left"/>
      <w:pPr>
        <w:ind w:left="2160" w:hanging="360"/>
      </w:pPr>
      <w:rPr>
        <w:rFonts w:ascii="Wingdings" w:hAnsi="Wingdings" w:hint="default"/>
      </w:rPr>
    </w:lvl>
    <w:lvl w:ilvl="3" w:tplc="7D7C76C0">
      <w:start w:val="1"/>
      <w:numFmt w:val="bullet"/>
      <w:lvlText w:val=""/>
      <w:lvlJc w:val="left"/>
      <w:pPr>
        <w:ind w:left="2880" w:hanging="360"/>
      </w:pPr>
      <w:rPr>
        <w:rFonts w:ascii="Symbol" w:hAnsi="Symbol" w:hint="default"/>
      </w:rPr>
    </w:lvl>
    <w:lvl w:ilvl="4" w:tplc="21DC5B94">
      <w:start w:val="1"/>
      <w:numFmt w:val="bullet"/>
      <w:lvlText w:val="o"/>
      <w:lvlJc w:val="left"/>
      <w:pPr>
        <w:ind w:left="3600" w:hanging="360"/>
      </w:pPr>
      <w:rPr>
        <w:rFonts w:ascii="Courier New" w:hAnsi="Courier New" w:hint="default"/>
      </w:rPr>
    </w:lvl>
    <w:lvl w:ilvl="5" w:tplc="914CAF9A">
      <w:start w:val="1"/>
      <w:numFmt w:val="bullet"/>
      <w:lvlText w:val=""/>
      <w:lvlJc w:val="left"/>
      <w:pPr>
        <w:ind w:left="4320" w:hanging="360"/>
      </w:pPr>
      <w:rPr>
        <w:rFonts w:ascii="Wingdings" w:hAnsi="Wingdings" w:hint="default"/>
      </w:rPr>
    </w:lvl>
    <w:lvl w:ilvl="6" w:tplc="59D2440C">
      <w:start w:val="1"/>
      <w:numFmt w:val="bullet"/>
      <w:lvlText w:val=""/>
      <w:lvlJc w:val="left"/>
      <w:pPr>
        <w:ind w:left="5040" w:hanging="360"/>
      </w:pPr>
      <w:rPr>
        <w:rFonts w:ascii="Symbol" w:hAnsi="Symbol" w:hint="default"/>
      </w:rPr>
    </w:lvl>
    <w:lvl w:ilvl="7" w:tplc="0F9E6B36">
      <w:start w:val="1"/>
      <w:numFmt w:val="bullet"/>
      <w:lvlText w:val="o"/>
      <w:lvlJc w:val="left"/>
      <w:pPr>
        <w:ind w:left="5760" w:hanging="360"/>
      </w:pPr>
      <w:rPr>
        <w:rFonts w:ascii="Courier New" w:hAnsi="Courier New" w:hint="default"/>
      </w:rPr>
    </w:lvl>
    <w:lvl w:ilvl="8" w:tplc="63726A44">
      <w:start w:val="1"/>
      <w:numFmt w:val="bullet"/>
      <w:lvlText w:val=""/>
      <w:lvlJc w:val="left"/>
      <w:pPr>
        <w:ind w:left="6480" w:hanging="360"/>
      </w:pPr>
      <w:rPr>
        <w:rFonts w:ascii="Wingdings" w:hAnsi="Wingdings" w:hint="default"/>
      </w:rPr>
    </w:lvl>
  </w:abstractNum>
  <w:abstractNum w:abstractNumId="2" w15:restartNumberingAfterBreak="0">
    <w:nsid w:val="108A1E68"/>
    <w:multiLevelType w:val="hybridMultilevel"/>
    <w:tmpl w:val="69263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2628D"/>
    <w:multiLevelType w:val="hybridMultilevel"/>
    <w:tmpl w:val="0CC09020"/>
    <w:lvl w:ilvl="0" w:tplc="616AA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3C3C76"/>
    <w:multiLevelType w:val="hybridMultilevel"/>
    <w:tmpl w:val="E2D0D2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38218A"/>
    <w:multiLevelType w:val="hybridMultilevel"/>
    <w:tmpl w:val="4DCE47BC"/>
    <w:lvl w:ilvl="0" w:tplc="32680F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7612CF"/>
    <w:multiLevelType w:val="hybridMultilevel"/>
    <w:tmpl w:val="A24CC706"/>
    <w:lvl w:ilvl="0" w:tplc="BDA28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0D02D0"/>
    <w:multiLevelType w:val="hybridMultilevel"/>
    <w:tmpl w:val="3B5204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467AAC"/>
    <w:multiLevelType w:val="hybridMultilevel"/>
    <w:tmpl w:val="F70E8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14100EF"/>
    <w:multiLevelType w:val="hybridMultilevel"/>
    <w:tmpl w:val="F0744E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AF5212"/>
    <w:multiLevelType w:val="hybridMultilevel"/>
    <w:tmpl w:val="92E25B40"/>
    <w:lvl w:ilvl="0" w:tplc="C5FAA438">
      <w:start w:val="3"/>
      <w:numFmt w:val="bullet"/>
      <w:lvlText w:val=""/>
      <w:lvlJc w:val="left"/>
      <w:pPr>
        <w:ind w:left="465" w:hanging="360"/>
      </w:pPr>
      <w:rPr>
        <w:rFonts w:ascii="Wingdings" w:eastAsiaTheme="minorEastAsia" w:hAnsi="Wingdings"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67CD799F"/>
    <w:multiLevelType w:val="hybridMultilevel"/>
    <w:tmpl w:val="E0FA523E"/>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E4E523E"/>
    <w:multiLevelType w:val="hybridMultilevel"/>
    <w:tmpl w:val="F0744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265694">
    <w:abstractNumId w:val="1"/>
  </w:num>
  <w:num w:numId="2" w16cid:durableId="1842743162">
    <w:abstractNumId w:val="0"/>
  </w:num>
  <w:num w:numId="3" w16cid:durableId="1885673045">
    <w:abstractNumId w:val="10"/>
  </w:num>
  <w:num w:numId="4" w16cid:durableId="1157497729">
    <w:abstractNumId w:val="2"/>
  </w:num>
  <w:num w:numId="5" w16cid:durableId="1209296644">
    <w:abstractNumId w:val="8"/>
  </w:num>
  <w:num w:numId="6" w16cid:durableId="862011112">
    <w:abstractNumId w:val="5"/>
  </w:num>
  <w:num w:numId="7" w16cid:durableId="67192855">
    <w:abstractNumId w:val="6"/>
  </w:num>
  <w:num w:numId="8" w16cid:durableId="1964269338">
    <w:abstractNumId w:val="3"/>
  </w:num>
  <w:num w:numId="9" w16cid:durableId="745760469">
    <w:abstractNumId w:val="7"/>
  </w:num>
  <w:num w:numId="10" w16cid:durableId="1275557743">
    <w:abstractNumId w:val="12"/>
  </w:num>
  <w:num w:numId="11" w16cid:durableId="1890335871">
    <w:abstractNumId w:val="9"/>
  </w:num>
  <w:num w:numId="12" w16cid:durableId="146478881">
    <w:abstractNumId w:val="11"/>
  </w:num>
  <w:num w:numId="13" w16cid:durableId="1945527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AP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tve2w0r25svretdfkxxaprfsr0990sw95r&quot;&gt;My EndNote Library_KASA&lt;record-ids&gt;&lt;item&gt;1&lt;/item&gt;&lt;item&gt;4&lt;/item&gt;&lt;item&gt;17&lt;/item&gt;&lt;item&gt;18&lt;/item&gt;&lt;item&gt;20&lt;/item&gt;&lt;item&gt;21&lt;/item&gt;&lt;item&gt;22&lt;/item&gt;&lt;item&gt;24&lt;/item&gt;&lt;item&gt;25&lt;/item&gt;&lt;item&gt;26&lt;/item&gt;&lt;item&gt;35&lt;/item&gt;&lt;item&gt;37&lt;/item&gt;&lt;item&gt;38&lt;/item&gt;&lt;item&gt;39&lt;/item&gt;&lt;item&gt;40&lt;/item&gt;&lt;/record-ids&gt;&lt;/item&gt;&lt;/Libraries&gt;"/>
  </w:docVars>
  <w:rsids>
    <w:rsidRoot w:val="00696A0B"/>
    <w:rsid w:val="00000376"/>
    <w:rsid w:val="00000469"/>
    <w:rsid w:val="00000CEF"/>
    <w:rsid w:val="00000D7D"/>
    <w:rsid w:val="00001ACD"/>
    <w:rsid w:val="00001AF1"/>
    <w:rsid w:val="00001D12"/>
    <w:rsid w:val="00002246"/>
    <w:rsid w:val="00002744"/>
    <w:rsid w:val="000028C4"/>
    <w:rsid w:val="00002B90"/>
    <w:rsid w:val="000031D6"/>
    <w:rsid w:val="0000392F"/>
    <w:rsid w:val="00003C42"/>
    <w:rsid w:val="00003F88"/>
    <w:rsid w:val="000043F1"/>
    <w:rsid w:val="00004BD7"/>
    <w:rsid w:val="00004DD0"/>
    <w:rsid w:val="00005394"/>
    <w:rsid w:val="00005496"/>
    <w:rsid w:val="000055B7"/>
    <w:rsid w:val="000055F0"/>
    <w:rsid w:val="00005713"/>
    <w:rsid w:val="00005832"/>
    <w:rsid w:val="0000626B"/>
    <w:rsid w:val="00006809"/>
    <w:rsid w:val="00006817"/>
    <w:rsid w:val="000070DF"/>
    <w:rsid w:val="00010AAB"/>
    <w:rsid w:val="000113FE"/>
    <w:rsid w:val="00011944"/>
    <w:rsid w:val="00012AD4"/>
    <w:rsid w:val="00013472"/>
    <w:rsid w:val="00013CCB"/>
    <w:rsid w:val="00013D28"/>
    <w:rsid w:val="00013EAC"/>
    <w:rsid w:val="00014499"/>
    <w:rsid w:val="000145C2"/>
    <w:rsid w:val="00016355"/>
    <w:rsid w:val="0001698A"/>
    <w:rsid w:val="00016D82"/>
    <w:rsid w:val="00016F99"/>
    <w:rsid w:val="00017621"/>
    <w:rsid w:val="0001C394"/>
    <w:rsid w:val="00020115"/>
    <w:rsid w:val="00020407"/>
    <w:rsid w:val="00020BDF"/>
    <w:rsid w:val="0002105C"/>
    <w:rsid w:val="0002159A"/>
    <w:rsid w:val="00021650"/>
    <w:rsid w:val="00021676"/>
    <w:rsid w:val="00022468"/>
    <w:rsid w:val="000227A4"/>
    <w:rsid w:val="00022F36"/>
    <w:rsid w:val="0002314C"/>
    <w:rsid w:val="00023C17"/>
    <w:rsid w:val="0002456A"/>
    <w:rsid w:val="00024FA5"/>
    <w:rsid w:val="00025167"/>
    <w:rsid w:val="0002543A"/>
    <w:rsid w:val="00025D98"/>
    <w:rsid w:val="00026583"/>
    <w:rsid w:val="000269D3"/>
    <w:rsid w:val="00026BFD"/>
    <w:rsid w:val="00026C05"/>
    <w:rsid w:val="000272B0"/>
    <w:rsid w:val="00027851"/>
    <w:rsid w:val="000279C7"/>
    <w:rsid w:val="00027BBE"/>
    <w:rsid w:val="00027CA5"/>
    <w:rsid w:val="00027D1D"/>
    <w:rsid w:val="00030B93"/>
    <w:rsid w:val="00030BE9"/>
    <w:rsid w:val="00030E9F"/>
    <w:rsid w:val="000321D2"/>
    <w:rsid w:val="0003249C"/>
    <w:rsid w:val="00032B41"/>
    <w:rsid w:val="00032BF6"/>
    <w:rsid w:val="00032FC3"/>
    <w:rsid w:val="000330DD"/>
    <w:rsid w:val="00033138"/>
    <w:rsid w:val="00033AE7"/>
    <w:rsid w:val="00034564"/>
    <w:rsid w:val="00034B33"/>
    <w:rsid w:val="00034FFD"/>
    <w:rsid w:val="0003679C"/>
    <w:rsid w:val="00036B2C"/>
    <w:rsid w:val="00037153"/>
    <w:rsid w:val="000372F0"/>
    <w:rsid w:val="00037505"/>
    <w:rsid w:val="00037F55"/>
    <w:rsid w:val="0004070B"/>
    <w:rsid w:val="00042C84"/>
    <w:rsid w:val="00044396"/>
    <w:rsid w:val="000449AE"/>
    <w:rsid w:val="000451DF"/>
    <w:rsid w:val="000455BF"/>
    <w:rsid w:val="000458C4"/>
    <w:rsid w:val="00045D5F"/>
    <w:rsid w:val="00045F34"/>
    <w:rsid w:val="00047236"/>
    <w:rsid w:val="000500B2"/>
    <w:rsid w:val="000518BA"/>
    <w:rsid w:val="0005194E"/>
    <w:rsid w:val="00051E8F"/>
    <w:rsid w:val="00053318"/>
    <w:rsid w:val="00053B86"/>
    <w:rsid w:val="0005415D"/>
    <w:rsid w:val="000545FC"/>
    <w:rsid w:val="000549DA"/>
    <w:rsid w:val="00054E0C"/>
    <w:rsid w:val="0005588E"/>
    <w:rsid w:val="00056BA9"/>
    <w:rsid w:val="00057003"/>
    <w:rsid w:val="00057120"/>
    <w:rsid w:val="00057646"/>
    <w:rsid w:val="000579C1"/>
    <w:rsid w:val="00061AD1"/>
    <w:rsid w:val="00061BCC"/>
    <w:rsid w:val="00061D27"/>
    <w:rsid w:val="00062494"/>
    <w:rsid w:val="000641EF"/>
    <w:rsid w:val="00064247"/>
    <w:rsid w:val="000643E2"/>
    <w:rsid w:val="00064407"/>
    <w:rsid w:val="000653FF"/>
    <w:rsid w:val="00065BD3"/>
    <w:rsid w:val="0006642E"/>
    <w:rsid w:val="00066497"/>
    <w:rsid w:val="00066D0B"/>
    <w:rsid w:val="00066E17"/>
    <w:rsid w:val="00066E5B"/>
    <w:rsid w:val="00066FFC"/>
    <w:rsid w:val="000675CC"/>
    <w:rsid w:val="000677CA"/>
    <w:rsid w:val="00070016"/>
    <w:rsid w:val="0007067C"/>
    <w:rsid w:val="000717B8"/>
    <w:rsid w:val="00071B90"/>
    <w:rsid w:val="00071D9B"/>
    <w:rsid w:val="00073216"/>
    <w:rsid w:val="00074AD1"/>
    <w:rsid w:val="00075444"/>
    <w:rsid w:val="000756F3"/>
    <w:rsid w:val="00075C68"/>
    <w:rsid w:val="000773E1"/>
    <w:rsid w:val="00077916"/>
    <w:rsid w:val="0008026C"/>
    <w:rsid w:val="0008050C"/>
    <w:rsid w:val="00080B1C"/>
    <w:rsid w:val="00081FB5"/>
    <w:rsid w:val="00082068"/>
    <w:rsid w:val="0008275A"/>
    <w:rsid w:val="00082BCC"/>
    <w:rsid w:val="00082D24"/>
    <w:rsid w:val="0008323B"/>
    <w:rsid w:val="00083488"/>
    <w:rsid w:val="000836EC"/>
    <w:rsid w:val="00083745"/>
    <w:rsid w:val="000843B3"/>
    <w:rsid w:val="0008528E"/>
    <w:rsid w:val="0008551F"/>
    <w:rsid w:val="00085CDC"/>
    <w:rsid w:val="0008621D"/>
    <w:rsid w:val="00086792"/>
    <w:rsid w:val="00086937"/>
    <w:rsid w:val="00086DC8"/>
    <w:rsid w:val="000872B5"/>
    <w:rsid w:val="000873E5"/>
    <w:rsid w:val="0008772B"/>
    <w:rsid w:val="000879B0"/>
    <w:rsid w:val="000901E0"/>
    <w:rsid w:val="0009144C"/>
    <w:rsid w:val="000917BE"/>
    <w:rsid w:val="00091D7B"/>
    <w:rsid w:val="00092BA6"/>
    <w:rsid w:val="00092BD5"/>
    <w:rsid w:val="00092D23"/>
    <w:rsid w:val="000931B6"/>
    <w:rsid w:val="0009366E"/>
    <w:rsid w:val="000942E8"/>
    <w:rsid w:val="000944EB"/>
    <w:rsid w:val="000948C4"/>
    <w:rsid w:val="00095ADB"/>
    <w:rsid w:val="00096AA6"/>
    <w:rsid w:val="00096C8B"/>
    <w:rsid w:val="0009710D"/>
    <w:rsid w:val="00097256"/>
    <w:rsid w:val="00097CD0"/>
    <w:rsid w:val="000A00AA"/>
    <w:rsid w:val="000A0759"/>
    <w:rsid w:val="000A07B4"/>
    <w:rsid w:val="000A0865"/>
    <w:rsid w:val="000A128B"/>
    <w:rsid w:val="000A1E8C"/>
    <w:rsid w:val="000A2876"/>
    <w:rsid w:val="000A2A22"/>
    <w:rsid w:val="000A36E0"/>
    <w:rsid w:val="000A38D7"/>
    <w:rsid w:val="000A3AD8"/>
    <w:rsid w:val="000A3C3C"/>
    <w:rsid w:val="000A3CCF"/>
    <w:rsid w:val="000A401E"/>
    <w:rsid w:val="000A40EA"/>
    <w:rsid w:val="000A445F"/>
    <w:rsid w:val="000A4B71"/>
    <w:rsid w:val="000A4D96"/>
    <w:rsid w:val="000A5B9C"/>
    <w:rsid w:val="000A5C81"/>
    <w:rsid w:val="000A60B2"/>
    <w:rsid w:val="000A60B4"/>
    <w:rsid w:val="000A62D2"/>
    <w:rsid w:val="000A6D02"/>
    <w:rsid w:val="000A6EDB"/>
    <w:rsid w:val="000A76A5"/>
    <w:rsid w:val="000B092F"/>
    <w:rsid w:val="000B0936"/>
    <w:rsid w:val="000B15AA"/>
    <w:rsid w:val="000B30F0"/>
    <w:rsid w:val="000B32CE"/>
    <w:rsid w:val="000B3859"/>
    <w:rsid w:val="000B44B2"/>
    <w:rsid w:val="000B4BA0"/>
    <w:rsid w:val="000B536C"/>
    <w:rsid w:val="000B5409"/>
    <w:rsid w:val="000B5A94"/>
    <w:rsid w:val="000B6CE8"/>
    <w:rsid w:val="000B6F3B"/>
    <w:rsid w:val="000B7491"/>
    <w:rsid w:val="000B78B5"/>
    <w:rsid w:val="000B7C7A"/>
    <w:rsid w:val="000C154F"/>
    <w:rsid w:val="000C18D1"/>
    <w:rsid w:val="000C18EA"/>
    <w:rsid w:val="000C1F77"/>
    <w:rsid w:val="000C20F2"/>
    <w:rsid w:val="000C2BB3"/>
    <w:rsid w:val="000C38DE"/>
    <w:rsid w:val="000C3D0F"/>
    <w:rsid w:val="000C3FC0"/>
    <w:rsid w:val="000C41BC"/>
    <w:rsid w:val="000C4211"/>
    <w:rsid w:val="000C42CE"/>
    <w:rsid w:val="000C4DEE"/>
    <w:rsid w:val="000C5871"/>
    <w:rsid w:val="000C6A0D"/>
    <w:rsid w:val="000C6BFC"/>
    <w:rsid w:val="000C6D83"/>
    <w:rsid w:val="000C789E"/>
    <w:rsid w:val="000C78B9"/>
    <w:rsid w:val="000C7AE9"/>
    <w:rsid w:val="000C7D1B"/>
    <w:rsid w:val="000D0B49"/>
    <w:rsid w:val="000D18E5"/>
    <w:rsid w:val="000D1D18"/>
    <w:rsid w:val="000D29C6"/>
    <w:rsid w:val="000D3058"/>
    <w:rsid w:val="000D32BF"/>
    <w:rsid w:val="000D339F"/>
    <w:rsid w:val="000D3F30"/>
    <w:rsid w:val="000D4042"/>
    <w:rsid w:val="000D4208"/>
    <w:rsid w:val="000D42A5"/>
    <w:rsid w:val="000D4621"/>
    <w:rsid w:val="000D487A"/>
    <w:rsid w:val="000D5229"/>
    <w:rsid w:val="000D5891"/>
    <w:rsid w:val="000D5B12"/>
    <w:rsid w:val="000D5C74"/>
    <w:rsid w:val="000D5D2E"/>
    <w:rsid w:val="000D5F74"/>
    <w:rsid w:val="000D74EE"/>
    <w:rsid w:val="000D777A"/>
    <w:rsid w:val="000D7938"/>
    <w:rsid w:val="000D79B7"/>
    <w:rsid w:val="000D7AE6"/>
    <w:rsid w:val="000D7F7A"/>
    <w:rsid w:val="000E040F"/>
    <w:rsid w:val="000E05F2"/>
    <w:rsid w:val="000E06C2"/>
    <w:rsid w:val="000E1180"/>
    <w:rsid w:val="000E17C3"/>
    <w:rsid w:val="000E229A"/>
    <w:rsid w:val="000E244D"/>
    <w:rsid w:val="000E25A9"/>
    <w:rsid w:val="000E2876"/>
    <w:rsid w:val="000E2E8F"/>
    <w:rsid w:val="000E3458"/>
    <w:rsid w:val="000E41D5"/>
    <w:rsid w:val="000E4249"/>
    <w:rsid w:val="000E458A"/>
    <w:rsid w:val="000E4700"/>
    <w:rsid w:val="000E51E9"/>
    <w:rsid w:val="000E5361"/>
    <w:rsid w:val="000E5556"/>
    <w:rsid w:val="000E5853"/>
    <w:rsid w:val="000E5A5D"/>
    <w:rsid w:val="000E5A61"/>
    <w:rsid w:val="000E5C40"/>
    <w:rsid w:val="000E64CF"/>
    <w:rsid w:val="000E65B4"/>
    <w:rsid w:val="000E69A5"/>
    <w:rsid w:val="000E6D2D"/>
    <w:rsid w:val="000E709B"/>
    <w:rsid w:val="000E70F9"/>
    <w:rsid w:val="000F00F3"/>
    <w:rsid w:val="000F03DB"/>
    <w:rsid w:val="000F060D"/>
    <w:rsid w:val="000F0BA2"/>
    <w:rsid w:val="000F0EAB"/>
    <w:rsid w:val="000F1DD0"/>
    <w:rsid w:val="000F25A0"/>
    <w:rsid w:val="000F26EE"/>
    <w:rsid w:val="000F28A9"/>
    <w:rsid w:val="000F2AF0"/>
    <w:rsid w:val="000F319E"/>
    <w:rsid w:val="000F36E1"/>
    <w:rsid w:val="000F372E"/>
    <w:rsid w:val="000F383D"/>
    <w:rsid w:val="000F461A"/>
    <w:rsid w:val="000F4CA5"/>
    <w:rsid w:val="000F4CB2"/>
    <w:rsid w:val="000F4E35"/>
    <w:rsid w:val="000F558C"/>
    <w:rsid w:val="000F5803"/>
    <w:rsid w:val="000F5DC1"/>
    <w:rsid w:val="000F6232"/>
    <w:rsid w:val="000F6375"/>
    <w:rsid w:val="000F64D6"/>
    <w:rsid w:val="000F71DE"/>
    <w:rsid w:val="000F7461"/>
    <w:rsid w:val="00100245"/>
    <w:rsid w:val="00100574"/>
    <w:rsid w:val="001009F5"/>
    <w:rsid w:val="00100AA4"/>
    <w:rsid w:val="00100B6F"/>
    <w:rsid w:val="00100B71"/>
    <w:rsid w:val="00101645"/>
    <w:rsid w:val="00101804"/>
    <w:rsid w:val="00101832"/>
    <w:rsid w:val="00101925"/>
    <w:rsid w:val="001019D4"/>
    <w:rsid w:val="00101C54"/>
    <w:rsid w:val="001024BE"/>
    <w:rsid w:val="00102857"/>
    <w:rsid w:val="00102B78"/>
    <w:rsid w:val="00103302"/>
    <w:rsid w:val="001035B3"/>
    <w:rsid w:val="0010368E"/>
    <w:rsid w:val="0010378A"/>
    <w:rsid w:val="00103A69"/>
    <w:rsid w:val="00103B0A"/>
    <w:rsid w:val="00103C2C"/>
    <w:rsid w:val="001043AA"/>
    <w:rsid w:val="00104DDE"/>
    <w:rsid w:val="00105DAA"/>
    <w:rsid w:val="00106434"/>
    <w:rsid w:val="001068D4"/>
    <w:rsid w:val="001070E9"/>
    <w:rsid w:val="001101BF"/>
    <w:rsid w:val="00110766"/>
    <w:rsid w:val="00110F6B"/>
    <w:rsid w:val="001111EC"/>
    <w:rsid w:val="00111434"/>
    <w:rsid w:val="0011298A"/>
    <w:rsid w:val="00112B20"/>
    <w:rsid w:val="00112D26"/>
    <w:rsid w:val="00113658"/>
    <w:rsid w:val="00113ACC"/>
    <w:rsid w:val="001140C5"/>
    <w:rsid w:val="0011467B"/>
    <w:rsid w:val="00114D0B"/>
    <w:rsid w:val="00114D9B"/>
    <w:rsid w:val="00114F6F"/>
    <w:rsid w:val="0011562F"/>
    <w:rsid w:val="00115752"/>
    <w:rsid w:val="00115887"/>
    <w:rsid w:val="00115B44"/>
    <w:rsid w:val="00115BE6"/>
    <w:rsid w:val="00115F6A"/>
    <w:rsid w:val="001169DB"/>
    <w:rsid w:val="00116D13"/>
    <w:rsid w:val="00116F65"/>
    <w:rsid w:val="00117B62"/>
    <w:rsid w:val="00117D69"/>
    <w:rsid w:val="00120502"/>
    <w:rsid w:val="00120B70"/>
    <w:rsid w:val="00121A98"/>
    <w:rsid w:val="00122669"/>
    <w:rsid w:val="00123600"/>
    <w:rsid w:val="00123975"/>
    <w:rsid w:val="001245EC"/>
    <w:rsid w:val="00124863"/>
    <w:rsid w:val="00126A90"/>
    <w:rsid w:val="00126F73"/>
    <w:rsid w:val="0013029C"/>
    <w:rsid w:val="001304AE"/>
    <w:rsid w:val="001324B6"/>
    <w:rsid w:val="0013280D"/>
    <w:rsid w:val="001329A8"/>
    <w:rsid w:val="00132E86"/>
    <w:rsid w:val="00133DF9"/>
    <w:rsid w:val="00134638"/>
    <w:rsid w:val="00135C11"/>
    <w:rsid w:val="00135FE3"/>
    <w:rsid w:val="00136A6C"/>
    <w:rsid w:val="00136B72"/>
    <w:rsid w:val="00137434"/>
    <w:rsid w:val="0013779C"/>
    <w:rsid w:val="00137FA4"/>
    <w:rsid w:val="0014004A"/>
    <w:rsid w:val="00141137"/>
    <w:rsid w:val="0014141C"/>
    <w:rsid w:val="0014199C"/>
    <w:rsid w:val="00142FD8"/>
    <w:rsid w:val="00143412"/>
    <w:rsid w:val="00143507"/>
    <w:rsid w:val="00143EAE"/>
    <w:rsid w:val="00143FC6"/>
    <w:rsid w:val="001443EF"/>
    <w:rsid w:val="0014452B"/>
    <w:rsid w:val="0014470E"/>
    <w:rsid w:val="00144C41"/>
    <w:rsid w:val="00144D99"/>
    <w:rsid w:val="0014622A"/>
    <w:rsid w:val="00146C6F"/>
    <w:rsid w:val="0014713C"/>
    <w:rsid w:val="00147196"/>
    <w:rsid w:val="00147E27"/>
    <w:rsid w:val="0015013A"/>
    <w:rsid w:val="00150B1D"/>
    <w:rsid w:val="00150C0A"/>
    <w:rsid w:val="00150D07"/>
    <w:rsid w:val="00150E90"/>
    <w:rsid w:val="00151059"/>
    <w:rsid w:val="001512E5"/>
    <w:rsid w:val="00151F53"/>
    <w:rsid w:val="00151FDF"/>
    <w:rsid w:val="00152307"/>
    <w:rsid w:val="00152591"/>
    <w:rsid w:val="001535F8"/>
    <w:rsid w:val="001538AA"/>
    <w:rsid w:val="00154391"/>
    <w:rsid w:val="00155B51"/>
    <w:rsid w:val="00155FC5"/>
    <w:rsid w:val="001602B4"/>
    <w:rsid w:val="00160959"/>
    <w:rsid w:val="00162934"/>
    <w:rsid w:val="00162F18"/>
    <w:rsid w:val="00162FE3"/>
    <w:rsid w:val="00163C86"/>
    <w:rsid w:val="00164A20"/>
    <w:rsid w:val="0016590C"/>
    <w:rsid w:val="001661D5"/>
    <w:rsid w:val="00166260"/>
    <w:rsid w:val="0016789C"/>
    <w:rsid w:val="00167B72"/>
    <w:rsid w:val="001703CB"/>
    <w:rsid w:val="0017120F"/>
    <w:rsid w:val="00171CF6"/>
    <w:rsid w:val="00172175"/>
    <w:rsid w:val="00172FF7"/>
    <w:rsid w:val="001742F1"/>
    <w:rsid w:val="001746A1"/>
    <w:rsid w:val="0017476C"/>
    <w:rsid w:val="00174E58"/>
    <w:rsid w:val="00175EB5"/>
    <w:rsid w:val="0017607D"/>
    <w:rsid w:val="0017625F"/>
    <w:rsid w:val="00176763"/>
    <w:rsid w:val="0017687B"/>
    <w:rsid w:val="0017798E"/>
    <w:rsid w:val="00177AF1"/>
    <w:rsid w:val="00177EFA"/>
    <w:rsid w:val="001801F1"/>
    <w:rsid w:val="00180351"/>
    <w:rsid w:val="001806BC"/>
    <w:rsid w:val="001809B9"/>
    <w:rsid w:val="00180DA3"/>
    <w:rsid w:val="001814D0"/>
    <w:rsid w:val="001817D4"/>
    <w:rsid w:val="0018190D"/>
    <w:rsid w:val="001821BF"/>
    <w:rsid w:val="0018296C"/>
    <w:rsid w:val="00182DCF"/>
    <w:rsid w:val="001832E4"/>
    <w:rsid w:val="001834C5"/>
    <w:rsid w:val="00183584"/>
    <w:rsid w:val="001836DF"/>
    <w:rsid w:val="0018408D"/>
    <w:rsid w:val="00184619"/>
    <w:rsid w:val="00184827"/>
    <w:rsid w:val="0018515C"/>
    <w:rsid w:val="001855D3"/>
    <w:rsid w:val="001857B9"/>
    <w:rsid w:val="00185839"/>
    <w:rsid w:val="001859B0"/>
    <w:rsid w:val="00186129"/>
    <w:rsid w:val="001863DB"/>
    <w:rsid w:val="001865D7"/>
    <w:rsid w:val="001866CF"/>
    <w:rsid w:val="00186873"/>
    <w:rsid w:val="00186D02"/>
    <w:rsid w:val="00187256"/>
    <w:rsid w:val="001874A5"/>
    <w:rsid w:val="001877A9"/>
    <w:rsid w:val="00187E03"/>
    <w:rsid w:val="00190564"/>
    <w:rsid w:val="00191905"/>
    <w:rsid w:val="00192BBD"/>
    <w:rsid w:val="001937B7"/>
    <w:rsid w:val="0019394A"/>
    <w:rsid w:val="00193C01"/>
    <w:rsid w:val="00194F86"/>
    <w:rsid w:val="001956E7"/>
    <w:rsid w:val="0019574F"/>
    <w:rsid w:val="00195F98"/>
    <w:rsid w:val="00195FEB"/>
    <w:rsid w:val="00196C35"/>
    <w:rsid w:val="00196F97"/>
    <w:rsid w:val="00196FE6"/>
    <w:rsid w:val="00197062"/>
    <w:rsid w:val="001977D7"/>
    <w:rsid w:val="001A01FB"/>
    <w:rsid w:val="001A123A"/>
    <w:rsid w:val="001A1472"/>
    <w:rsid w:val="001A153C"/>
    <w:rsid w:val="001A16BD"/>
    <w:rsid w:val="001A20AC"/>
    <w:rsid w:val="001A3692"/>
    <w:rsid w:val="001A4311"/>
    <w:rsid w:val="001A466F"/>
    <w:rsid w:val="001A487A"/>
    <w:rsid w:val="001A50F1"/>
    <w:rsid w:val="001A51EA"/>
    <w:rsid w:val="001A5612"/>
    <w:rsid w:val="001A5942"/>
    <w:rsid w:val="001A65D6"/>
    <w:rsid w:val="001A6B5F"/>
    <w:rsid w:val="001A6BB0"/>
    <w:rsid w:val="001A7198"/>
    <w:rsid w:val="001A78B7"/>
    <w:rsid w:val="001A78E6"/>
    <w:rsid w:val="001A7CB4"/>
    <w:rsid w:val="001B0360"/>
    <w:rsid w:val="001B0840"/>
    <w:rsid w:val="001B16F3"/>
    <w:rsid w:val="001B1858"/>
    <w:rsid w:val="001B1C46"/>
    <w:rsid w:val="001B2955"/>
    <w:rsid w:val="001B30A8"/>
    <w:rsid w:val="001B3802"/>
    <w:rsid w:val="001B3AC6"/>
    <w:rsid w:val="001B5495"/>
    <w:rsid w:val="001B5E25"/>
    <w:rsid w:val="001B615E"/>
    <w:rsid w:val="001B640F"/>
    <w:rsid w:val="001B7059"/>
    <w:rsid w:val="001B7FD3"/>
    <w:rsid w:val="001C00D1"/>
    <w:rsid w:val="001C072F"/>
    <w:rsid w:val="001C0F14"/>
    <w:rsid w:val="001C1D08"/>
    <w:rsid w:val="001C2A7E"/>
    <w:rsid w:val="001C4106"/>
    <w:rsid w:val="001C43D3"/>
    <w:rsid w:val="001C4A61"/>
    <w:rsid w:val="001C4CBA"/>
    <w:rsid w:val="001C5155"/>
    <w:rsid w:val="001C59F3"/>
    <w:rsid w:val="001C5E6C"/>
    <w:rsid w:val="001C6325"/>
    <w:rsid w:val="001C6637"/>
    <w:rsid w:val="001C7312"/>
    <w:rsid w:val="001C786D"/>
    <w:rsid w:val="001C7B8C"/>
    <w:rsid w:val="001C7D5B"/>
    <w:rsid w:val="001C7F9A"/>
    <w:rsid w:val="001D016F"/>
    <w:rsid w:val="001D04F2"/>
    <w:rsid w:val="001D0967"/>
    <w:rsid w:val="001D0BDC"/>
    <w:rsid w:val="001D0C54"/>
    <w:rsid w:val="001D1BA4"/>
    <w:rsid w:val="001D20ED"/>
    <w:rsid w:val="001D25A5"/>
    <w:rsid w:val="001D3179"/>
    <w:rsid w:val="001D3210"/>
    <w:rsid w:val="001D3B83"/>
    <w:rsid w:val="001D46BC"/>
    <w:rsid w:val="001D4BAA"/>
    <w:rsid w:val="001D4F8E"/>
    <w:rsid w:val="001D6CD6"/>
    <w:rsid w:val="001D72AD"/>
    <w:rsid w:val="001E0D79"/>
    <w:rsid w:val="001E0ED0"/>
    <w:rsid w:val="001E1014"/>
    <w:rsid w:val="001E1088"/>
    <w:rsid w:val="001E1822"/>
    <w:rsid w:val="001E2122"/>
    <w:rsid w:val="001E2794"/>
    <w:rsid w:val="001E2948"/>
    <w:rsid w:val="001E2F08"/>
    <w:rsid w:val="001E3103"/>
    <w:rsid w:val="001E3377"/>
    <w:rsid w:val="001E37B6"/>
    <w:rsid w:val="001E38AD"/>
    <w:rsid w:val="001E3A32"/>
    <w:rsid w:val="001E48C2"/>
    <w:rsid w:val="001E537A"/>
    <w:rsid w:val="001E57BB"/>
    <w:rsid w:val="001E587B"/>
    <w:rsid w:val="001E5AF2"/>
    <w:rsid w:val="001E6598"/>
    <w:rsid w:val="001E663D"/>
    <w:rsid w:val="001E7006"/>
    <w:rsid w:val="001E7302"/>
    <w:rsid w:val="001E7F7D"/>
    <w:rsid w:val="001F03DA"/>
    <w:rsid w:val="001F0B02"/>
    <w:rsid w:val="001F0C0C"/>
    <w:rsid w:val="001F0D0B"/>
    <w:rsid w:val="001F1B0E"/>
    <w:rsid w:val="001F1C7E"/>
    <w:rsid w:val="001F1E17"/>
    <w:rsid w:val="001F1EFE"/>
    <w:rsid w:val="001F22AB"/>
    <w:rsid w:val="001F325F"/>
    <w:rsid w:val="001F3701"/>
    <w:rsid w:val="001F42A9"/>
    <w:rsid w:val="001F4742"/>
    <w:rsid w:val="001F4813"/>
    <w:rsid w:val="001F5391"/>
    <w:rsid w:val="001F57A5"/>
    <w:rsid w:val="001F62ED"/>
    <w:rsid w:val="001F6767"/>
    <w:rsid w:val="001F67CE"/>
    <w:rsid w:val="001F6BAF"/>
    <w:rsid w:val="001F7283"/>
    <w:rsid w:val="001F74CA"/>
    <w:rsid w:val="001F75F4"/>
    <w:rsid w:val="001F7A84"/>
    <w:rsid w:val="002006F8"/>
    <w:rsid w:val="0020075E"/>
    <w:rsid w:val="00200B7F"/>
    <w:rsid w:val="00200C8C"/>
    <w:rsid w:val="00200F03"/>
    <w:rsid w:val="00201813"/>
    <w:rsid w:val="002024C9"/>
    <w:rsid w:val="00202F75"/>
    <w:rsid w:val="00203690"/>
    <w:rsid w:val="00203860"/>
    <w:rsid w:val="00203F17"/>
    <w:rsid w:val="00204606"/>
    <w:rsid w:val="00204ADA"/>
    <w:rsid w:val="002068E7"/>
    <w:rsid w:val="00206982"/>
    <w:rsid w:val="00206B49"/>
    <w:rsid w:val="00206B90"/>
    <w:rsid w:val="00206C0E"/>
    <w:rsid w:val="00206E31"/>
    <w:rsid w:val="00207486"/>
    <w:rsid w:val="002077DC"/>
    <w:rsid w:val="00207886"/>
    <w:rsid w:val="00207A2A"/>
    <w:rsid w:val="00207BCA"/>
    <w:rsid w:val="00210078"/>
    <w:rsid w:val="00210441"/>
    <w:rsid w:val="002106D5"/>
    <w:rsid w:val="00210B2A"/>
    <w:rsid w:val="00210D3D"/>
    <w:rsid w:val="0021104C"/>
    <w:rsid w:val="00211550"/>
    <w:rsid w:val="00211B83"/>
    <w:rsid w:val="00212FA0"/>
    <w:rsid w:val="002133DA"/>
    <w:rsid w:val="00213B4B"/>
    <w:rsid w:val="00213CEB"/>
    <w:rsid w:val="00213EE8"/>
    <w:rsid w:val="00213FA4"/>
    <w:rsid w:val="00214297"/>
    <w:rsid w:val="002144F4"/>
    <w:rsid w:val="002145B1"/>
    <w:rsid w:val="00214A9C"/>
    <w:rsid w:val="00214C46"/>
    <w:rsid w:val="00215E61"/>
    <w:rsid w:val="0021670E"/>
    <w:rsid w:val="00216B58"/>
    <w:rsid w:val="00217CE1"/>
    <w:rsid w:val="002201CE"/>
    <w:rsid w:val="0022053D"/>
    <w:rsid w:val="002206BF"/>
    <w:rsid w:val="00220D27"/>
    <w:rsid w:val="002220F9"/>
    <w:rsid w:val="00222AA2"/>
    <w:rsid w:val="00222C73"/>
    <w:rsid w:val="00223D03"/>
    <w:rsid w:val="00223E22"/>
    <w:rsid w:val="0022419E"/>
    <w:rsid w:val="00224AFA"/>
    <w:rsid w:val="00224CC7"/>
    <w:rsid w:val="00225096"/>
    <w:rsid w:val="00225AA5"/>
    <w:rsid w:val="00225C62"/>
    <w:rsid w:val="00225C81"/>
    <w:rsid w:val="0022636F"/>
    <w:rsid w:val="002263C6"/>
    <w:rsid w:val="00226AC2"/>
    <w:rsid w:val="00226F5E"/>
    <w:rsid w:val="00226F94"/>
    <w:rsid w:val="002270D1"/>
    <w:rsid w:val="002271A7"/>
    <w:rsid w:val="00227266"/>
    <w:rsid w:val="00227E0B"/>
    <w:rsid w:val="00227E11"/>
    <w:rsid w:val="00230088"/>
    <w:rsid w:val="0023062E"/>
    <w:rsid w:val="002308B0"/>
    <w:rsid w:val="00230BE5"/>
    <w:rsid w:val="00230E98"/>
    <w:rsid w:val="00231849"/>
    <w:rsid w:val="00231A1E"/>
    <w:rsid w:val="00231A46"/>
    <w:rsid w:val="002323C1"/>
    <w:rsid w:val="00232417"/>
    <w:rsid w:val="00232456"/>
    <w:rsid w:val="0023265F"/>
    <w:rsid w:val="00233AA5"/>
    <w:rsid w:val="00234590"/>
    <w:rsid w:val="00234E6F"/>
    <w:rsid w:val="00235E77"/>
    <w:rsid w:val="00236C5A"/>
    <w:rsid w:val="0023740F"/>
    <w:rsid w:val="00237A11"/>
    <w:rsid w:val="00240008"/>
    <w:rsid w:val="00240401"/>
    <w:rsid w:val="00240568"/>
    <w:rsid w:val="0024067B"/>
    <w:rsid w:val="00241352"/>
    <w:rsid w:val="00241841"/>
    <w:rsid w:val="00241C85"/>
    <w:rsid w:val="00241CA9"/>
    <w:rsid w:val="00241E5F"/>
    <w:rsid w:val="00241E6A"/>
    <w:rsid w:val="002421E6"/>
    <w:rsid w:val="0024296F"/>
    <w:rsid w:val="00242E52"/>
    <w:rsid w:val="00243A07"/>
    <w:rsid w:val="00243DD2"/>
    <w:rsid w:val="0024420A"/>
    <w:rsid w:val="00244CE6"/>
    <w:rsid w:val="00244FC5"/>
    <w:rsid w:val="002453EB"/>
    <w:rsid w:val="0024562F"/>
    <w:rsid w:val="0024593D"/>
    <w:rsid w:val="00245F62"/>
    <w:rsid w:val="002467C8"/>
    <w:rsid w:val="002470E1"/>
    <w:rsid w:val="00250257"/>
    <w:rsid w:val="00250972"/>
    <w:rsid w:val="00250A62"/>
    <w:rsid w:val="00250E03"/>
    <w:rsid w:val="00252574"/>
    <w:rsid w:val="00252640"/>
    <w:rsid w:val="00252A93"/>
    <w:rsid w:val="00252D0C"/>
    <w:rsid w:val="00253055"/>
    <w:rsid w:val="00253E7B"/>
    <w:rsid w:val="00254D89"/>
    <w:rsid w:val="00254ED1"/>
    <w:rsid w:val="00255071"/>
    <w:rsid w:val="002557DB"/>
    <w:rsid w:val="00255B8A"/>
    <w:rsid w:val="00255EB9"/>
    <w:rsid w:val="002569A3"/>
    <w:rsid w:val="00256FEB"/>
    <w:rsid w:val="00257650"/>
    <w:rsid w:val="002579F4"/>
    <w:rsid w:val="002618C6"/>
    <w:rsid w:val="002628F2"/>
    <w:rsid w:val="00262979"/>
    <w:rsid w:val="002629C2"/>
    <w:rsid w:val="00262CB6"/>
    <w:rsid w:val="00262E83"/>
    <w:rsid w:val="00264ACA"/>
    <w:rsid w:val="00264E5E"/>
    <w:rsid w:val="002651C6"/>
    <w:rsid w:val="00265606"/>
    <w:rsid w:val="00265A16"/>
    <w:rsid w:val="00265ED3"/>
    <w:rsid w:val="00266644"/>
    <w:rsid w:val="002667CC"/>
    <w:rsid w:val="00266F4A"/>
    <w:rsid w:val="00267596"/>
    <w:rsid w:val="00267E96"/>
    <w:rsid w:val="002700B4"/>
    <w:rsid w:val="00270C6E"/>
    <w:rsid w:val="0027175B"/>
    <w:rsid w:val="00271ACB"/>
    <w:rsid w:val="002723B5"/>
    <w:rsid w:val="00273081"/>
    <w:rsid w:val="00273119"/>
    <w:rsid w:val="002734DB"/>
    <w:rsid w:val="0027386D"/>
    <w:rsid w:val="00273D1F"/>
    <w:rsid w:val="00274B32"/>
    <w:rsid w:val="0027537E"/>
    <w:rsid w:val="0027563B"/>
    <w:rsid w:val="00275B14"/>
    <w:rsid w:val="00276427"/>
    <w:rsid w:val="00276727"/>
    <w:rsid w:val="00276E61"/>
    <w:rsid w:val="00276EA3"/>
    <w:rsid w:val="00277277"/>
    <w:rsid w:val="00277C2C"/>
    <w:rsid w:val="002807CF"/>
    <w:rsid w:val="0028149C"/>
    <w:rsid w:val="0028185C"/>
    <w:rsid w:val="002820A9"/>
    <w:rsid w:val="00282550"/>
    <w:rsid w:val="00282A36"/>
    <w:rsid w:val="00282AC7"/>
    <w:rsid w:val="00283122"/>
    <w:rsid w:val="002838EE"/>
    <w:rsid w:val="002838F3"/>
    <w:rsid w:val="00283B72"/>
    <w:rsid w:val="0028483D"/>
    <w:rsid w:val="00285B62"/>
    <w:rsid w:val="00285C74"/>
    <w:rsid w:val="00286D5E"/>
    <w:rsid w:val="00286EA3"/>
    <w:rsid w:val="00287F5F"/>
    <w:rsid w:val="00290FB9"/>
    <w:rsid w:val="002910CA"/>
    <w:rsid w:val="00291529"/>
    <w:rsid w:val="0029190F"/>
    <w:rsid w:val="00291B7D"/>
    <w:rsid w:val="00291D39"/>
    <w:rsid w:val="00291D9A"/>
    <w:rsid w:val="0029256E"/>
    <w:rsid w:val="00292F0D"/>
    <w:rsid w:val="00292FB4"/>
    <w:rsid w:val="00293024"/>
    <w:rsid w:val="002934B1"/>
    <w:rsid w:val="002934CA"/>
    <w:rsid w:val="00293792"/>
    <w:rsid w:val="00293BFF"/>
    <w:rsid w:val="00294CE2"/>
    <w:rsid w:val="00294CEF"/>
    <w:rsid w:val="00294FC9"/>
    <w:rsid w:val="0029503A"/>
    <w:rsid w:val="002952C1"/>
    <w:rsid w:val="00295DB5"/>
    <w:rsid w:val="00296218"/>
    <w:rsid w:val="00296E37"/>
    <w:rsid w:val="002971C0"/>
    <w:rsid w:val="002974DE"/>
    <w:rsid w:val="00297A20"/>
    <w:rsid w:val="00297BCD"/>
    <w:rsid w:val="002A001B"/>
    <w:rsid w:val="002A0937"/>
    <w:rsid w:val="002A10ED"/>
    <w:rsid w:val="002A1199"/>
    <w:rsid w:val="002A11B7"/>
    <w:rsid w:val="002A165D"/>
    <w:rsid w:val="002A1C88"/>
    <w:rsid w:val="002A2B9D"/>
    <w:rsid w:val="002A2DB7"/>
    <w:rsid w:val="002A3C65"/>
    <w:rsid w:val="002A3E3C"/>
    <w:rsid w:val="002A440A"/>
    <w:rsid w:val="002A4672"/>
    <w:rsid w:val="002A4BB2"/>
    <w:rsid w:val="002A4C05"/>
    <w:rsid w:val="002A6099"/>
    <w:rsid w:val="002A65A7"/>
    <w:rsid w:val="002A6B23"/>
    <w:rsid w:val="002B158E"/>
    <w:rsid w:val="002B1A1E"/>
    <w:rsid w:val="002B1F98"/>
    <w:rsid w:val="002B2B4A"/>
    <w:rsid w:val="002B2B85"/>
    <w:rsid w:val="002B31F7"/>
    <w:rsid w:val="002B32B7"/>
    <w:rsid w:val="002B38C7"/>
    <w:rsid w:val="002B4482"/>
    <w:rsid w:val="002B4554"/>
    <w:rsid w:val="002B458A"/>
    <w:rsid w:val="002B5985"/>
    <w:rsid w:val="002B67D2"/>
    <w:rsid w:val="002B6E23"/>
    <w:rsid w:val="002B7687"/>
    <w:rsid w:val="002B78DC"/>
    <w:rsid w:val="002C0316"/>
    <w:rsid w:val="002C094B"/>
    <w:rsid w:val="002C0AA4"/>
    <w:rsid w:val="002C0C83"/>
    <w:rsid w:val="002C27C5"/>
    <w:rsid w:val="002C2C68"/>
    <w:rsid w:val="002C3B4B"/>
    <w:rsid w:val="002C3FB2"/>
    <w:rsid w:val="002C421B"/>
    <w:rsid w:val="002C4E65"/>
    <w:rsid w:val="002C7127"/>
    <w:rsid w:val="002C714E"/>
    <w:rsid w:val="002C732D"/>
    <w:rsid w:val="002C73D6"/>
    <w:rsid w:val="002C7599"/>
    <w:rsid w:val="002C78A5"/>
    <w:rsid w:val="002C7D2B"/>
    <w:rsid w:val="002C7D91"/>
    <w:rsid w:val="002C7E8A"/>
    <w:rsid w:val="002C7FAD"/>
    <w:rsid w:val="002D11BF"/>
    <w:rsid w:val="002D161E"/>
    <w:rsid w:val="002D239C"/>
    <w:rsid w:val="002D267E"/>
    <w:rsid w:val="002D302E"/>
    <w:rsid w:val="002D314A"/>
    <w:rsid w:val="002D3F77"/>
    <w:rsid w:val="002D40A2"/>
    <w:rsid w:val="002D4D84"/>
    <w:rsid w:val="002D513F"/>
    <w:rsid w:val="002D53F8"/>
    <w:rsid w:val="002D5B0C"/>
    <w:rsid w:val="002D6154"/>
    <w:rsid w:val="002D6A6D"/>
    <w:rsid w:val="002D6C2B"/>
    <w:rsid w:val="002D7697"/>
    <w:rsid w:val="002E0971"/>
    <w:rsid w:val="002E09B7"/>
    <w:rsid w:val="002E10BB"/>
    <w:rsid w:val="002E1127"/>
    <w:rsid w:val="002E1FFF"/>
    <w:rsid w:val="002E24BF"/>
    <w:rsid w:val="002E280F"/>
    <w:rsid w:val="002E34B2"/>
    <w:rsid w:val="002E3DEB"/>
    <w:rsid w:val="002E4AB0"/>
    <w:rsid w:val="002E4CC2"/>
    <w:rsid w:val="002E4F56"/>
    <w:rsid w:val="002E53FB"/>
    <w:rsid w:val="002E5812"/>
    <w:rsid w:val="002E5888"/>
    <w:rsid w:val="002E6AF7"/>
    <w:rsid w:val="002E6C2D"/>
    <w:rsid w:val="002E6FED"/>
    <w:rsid w:val="002E77B7"/>
    <w:rsid w:val="002E77F6"/>
    <w:rsid w:val="002F07C6"/>
    <w:rsid w:val="002F0A15"/>
    <w:rsid w:val="002F0B13"/>
    <w:rsid w:val="002F107D"/>
    <w:rsid w:val="002F1643"/>
    <w:rsid w:val="002F187D"/>
    <w:rsid w:val="002F194C"/>
    <w:rsid w:val="002F2B0A"/>
    <w:rsid w:val="002F4003"/>
    <w:rsid w:val="002F4962"/>
    <w:rsid w:val="002F5A45"/>
    <w:rsid w:val="002F5FE8"/>
    <w:rsid w:val="002F6353"/>
    <w:rsid w:val="002F6AC8"/>
    <w:rsid w:val="002F6D6C"/>
    <w:rsid w:val="002F6D79"/>
    <w:rsid w:val="002F734B"/>
    <w:rsid w:val="002F73FA"/>
    <w:rsid w:val="002F7464"/>
    <w:rsid w:val="002F7BCB"/>
    <w:rsid w:val="002F7F41"/>
    <w:rsid w:val="003008C4"/>
    <w:rsid w:val="00300A48"/>
    <w:rsid w:val="00300C79"/>
    <w:rsid w:val="0030145B"/>
    <w:rsid w:val="00301605"/>
    <w:rsid w:val="0030187C"/>
    <w:rsid w:val="003022E8"/>
    <w:rsid w:val="00302A24"/>
    <w:rsid w:val="00302C3E"/>
    <w:rsid w:val="00302E07"/>
    <w:rsid w:val="0030347A"/>
    <w:rsid w:val="00303751"/>
    <w:rsid w:val="00303954"/>
    <w:rsid w:val="00303B7F"/>
    <w:rsid w:val="00303CDF"/>
    <w:rsid w:val="003052AB"/>
    <w:rsid w:val="003054AF"/>
    <w:rsid w:val="00306F5F"/>
    <w:rsid w:val="00307019"/>
    <w:rsid w:val="00307109"/>
    <w:rsid w:val="00307268"/>
    <w:rsid w:val="00307D99"/>
    <w:rsid w:val="00310307"/>
    <w:rsid w:val="00310951"/>
    <w:rsid w:val="00311D89"/>
    <w:rsid w:val="00311ECC"/>
    <w:rsid w:val="0031218A"/>
    <w:rsid w:val="00312A83"/>
    <w:rsid w:val="00313228"/>
    <w:rsid w:val="003136DD"/>
    <w:rsid w:val="0031476C"/>
    <w:rsid w:val="003157B6"/>
    <w:rsid w:val="00315863"/>
    <w:rsid w:val="00315940"/>
    <w:rsid w:val="00315B78"/>
    <w:rsid w:val="003165EF"/>
    <w:rsid w:val="003167D8"/>
    <w:rsid w:val="003173F3"/>
    <w:rsid w:val="00317421"/>
    <w:rsid w:val="003179B6"/>
    <w:rsid w:val="003179C2"/>
    <w:rsid w:val="00320919"/>
    <w:rsid w:val="00320F2B"/>
    <w:rsid w:val="00321DA6"/>
    <w:rsid w:val="00321E2C"/>
    <w:rsid w:val="0032203E"/>
    <w:rsid w:val="00322158"/>
    <w:rsid w:val="003222BC"/>
    <w:rsid w:val="00322853"/>
    <w:rsid w:val="00322FD2"/>
    <w:rsid w:val="00323B2C"/>
    <w:rsid w:val="003243A3"/>
    <w:rsid w:val="003243AA"/>
    <w:rsid w:val="00324A00"/>
    <w:rsid w:val="00324EF3"/>
    <w:rsid w:val="00325764"/>
    <w:rsid w:val="00325D9A"/>
    <w:rsid w:val="00327AD5"/>
    <w:rsid w:val="00327ECA"/>
    <w:rsid w:val="003300B9"/>
    <w:rsid w:val="00330A87"/>
    <w:rsid w:val="00330FD8"/>
    <w:rsid w:val="00330FE6"/>
    <w:rsid w:val="00331308"/>
    <w:rsid w:val="00331749"/>
    <w:rsid w:val="0033185B"/>
    <w:rsid w:val="00331B7D"/>
    <w:rsid w:val="003323AD"/>
    <w:rsid w:val="0033283D"/>
    <w:rsid w:val="00333756"/>
    <w:rsid w:val="00333DC8"/>
    <w:rsid w:val="003341E9"/>
    <w:rsid w:val="003347B0"/>
    <w:rsid w:val="00335D16"/>
    <w:rsid w:val="00335DAF"/>
    <w:rsid w:val="003361CC"/>
    <w:rsid w:val="003364B4"/>
    <w:rsid w:val="003369E6"/>
    <w:rsid w:val="00336A8D"/>
    <w:rsid w:val="00337CC1"/>
    <w:rsid w:val="0034010B"/>
    <w:rsid w:val="003404A6"/>
    <w:rsid w:val="00340A00"/>
    <w:rsid w:val="00341314"/>
    <w:rsid w:val="003422D5"/>
    <w:rsid w:val="003424E0"/>
    <w:rsid w:val="00343855"/>
    <w:rsid w:val="00343A89"/>
    <w:rsid w:val="00343F97"/>
    <w:rsid w:val="003440B6"/>
    <w:rsid w:val="0034487F"/>
    <w:rsid w:val="0034531C"/>
    <w:rsid w:val="00346415"/>
    <w:rsid w:val="00346EB3"/>
    <w:rsid w:val="0034719B"/>
    <w:rsid w:val="00347895"/>
    <w:rsid w:val="003504F5"/>
    <w:rsid w:val="003506CB"/>
    <w:rsid w:val="00350B58"/>
    <w:rsid w:val="00351210"/>
    <w:rsid w:val="003516FF"/>
    <w:rsid w:val="003524E4"/>
    <w:rsid w:val="0035301E"/>
    <w:rsid w:val="00353054"/>
    <w:rsid w:val="0035313E"/>
    <w:rsid w:val="0035332D"/>
    <w:rsid w:val="003533CD"/>
    <w:rsid w:val="00353CFF"/>
    <w:rsid w:val="00353EC9"/>
    <w:rsid w:val="00356368"/>
    <w:rsid w:val="003568E3"/>
    <w:rsid w:val="00356E83"/>
    <w:rsid w:val="0035766C"/>
    <w:rsid w:val="00357779"/>
    <w:rsid w:val="00360D3C"/>
    <w:rsid w:val="00361304"/>
    <w:rsid w:val="00362077"/>
    <w:rsid w:val="00363234"/>
    <w:rsid w:val="00363551"/>
    <w:rsid w:val="003647B5"/>
    <w:rsid w:val="00364BF9"/>
    <w:rsid w:val="00364E16"/>
    <w:rsid w:val="00364EE4"/>
    <w:rsid w:val="003650D4"/>
    <w:rsid w:val="00365C6B"/>
    <w:rsid w:val="00365EA5"/>
    <w:rsid w:val="0036634B"/>
    <w:rsid w:val="00366A1E"/>
    <w:rsid w:val="00370071"/>
    <w:rsid w:val="00370E44"/>
    <w:rsid w:val="00370FAE"/>
    <w:rsid w:val="003714AB"/>
    <w:rsid w:val="00371AA8"/>
    <w:rsid w:val="003735FE"/>
    <w:rsid w:val="00373CB4"/>
    <w:rsid w:val="00374020"/>
    <w:rsid w:val="00374505"/>
    <w:rsid w:val="00374EC8"/>
    <w:rsid w:val="00374F65"/>
    <w:rsid w:val="00375FC8"/>
    <w:rsid w:val="0037612A"/>
    <w:rsid w:val="00376176"/>
    <w:rsid w:val="0037722E"/>
    <w:rsid w:val="00381087"/>
    <w:rsid w:val="003811CC"/>
    <w:rsid w:val="00381A95"/>
    <w:rsid w:val="00381CDA"/>
    <w:rsid w:val="003821A3"/>
    <w:rsid w:val="00382645"/>
    <w:rsid w:val="003834F1"/>
    <w:rsid w:val="0038356E"/>
    <w:rsid w:val="00383F7A"/>
    <w:rsid w:val="00385D3A"/>
    <w:rsid w:val="0038641A"/>
    <w:rsid w:val="003866E6"/>
    <w:rsid w:val="00386F77"/>
    <w:rsid w:val="0039026E"/>
    <w:rsid w:val="0039033E"/>
    <w:rsid w:val="00390360"/>
    <w:rsid w:val="003911B1"/>
    <w:rsid w:val="003911F2"/>
    <w:rsid w:val="0039176B"/>
    <w:rsid w:val="0039199F"/>
    <w:rsid w:val="003920E6"/>
    <w:rsid w:val="00392E9F"/>
    <w:rsid w:val="0039303B"/>
    <w:rsid w:val="00393139"/>
    <w:rsid w:val="0039330A"/>
    <w:rsid w:val="003940C6"/>
    <w:rsid w:val="003946EC"/>
    <w:rsid w:val="00394989"/>
    <w:rsid w:val="00394D3F"/>
    <w:rsid w:val="00394F40"/>
    <w:rsid w:val="0039526E"/>
    <w:rsid w:val="00395420"/>
    <w:rsid w:val="00395501"/>
    <w:rsid w:val="003959CD"/>
    <w:rsid w:val="00395AC1"/>
    <w:rsid w:val="00396729"/>
    <w:rsid w:val="00396F33"/>
    <w:rsid w:val="00397288"/>
    <w:rsid w:val="0039728E"/>
    <w:rsid w:val="00397B18"/>
    <w:rsid w:val="00397CA6"/>
    <w:rsid w:val="00397FA5"/>
    <w:rsid w:val="003A0074"/>
    <w:rsid w:val="003A00DB"/>
    <w:rsid w:val="003A1426"/>
    <w:rsid w:val="003A1A1F"/>
    <w:rsid w:val="003A2529"/>
    <w:rsid w:val="003A27B8"/>
    <w:rsid w:val="003A2E01"/>
    <w:rsid w:val="003A324F"/>
    <w:rsid w:val="003A3309"/>
    <w:rsid w:val="003A33F0"/>
    <w:rsid w:val="003A33F2"/>
    <w:rsid w:val="003A3500"/>
    <w:rsid w:val="003A3A9E"/>
    <w:rsid w:val="003A3AE1"/>
    <w:rsid w:val="003A4C72"/>
    <w:rsid w:val="003A4FCD"/>
    <w:rsid w:val="003A5E48"/>
    <w:rsid w:val="003A5F2E"/>
    <w:rsid w:val="003A6664"/>
    <w:rsid w:val="003A6702"/>
    <w:rsid w:val="003A7DB0"/>
    <w:rsid w:val="003B02F2"/>
    <w:rsid w:val="003B098B"/>
    <w:rsid w:val="003B1FF1"/>
    <w:rsid w:val="003B21B2"/>
    <w:rsid w:val="003B3789"/>
    <w:rsid w:val="003B3808"/>
    <w:rsid w:val="003B3F19"/>
    <w:rsid w:val="003B4264"/>
    <w:rsid w:val="003B47C1"/>
    <w:rsid w:val="003B4E2C"/>
    <w:rsid w:val="003B519B"/>
    <w:rsid w:val="003B53B1"/>
    <w:rsid w:val="003B554F"/>
    <w:rsid w:val="003B5904"/>
    <w:rsid w:val="003B67EB"/>
    <w:rsid w:val="003B6831"/>
    <w:rsid w:val="003B723D"/>
    <w:rsid w:val="003B7949"/>
    <w:rsid w:val="003C1180"/>
    <w:rsid w:val="003C1248"/>
    <w:rsid w:val="003C2F9E"/>
    <w:rsid w:val="003C309B"/>
    <w:rsid w:val="003C3655"/>
    <w:rsid w:val="003C3CD7"/>
    <w:rsid w:val="003C4C45"/>
    <w:rsid w:val="003C5843"/>
    <w:rsid w:val="003C62B5"/>
    <w:rsid w:val="003C6393"/>
    <w:rsid w:val="003C6DCA"/>
    <w:rsid w:val="003C785F"/>
    <w:rsid w:val="003D00DE"/>
    <w:rsid w:val="003D1032"/>
    <w:rsid w:val="003D163D"/>
    <w:rsid w:val="003D1708"/>
    <w:rsid w:val="003D182C"/>
    <w:rsid w:val="003D19B5"/>
    <w:rsid w:val="003D354D"/>
    <w:rsid w:val="003D45E4"/>
    <w:rsid w:val="003D4722"/>
    <w:rsid w:val="003D5315"/>
    <w:rsid w:val="003D5375"/>
    <w:rsid w:val="003D5A34"/>
    <w:rsid w:val="003D5F51"/>
    <w:rsid w:val="003D627F"/>
    <w:rsid w:val="003D6BF0"/>
    <w:rsid w:val="003E01DF"/>
    <w:rsid w:val="003E0755"/>
    <w:rsid w:val="003E0FE3"/>
    <w:rsid w:val="003E102C"/>
    <w:rsid w:val="003E126F"/>
    <w:rsid w:val="003E1492"/>
    <w:rsid w:val="003E170A"/>
    <w:rsid w:val="003E1DC8"/>
    <w:rsid w:val="003E2316"/>
    <w:rsid w:val="003E277A"/>
    <w:rsid w:val="003E2BFE"/>
    <w:rsid w:val="003E2D1E"/>
    <w:rsid w:val="003E38E7"/>
    <w:rsid w:val="003E3927"/>
    <w:rsid w:val="003E3C40"/>
    <w:rsid w:val="003E43FD"/>
    <w:rsid w:val="003E47F9"/>
    <w:rsid w:val="003E485E"/>
    <w:rsid w:val="003E5DE9"/>
    <w:rsid w:val="003E5F3B"/>
    <w:rsid w:val="003E635B"/>
    <w:rsid w:val="003E73EF"/>
    <w:rsid w:val="003E780A"/>
    <w:rsid w:val="003E7E29"/>
    <w:rsid w:val="003F11CC"/>
    <w:rsid w:val="003F167A"/>
    <w:rsid w:val="003F191C"/>
    <w:rsid w:val="003F2839"/>
    <w:rsid w:val="003F295E"/>
    <w:rsid w:val="003F3156"/>
    <w:rsid w:val="003F35A1"/>
    <w:rsid w:val="003F39D2"/>
    <w:rsid w:val="003F3ADB"/>
    <w:rsid w:val="003F3D81"/>
    <w:rsid w:val="003F4183"/>
    <w:rsid w:val="003F59F5"/>
    <w:rsid w:val="003F6490"/>
    <w:rsid w:val="003F7353"/>
    <w:rsid w:val="004000DB"/>
    <w:rsid w:val="004005B3"/>
    <w:rsid w:val="0040066A"/>
    <w:rsid w:val="004008F5"/>
    <w:rsid w:val="00400B15"/>
    <w:rsid w:val="00400BFA"/>
    <w:rsid w:val="00401903"/>
    <w:rsid w:val="00401A28"/>
    <w:rsid w:val="004035E7"/>
    <w:rsid w:val="00403D27"/>
    <w:rsid w:val="0040467D"/>
    <w:rsid w:val="0040476B"/>
    <w:rsid w:val="004047B4"/>
    <w:rsid w:val="00404867"/>
    <w:rsid w:val="00405004"/>
    <w:rsid w:val="004050E0"/>
    <w:rsid w:val="0040568D"/>
    <w:rsid w:val="00405AEF"/>
    <w:rsid w:val="00406483"/>
    <w:rsid w:val="004067DD"/>
    <w:rsid w:val="00407406"/>
    <w:rsid w:val="00407441"/>
    <w:rsid w:val="004076F2"/>
    <w:rsid w:val="004077C0"/>
    <w:rsid w:val="00410143"/>
    <w:rsid w:val="004105D7"/>
    <w:rsid w:val="004108BC"/>
    <w:rsid w:val="004109C4"/>
    <w:rsid w:val="00410E9F"/>
    <w:rsid w:val="00410F71"/>
    <w:rsid w:val="004113A5"/>
    <w:rsid w:val="0041148E"/>
    <w:rsid w:val="00411721"/>
    <w:rsid w:val="0041289C"/>
    <w:rsid w:val="004130FF"/>
    <w:rsid w:val="00413CD0"/>
    <w:rsid w:val="00414533"/>
    <w:rsid w:val="00415C90"/>
    <w:rsid w:val="004161C1"/>
    <w:rsid w:val="0041712C"/>
    <w:rsid w:val="00417161"/>
    <w:rsid w:val="00420660"/>
    <w:rsid w:val="0042086E"/>
    <w:rsid w:val="00422485"/>
    <w:rsid w:val="00422C98"/>
    <w:rsid w:val="004233A2"/>
    <w:rsid w:val="0042359A"/>
    <w:rsid w:val="00423A89"/>
    <w:rsid w:val="00425571"/>
    <w:rsid w:val="00426492"/>
    <w:rsid w:val="0042748C"/>
    <w:rsid w:val="00430053"/>
    <w:rsid w:val="004306AC"/>
    <w:rsid w:val="00430CF1"/>
    <w:rsid w:val="0043118A"/>
    <w:rsid w:val="00431F9F"/>
    <w:rsid w:val="004322D0"/>
    <w:rsid w:val="00432C09"/>
    <w:rsid w:val="00432F23"/>
    <w:rsid w:val="0043306A"/>
    <w:rsid w:val="004336F6"/>
    <w:rsid w:val="004337C8"/>
    <w:rsid w:val="00433E1E"/>
    <w:rsid w:val="0043425F"/>
    <w:rsid w:val="0043440B"/>
    <w:rsid w:val="00434605"/>
    <w:rsid w:val="00434650"/>
    <w:rsid w:val="0043483D"/>
    <w:rsid w:val="00434F3D"/>
    <w:rsid w:val="00436842"/>
    <w:rsid w:val="0043691B"/>
    <w:rsid w:val="00437E31"/>
    <w:rsid w:val="00437F95"/>
    <w:rsid w:val="0044058F"/>
    <w:rsid w:val="00440AD9"/>
    <w:rsid w:val="00441948"/>
    <w:rsid w:val="004420F9"/>
    <w:rsid w:val="004429FE"/>
    <w:rsid w:val="00444355"/>
    <w:rsid w:val="00444990"/>
    <w:rsid w:val="00444A41"/>
    <w:rsid w:val="00444C25"/>
    <w:rsid w:val="00444D27"/>
    <w:rsid w:val="00445746"/>
    <w:rsid w:val="00446047"/>
    <w:rsid w:val="004462A0"/>
    <w:rsid w:val="00446532"/>
    <w:rsid w:val="00446DA4"/>
    <w:rsid w:val="004478D1"/>
    <w:rsid w:val="00450246"/>
    <w:rsid w:val="0045068B"/>
    <w:rsid w:val="0045374D"/>
    <w:rsid w:val="00453864"/>
    <w:rsid w:val="0045463C"/>
    <w:rsid w:val="00454889"/>
    <w:rsid w:val="00454B2A"/>
    <w:rsid w:val="00455B4F"/>
    <w:rsid w:val="004569AD"/>
    <w:rsid w:val="004573DD"/>
    <w:rsid w:val="00457D11"/>
    <w:rsid w:val="0046026E"/>
    <w:rsid w:val="00460458"/>
    <w:rsid w:val="0046103C"/>
    <w:rsid w:val="0046112C"/>
    <w:rsid w:val="00461CEF"/>
    <w:rsid w:val="004624CC"/>
    <w:rsid w:val="00462CD0"/>
    <w:rsid w:val="00463040"/>
    <w:rsid w:val="0046330E"/>
    <w:rsid w:val="0046343D"/>
    <w:rsid w:val="00464532"/>
    <w:rsid w:val="004655EF"/>
    <w:rsid w:val="00465A65"/>
    <w:rsid w:val="004664C0"/>
    <w:rsid w:val="00470032"/>
    <w:rsid w:val="0047054A"/>
    <w:rsid w:val="00470926"/>
    <w:rsid w:val="0047287C"/>
    <w:rsid w:val="00472993"/>
    <w:rsid w:val="004736D6"/>
    <w:rsid w:val="00473743"/>
    <w:rsid w:val="00474E4B"/>
    <w:rsid w:val="004751C1"/>
    <w:rsid w:val="00475933"/>
    <w:rsid w:val="00475C4A"/>
    <w:rsid w:val="00475C5A"/>
    <w:rsid w:val="0047649D"/>
    <w:rsid w:val="00476903"/>
    <w:rsid w:val="00476C4B"/>
    <w:rsid w:val="004774DA"/>
    <w:rsid w:val="0047752F"/>
    <w:rsid w:val="0047753B"/>
    <w:rsid w:val="0047762C"/>
    <w:rsid w:val="00477BD4"/>
    <w:rsid w:val="0048084B"/>
    <w:rsid w:val="00480896"/>
    <w:rsid w:val="00480B9B"/>
    <w:rsid w:val="00481421"/>
    <w:rsid w:val="00481B34"/>
    <w:rsid w:val="00482029"/>
    <w:rsid w:val="0048388C"/>
    <w:rsid w:val="00485EEA"/>
    <w:rsid w:val="004863FE"/>
    <w:rsid w:val="004865FA"/>
    <w:rsid w:val="0048661C"/>
    <w:rsid w:val="00486CCC"/>
    <w:rsid w:val="00486ECF"/>
    <w:rsid w:val="00486F05"/>
    <w:rsid w:val="00487161"/>
    <w:rsid w:val="00487353"/>
    <w:rsid w:val="0048740A"/>
    <w:rsid w:val="00487591"/>
    <w:rsid w:val="004877B5"/>
    <w:rsid w:val="00487868"/>
    <w:rsid w:val="00491215"/>
    <w:rsid w:val="004912EA"/>
    <w:rsid w:val="00491329"/>
    <w:rsid w:val="004918D9"/>
    <w:rsid w:val="00491E6B"/>
    <w:rsid w:val="00491F78"/>
    <w:rsid w:val="00492473"/>
    <w:rsid w:val="004928A7"/>
    <w:rsid w:val="00492DEF"/>
    <w:rsid w:val="004933C9"/>
    <w:rsid w:val="004935A7"/>
    <w:rsid w:val="00493ED8"/>
    <w:rsid w:val="00494FFF"/>
    <w:rsid w:val="004953FF"/>
    <w:rsid w:val="00495448"/>
    <w:rsid w:val="00496A44"/>
    <w:rsid w:val="0049744F"/>
    <w:rsid w:val="00497F95"/>
    <w:rsid w:val="004A0182"/>
    <w:rsid w:val="004A0CC8"/>
    <w:rsid w:val="004A1522"/>
    <w:rsid w:val="004A291D"/>
    <w:rsid w:val="004A2F6D"/>
    <w:rsid w:val="004A3FB1"/>
    <w:rsid w:val="004A4825"/>
    <w:rsid w:val="004A4889"/>
    <w:rsid w:val="004A4C1E"/>
    <w:rsid w:val="004A50B6"/>
    <w:rsid w:val="004A56CF"/>
    <w:rsid w:val="004A5C47"/>
    <w:rsid w:val="004A700F"/>
    <w:rsid w:val="004A7345"/>
    <w:rsid w:val="004A7C0A"/>
    <w:rsid w:val="004A7CA3"/>
    <w:rsid w:val="004A7F5A"/>
    <w:rsid w:val="004B0230"/>
    <w:rsid w:val="004B0662"/>
    <w:rsid w:val="004B143B"/>
    <w:rsid w:val="004B17C3"/>
    <w:rsid w:val="004B181F"/>
    <w:rsid w:val="004B2043"/>
    <w:rsid w:val="004B2304"/>
    <w:rsid w:val="004B23F8"/>
    <w:rsid w:val="004B2465"/>
    <w:rsid w:val="004B32A6"/>
    <w:rsid w:val="004B3962"/>
    <w:rsid w:val="004B4113"/>
    <w:rsid w:val="004B4719"/>
    <w:rsid w:val="004B53D0"/>
    <w:rsid w:val="004B61B5"/>
    <w:rsid w:val="004B6410"/>
    <w:rsid w:val="004B69A6"/>
    <w:rsid w:val="004B7754"/>
    <w:rsid w:val="004C00A3"/>
    <w:rsid w:val="004C0493"/>
    <w:rsid w:val="004C068D"/>
    <w:rsid w:val="004C0936"/>
    <w:rsid w:val="004C1184"/>
    <w:rsid w:val="004C13CE"/>
    <w:rsid w:val="004C1BB0"/>
    <w:rsid w:val="004C1D90"/>
    <w:rsid w:val="004C2063"/>
    <w:rsid w:val="004C2F8F"/>
    <w:rsid w:val="004C390B"/>
    <w:rsid w:val="004C4372"/>
    <w:rsid w:val="004C454E"/>
    <w:rsid w:val="004C4F2F"/>
    <w:rsid w:val="004C557D"/>
    <w:rsid w:val="004C5587"/>
    <w:rsid w:val="004C5836"/>
    <w:rsid w:val="004C5E47"/>
    <w:rsid w:val="004C662D"/>
    <w:rsid w:val="004C68F5"/>
    <w:rsid w:val="004C795C"/>
    <w:rsid w:val="004C7C46"/>
    <w:rsid w:val="004C7C50"/>
    <w:rsid w:val="004D06C7"/>
    <w:rsid w:val="004D0AF4"/>
    <w:rsid w:val="004D146F"/>
    <w:rsid w:val="004D1F1F"/>
    <w:rsid w:val="004D23C1"/>
    <w:rsid w:val="004D23F8"/>
    <w:rsid w:val="004D39F7"/>
    <w:rsid w:val="004D3A28"/>
    <w:rsid w:val="004D456C"/>
    <w:rsid w:val="004D4776"/>
    <w:rsid w:val="004D584E"/>
    <w:rsid w:val="004D5E63"/>
    <w:rsid w:val="004D6AEB"/>
    <w:rsid w:val="004D780C"/>
    <w:rsid w:val="004D7B09"/>
    <w:rsid w:val="004E0248"/>
    <w:rsid w:val="004E0DAF"/>
    <w:rsid w:val="004E18CD"/>
    <w:rsid w:val="004E1E7A"/>
    <w:rsid w:val="004E1FE8"/>
    <w:rsid w:val="004E33B0"/>
    <w:rsid w:val="004E3E4E"/>
    <w:rsid w:val="004E4288"/>
    <w:rsid w:val="004E43A0"/>
    <w:rsid w:val="004E43DF"/>
    <w:rsid w:val="004E451F"/>
    <w:rsid w:val="004E535E"/>
    <w:rsid w:val="004E53DE"/>
    <w:rsid w:val="004E5773"/>
    <w:rsid w:val="004E5C22"/>
    <w:rsid w:val="004E5F56"/>
    <w:rsid w:val="004E61EE"/>
    <w:rsid w:val="004E66AF"/>
    <w:rsid w:val="004E6B23"/>
    <w:rsid w:val="004E7182"/>
    <w:rsid w:val="004E7B71"/>
    <w:rsid w:val="004F050B"/>
    <w:rsid w:val="004F0EE6"/>
    <w:rsid w:val="004F2DA9"/>
    <w:rsid w:val="004F3B2E"/>
    <w:rsid w:val="004F3BD6"/>
    <w:rsid w:val="004F3DCD"/>
    <w:rsid w:val="004F4648"/>
    <w:rsid w:val="004F49CC"/>
    <w:rsid w:val="004F505C"/>
    <w:rsid w:val="004F513F"/>
    <w:rsid w:val="004F5232"/>
    <w:rsid w:val="004F5641"/>
    <w:rsid w:val="004F59A2"/>
    <w:rsid w:val="004F5DE1"/>
    <w:rsid w:val="004F63D0"/>
    <w:rsid w:val="004F63FD"/>
    <w:rsid w:val="004F653B"/>
    <w:rsid w:val="004F6943"/>
    <w:rsid w:val="004F75EC"/>
    <w:rsid w:val="004F7FED"/>
    <w:rsid w:val="00500989"/>
    <w:rsid w:val="00500EE8"/>
    <w:rsid w:val="00500F3B"/>
    <w:rsid w:val="005010BB"/>
    <w:rsid w:val="00501424"/>
    <w:rsid w:val="00501946"/>
    <w:rsid w:val="005019D3"/>
    <w:rsid w:val="00501C28"/>
    <w:rsid w:val="00503B67"/>
    <w:rsid w:val="00503E54"/>
    <w:rsid w:val="00504470"/>
    <w:rsid w:val="005045B5"/>
    <w:rsid w:val="005059B2"/>
    <w:rsid w:val="00505AFA"/>
    <w:rsid w:val="00505D61"/>
    <w:rsid w:val="0050666E"/>
    <w:rsid w:val="00506B48"/>
    <w:rsid w:val="00506CB1"/>
    <w:rsid w:val="0050737D"/>
    <w:rsid w:val="005075C5"/>
    <w:rsid w:val="005079E5"/>
    <w:rsid w:val="00507ABB"/>
    <w:rsid w:val="005109C3"/>
    <w:rsid w:val="0051117A"/>
    <w:rsid w:val="00511DB9"/>
    <w:rsid w:val="00511DCD"/>
    <w:rsid w:val="00511E22"/>
    <w:rsid w:val="00511E27"/>
    <w:rsid w:val="0051260F"/>
    <w:rsid w:val="0051287F"/>
    <w:rsid w:val="00512900"/>
    <w:rsid w:val="00513339"/>
    <w:rsid w:val="0051367F"/>
    <w:rsid w:val="00513FC9"/>
    <w:rsid w:val="005140DD"/>
    <w:rsid w:val="005141DE"/>
    <w:rsid w:val="005141EA"/>
    <w:rsid w:val="005142A1"/>
    <w:rsid w:val="00514B56"/>
    <w:rsid w:val="00514F75"/>
    <w:rsid w:val="005154B4"/>
    <w:rsid w:val="005158BE"/>
    <w:rsid w:val="00515E75"/>
    <w:rsid w:val="0051657E"/>
    <w:rsid w:val="00516983"/>
    <w:rsid w:val="00516FD5"/>
    <w:rsid w:val="005175DA"/>
    <w:rsid w:val="00517D5A"/>
    <w:rsid w:val="00520050"/>
    <w:rsid w:val="0052032C"/>
    <w:rsid w:val="00520485"/>
    <w:rsid w:val="005204DF"/>
    <w:rsid w:val="00520AF0"/>
    <w:rsid w:val="0052222E"/>
    <w:rsid w:val="00522654"/>
    <w:rsid w:val="00522E86"/>
    <w:rsid w:val="00522FDE"/>
    <w:rsid w:val="00523163"/>
    <w:rsid w:val="00523339"/>
    <w:rsid w:val="005234D0"/>
    <w:rsid w:val="005234FD"/>
    <w:rsid w:val="00524471"/>
    <w:rsid w:val="00524C55"/>
    <w:rsid w:val="00524D8C"/>
    <w:rsid w:val="00524DF0"/>
    <w:rsid w:val="00525354"/>
    <w:rsid w:val="0052573E"/>
    <w:rsid w:val="00525855"/>
    <w:rsid w:val="00525EDE"/>
    <w:rsid w:val="00526583"/>
    <w:rsid w:val="00526754"/>
    <w:rsid w:val="005269F0"/>
    <w:rsid w:val="005270FD"/>
    <w:rsid w:val="005274F1"/>
    <w:rsid w:val="00527989"/>
    <w:rsid w:val="00527C51"/>
    <w:rsid w:val="00527D20"/>
    <w:rsid w:val="00527FCE"/>
    <w:rsid w:val="00530ED9"/>
    <w:rsid w:val="00530FB3"/>
    <w:rsid w:val="005312F9"/>
    <w:rsid w:val="00531303"/>
    <w:rsid w:val="005316A1"/>
    <w:rsid w:val="00531E20"/>
    <w:rsid w:val="00531E48"/>
    <w:rsid w:val="005321A3"/>
    <w:rsid w:val="00532401"/>
    <w:rsid w:val="00532ECB"/>
    <w:rsid w:val="00532EF1"/>
    <w:rsid w:val="00533187"/>
    <w:rsid w:val="00533777"/>
    <w:rsid w:val="00534023"/>
    <w:rsid w:val="0053414A"/>
    <w:rsid w:val="00534478"/>
    <w:rsid w:val="005349BC"/>
    <w:rsid w:val="00534B9D"/>
    <w:rsid w:val="00534CF4"/>
    <w:rsid w:val="0053580B"/>
    <w:rsid w:val="00535B4B"/>
    <w:rsid w:val="00535F12"/>
    <w:rsid w:val="005360A1"/>
    <w:rsid w:val="005377BF"/>
    <w:rsid w:val="0054103A"/>
    <w:rsid w:val="00541514"/>
    <w:rsid w:val="00541911"/>
    <w:rsid w:val="00542907"/>
    <w:rsid w:val="00543A14"/>
    <w:rsid w:val="00543B6B"/>
    <w:rsid w:val="005447BB"/>
    <w:rsid w:val="00544A62"/>
    <w:rsid w:val="00544B70"/>
    <w:rsid w:val="00544DB0"/>
    <w:rsid w:val="005452C2"/>
    <w:rsid w:val="0054537D"/>
    <w:rsid w:val="00545D58"/>
    <w:rsid w:val="00545F15"/>
    <w:rsid w:val="00546808"/>
    <w:rsid w:val="00546E2F"/>
    <w:rsid w:val="0054767B"/>
    <w:rsid w:val="00547C78"/>
    <w:rsid w:val="0055196F"/>
    <w:rsid w:val="00551AEF"/>
    <w:rsid w:val="00551F84"/>
    <w:rsid w:val="005523D7"/>
    <w:rsid w:val="00552492"/>
    <w:rsid w:val="00552FED"/>
    <w:rsid w:val="00553177"/>
    <w:rsid w:val="00553582"/>
    <w:rsid w:val="0055447E"/>
    <w:rsid w:val="00554823"/>
    <w:rsid w:val="00554E7A"/>
    <w:rsid w:val="005553CE"/>
    <w:rsid w:val="005557E9"/>
    <w:rsid w:val="00555A3C"/>
    <w:rsid w:val="00555AA4"/>
    <w:rsid w:val="00556423"/>
    <w:rsid w:val="005569BA"/>
    <w:rsid w:val="00557B89"/>
    <w:rsid w:val="005612BA"/>
    <w:rsid w:val="005612BD"/>
    <w:rsid w:val="00561E52"/>
    <w:rsid w:val="005622E6"/>
    <w:rsid w:val="0056253C"/>
    <w:rsid w:val="0056265A"/>
    <w:rsid w:val="0056277D"/>
    <w:rsid w:val="00562847"/>
    <w:rsid w:val="005631BF"/>
    <w:rsid w:val="00563455"/>
    <w:rsid w:val="00563852"/>
    <w:rsid w:val="005652D5"/>
    <w:rsid w:val="00565339"/>
    <w:rsid w:val="0056698F"/>
    <w:rsid w:val="005673EC"/>
    <w:rsid w:val="0056757A"/>
    <w:rsid w:val="005675FB"/>
    <w:rsid w:val="00567EDF"/>
    <w:rsid w:val="00570286"/>
    <w:rsid w:val="0057099E"/>
    <w:rsid w:val="00571278"/>
    <w:rsid w:val="005720A7"/>
    <w:rsid w:val="005723EA"/>
    <w:rsid w:val="005724A0"/>
    <w:rsid w:val="005725EB"/>
    <w:rsid w:val="00572BAB"/>
    <w:rsid w:val="0057314C"/>
    <w:rsid w:val="00573310"/>
    <w:rsid w:val="00573CBC"/>
    <w:rsid w:val="00573DC4"/>
    <w:rsid w:val="0057418B"/>
    <w:rsid w:val="0057479D"/>
    <w:rsid w:val="00576054"/>
    <w:rsid w:val="00576225"/>
    <w:rsid w:val="00576ABC"/>
    <w:rsid w:val="00576BB1"/>
    <w:rsid w:val="00576C9D"/>
    <w:rsid w:val="005778A8"/>
    <w:rsid w:val="00580547"/>
    <w:rsid w:val="00580591"/>
    <w:rsid w:val="00580941"/>
    <w:rsid w:val="00580ECF"/>
    <w:rsid w:val="0058196C"/>
    <w:rsid w:val="00581D69"/>
    <w:rsid w:val="00583109"/>
    <w:rsid w:val="005837E0"/>
    <w:rsid w:val="00583857"/>
    <w:rsid w:val="00583A1D"/>
    <w:rsid w:val="00583BE8"/>
    <w:rsid w:val="00583F07"/>
    <w:rsid w:val="00584B9D"/>
    <w:rsid w:val="00585666"/>
    <w:rsid w:val="005858BE"/>
    <w:rsid w:val="00585AB2"/>
    <w:rsid w:val="00586067"/>
    <w:rsid w:val="00586311"/>
    <w:rsid w:val="00586A6C"/>
    <w:rsid w:val="005876AF"/>
    <w:rsid w:val="00587B2B"/>
    <w:rsid w:val="00587B64"/>
    <w:rsid w:val="00587E21"/>
    <w:rsid w:val="0059021F"/>
    <w:rsid w:val="00590AFD"/>
    <w:rsid w:val="00590D2F"/>
    <w:rsid w:val="00590DB2"/>
    <w:rsid w:val="00591061"/>
    <w:rsid w:val="00591448"/>
    <w:rsid w:val="005918DE"/>
    <w:rsid w:val="00592CDC"/>
    <w:rsid w:val="00592D6B"/>
    <w:rsid w:val="005930C0"/>
    <w:rsid w:val="00593FDF"/>
    <w:rsid w:val="0059410B"/>
    <w:rsid w:val="005949CF"/>
    <w:rsid w:val="00594C27"/>
    <w:rsid w:val="00594C2A"/>
    <w:rsid w:val="00594C92"/>
    <w:rsid w:val="00594D79"/>
    <w:rsid w:val="005957AC"/>
    <w:rsid w:val="005963AA"/>
    <w:rsid w:val="005967E6"/>
    <w:rsid w:val="00596BC5"/>
    <w:rsid w:val="00596D61"/>
    <w:rsid w:val="00597742"/>
    <w:rsid w:val="00597D63"/>
    <w:rsid w:val="005A03AC"/>
    <w:rsid w:val="005A0626"/>
    <w:rsid w:val="005A0C27"/>
    <w:rsid w:val="005A17DA"/>
    <w:rsid w:val="005A1F1F"/>
    <w:rsid w:val="005A2586"/>
    <w:rsid w:val="005A260F"/>
    <w:rsid w:val="005A3238"/>
    <w:rsid w:val="005A3845"/>
    <w:rsid w:val="005A4272"/>
    <w:rsid w:val="005A4675"/>
    <w:rsid w:val="005A4854"/>
    <w:rsid w:val="005A5BBA"/>
    <w:rsid w:val="005A6863"/>
    <w:rsid w:val="005A698C"/>
    <w:rsid w:val="005A7F16"/>
    <w:rsid w:val="005B025E"/>
    <w:rsid w:val="005B0FBB"/>
    <w:rsid w:val="005B16FA"/>
    <w:rsid w:val="005B28FD"/>
    <w:rsid w:val="005B2CC0"/>
    <w:rsid w:val="005B3A93"/>
    <w:rsid w:val="005B3D3A"/>
    <w:rsid w:val="005B4D60"/>
    <w:rsid w:val="005B5410"/>
    <w:rsid w:val="005B767E"/>
    <w:rsid w:val="005B7BD9"/>
    <w:rsid w:val="005C004D"/>
    <w:rsid w:val="005C11F8"/>
    <w:rsid w:val="005C13A2"/>
    <w:rsid w:val="005C208F"/>
    <w:rsid w:val="005C25DA"/>
    <w:rsid w:val="005C2DB8"/>
    <w:rsid w:val="005C2F5D"/>
    <w:rsid w:val="005C37E1"/>
    <w:rsid w:val="005C3B02"/>
    <w:rsid w:val="005C415A"/>
    <w:rsid w:val="005C4F93"/>
    <w:rsid w:val="005C4FEE"/>
    <w:rsid w:val="005C5150"/>
    <w:rsid w:val="005C5842"/>
    <w:rsid w:val="005C621F"/>
    <w:rsid w:val="005C66D5"/>
    <w:rsid w:val="005C6911"/>
    <w:rsid w:val="005C6C48"/>
    <w:rsid w:val="005C7AF1"/>
    <w:rsid w:val="005D003F"/>
    <w:rsid w:val="005D08EF"/>
    <w:rsid w:val="005D0F4D"/>
    <w:rsid w:val="005D1609"/>
    <w:rsid w:val="005D1713"/>
    <w:rsid w:val="005D17FD"/>
    <w:rsid w:val="005D18E2"/>
    <w:rsid w:val="005D356C"/>
    <w:rsid w:val="005D377C"/>
    <w:rsid w:val="005D3CD7"/>
    <w:rsid w:val="005D3EF0"/>
    <w:rsid w:val="005D4035"/>
    <w:rsid w:val="005D4C61"/>
    <w:rsid w:val="005D4D87"/>
    <w:rsid w:val="005D4EFF"/>
    <w:rsid w:val="005D5E46"/>
    <w:rsid w:val="005D5FDB"/>
    <w:rsid w:val="005D5FFD"/>
    <w:rsid w:val="005D7A10"/>
    <w:rsid w:val="005D7DD9"/>
    <w:rsid w:val="005E0DF4"/>
    <w:rsid w:val="005E0EBF"/>
    <w:rsid w:val="005E1030"/>
    <w:rsid w:val="005E1131"/>
    <w:rsid w:val="005E1D57"/>
    <w:rsid w:val="005E2485"/>
    <w:rsid w:val="005E3AB9"/>
    <w:rsid w:val="005E3E79"/>
    <w:rsid w:val="005E448F"/>
    <w:rsid w:val="005E50D9"/>
    <w:rsid w:val="005E5D1F"/>
    <w:rsid w:val="005E62C8"/>
    <w:rsid w:val="005E6510"/>
    <w:rsid w:val="005E653D"/>
    <w:rsid w:val="005E6B9B"/>
    <w:rsid w:val="005E6C49"/>
    <w:rsid w:val="005E6E97"/>
    <w:rsid w:val="005E7B62"/>
    <w:rsid w:val="005E7BE9"/>
    <w:rsid w:val="005F019A"/>
    <w:rsid w:val="005F0D84"/>
    <w:rsid w:val="005F0F88"/>
    <w:rsid w:val="005F2A26"/>
    <w:rsid w:val="005F2B4B"/>
    <w:rsid w:val="005F2CB7"/>
    <w:rsid w:val="005F39D4"/>
    <w:rsid w:val="005F3BEF"/>
    <w:rsid w:val="005F3F03"/>
    <w:rsid w:val="005F3F24"/>
    <w:rsid w:val="005F3F3D"/>
    <w:rsid w:val="005F3F50"/>
    <w:rsid w:val="005F48CC"/>
    <w:rsid w:val="005F4D09"/>
    <w:rsid w:val="005F5941"/>
    <w:rsid w:val="005F5999"/>
    <w:rsid w:val="005F6C03"/>
    <w:rsid w:val="005F733E"/>
    <w:rsid w:val="005F7347"/>
    <w:rsid w:val="005F79D7"/>
    <w:rsid w:val="005F7ACE"/>
    <w:rsid w:val="0060058D"/>
    <w:rsid w:val="00601594"/>
    <w:rsid w:val="006019A8"/>
    <w:rsid w:val="00603DEB"/>
    <w:rsid w:val="00606B56"/>
    <w:rsid w:val="00606D6E"/>
    <w:rsid w:val="00607544"/>
    <w:rsid w:val="006078D3"/>
    <w:rsid w:val="00607B3E"/>
    <w:rsid w:val="00607CF5"/>
    <w:rsid w:val="00607EB3"/>
    <w:rsid w:val="006101DD"/>
    <w:rsid w:val="0061052E"/>
    <w:rsid w:val="00610573"/>
    <w:rsid w:val="0061078B"/>
    <w:rsid w:val="006108FA"/>
    <w:rsid w:val="00610904"/>
    <w:rsid w:val="006114DD"/>
    <w:rsid w:val="00611C02"/>
    <w:rsid w:val="00611FA7"/>
    <w:rsid w:val="006122A1"/>
    <w:rsid w:val="00612583"/>
    <w:rsid w:val="006126D8"/>
    <w:rsid w:val="00612E4A"/>
    <w:rsid w:val="00612FA1"/>
    <w:rsid w:val="0061368D"/>
    <w:rsid w:val="00613C2B"/>
    <w:rsid w:val="00613ED5"/>
    <w:rsid w:val="00614332"/>
    <w:rsid w:val="00614DC4"/>
    <w:rsid w:val="00614EF4"/>
    <w:rsid w:val="00615C7E"/>
    <w:rsid w:val="00616722"/>
    <w:rsid w:val="00616BA4"/>
    <w:rsid w:val="00616BE7"/>
    <w:rsid w:val="00617275"/>
    <w:rsid w:val="006176A4"/>
    <w:rsid w:val="006176F1"/>
    <w:rsid w:val="006176F3"/>
    <w:rsid w:val="00620128"/>
    <w:rsid w:val="00620B5E"/>
    <w:rsid w:val="00621825"/>
    <w:rsid w:val="00622E6B"/>
    <w:rsid w:val="00623474"/>
    <w:rsid w:val="00623B65"/>
    <w:rsid w:val="00624E2D"/>
    <w:rsid w:val="00625549"/>
    <w:rsid w:val="0062577F"/>
    <w:rsid w:val="00625CAD"/>
    <w:rsid w:val="006261C4"/>
    <w:rsid w:val="00626435"/>
    <w:rsid w:val="006269B8"/>
    <w:rsid w:val="006274BC"/>
    <w:rsid w:val="00627C1E"/>
    <w:rsid w:val="00627C68"/>
    <w:rsid w:val="00627FE1"/>
    <w:rsid w:val="0063077E"/>
    <w:rsid w:val="006314A9"/>
    <w:rsid w:val="00631A74"/>
    <w:rsid w:val="00631E5F"/>
    <w:rsid w:val="006322E5"/>
    <w:rsid w:val="006327DD"/>
    <w:rsid w:val="00632F03"/>
    <w:rsid w:val="00633146"/>
    <w:rsid w:val="00633339"/>
    <w:rsid w:val="00634501"/>
    <w:rsid w:val="006350B7"/>
    <w:rsid w:val="006351FA"/>
    <w:rsid w:val="00635325"/>
    <w:rsid w:val="006359FB"/>
    <w:rsid w:val="00635ACB"/>
    <w:rsid w:val="00635B47"/>
    <w:rsid w:val="006367D6"/>
    <w:rsid w:val="006369AD"/>
    <w:rsid w:val="00636B8A"/>
    <w:rsid w:val="00636BEF"/>
    <w:rsid w:val="0063732A"/>
    <w:rsid w:val="00637414"/>
    <w:rsid w:val="006377B4"/>
    <w:rsid w:val="006378BD"/>
    <w:rsid w:val="0064023F"/>
    <w:rsid w:val="00640C79"/>
    <w:rsid w:val="00640C99"/>
    <w:rsid w:val="00642974"/>
    <w:rsid w:val="00642AE9"/>
    <w:rsid w:val="00642CEF"/>
    <w:rsid w:val="00642FD0"/>
    <w:rsid w:val="006436B4"/>
    <w:rsid w:val="006440F2"/>
    <w:rsid w:val="0064507F"/>
    <w:rsid w:val="00645763"/>
    <w:rsid w:val="00646C73"/>
    <w:rsid w:val="00647048"/>
    <w:rsid w:val="00650450"/>
    <w:rsid w:val="006505A9"/>
    <w:rsid w:val="0065083F"/>
    <w:rsid w:val="00650B25"/>
    <w:rsid w:val="00650B53"/>
    <w:rsid w:val="00651041"/>
    <w:rsid w:val="0065135B"/>
    <w:rsid w:val="00651AAA"/>
    <w:rsid w:val="00652511"/>
    <w:rsid w:val="0065260A"/>
    <w:rsid w:val="00652A78"/>
    <w:rsid w:val="00652B99"/>
    <w:rsid w:val="00652BC3"/>
    <w:rsid w:val="00653DD5"/>
    <w:rsid w:val="00653E22"/>
    <w:rsid w:val="006541C0"/>
    <w:rsid w:val="00655CFF"/>
    <w:rsid w:val="006564DB"/>
    <w:rsid w:val="00657118"/>
    <w:rsid w:val="00657500"/>
    <w:rsid w:val="00660048"/>
    <w:rsid w:val="0066085A"/>
    <w:rsid w:val="00660C03"/>
    <w:rsid w:val="00660F55"/>
    <w:rsid w:val="00660FD4"/>
    <w:rsid w:val="006616DB"/>
    <w:rsid w:val="006618A5"/>
    <w:rsid w:val="00662E7C"/>
    <w:rsid w:val="00663222"/>
    <w:rsid w:val="0066347F"/>
    <w:rsid w:val="00664B6C"/>
    <w:rsid w:val="0066522C"/>
    <w:rsid w:val="0066540C"/>
    <w:rsid w:val="0066556D"/>
    <w:rsid w:val="006659C0"/>
    <w:rsid w:val="00666287"/>
    <w:rsid w:val="006666E5"/>
    <w:rsid w:val="00667396"/>
    <w:rsid w:val="0066775C"/>
    <w:rsid w:val="00671E6F"/>
    <w:rsid w:val="00671F20"/>
    <w:rsid w:val="00673397"/>
    <w:rsid w:val="00674C38"/>
    <w:rsid w:val="00674CE3"/>
    <w:rsid w:val="0067511B"/>
    <w:rsid w:val="0067538B"/>
    <w:rsid w:val="006758A0"/>
    <w:rsid w:val="00675A80"/>
    <w:rsid w:val="006760BC"/>
    <w:rsid w:val="00676210"/>
    <w:rsid w:val="00676527"/>
    <w:rsid w:val="0067654F"/>
    <w:rsid w:val="006769C2"/>
    <w:rsid w:val="006773A2"/>
    <w:rsid w:val="006778F2"/>
    <w:rsid w:val="00677B4C"/>
    <w:rsid w:val="006802D6"/>
    <w:rsid w:val="00680454"/>
    <w:rsid w:val="00680485"/>
    <w:rsid w:val="00680A5B"/>
    <w:rsid w:val="006811D5"/>
    <w:rsid w:val="0068154A"/>
    <w:rsid w:val="00682227"/>
    <w:rsid w:val="006823D4"/>
    <w:rsid w:val="0068268D"/>
    <w:rsid w:val="0068311B"/>
    <w:rsid w:val="0068382F"/>
    <w:rsid w:val="00683B40"/>
    <w:rsid w:val="00684270"/>
    <w:rsid w:val="0068439F"/>
    <w:rsid w:val="006848E4"/>
    <w:rsid w:val="00684A25"/>
    <w:rsid w:val="00684B59"/>
    <w:rsid w:val="00684F7E"/>
    <w:rsid w:val="0068546A"/>
    <w:rsid w:val="00685735"/>
    <w:rsid w:val="00686A4C"/>
    <w:rsid w:val="0068753D"/>
    <w:rsid w:val="0068772C"/>
    <w:rsid w:val="00687AE3"/>
    <w:rsid w:val="00687B20"/>
    <w:rsid w:val="00690B3F"/>
    <w:rsid w:val="00690CC5"/>
    <w:rsid w:val="00690D82"/>
    <w:rsid w:val="00692C25"/>
    <w:rsid w:val="00693B4E"/>
    <w:rsid w:val="00693CFD"/>
    <w:rsid w:val="00693E2F"/>
    <w:rsid w:val="006945C5"/>
    <w:rsid w:val="00696115"/>
    <w:rsid w:val="006962B5"/>
    <w:rsid w:val="00696393"/>
    <w:rsid w:val="0069690C"/>
    <w:rsid w:val="006969A2"/>
    <w:rsid w:val="00696A0B"/>
    <w:rsid w:val="00696B79"/>
    <w:rsid w:val="00696C72"/>
    <w:rsid w:val="00696CFC"/>
    <w:rsid w:val="00697146"/>
    <w:rsid w:val="00697439"/>
    <w:rsid w:val="00697DF9"/>
    <w:rsid w:val="00697E90"/>
    <w:rsid w:val="006A0155"/>
    <w:rsid w:val="006A096D"/>
    <w:rsid w:val="006A0A82"/>
    <w:rsid w:val="006A0B38"/>
    <w:rsid w:val="006A19CC"/>
    <w:rsid w:val="006A1AEA"/>
    <w:rsid w:val="006A209B"/>
    <w:rsid w:val="006A2340"/>
    <w:rsid w:val="006A3213"/>
    <w:rsid w:val="006A345D"/>
    <w:rsid w:val="006A34EA"/>
    <w:rsid w:val="006A39F4"/>
    <w:rsid w:val="006A3A72"/>
    <w:rsid w:val="006A4288"/>
    <w:rsid w:val="006A5352"/>
    <w:rsid w:val="006A5D53"/>
    <w:rsid w:val="006A6597"/>
    <w:rsid w:val="006A6A3C"/>
    <w:rsid w:val="006A72F4"/>
    <w:rsid w:val="006A7329"/>
    <w:rsid w:val="006A76AA"/>
    <w:rsid w:val="006A7967"/>
    <w:rsid w:val="006A7BEA"/>
    <w:rsid w:val="006A7FCF"/>
    <w:rsid w:val="006B0462"/>
    <w:rsid w:val="006B0B6D"/>
    <w:rsid w:val="006B0B89"/>
    <w:rsid w:val="006B0BCF"/>
    <w:rsid w:val="006B0F9A"/>
    <w:rsid w:val="006B13E4"/>
    <w:rsid w:val="006B197E"/>
    <w:rsid w:val="006B2F7C"/>
    <w:rsid w:val="006B3C30"/>
    <w:rsid w:val="006B434D"/>
    <w:rsid w:val="006B4A81"/>
    <w:rsid w:val="006B506A"/>
    <w:rsid w:val="006B547C"/>
    <w:rsid w:val="006B54AD"/>
    <w:rsid w:val="006B5775"/>
    <w:rsid w:val="006B6480"/>
    <w:rsid w:val="006B7DAC"/>
    <w:rsid w:val="006C055A"/>
    <w:rsid w:val="006C08A1"/>
    <w:rsid w:val="006C0D6B"/>
    <w:rsid w:val="006C1598"/>
    <w:rsid w:val="006C1B9E"/>
    <w:rsid w:val="006C2AA7"/>
    <w:rsid w:val="006C2E76"/>
    <w:rsid w:val="006C37FD"/>
    <w:rsid w:val="006C5B5D"/>
    <w:rsid w:val="006C5D0E"/>
    <w:rsid w:val="006C6DF9"/>
    <w:rsid w:val="006C7A3C"/>
    <w:rsid w:val="006D017C"/>
    <w:rsid w:val="006D045F"/>
    <w:rsid w:val="006D0AF1"/>
    <w:rsid w:val="006D0D37"/>
    <w:rsid w:val="006D164F"/>
    <w:rsid w:val="006D16FD"/>
    <w:rsid w:val="006D1D39"/>
    <w:rsid w:val="006D2E0D"/>
    <w:rsid w:val="006D2EC9"/>
    <w:rsid w:val="006D3252"/>
    <w:rsid w:val="006D3D93"/>
    <w:rsid w:val="006D43E2"/>
    <w:rsid w:val="006D504D"/>
    <w:rsid w:val="006D5579"/>
    <w:rsid w:val="006D55D9"/>
    <w:rsid w:val="006D5C79"/>
    <w:rsid w:val="006D65AB"/>
    <w:rsid w:val="006D7623"/>
    <w:rsid w:val="006D783C"/>
    <w:rsid w:val="006E006D"/>
    <w:rsid w:val="006E08CF"/>
    <w:rsid w:val="006E09D0"/>
    <w:rsid w:val="006E0E86"/>
    <w:rsid w:val="006E110E"/>
    <w:rsid w:val="006E1CB8"/>
    <w:rsid w:val="006E357B"/>
    <w:rsid w:val="006E58D6"/>
    <w:rsid w:val="006E59FF"/>
    <w:rsid w:val="006E6CAC"/>
    <w:rsid w:val="006E739E"/>
    <w:rsid w:val="006E765F"/>
    <w:rsid w:val="006E7EE7"/>
    <w:rsid w:val="006F00D0"/>
    <w:rsid w:val="006F0229"/>
    <w:rsid w:val="006F02F3"/>
    <w:rsid w:val="006F0970"/>
    <w:rsid w:val="006F0A1B"/>
    <w:rsid w:val="006F1347"/>
    <w:rsid w:val="006F199E"/>
    <w:rsid w:val="006F254F"/>
    <w:rsid w:val="006F4922"/>
    <w:rsid w:val="006F4B4B"/>
    <w:rsid w:val="006F5017"/>
    <w:rsid w:val="006F5A02"/>
    <w:rsid w:val="006F5ED3"/>
    <w:rsid w:val="006F67D0"/>
    <w:rsid w:val="006F6AC1"/>
    <w:rsid w:val="006F7204"/>
    <w:rsid w:val="006F7877"/>
    <w:rsid w:val="006F7A2B"/>
    <w:rsid w:val="00700420"/>
    <w:rsid w:val="007006F2"/>
    <w:rsid w:val="00701005"/>
    <w:rsid w:val="007029D5"/>
    <w:rsid w:val="00703A71"/>
    <w:rsid w:val="00703BE0"/>
    <w:rsid w:val="00703E32"/>
    <w:rsid w:val="00704243"/>
    <w:rsid w:val="007043A4"/>
    <w:rsid w:val="0070444D"/>
    <w:rsid w:val="00704865"/>
    <w:rsid w:val="00704EB6"/>
    <w:rsid w:val="00704EF9"/>
    <w:rsid w:val="00705452"/>
    <w:rsid w:val="007058DC"/>
    <w:rsid w:val="0070662F"/>
    <w:rsid w:val="00706E4D"/>
    <w:rsid w:val="00711220"/>
    <w:rsid w:val="007112A4"/>
    <w:rsid w:val="007131A8"/>
    <w:rsid w:val="0071327B"/>
    <w:rsid w:val="00713F79"/>
    <w:rsid w:val="00714AE7"/>
    <w:rsid w:val="00714AFD"/>
    <w:rsid w:val="00715373"/>
    <w:rsid w:val="007166A2"/>
    <w:rsid w:val="00717001"/>
    <w:rsid w:val="00717136"/>
    <w:rsid w:val="00717BCE"/>
    <w:rsid w:val="00717E31"/>
    <w:rsid w:val="00720A7C"/>
    <w:rsid w:val="007218D2"/>
    <w:rsid w:val="00721A39"/>
    <w:rsid w:val="00721E24"/>
    <w:rsid w:val="00722073"/>
    <w:rsid w:val="00722134"/>
    <w:rsid w:val="0072287C"/>
    <w:rsid w:val="00722D15"/>
    <w:rsid w:val="0072301B"/>
    <w:rsid w:val="00723DD6"/>
    <w:rsid w:val="00723E6A"/>
    <w:rsid w:val="007241EF"/>
    <w:rsid w:val="00724279"/>
    <w:rsid w:val="00724748"/>
    <w:rsid w:val="00724CFA"/>
    <w:rsid w:val="00724D01"/>
    <w:rsid w:val="0072558A"/>
    <w:rsid w:val="00725FF6"/>
    <w:rsid w:val="00726503"/>
    <w:rsid w:val="00727633"/>
    <w:rsid w:val="00727714"/>
    <w:rsid w:val="00727859"/>
    <w:rsid w:val="00727B15"/>
    <w:rsid w:val="00727EEF"/>
    <w:rsid w:val="0073005C"/>
    <w:rsid w:val="007306FB"/>
    <w:rsid w:val="007318C3"/>
    <w:rsid w:val="0073257D"/>
    <w:rsid w:val="00732605"/>
    <w:rsid w:val="007329DA"/>
    <w:rsid w:val="00733AE5"/>
    <w:rsid w:val="00733FD3"/>
    <w:rsid w:val="007340AA"/>
    <w:rsid w:val="0073423E"/>
    <w:rsid w:val="00734860"/>
    <w:rsid w:val="00734C33"/>
    <w:rsid w:val="00734C50"/>
    <w:rsid w:val="00734D2D"/>
    <w:rsid w:val="0073580D"/>
    <w:rsid w:val="00735A91"/>
    <w:rsid w:val="00736425"/>
    <w:rsid w:val="0073646C"/>
    <w:rsid w:val="00736E48"/>
    <w:rsid w:val="00737165"/>
    <w:rsid w:val="00737506"/>
    <w:rsid w:val="00737FD1"/>
    <w:rsid w:val="007406B6"/>
    <w:rsid w:val="00741DB4"/>
    <w:rsid w:val="00741DC3"/>
    <w:rsid w:val="007424D7"/>
    <w:rsid w:val="0074296F"/>
    <w:rsid w:val="00742E44"/>
    <w:rsid w:val="00744129"/>
    <w:rsid w:val="0074458B"/>
    <w:rsid w:val="00744B2F"/>
    <w:rsid w:val="007464A1"/>
    <w:rsid w:val="0074686C"/>
    <w:rsid w:val="00746D61"/>
    <w:rsid w:val="007473BE"/>
    <w:rsid w:val="00747CB7"/>
    <w:rsid w:val="0075150F"/>
    <w:rsid w:val="007517D0"/>
    <w:rsid w:val="00751D20"/>
    <w:rsid w:val="0075427B"/>
    <w:rsid w:val="0075455A"/>
    <w:rsid w:val="0075531F"/>
    <w:rsid w:val="0075547E"/>
    <w:rsid w:val="00755709"/>
    <w:rsid w:val="00755B31"/>
    <w:rsid w:val="00755CB7"/>
    <w:rsid w:val="00756331"/>
    <w:rsid w:val="007567E2"/>
    <w:rsid w:val="00756C93"/>
    <w:rsid w:val="00756F59"/>
    <w:rsid w:val="0075740D"/>
    <w:rsid w:val="007577E2"/>
    <w:rsid w:val="00757842"/>
    <w:rsid w:val="00757A7D"/>
    <w:rsid w:val="007600E8"/>
    <w:rsid w:val="00760451"/>
    <w:rsid w:val="00761055"/>
    <w:rsid w:val="00761420"/>
    <w:rsid w:val="0076188B"/>
    <w:rsid w:val="007619F1"/>
    <w:rsid w:val="00761DA5"/>
    <w:rsid w:val="00762A80"/>
    <w:rsid w:val="00763065"/>
    <w:rsid w:val="00763DFB"/>
    <w:rsid w:val="0076429C"/>
    <w:rsid w:val="0076479F"/>
    <w:rsid w:val="00764B40"/>
    <w:rsid w:val="007669A9"/>
    <w:rsid w:val="00766ADA"/>
    <w:rsid w:val="00767192"/>
    <w:rsid w:val="00767490"/>
    <w:rsid w:val="00767EC3"/>
    <w:rsid w:val="00770091"/>
    <w:rsid w:val="00771593"/>
    <w:rsid w:val="0077189E"/>
    <w:rsid w:val="00771EC5"/>
    <w:rsid w:val="00772200"/>
    <w:rsid w:val="007726DC"/>
    <w:rsid w:val="00772CB0"/>
    <w:rsid w:val="00773462"/>
    <w:rsid w:val="007737D1"/>
    <w:rsid w:val="00773D52"/>
    <w:rsid w:val="007741DE"/>
    <w:rsid w:val="0077465D"/>
    <w:rsid w:val="00774E5C"/>
    <w:rsid w:val="00775469"/>
    <w:rsid w:val="007755A3"/>
    <w:rsid w:val="0077576C"/>
    <w:rsid w:val="00776422"/>
    <w:rsid w:val="00776779"/>
    <w:rsid w:val="00776C26"/>
    <w:rsid w:val="007772C9"/>
    <w:rsid w:val="0077759D"/>
    <w:rsid w:val="007777D4"/>
    <w:rsid w:val="00780725"/>
    <w:rsid w:val="00780D81"/>
    <w:rsid w:val="007816B7"/>
    <w:rsid w:val="007823B3"/>
    <w:rsid w:val="00783520"/>
    <w:rsid w:val="00783637"/>
    <w:rsid w:val="007839C4"/>
    <w:rsid w:val="00783CB3"/>
    <w:rsid w:val="00783E4B"/>
    <w:rsid w:val="00784752"/>
    <w:rsid w:val="007848CC"/>
    <w:rsid w:val="007850C2"/>
    <w:rsid w:val="00785831"/>
    <w:rsid w:val="00786467"/>
    <w:rsid w:val="00786E81"/>
    <w:rsid w:val="00787483"/>
    <w:rsid w:val="0078776D"/>
    <w:rsid w:val="00787E10"/>
    <w:rsid w:val="00791799"/>
    <w:rsid w:val="00791A0B"/>
    <w:rsid w:val="00791B3E"/>
    <w:rsid w:val="00791C4E"/>
    <w:rsid w:val="00792497"/>
    <w:rsid w:val="00793C7F"/>
    <w:rsid w:val="00794961"/>
    <w:rsid w:val="00794970"/>
    <w:rsid w:val="00795324"/>
    <w:rsid w:val="00795C15"/>
    <w:rsid w:val="00796472"/>
    <w:rsid w:val="0079682B"/>
    <w:rsid w:val="0079715C"/>
    <w:rsid w:val="0079721F"/>
    <w:rsid w:val="007972A2"/>
    <w:rsid w:val="0079787D"/>
    <w:rsid w:val="007A040E"/>
    <w:rsid w:val="007A0883"/>
    <w:rsid w:val="007A0C44"/>
    <w:rsid w:val="007A254C"/>
    <w:rsid w:val="007A2E3E"/>
    <w:rsid w:val="007A2EF4"/>
    <w:rsid w:val="007A33B1"/>
    <w:rsid w:val="007A3844"/>
    <w:rsid w:val="007A38BF"/>
    <w:rsid w:val="007A3C5A"/>
    <w:rsid w:val="007A3DD7"/>
    <w:rsid w:val="007A4E63"/>
    <w:rsid w:val="007A51D4"/>
    <w:rsid w:val="007A5965"/>
    <w:rsid w:val="007A596B"/>
    <w:rsid w:val="007A5AC1"/>
    <w:rsid w:val="007A5CD9"/>
    <w:rsid w:val="007A623C"/>
    <w:rsid w:val="007A6813"/>
    <w:rsid w:val="007A6E7C"/>
    <w:rsid w:val="007A7418"/>
    <w:rsid w:val="007A7610"/>
    <w:rsid w:val="007B0712"/>
    <w:rsid w:val="007B0799"/>
    <w:rsid w:val="007B07CA"/>
    <w:rsid w:val="007B1AB8"/>
    <w:rsid w:val="007B26A1"/>
    <w:rsid w:val="007B41B8"/>
    <w:rsid w:val="007B4669"/>
    <w:rsid w:val="007B49C6"/>
    <w:rsid w:val="007B50B1"/>
    <w:rsid w:val="007B52CF"/>
    <w:rsid w:val="007B577D"/>
    <w:rsid w:val="007B5B60"/>
    <w:rsid w:val="007B5CCB"/>
    <w:rsid w:val="007B6036"/>
    <w:rsid w:val="007B6059"/>
    <w:rsid w:val="007B6FBD"/>
    <w:rsid w:val="007B710A"/>
    <w:rsid w:val="007B78FE"/>
    <w:rsid w:val="007B7D00"/>
    <w:rsid w:val="007B7FDA"/>
    <w:rsid w:val="007C2781"/>
    <w:rsid w:val="007C2D12"/>
    <w:rsid w:val="007C2DE6"/>
    <w:rsid w:val="007C328A"/>
    <w:rsid w:val="007C36D0"/>
    <w:rsid w:val="007C3B7B"/>
    <w:rsid w:val="007C4414"/>
    <w:rsid w:val="007C455D"/>
    <w:rsid w:val="007C5249"/>
    <w:rsid w:val="007C537B"/>
    <w:rsid w:val="007C5A32"/>
    <w:rsid w:val="007C6C1E"/>
    <w:rsid w:val="007C7378"/>
    <w:rsid w:val="007C73E3"/>
    <w:rsid w:val="007C742C"/>
    <w:rsid w:val="007D0222"/>
    <w:rsid w:val="007D04BC"/>
    <w:rsid w:val="007D0D88"/>
    <w:rsid w:val="007D0F23"/>
    <w:rsid w:val="007D0F61"/>
    <w:rsid w:val="007D1600"/>
    <w:rsid w:val="007D1BAA"/>
    <w:rsid w:val="007D1D07"/>
    <w:rsid w:val="007D1ED6"/>
    <w:rsid w:val="007D207A"/>
    <w:rsid w:val="007D28FE"/>
    <w:rsid w:val="007D2C04"/>
    <w:rsid w:val="007D3D87"/>
    <w:rsid w:val="007D3FB8"/>
    <w:rsid w:val="007D5111"/>
    <w:rsid w:val="007D65B5"/>
    <w:rsid w:val="007D7434"/>
    <w:rsid w:val="007D75E7"/>
    <w:rsid w:val="007D7B8B"/>
    <w:rsid w:val="007D7C15"/>
    <w:rsid w:val="007D7ED9"/>
    <w:rsid w:val="007E01F4"/>
    <w:rsid w:val="007E01FB"/>
    <w:rsid w:val="007E1087"/>
    <w:rsid w:val="007E10F7"/>
    <w:rsid w:val="007E1106"/>
    <w:rsid w:val="007E1BB9"/>
    <w:rsid w:val="007E22F3"/>
    <w:rsid w:val="007E2364"/>
    <w:rsid w:val="007E2745"/>
    <w:rsid w:val="007E2E92"/>
    <w:rsid w:val="007E306D"/>
    <w:rsid w:val="007E3D74"/>
    <w:rsid w:val="007E4599"/>
    <w:rsid w:val="007E491B"/>
    <w:rsid w:val="007E49B7"/>
    <w:rsid w:val="007E56C9"/>
    <w:rsid w:val="007E5DDA"/>
    <w:rsid w:val="007E5EBC"/>
    <w:rsid w:val="007E6231"/>
    <w:rsid w:val="007E6775"/>
    <w:rsid w:val="007E6DAB"/>
    <w:rsid w:val="007E72C1"/>
    <w:rsid w:val="007E7E24"/>
    <w:rsid w:val="007F003E"/>
    <w:rsid w:val="007F0E3F"/>
    <w:rsid w:val="007F0F9E"/>
    <w:rsid w:val="007F1069"/>
    <w:rsid w:val="007F1780"/>
    <w:rsid w:val="007F222A"/>
    <w:rsid w:val="007F2BC3"/>
    <w:rsid w:val="007F3EAF"/>
    <w:rsid w:val="007F4145"/>
    <w:rsid w:val="007F4631"/>
    <w:rsid w:val="007F4709"/>
    <w:rsid w:val="007F4C6C"/>
    <w:rsid w:val="007F4DDC"/>
    <w:rsid w:val="007F5B7D"/>
    <w:rsid w:val="007F647D"/>
    <w:rsid w:val="007F6FB5"/>
    <w:rsid w:val="007F72B2"/>
    <w:rsid w:val="007F7E6E"/>
    <w:rsid w:val="0080020E"/>
    <w:rsid w:val="00800CEF"/>
    <w:rsid w:val="00800D22"/>
    <w:rsid w:val="00800DF5"/>
    <w:rsid w:val="00800E2E"/>
    <w:rsid w:val="00800FF6"/>
    <w:rsid w:val="008014CB"/>
    <w:rsid w:val="00801C44"/>
    <w:rsid w:val="008028AE"/>
    <w:rsid w:val="00802E6B"/>
    <w:rsid w:val="008032C8"/>
    <w:rsid w:val="008036BB"/>
    <w:rsid w:val="00804941"/>
    <w:rsid w:val="00805122"/>
    <w:rsid w:val="00805E00"/>
    <w:rsid w:val="0080697D"/>
    <w:rsid w:val="00806D91"/>
    <w:rsid w:val="00810DB0"/>
    <w:rsid w:val="00810DF6"/>
    <w:rsid w:val="008115DC"/>
    <w:rsid w:val="0081330E"/>
    <w:rsid w:val="0081338B"/>
    <w:rsid w:val="00813456"/>
    <w:rsid w:val="00813977"/>
    <w:rsid w:val="008147D1"/>
    <w:rsid w:val="00814FAB"/>
    <w:rsid w:val="00815952"/>
    <w:rsid w:val="008159CE"/>
    <w:rsid w:val="00815B3D"/>
    <w:rsid w:val="00815E27"/>
    <w:rsid w:val="00816CE2"/>
    <w:rsid w:val="00817246"/>
    <w:rsid w:val="00817C56"/>
    <w:rsid w:val="00820020"/>
    <w:rsid w:val="00820805"/>
    <w:rsid w:val="00821405"/>
    <w:rsid w:val="008214CC"/>
    <w:rsid w:val="00821E86"/>
    <w:rsid w:val="008233A7"/>
    <w:rsid w:val="00823C4E"/>
    <w:rsid w:val="00824111"/>
    <w:rsid w:val="00824765"/>
    <w:rsid w:val="0082491D"/>
    <w:rsid w:val="008249C5"/>
    <w:rsid w:val="008254D0"/>
    <w:rsid w:val="00825ECE"/>
    <w:rsid w:val="00825FE9"/>
    <w:rsid w:val="0082621C"/>
    <w:rsid w:val="00827141"/>
    <w:rsid w:val="00830A55"/>
    <w:rsid w:val="008315B2"/>
    <w:rsid w:val="00831649"/>
    <w:rsid w:val="008319D3"/>
    <w:rsid w:val="008322F9"/>
    <w:rsid w:val="008327ED"/>
    <w:rsid w:val="00832CD9"/>
    <w:rsid w:val="00833599"/>
    <w:rsid w:val="00833772"/>
    <w:rsid w:val="00833CF7"/>
    <w:rsid w:val="00833F25"/>
    <w:rsid w:val="008342AE"/>
    <w:rsid w:val="00835976"/>
    <w:rsid w:val="008359C0"/>
    <w:rsid w:val="008366DC"/>
    <w:rsid w:val="00837539"/>
    <w:rsid w:val="00837AA8"/>
    <w:rsid w:val="00837D88"/>
    <w:rsid w:val="00837F9C"/>
    <w:rsid w:val="0084042A"/>
    <w:rsid w:val="00841D8A"/>
    <w:rsid w:val="008424C4"/>
    <w:rsid w:val="008427CE"/>
    <w:rsid w:val="00842DEA"/>
    <w:rsid w:val="00843717"/>
    <w:rsid w:val="00843A88"/>
    <w:rsid w:val="00844B77"/>
    <w:rsid w:val="008459F9"/>
    <w:rsid w:val="0084609E"/>
    <w:rsid w:val="00846BAC"/>
    <w:rsid w:val="00846E1C"/>
    <w:rsid w:val="0084731D"/>
    <w:rsid w:val="0084745C"/>
    <w:rsid w:val="008479BB"/>
    <w:rsid w:val="00847CB8"/>
    <w:rsid w:val="008500A3"/>
    <w:rsid w:val="008510D4"/>
    <w:rsid w:val="00851783"/>
    <w:rsid w:val="00852801"/>
    <w:rsid w:val="00853BCB"/>
    <w:rsid w:val="00853E21"/>
    <w:rsid w:val="00854012"/>
    <w:rsid w:val="00855063"/>
    <w:rsid w:val="008551D5"/>
    <w:rsid w:val="00855410"/>
    <w:rsid w:val="00855829"/>
    <w:rsid w:val="008560A1"/>
    <w:rsid w:val="008560E3"/>
    <w:rsid w:val="008566A9"/>
    <w:rsid w:val="00856E60"/>
    <w:rsid w:val="00857B14"/>
    <w:rsid w:val="00857B85"/>
    <w:rsid w:val="00857CE2"/>
    <w:rsid w:val="00857EC5"/>
    <w:rsid w:val="008600E6"/>
    <w:rsid w:val="008602DA"/>
    <w:rsid w:val="00860CCA"/>
    <w:rsid w:val="008619DB"/>
    <w:rsid w:val="008625BB"/>
    <w:rsid w:val="008629AF"/>
    <w:rsid w:val="00863245"/>
    <w:rsid w:val="00863620"/>
    <w:rsid w:val="00863EA8"/>
    <w:rsid w:val="00864316"/>
    <w:rsid w:val="0086445E"/>
    <w:rsid w:val="008647EF"/>
    <w:rsid w:val="00864CD6"/>
    <w:rsid w:val="0086540B"/>
    <w:rsid w:val="0086561E"/>
    <w:rsid w:val="00865A68"/>
    <w:rsid w:val="00865AE5"/>
    <w:rsid w:val="0086663C"/>
    <w:rsid w:val="008669E1"/>
    <w:rsid w:val="00866CCF"/>
    <w:rsid w:val="00867177"/>
    <w:rsid w:val="0086790D"/>
    <w:rsid w:val="00867DDE"/>
    <w:rsid w:val="0087007F"/>
    <w:rsid w:val="0087029F"/>
    <w:rsid w:val="00870FE1"/>
    <w:rsid w:val="0087193E"/>
    <w:rsid w:val="00871CC3"/>
    <w:rsid w:val="0087216D"/>
    <w:rsid w:val="008722E2"/>
    <w:rsid w:val="0087296E"/>
    <w:rsid w:val="00873581"/>
    <w:rsid w:val="00874450"/>
    <w:rsid w:val="00874A74"/>
    <w:rsid w:val="00874D41"/>
    <w:rsid w:val="0087517A"/>
    <w:rsid w:val="0087528F"/>
    <w:rsid w:val="008757EC"/>
    <w:rsid w:val="00875FDA"/>
    <w:rsid w:val="0087664C"/>
    <w:rsid w:val="0087666B"/>
    <w:rsid w:val="008766B1"/>
    <w:rsid w:val="00876748"/>
    <w:rsid w:val="00876E9F"/>
    <w:rsid w:val="00877001"/>
    <w:rsid w:val="00877A03"/>
    <w:rsid w:val="008805DF"/>
    <w:rsid w:val="00880BCF"/>
    <w:rsid w:val="00880F12"/>
    <w:rsid w:val="00880F8D"/>
    <w:rsid w:val="008811D6"/>
    <w:rsid w:val="00881265"/>
    <w:rsid w:val="00882693"/>
    <w:rsid w:val="00882AA8"/>
    <w:rsid w:val="00882B0B"/>
    <w:rsid w:val="00882D0A"/>
    <w:rsid w:val="00884261"/>
    <w:rsid w:val="00884279"/>
    <w:rsid w:val="00884420"/>
    <w:rsid w:val="00884490"/>
    <w:rsid w:val="00884771"/>
    <w:rsid w:val="0088569B"/>
    <w:rsid w:val="0088594F"/>
    <w:rsid w:val="00885C43"/>
    <w:rsid w:val="00885D45"/>
    <w:rsid w:val="00886B96"/>
    <w:rsid w:val="0088720A"/>
    <w:rsid w:val="008878B6"/>
    <w:rsid w:val="00887D16"/>
    <w:rsid w:val="0089007A"/>
    <w:rsid w:val="00890A43"/>
    <w:rsid w:val="00890DE6"/>
    <w:rsid w:val="00892016"/>
    <w:rsid w:val="00892537"/>
    <w:rsid w:val="00892DCD"/>
    <w:rsid w:val="00893159"/>
    <w:rsid w:val="0089333B"/>
    <w:rsid w:val="00893638"/>
    <w:rsid w:val="00893A56"/>
    <w:rsid w:val="00893ED7"/>
    <w:rsid w:val="00894490"/>
    <w:rsid w:val="00894AA9"/>
    <w:rsid w:val="0089542F"/>
    <w:rsid w:val="0089590C"/>
    <w:rsid w:val="00895C7E"/>
    <w:rsid w:val="00895CEC"/>
    <w:rsid w:val="008969DB"/>
    <w:rsid w:val="008976AD"/>
    <w:rsid w:val="008A0637"/>
    <w:rsid w:val="008A2225"/>
    <w:rsid w:val="008A3245"/>
    <w:rsid w:val="008A35F0"/>
    <w:rsid w:val="008A3638"/>
    <w:rsid w:val="008A395A"/>
    <w:rsid w:val="008A3BF4"/>
    <w:rsid w:val="008A40B0"/>
    <w:rsid w:val="008A41B4"/>
    <w:rsid w:val="008A49E1"/>
    <w:rsid w:val="008A4E8E"/>
    <w:rsid w:val="008A5FF9"/>
    <w:rsid w:val="008A6023"/>
    <w:rsid w:val="008A6424"/>
    <w:rsid w:val="008A6652"/>
    <w:rsid w:val="008A6E5C"/>
    <w:rsid w:val="008A6E60"/>
    <w:rsid w:val="008A71E2"/>
    <w:rsid w:val="008B0393"/>
    <w:rsid w:val="008B0B06"/>
    <w:rsid w:val="008B0BDB"/>
    <w:rsid w:val="008B1118"/>
    <w:rsid w:val="008B1496"/>
    <w:rsid w:val="008B1CB3"/>
    <w:rsid w:val="008B23E3"/>
    <w:rsid w:val="008B3258"/>
    <w:rsid w:val="008B34A4"/>
    <w:rsid w:val="008B3C59"/>
    <w:rsid w:val="008B41DA"/>
    <w:rsid w:val="008B4328"/>
    <w:rsid w:val="008B43A8"/>
    <w:rsid w:val="008B5988"/>
    <w:rsid w:val="008B61B1"/>
    <w:rsid w:val="008B6A37"/>
    <w:rsid w:val="008B7266"/>
    <w:rsid w:val="008C02D7"/>
    <w:rsid w:val="008C09BE"/>
    <w:rsid w:val="008C09C8"/>
    <w:rsid w:val="008C0E4A"/>
    <w:rsid w:val="008C1A81"/>
    <w:rsid w:val="008C2B7F"/>
    <w:rsid w:val="008C2F46"/>
    <w:rsid w:val="008C34C8"/>
    <w:rsid w:val="008C362F"/>
    <w:rsid w:val="008C3901"/>
    <w:rsid w:val="008C3BD6"/>
    <w:rsid w:val="008C3CBE"/>
    <w:rsid w:val="008C4096"/>
    <w:rsid w:val="008C52E3"/>
    <w:rsid w:val="008C5367"/>
    <w:rsid w:val="008C5765"/>
    <w:rsid w:val="008C5A4E"/>
    <w:rsid w:val="008C5FB1"/>
    <w:rsid w:val="008C63FC"/>
    <w:rsid w:val="008C655A"/>
    <w:rsid w:val="008C66D8"/>
    <w:rsid w:val="008C7074"/>
    <w:rsid w:val="008C7482"/>
    <w:rsid w:val="008D0187"/>
    <w:rsid w:val="008D018C"/>
    <w:rsid w:val="008D04EB"/>
    <w:rsid w:val="008D07C0"/>
    <w:rsid w:val="008D08BF"/>
    <w:rsid w:val="008D0949"/>
    <w:rsid w:val="008D09F2"/>
    <w:rsid w:val="008D0D26"/>
    <w:rsid w:val="008D1215"/>
    <w:rsid w:val="008D1E0A"/>
    <w:rsid w:val="008D2798"/>
    <w:rsid w:val="008D2924"/>
    <w:rsid w:val="008D2AAD"/>
    <w:rsid w:val="008D2E85"/>
    <w:rsid w:val="008D38A2"/>
    <w:rsid w:val="008D42D3"/>
    <w:rsid w:val="008D5A35"/>
    <w:rsid w:val="008D68B6"/>
    <w:rsid w:val="008D74B7"/>
    <w:rsid w:val="008D74EA"/>
    <w:rsid w:val="008D7759"/>
    <w:rsid w:val="008D79D7"/>
    <w:rsid w:val="008D7A5F"/>
    <w:rsid w:val="008E0563"/>
    <w:rsid w:val="008E0738"/>
    <w:rsid w:val="008E128D"/>
    <w:rsid w:val="008E1869"/>
    <w:rsid w:val="008E2215"/>
    <w:rsid w:val="008E23A0"/>
    <w:rsid w:val="008E31BE"/>
    <w:rsid w:val="008E34F1"/>
    <w:rsid w:val="008E366B"/>
    <w:rsid w:val="008E3884"/>
    <w:rsid w:val="008E48BF"/>
    <w:rsid w:val="008E5827"/>
    <w:rsid w:val="008E5FB1"/>
    <w:rsid w:val="008E622D"/>
    <w:rsid w:val="008E6811"/>
    <w:rsid w:val="008E7AF0"/>
    <w:rsid w:val="008E7B34"/>
    <w:rsid w:val="008E7D63"/>
    <w:rsid w:val="008F01FB"/>
    <w:rsid w:val="008F0C5E"/>
    <w:rsid w:val="008F0FD4"/>
    <w:rsid w:val="008F1388"/>
    <w:rsid w:val="008F192C"/>
    <w:rsid w:val="008F1C9B"/>
    <w:rsid w:val="008F1EE4"/>
    <w:rsid w:val="008F322F"/>
    <w:rsid w:val="008F5495"/>
    <w:rsid w:val="008F5F56"/>
    <w:rsid w:val="008F63A4"/>
    <w:rsid w:val="008F72B0"/>
    <w:rsid w:val="008F752A"/>
    <w:rsid w:val="008F76E9"/>
    <w:rsid w:val="008F7769"/>
    <w:rsid w:val="008F7896"/>
    <w:rsid w:val="00900333"/>
    <w:rsid w:val="0090050A"/>
    <w:rsid w:val="00900CC6"/>
    <w:rsid w:val="0090176C"/>
    <w:rsid w:val="009018F4"/>
    <w:rsid w:val="00901E80"/>
    <w:rsid w:val="009029A8"/>
    <w:rsid w:val="00903593"/>
    <w:rsid w:val="00903CAE"/>
    <w:rsid w:val="00903E31"/>
    <w:rsid w:val="00904618"/>
    <w:rsid w:val="00904C59"/>
    <w:rsid w:val="00904DB5"/>
    <w:rsid w:val="00905A2A"/>
    <w:rsid w:val="00905A77"/>
    <w:rsid w:val="00907156"/>
    <w:rsid w:val="0090749A"/>
    <w:rsid w:val="00907F5A"/>
    <w:rsid w:val="00910155"/>
    <w:rsid w:val="00910D31"/>
    <w:rsid w:val="00911B7B"/>
    <w:rsid w:val="00911B7F"/>
    <w:rsid w:val="00911E96"/>
    <w:rsid w:val="00912172"/>
    <w:rsid w:val="00912D5A"/>
    <w:rsid w:val="00912FF7"/>
    <w:rsid w:val="00913DDB"/>
    <w:rsid w:val="0091580A"/>
    <w:rsid w:val="00917D8A"/>
    <w:rsid w:val="00917F52"/>
    <w:rsid w:val="0092011A"/>
    <w:rsid w:val="009207B3"/>
    <w:rsid w:val="00921B68"/>
    <w:rsid w:val="0092269D"/>
    <w:rsid w:val="009226CF"/>
    <w:rsid w:val="00922915"/>
    <w:rsid w:val="00922D1F"/>
    <w:rsid w:val="00923163"/>
    <w:rsid w:val="009233A6"/>
    <w:rsid w:val="00923A5D"/>
    <w:rsid w:val="009244E6"/>
    <w:rsid w:val="009245A9"/>
    <w:rsid w:val="009247DE"/>
    <w:rsid w:val="00924CB2"/>
    <w:rsid w:val="00924E1F"/>
    <w:rsid w:val="00924F72"/>
    <w:rsid w:val="0092547F"/>
    <w:rsid w:val="00925D8E"/>
    <w:rsid w:val="00925F76"/>
    <w:rsid w:val="00925F9D"/>
    <w:rsid w:val="009267F2"/>
    <w:rsid w:val="00926A30"/>
    <w:rsid w:val="00926F42"/>
    <w:rsid w:val="00927618"/>
    <w:rsid w:val="00930933"/>
    <w:rsid w:val="00930A62"/>
    <w:rsid w:val="0093129B"/>
    <w:rsid w:val="00931727"/>
    <w:rsid w:val="00931B9C"/>
    <w:rsid w:val="00931DE7"/>
    <w:rsid w:val="00931E93"/>
    <w:rsid w:val="0093311F"/>
    <w:rsid w:val="00933850"/>
    <w:rsid w:val="00933EF1"/>
    <w:rsid w:val="00934977"/>
    <w:rsid w:val="00934A91"/>
    <w:rsid w:val="00934D22"/>
    <w:rsid w:val="0093509E"/>
    <w:rsid w:val="00935C4F"/>
    <w:rsid w:val="009364D5"/>
    <w:rsid w:val="009364F8"/>
    <w:rsid w:val="00936DE5"/>
    <w:rsid w:val="009373EB"/>
    <w:rsid w:val="009377CD"/>
    <w:rsid w:val="00937862"/>
    <w:rsid w:val="00937AE7"/>
    <w:rsid w:val="00937C7C"/>
    <w:rsid w:val="0094061F"/>
    <w:rsid w:val="00942180"/>
    <w:rsid w:val="0094282D"/>
    <w:rsid w:val="0094305B"/>
    <w:rsid w:val="0094324E"/>
    <w:rsid w:val="009450A5"/>
    <w:rsid w:val="00945532"/>
    <w:rsid w:val="009456B2"/>
    <w:rsid w:val="00946057"/>
    <w:rsid w:val="009465B4"/>
    <w:rsid w:val="00946C16"/>
    <w:rsid w:val="0095026C"/>
    <w:rsid w:val="00950592"/>
    <w:rsid w:val="00950D9F"/>
    <w:rsid w:val="00950DCA"/>
    <w:rsid w:val="009518CF"/>
    <w:rsid w:val="00951F8C"/>
    <w:rsid w:val="0095211B"/>
    <w:rsid w:val="00952D9C"/>
    <w:rsid w:val="0095350D"/>
    <w:rsid w:val="00953AD3"/>
    <w:rsid w:val="00954C73"/>
    <w:rsid w:val="00956598"/>
    <w:rsid w:val="009566DC"/>
    <w:rsid w:val="0095671F"/>
    <w:rsid w:val="00957957"/>
    <w:rsid w:val="00957CF4"/>
    <w:rsid w:val="009608B9"/>
    <w:rsid w:val="00961263"/>
    <w:rsid w:val="0096198D"/>
    <w:rsid w:val="00961A44"/>
    <w:rsid w:val="009621DD"/>
    <w:rsid w:val="00963705"/>
    <w:rsid w:val="00963E68"/>
    <w:rsid w:val="0096400F"/>
    <w:rsid w:val="00964262"/>
    <w:rsid w:val="00964653"/>
    <w:rsid w:val="0096491B"/>
    <w:rsid w:val="0096585A"/>
    <w:rsid w:val="00965BF7"/>
    <w:rsid w:val="00966003"/>
    <w:rsid w:val="0096625A"/>
    <w:rsid w:val="009666A2"/>
    <w:rsid w:val="00966AAC"/>
    <w:rsid w:val="00966B7A"/>
    <w:rsid w:val="00966CF8"/>
    <w:rsid w:val="0096757C"/>
    <w:rsid w:val="00967DEE"/>
    <w:rsid w:val="009702C6"/>
    <w:rsid w:val="00970D65"/>
    <w:rsid w:val="0097171B"/>
    <w:rsid w:val="0097185F"/>
    <w:rsid w:val="00971CB2"/>
    <w:rsid w:val="00972817"/>
    <w:rsid w:val="00972B39"/>
    <w:rsid w:val="0097301B"/>
    <w:rsid w:val="009735C0"/>
    <w:rsid w:val="009738BE"/>
    <w:rsid w:val="009746DE"/>
    <w:rsid w:val="00974879"/>
    <w:rsid w:val="00974C53"/>
    <w:rsid w:val="00974C94"/>
    <w:rsid w:val="0097627C"/>
    <w:rsid w:val="00977108"/>
    <w:rsid w:val="009772CA"/>
    <w:rsid w:val="00977ACE"/>
    <w:rsid w:val="00977BC3"/>
    <w:rsid w:val="0097A557"/>
    <w:rsid w:val="009802AF"/>
    <w:rsid w:val="009802C8"/>
    <w:rsid w:val="00980EE2"/>
    <w:rsid w:val="00980F38"/>
    <w:rsid w:val="00981113"/>
    <w:rsid w:val="009820D7"/>
    <w:rsid w:val="00982882"/>
    <w:rsid w:val="00982F2F"/>
    <w:rsid w:val="00982FF1"/>
    <w:rsid w:val="00983081"/>
    <w:rsid w:val="00983118"/>
    <w:rsid w:val="00983620"/>
    <w:rsid w:val="0098382F"/>
    <w:rsid w:val="00983E47"/>
    <w:rsid w:val="00983FA4"/>
    <w:rsid w:val="00984005"/>
    <w:rsid w:val="009840A6"/>
    <w:rsid w:val="0098444D"/>
    <w:rsid w:val="00985040"/>
    <w:rsid w:val="00985434"/>
    <w:rsid w:val="0098556A"/>
    <w:rsid w:val="009856A3"/>
    <w:rsid w:val="00985EA5"/>
    <w:rsid w:val="009861E8"/>
    <w:rsid w:val="00986420"/>
    <w:rsid w:val="00986960"/>
    <w:rsid w:val="00986AE8"/>
    <w:rsid w:val="00986FEA"/>
    <w:rsid w:val="009870BB"/>
    <w:rsid w:val="009872A9"/>
    <w:rsid w:val="00987A2A"/>
    <w:rsid w:val="00990CA6"/>
    <w:rsid w:val="00990E79"/>
    <w:rsid w:val="00991A8B"/>
    <w:rsid w:val="00991F30"/>
    <w:rsid w:val="00992B04"/>
    <w:rsid w:val="0099304D"/>
    <w:rsid w:val="0099322A"/>
    <w:rsid w:val="009937A7"/>
    <w:rsid w:val="009937BE"/>
    <w:rsid w:val="009939E1"/>
    <w:rsid w:val="0099438D"/>
    <w:rsid w:val="009944E8"/>
    <w:rsid w:val="00994940"/>
    <w:rsid w:val="00995566"/>
    <w:rsid w:val="0099588E"/>
    <w:rsid w:val="00995ABB"/>
    <w:rsid w:val="00996612"/>
    <w:rsid w:val="00996894"/>
    <w:rsid w:val="0099727E"/>
    <w:rsid w:val="009972AC"/>
    <w:rsid w:val="00997461"/>
    <w:rsid w:val="0099749A"/>
    <w:rsid w:val="00997916"/>
    <w:rsid w:val="009A0146"/>
    <w:rsid w:val="009A0EF2"/>
    <w:rsid w:val="009A16D6"/>
    <w:rsid w:val="009A26EC"/>
    <w:rsid w:val="009A2B8A"/>
    <w:rsid w:val="009A2BBB"/>
    <w:rsid w:val="009A2E45"/>
    <w:rsid w:val="009A3BC6"/>
    <w:rsid w:val="009A4275"/>
    <w:rsid w:val="009A42F8"/>
    <w:rsid w:val="009A432E"/>
    <w:rsid w:val="009A4A6F"/>
    <w:rsid w:val="009A53C0"/>
    <w:rsid w:val="009A5863"/>
    <w:rsid w:val="009A58CC"/>
    <w:rsid w:val="009A6611"/>
    <w:rsid w:val="009A6C92"/>
    <w:rsid w:val="009A7530"/>
    <w:rsid w:val="009A7577"/>
    <w:rsid w:val="009A7994"/>
    <w:rsid w:val="009B1EBC"/>
    <w:rsid w:val="009B1F24"/>
    <w:rsid w:val="009B23A1"/>
    <w:rsid w:val="009B270C"/>
    <w:rsid w:val="009B2DD9"/>
    <w:rsid w:val="009B2DEA"/>
    <w:rsid w:val="009B302C"/>
    <w:rsid w:val="009B330A"/>
    <w:rsid w:val="009B34F4"/>
    <w:rsid w:val="009B3F7F"/>
    <w:rsid w:val="009B429B"/>
    <w:rsid w:val="009B44B5"/>
    <w:rsid w:val="009B51E8"/>
    <w:rsid w:val="009B551B"/>
    <w:rsid w:val="009B5797"/>
    <w:rsid w:val="009B6A1B"/>
    <w:rsid w:val="009B6D76"/>
    <w:rsid w:val="009B6DD5"/>
    <w:rsid w:val="009B6E55"/>
    <w:rsid w:val="009B7350"/>
    <w:rsid w:val="009B759C"/>
    <w:rsid w:val="009C0C33"/>
    <w:rsid w:val="009C0DAD"/>
    <w:rsid w:val="009C0DAF"/>
    <w:rsid w:val="009C14BC"/>
    <w:rsid w:val="009C2260"/>
    <w:rsid w:val="009C268D"/>
    <w:rsid w:val="009C33F0"/>
    <w:rsid w:val="009C407A"/>
    <w:rsid w:val="009C40CC"/>
    <w:rsid w:val="009C4D58"/>
    <w:rsid w:val="009C4DFD"/>
    <w:rsid w:val="009C51EB"/>
    <w:rsid w:val="009C548D"/>
    <w:rsid w:val="009C54E1"/>
    <w:rsid w:val="009C593E"/>
    <w:rsid w:val="009C5B3B"/>
    <w:rsid w:val="009C5F8C"/>
    <w:rsid w:val="009C6331"/>
    <w:rsid w:val="009D03F2"/>
    <w:rsid w:val="009D0E2B"/>
    <w:rsid w:val="009D122A"/>
    <w:rsid w:val="009D1B6A"/>
    <w:rsid w:val="009D32B0"/>
    <w:rsid w:val="009D33A6"/>
    <w:rsid w:val="009D3623"/>
    <w:rsid w:val="009D3B95"/>
    <w:rsid w:val="009D3DBD"/>
    <w:rsid w:val="009D43B1"/>
    <w:rsid w:val="009D4D17"/>
    <w:rsid w:val="009D5A5B"/>
    <w:rsid w:val="009E05B8"/>
    <w:rsid w:val="009E0945"/>
    <w:rsid w:val="009E0DFE"/>
    <w:rsid w:val="009E11E7"/>
    <w:rsid w:val="009E1B83"/>
    <w:rsid w:val="009E1E55"/>
    <w:rsid w:val="009E2319"/>
    <w:rsid w:val="009E2F46"/>
    <w:rsid w:val="009E2F91"/>
    <w:rsid w:val="009E31B8"/>
    <w:rsid w:val="009E3887"/>
    <w:rsid w:val="009E3CB3"/>
    <w:rsid w:val="009E3D86"/>
    <w:rsid w:val="009E44E0"/>
    <w:rsid w:val="009E4795"/>
    <w:rsid w:val="009E4BDC"/>
    <w:rsid w:val="009E5547"/>
    <w:rsid w:val="009E5FAF"/>
    <w:rsid w:val="009E641D"/>
    <w:rsid w:val="009E67DA"/>
    <w:rsid w:val="009E6B28"/>
    <w:rsid w:val="009E6B82"/>
    <w:rsid w:val="009E7D5E"/>
    <w:rsid w:val="009F0191"/>
    <w:rsid w:val="009F0366"/>
    <w:rsid w:val="009F17A4"/>
    <w:rsid w:val="009F1CA7"/>
    <w:rsid w:val="009F1E29"/>
    <w:rsid w:val="009F2055"/>
    <w:rsid w:val="009F2C16"/>
    <w:rsid w:val="009F2F0C"/>
    <w:rsid w:val="009F3230"/>
    <w:rsid w:val="009F35D6"/>
    <w:rsid w:val="009F386E"/>
    <w:rsid w:val="009F39DE"/>
    <w:rsid w:val="009F3B7B"/>
    <w:rsid w:val="009F52A3"/>
    <w:rsid w:val="009F5418"/>
    <w:rsid w:val="009F5C13"/>
    <w:rsid w:val="009F6170"/>
    <w:rsid w:val="009F67A8"/>
    <w:rsid w:val="009F6867"/>
    <w:rsid w:val="009F68A3"/>
    <w:rsid w:val="009F6BD2"/>
    <w:rsid w:val="009F7028"/>
    <w:rsid w:val="00A01A7C"/>
    <w:rsid w:val="00A01D5C"/>
    <w:rsid w:val="00A022B6"/>
    <w:rsid w:val="00A0246F"/>
    <w:rsid w:val="00A028A9"/>
    <w:rsid w:val="00A02926"/>
    <w:rsid w:val="00A029B4"/>
    <w:rsid w:val="00A03D0C"/>
    <w:rsid w:val="00A041D1"/>
    <w:rsid w:val="00A0485D"/>
    <w:rsid w:val="00A04F3F"/>
    <w:rsid w:val="00A050DC"/>
    <w:rsid w:val="00A0528B"/>
    <w:rsid w:val="00A060B4"/>
    <w:rsid w:val="00A06B94"/>
    <w:rsid w:val="00A07313"/>
    <w:rsid w:val="00A07B2A"/>
    <w:rsid w:val="00A103E2"/>
    <w:rsid w:val="00A105B0"/>
    <w:rsid w:val="00A106BC"/>
    <w:rsid w:val="00A10DC1"/>
    <w:rsid w:val="00A11173"/>
    <w:rsid w:val="00A117CF"/>
    <w:rsid w:val="00A11856"/>
    <w:rsid w:val="00A11959"/>
    <w:rsid w:val="00A1225F"/>
    <w:rsid w:val="00A131F1"/>
    <w:rsid w:val="00A13A1A"/>
    <w:rsid w:val="00A1444C"/>
    <w:rsid w:val="00A145DE"/>
    <w:rsid w:val="00A1481C"/>
    <w:rsid w:val="00A154BF"/>
    <w:rsid w:val="00A15D61"/>
    <w:rsid w:val="00A15E04"/>
    <w:rsid w:val="00A15E1B"/>
    <w:rsid w:val="00A15F72"/>
    <w:rsid w:val="00A16E90"/>
    <w:rsid w:val="00A171E7"/>
    <w:rsid w:val="00A17626"/>
    <w:rsid w:val="00A17780"/>
    <w:rsid w:val="00A17AC6"/>
    <w:rsid w:val="00A17EBC"/>
    <w:rsid w:val="00A213C6"/>
    <w:rsid w:val="00A21DC5"/>
    <w:rsid w:val="00A21EE0"/>
    <w:rsid w:val="00A22FC3"/>
    <w:rsid w:val="00A23195"/>
    <w:rsid w:val="00A2331C"/>
    <w:rsid w:val="00A2341D"/>
    <w:rsid w:val="00A23646"/>
    <w:rsid w:val="00A23D86"/>
    <w:rsid w:val="00A23FA6"/>
    <w:rsid w:val="00A24241"/>
    <w:rsid w:val="00A24959"/>
    <w:rsid w:val="00A24FC2"/>
    <w:rsid w:val="00A25BCA"/>
    <w:rsid w:val="00A25E99"/>
    <w:rsid w:val="00A25F0C"/>
    <w:rsid w:val="00A26598"/>
    <w:rsid w:val="00A266E3"/>
    <w:rsid w:val="00A26C58"/>
    <w:rsid w:val="00A270C3"/>
    <w:rsid w:val="00A2712C"/>
    <w:rsid w:val="00A272E7"/>
    <w:rsid w:val="00A27609"/>
    <w:rsid w:val="00A27966"/>
    <w:rsid w:val="00A27E20"/>
    <w:rsid w:val="00A27E4B"/>
    <w:rsid w:val="00A301AE"/>
    <w:rsid w:val="00A31C5D"/>
    <w:rsid w:val="00A31D61"/>
    <w:rsid w:val="00A31DEE"/>
    <w:rsid w:val="00A3222B"/>
    <w:rsid w:val="00A3285C"/>
    <w:rsid w:val="00A32E27"/>
    <w:rsid w:val="00A32E5F"/>
    <w:rsid w:val="00A334EB"/>
    <w:rsid w:val="00A347AF"/>
    <w:rsid w:val="00A34AE8"/>
    <w:rsid w:val="00A34B5A"/>
    <w:rsid w:val="00A34CA8"/>
    <w:rsid w:val="00A354F9"/>
    <w:rsid w:val="00A36555"/>
    <w:rsid w:val="00A36957"/>
    <w:rsid w:val="00A373BC"/>
    <w:rsid w:val="00A37417"/>
    <w:rsid w:val="00A37EEE"/>
    <w:rsid w:val="00A40F05"/>
    <w:rsid w:val="00A41278"/>
    <w:rsid w:val="00A414AF"/>
    <w:rsid w:val="00A417A8"/>
    <w:rsid w:val="00A41984"/>
    <w:rsid w:val="00A420FE"/>
    <w:rsid w:val="00A4220E"/>
    <w:rsid w:val="00A42219"/>
    <w:rsid w:val="00A42341"/>
    <w:rsid w:val="00A423BD"/>
    <w:rsid w:val="00A42768"/>
    <w:rsid w:val="00A4297A"/>
    <w:rsid w:val="00A43362"/>
    <w:rsid w:val="00A43D7A"/>
    <w:rsid w:val="00A43E07"/>
    <w:rsid w:val="00A44349"/>
    <w:rsid w:val="00A44669"/>
    <w:rsid w:val="00A4475D"/>
    <w:rsid w:val="00A45420"/>
    <w:rsid w:val="00A45871"/>
    <w:rsid w:val="00A45A4B"/>
    <w:rsid w:val="00A45E95"/>
    <w:rsid w:val="00A47738"/>
    <w:rsid w:val="00A4784C"/>
    <w:rsid w:val="00A47DCD"/>
    <w:rsid w:val="00A500FC"/>
    <w:rsid w:val="00A51004"/>
    <w:rsid w:val="00A51086"/>
    <w:rsid w:val="00A51274"/>
    <w:rsid w:val="00A512F9"/>
    <w:rsid w:val="00A5154B"/>
    <w:rsid w:val="00A51621"/>
    <w:rsid w:val="00A51A71"/>
    <w:rsid w:val="00A51BDA"/>
    <w:rsid w:val="00A51D02"/>
    <w:rsid w:val="00A51EFE"/>
    <w:rsid w:val="00A526BB"/>
    <w:rsid w:val="00A52B90"/>
    <w:rsid w:val="00A53398"/>
    <w:rsid w:val="00A53E60"/>
    <w:rsid w:val="00A540EB"/>
    <w:rsid w:val="00A544CD"/>
    <w:rsid w:val="00A5467C"/>
    <w:rsid w:val="00A549DD"/>
    <w:rsid w:val="00A55217"/>
    <w:rsid w:val="00A5521F"/>
    <w:rsid w:val="00A57CAE"/>
    <w:rsid w:val="00A615BE"/>
    <w:rsid w:val="00A62466"/>
    <w:rsid w:val="00A6276B"/>
    <w:rsid w:val="00A62E07"/>
    <w:rsid w:val="00A63434"/>
    <w:rsid w:val="00A6355E"/>
    <w:rsid w:val="00A63F70"/>
    <w:rsid w:val="00A6476C"/>
    <w:rsid w:val="00A64A11"/>
    <w:rsid w:val="00A64E89"/>
    <w:rsid w:val="00A6501C"/>
    <w:rsid w:val="00A665BB"/>
    <w:rsid w:val="00A66F78"/>
    <w:rsid w:val="00A67D61"/>
    <w:rsid w:val="00A7138F"/>
    <w:rsid w:val="00A71D40"/>
    <w:rsid w:val="00A7215E"/>
    <w:rsid w:val="00A72788"/>
    <w:rsid w:val="00A7280F"/>
    <w:rsid w:val="00A72AE3"/>
    <w:rsid w:val="00A73B0A"/>
    <w:rsid w:val="00A73C27"/>
    <w:rsid w:val="00A742B4"/>
    <w:rsid w:val="00A74A90"/>
    <w:rsid w:val="00A752AD"/>
    <w:rsid w:val="00A76011"/>
    <w:rsid w:val="00A7618D"/>
    <w:rsid w:val="00A76A48"/>
    <w:rsid w:val="00A76C9A"/>
    <w:rsid w:val="00A76E56"/>
    <w:rsid w:val="00A80992"/>
    <w:rsid w:val="00A80C35"/>
    <w:rsid w:val="00A80D65"/>
    <w:rsid w:val="00A818CD"/>
    <w:rsid w:val="00A81A90"/>
    <w:rsid w:val="00A81D21"/>
    <w:rsid w:val="00A81F72"/>
    <w:rsid w:val="00A8220F"/>
    <w:rsid w:val="00A82669"/>
    <w:rsid w:val="00A8521E"/>
    <w:rsid w:val="00A854A6"/>
    <w:rsid w:val="00A85704"/>
    <w:rsid w:val="00A85E87"/>
    <w:rsid w:val="00A85EC5"/>
    <w:rsid w:val="00A8610D"/>
    <w:rsid w:val="00A86C07"/>
    <w:rsid w:val="00A87DFA"/>
    <w:rsid w:val="00A9040F"/>
    <w:rsid w:val="00A90FE2"/>
    <w:rsid w:val="00A9121A"/>
    <w:rsid w:val="00A91E85"/>
    <w:rsid w:val="00A928C4"/>
    <w:rsid w:val="00A928E6"/>
    <w:rsid w:val="00A92A16"/>
    <w:rsid w:val="00A92A28"/>
    <w:rsid w:val="00A932BC"/>
    <w:rsid w:val="00A9367B"/>
    <w:rsid w:val="00A93B97"/>
    <w:rsid w:val="00A93C0D"/>
    <w:rsid w:val="00A9403E"/>
    <w:rsid w:val="00A9422B"/>
    <w:rsid w:val="00A94389"/>
    <w:rsid w:val="00A944C0"/>
    <w:rsid w:val="00A94E1C"/>
    <w:rsid w:val="00A95764"/>
    <w:rsid w:val="00A96232"/>
    <w:rsid w:val="00A96425"/>
    <w:rsid w:val="00A96E9D"/>
    <w:rsid w:val="00A96FFF"/>
    <w:rsid w:val="00A97592"/>
    <w:rsid w:val="00A97C62"/>
    <w:rsid w:val="00A97FE4"/>
    <w:rsid w:val="00AA021E"/>
    <w:rsid w:val="00AA052D"/>
    <w:rsid w:val="00AA0627"/>
    <w:rsid w:val="00AA13D5"/>
    <w:rsid w:val="00AA1B68"/>
    <w:rsid w:val="00AA1C38"/>
    <w:rsid w:val="00AA27EC"/>
    <w:rsid w:val="00AA2F4F"/>
    <w:rsid w:val="00AA3380"/>
    <w:rsid w:val="00AA3418"/>
    <w:rsid w:val="00AA3EC7"/>
    <w:rsid w:val="00AA4527"/>
    <w:rsid w:val="00AA45EA"/>
    <w:rsid w:val="00AA4AD0"/>
    <w:rsid w:val="00AA5501"/>
    <w:rsid w:val="00AA55F0"/>
    <w:rsid w:val="00AA5F45"/>
    <w:rsid w:val="00AA70F3"/>
    <w:rsid w:val="00AA7AB1"/>
    <w:rsid w:val="00AA7BC3"/>
    <w:rsid w:val="00AB1064"/>
    <w:rsid w:val="00AB1734"/>
    <w:rsid w:val="00AB1B08"/>
    <w:rsid w:val="00AB1D88"/>
    <w:rsid w:val="00AB1F0A"/>
    <w:rsid w:val="00AB25FD"/>
    <w:rsid w:val="00AB29A6"/>
    <w:rsid w:val="00AB29B1"/>
    <w:rsid w:val="00AB29C9"/>
    <w:rsid w:val="00AB2C3F"/>
    <w:rsid w:val="00AB30E6"/>
    <w:rsid w:val="00AB3C36"/>
    <w:rsid w:val="00AB4B4F"/>
    <w:rsid w:val="00AB4F63"/>
    <w:rsid w:val="00AB4FC5"/>
    <w:rsid w:val="00AB61EB"/>
    <w:rsid w:val="00AB65AA"/>
    <w:rsid w:val="00AB6AA0"/>
    <w:rsid w:val="00AB7209"/>
    <w:rsid w:val="00AB7290"/>
    <w:rsid w:val="00AB75F0"/>
    <w:rsid w:val="00AC150F"/>
    <w:rsid w:val="00AC1828"/>
    <w:rsid w:val="00AC2CE4"/>
    <w:rsid w:val="00AC3104"/>
    <w:rsid w:val="00AC32E3"/>
    <w:rsid w:val="00AC3FFA"/>
    <w:rsid w:val="00AC4344"/>
    <w:rsid w:val="00AC437D"/>
    <w:rsid w:val="00AC4654"/>
    <w:rsid w:val="00AC4A04"/>
    <w:rsid w:val="00AC4E81"/>
    <w:rsid w:val="00AC5163"/>
    <w:rsid w:val="00AC55D3"/>
    <w:rsid w:val="00AC5CB7"/>
    <w:rsid w:val="00AC5FEB"/>
    <w:rsid w:val="00AC65A5"/>
    <w:rsid w:val="00AC665F"/>
    <w:rsid w:val="00AC69D2"/>
    <w:rsid w:val="00AC6A4C"/>
    <w:rsid w:val="00AC6E9F"/>
    <w:rsid w:val="00AC7AC5"/>
    <w:rsid w:val="00AC7D41"/>
    <w:rsid w:val="00AD00FA"/>
    <w:rsid w:val="00AD14D3"/>
    <w:rsid w:val="00AD1E13"/>
    <w:rsid w:val="00AD2961"/>
    <w:rsid w:val="00AD3225"/>
    <w:rsid w:val="00AD419A"/>
    <w:rsid w:val="00AD4350"/>
    <w:rsid w:val="00AD488E"/>
    <w:rsid w:val="00AD4CB0"/>
    <w:rsid w:val="00AD51E6"/>
    <w:rsid w:val="00AD5B0C"/>
    <w:rsid w:val="00AD5FD5"/>
    <w:rsid w:val="00AD68C1"/>
    <w:rsid w:val="00AD7BF5"/>
    <w:rsid w:val="00AD7C8A"/>
    <w:rsid w:val="00AD7DF5"/>
    <w:rsid w:val="00AD7E7C"/>
    <w:rsid w:val="00AE0FB1"/>
    <w:rsid w:val="00AE133E"/>
    <w:rsid w:val="00AE14EC"/>
    <w:rsid w:val="00AE21BF"/>
    <w:rsid w:val="00AE2C12"/>
    <w:rsid w:val="00AE2D14"/>
    <w:rsid w:val="00AE3231"/>
    <w:rsid w:val="00AE3279"/>
    <w:rsid w:val="00AE3815"/>
    <w:rsid w:val="00AE5204"/>
    <w:rsid w:val="00AE5992"/>
    <w:rsid w:val="00AE68CF"/>
    <w:rsid w:val="00AE6FCC"/>
    <w:rsid w:val="00AE72D2"/>
    <w:rsid w:val="00AE73D6"/>
    <w:rsid w:val="00AE7A51"/>
    <w:rsid w:val="00AF0698"/>
    <w:rsid w:val="00AF207C"/>
    <w:rsid w:val="00AF2888"/>
    <w:rsid w:val="00AF2B99"/>
    <w:rsid w:val="00AF2C06"/>
    <w:rsid w:val="00AF36C7"/>
    <w:rsid w:val="00AF434F"/>
    <w:rsid w:val="00AF43AE"/>
    <w:rsid w:val="00AF46F0"/>
    <w:rsid w:val="00AF49B1"/>
    <w:rsid w:val="00AF4AB5"/>
    <w:rsid w:val="00AF4AE0"/>
    <w:rsid w:val="00AF608B"/>
    <w:rsid w:val="00AF648E"/>
    <w:rsid w:val="00AF64EA"/>
    <w:rsid w:val="00AF6839"/>
    <w:rsid w:val="00AF73B6"/>
    <w:rsid w:val="00AF7956"/>
    <w:rsid w:val="00AF7A06"/>
    <w:rsid w:val="00AF7EEE"/>
    <w:rsid w:val="00B005D1"/>
    <w:rsid w:val="00B02446"/>
    <w:rsid w:val="00B02686"/>
    <w:rsid w:val="00B02992"/>
    <w:rsid w:val="00B02AF4"/>
    <w:rsid w:val="00B03A0C"/>
    <w:rsid w:val="00B03EF8"/>
    <w:rsid w:val="00B04A41"/>
    <w:rsid w:val="00B04A6A"/>
    <w:rsid w:val="00B04AF1"/>
    <w:rsid w:val="00B04E3E"/>
    <w:rsid w:val="00B05580"/>
    <w:rsid w:val="00B055EC"/>
    <w:rsid w:val="00B056D5"/>
    <w:rsid w:val="00B0594A"/>
    <w:rsid w:val="00B059C2"/>
    <w:rsid w:val="00B05EB1"/>
    <w:rsid w:val="00B0689B"/>
    <w:rsid w:val="00B07552"/>
    <w:rsid w:val="00B10748"/>
    <w:rsid w:val="00B10AE1"/>
    <w:rsid w:val="00B10BA0"/>
    <w:rsid w:val="00B12736"/>
    <w:rsid w:val="00B12964"/>
    <w:rsid w:val="00B138C3"/>
    <w:rsid w:val="00B13E63"/>
    <w:rsid w:val="00B13F49"/>
    <w:rsid w:val="00B146A5"/>
    <w:rsid w:val="00B152E4"/>
    <w:rsid w:val="00B1548F"/>
    <w:rsid w:val="00B16816"/>
    <w:rsid w:val="00B16AC1"/>
    <w:rsid w:val="00B16CB8"/>
    <w:rsid w:val="00B17404"/>
    <w:rsid w:val="00B178E1"/>
    <w:rsid w:val="00B20509"/>
    <w:rsid w:val="00B210A0"/>
    <w:rsid w:val="00B2112E"/>
    <w:rsid w:val="00B21429"/>
    <w:rsid w:val="00B21798"/>
    <w:rsid w:val="00B21DE9"/>
    <w:rsid w:val="00B21E4D"/>
    <w:rsid w:val="00B21F62"/>
    <w:rsid w:val="00B221DB"/>
    <w:rsid w:val="00B238FE"/>
    <w:rsid w:val="00B23B37"/>
    <w:rsid w:val="00B24FF2"/>
    <w:rsid w:val="00B2577D"/>
    <w:rsid w:val="00B25896"/>
    <w:rsid w:val="00B25A0F"/>
    <w:rsid w:val="00B25B53"/>
    <w:rsid w:val="00B25D0D"/>
    <w:rsid w:val="00B25E09"/>
    <w:rsid w:val="00B25E9A"/>
    <w:rsid w:val="00B27387"/>
    <w:rsid w:val="00B2B850"/>
    <w:rsid w:val="00B30E2A"/>
    <w:rsid w:val="00B30FD1"/>
    <w:rsid w:val="00B3194C"/>
    <w:rsid w:val="00B319F1"/>
    <w:rsid w:val="00B333C9"/>
    <w:rsid w:val="00B33861"/>
    <w:rsid w:val="00B33B03"/>
    <w:rsid w:val="00B34C2E"/>
    <w:rsid w:val="00B34E7B"/>
    <w:rsid w:val="00B34FCB"/>
    <w:rsid w:val="00B35970"/>
    <w:rsid w:val="00B36BBF"/>
    <w:rsid w:val="00B377DE"/>
    <w:rsid w:val="00B37E26"/>
    <w:rsid w:val="00B4013E"/>
    <w:rsid w:val="00B40DA9"/>
    <w:rsid w:val="00B41EC6"/>
    <w:rsid w:val="00B41ED1"/>
    <w:rsid w:val="00B42F09"/>
    <w:rsid w:val="00B449DB"/>
    <w:rsid w:val="00B44E33"/>
    <w:rsid w:val="00B45258"/>
    <w:rsid w:val="00B45B0A"/>
    <w:rsid w:val="00B46020"/>
    <w:rsid w:val="00B46FEE"/>
    <w:rsid w:val="00B50D65"/>
    <w:rsid w:val="00B51043"/>
    <w:rsid w:val="00B515A2"/>
    <w:rsid w:val="00B5292B"/>
    <w:rsid w:val="00B53EED"/>
    <w:rsid w:val="00B5439E"/>
    <w:rsid w:val="00B5468D"/>
    <w:rsid w:val="00B55EAE"/>
    <w:rsid w:val="00B56BF1"/>
    <w:rsid w:val="00B609D8"/>
    <w:rsid w:val="00B6146C"/>
    <w:rsid w:val="00B6210C"/>
    <w:rsid w:val="00B6215C"/>
    <w:rsid w:val="00B6225C"/>
    <w:rsid w:val="00B62EDB"/>
    <w:rsid w:val="00B638CC"/>
    <w:rsid w:val="00B63A0C"/>
    <w:rsid w:val="00B63C24"/>
    <w:rsid w:val="00B63CAE"/>
    <w:rsid w:val="00B63EC4"/>
    <w:rsid w:val="00B6431B"/>
    <w:rsid w:val="00B64EB9"/>
    <w:rsid w:val="00B64FB5"/>
    <w:rsid w:val="00B65D62"/>
    <w:rsid w:val="00B66AF9"/>
    <w:rsid w:val="00B67AEA"/>
    <w:rsid w:val="00B67D6A"/>
    <w:rsid w:val="00B71476"/>
    <w:rsid w:val="00B71919"/>
    <w:rsid w:val="00B71A37"/>
    <w:rsid w:val="00B71ADC"/>
    <w:rsid w:val="00B71F72"/>
    <w:rsid w:val="00B72304"/>
    <w:rsid w:val="00B72675"/>
    <w:rsid w:val="00B72A71"/>
    <w:rsid w:val="00B72BD6"/>
    <w:rsid w:val="00B73AAE"/>
    <w:rsid w:val="00B73AFA"/>
    <w:rsid w:val="00B74CE4"/>
    <w:rsid w:val="00B750C8"/>
    <w:rsid w:val="00B7528D"/>
    <w:rsid w:val="00B7562B"/>
    <w:rsid w:val="00B757CB"/>
    <w:rsid w:val="00B758BF"/>
    <w:rsid w:val="00B75F0A"/>
    <w:rsid w:val="00B76379"/>
    <w:rsid w:val="00B76891"/>
    <w:rsid w:val="00B76EED"/>
    <w:rsid w:val="00B7743E"/>
    <w:rsid w:val="00B77480"/>
    <w:rsid w:val="00B80C59"/>
    <w:rsid w:val="00B817C3"/>
    <w:rsid w:val="00B818FD"/>
    <w:rsid w:val="00B8397B"/>
    <w:rsid w:val="00B83D0A"/>
    <w:rsid w:val="00B83DB1"/>
    <w:rsid w:val="00B84576"/>
    <w:rsid w:val="00B84632"/>
    <w:rsid w:val="00B84ACB"/>
    <w:rsid w:val="00B84F09"/>
    <w:rsid w:val="00B84FC8"/>
    <w:rsid w:val="00B85091"/>
    <w:rsid w:val="00B85761"/>
    <w:rsid w:val="00B85A47"/>
    <w:rsid w:val="00B86930"/>
    <w:rsid w:val="00B86E10"/>
    <w:rsid w:val="00B86EB5"/>
    <w:rsid w:val="00B874AD"/>
    <w:rsid w:val="00B87637"/>
    <w:rsid w:val="00B87B05"/>
    <w:rsid w:val="00B87BDE"/>
    <w:rsid w:val="00B87C47"/>
    <w:rsid w:val="00B87FB4"/>
    <w:rsid w:val="00B901B2"/>
    <w:rsid w:val="00B9098E"/>
    <w:rsid w:val="00B90A30"/>
    <w:rsid w:val="00B90B4C"/>
    <w:rsid w:val="00B90CEF"/>
    <w:rsid w:val="00B915BC"/>
    <w:rsid w:val="00B922C6"/>
    <w:rsid w:val="00B9342F"/>
    <w:rsid w:val="00B93ECD"/>
    <w:rsid w:val="00B948CE"/>
    <w:rsid w:val="00B9496E"/>
    <w:rsid w:val="00B94A59"/>
    <w:rsid w:val="00B94B94"/>
    <w:rsid w:val="00B9527A"/>
    <w:rsid w:val="00B9575A"/>
    <w:rsid w:val="00B95928"/>
    <w:rsid w:val="00B95A0C"/>
    <w:rsid w:val="00B95F42"/>
    <w:rsid w:val="00B961C9"/>
    <w:rsid w:val="00B962FC"/>
    <w:rsid w:val="00B964EA"/>
    <w:rsid w:val="00B967E5"/>
    <w:rsid w:val="00B97B4B"/>
    <w:rsid w:val="00BA0013"/>
    <w:rsid w:val="00BA0662"/>
    <w:rsid w:val="00BA08C3"/>
    <w:rsid w:val="00BA1051"/>
    <w:rsid w:val="00BA1116"/>
    <w:rsid w:val="00BA1323"/>
    <w:rsid w:val="00BA1B62"/>
    <w:rsid w:val="00BA1E0B"/>
    <w:rsid w:val="00BA202B"/>
    <w:rsid w:val="00BA2F24"/>
    <w:rsid w:val="00BA3251"/>
    <w:rsid w:val="00BA3982"/>
    <w:rsid w:val="00BA45FB"/>
    <w:rsid w:val="00BA4977"/>
    <w:rsid w:val="00BA4ACC"/>
    <w:rsid w:val="00BA6238"/>
    <w:rsid w:val="00BA659A"/>
    <w:rsid w:val="00BA6A30"/>
    <w:rsid w:val="00BA771D"/>
    <w:rsid w:val="00BB0590"/>
    <w:rsid w:val="00BB0E5B"/>
    <w:rsid w:val="00BB1EE3"/>
    <w:rsid w:val="00BB2009"/>
    <w:rsid w:val="00BB24A1"/>
    <w:rsid w:val="00BB3421"/>
    <w:rsid w:val="00BB3587"/>
    <w:rsid w:val="00BB3DDC"/>
    <w:rsid w:val="00BB4169"/>
    <w:rsid w:val="00BB4D88"/>
    <w:rsid w:val="00BB5729"/>
    <w:rsid w:val="00BB583A"/>
    <w:rsid w:val="00BB6612"/>
    <w:rsid w:val="00BB711A"/>
    <w:rsid w:val="00BB7373"/>
    <w:rsid w:val="00BB797B"/>
    <w:rsid w:val="00BB7F91"/>
    <w:rsid w:val="00BC01EC"/>
    <w:rsid w:val="00BC16B4"/>
    <w:rsid w:val="00BC25A5"/>
    <w:rsid w:val="00BC2C09"/>
    <w:rsid w:val="00BC2DA7"/>
    <w:rsid w:val="00BC2DF0"/>
    <w:rsid w:val="00BC2FBE"/>
    <w:rsid w:val="00BC3A08"/>
    <w:rsid w:val="00BC5AF7"/>
    <w:rsid w:val="00BC5C85"/>
    <w:rsid w:val="00BC5D02"/>
    <w:rsid w:val="00BC5E99"/>
    <w:rsid w:val="00BC740C"/>
    <w:rsid w:val="00BC7497"/>
    <w:rsid w:val="00BC75F6"/>
    <w:rsid w:val="00BC76B2"/>
    <w:rsid w:val="00BD0380"/>
    <w:rsid w:val="00BD0600"/>
    <w:rsid w:val="00BD10F7"/>
    <w:rsid w:val="00BD1605"/>
    <w:rsid w:val="00BD1964"/>
    <w:rsid w:val="00BD2CB6"/>
    <w:rsid w:val="00BD3402"/>
    <w:rsid w:val="00BD3420"/>
    <w:rsid w:val="00BD40F3"/>
    <w:rsid w:val="00BD424F"/>
    <w:rsid w:val="00BD5DB6"/>
    <w:rsid w:val="00BD5DEC"/>
    <w:rsid w:val="00BD5E0C"/>
    <w:rsid w:val="00BD634D"/>
    <w:rsid w:val="00BD63DE"/>
    <w:rsid w:val="00BD6856"/>
    <w:rsid w:val="00BD6F9D"/>
    <w:rsid w:val="00BD7242"/>
    <w:rsid w:val="00BD768A"/>
    <w:rsid w:val="00BD7D3E"/>
    <w:rsid w:val="00BD7FA6"/>
    <w:rsid w:val="00BE037E"/>
    <w:rsid w:val="00BE03F3"/>
    <w:rsid w:val="00BE05C2"/>
    <w:rsid w:val="00BE05C5"/>
    <w:rsid w:val="00BE0B50"/>
    <w:rsid w:val="00BE0CBB"/>
    <w:rsid w:val="00BE115B"/>
    <w:rsid w:val="00BE15C9"/>
    <w:rsid w:val="00BE15D9"/>
    <w:rsid w:val="00BE2047"/>
    <w:rsid w:val="00BE2363"/>
    <w:rsid w:val="00BE2BB3"/>
    <w:rsid w:val="00BE3CF8"/>
    <w:rsid w:val="00BE3F8D"/>
    <w:rsid w:val="00BE4B56"/>
    <w:rsid w:val="00BE4EEC"/>
    <w:rsid w:val="00BE52DA"/>
    <w:rsid w:val="00BE5E85"/>
    <w:rsid w:val="00BE60A1"/>
    <w:rsid w:val="00BE63B4"/>
    <w:rsid w:val="00BE6C85"/>
    <w:rsid w:val="00BE6ED4"/>
    <w:rsid w:val="00BE7564"/>
    <w:rsid w:val="00BE7C82"/>
    <w:rsid w:val="00BF0940"/>
    <w:rsid w:val="00BF1AD4"/>
    <w:rsid w:val="00BF205B"/>
    <w:rsid w:val="00BF2737"/>
    <w:rsid w:val="00BF277F"/>
    <w:rsid w:val="00BF2E93"/>
    <w:rsid w:val="00BF2EBD"/>
    <w:rsid w:val="00BF2EE4"/>
    <w:rsid w:val="00BF314E"/>
    <w:rsid w:val="00BF3257"/>
    <w:rsid w:val="00BF3271"/>
    <w:rsid w:val="00BF3DFC"/>
    <w:rsid w:val="00BF456A"/>
    <w:rsid w:val="00BF58C5"/>
    <w:rsid w:val="00BF5FBF"/>
    <w:rsid w:val="00BF71B5"/>
    <w:rsid w:val="00BF7C82"/>
    <w:rsid w:val="00C0031A"/>
    <w:rsid w:val="00C00513"/>
    <w:rsid w:val="00C005E2"/>
    <w:rsid w:val="00C00C9E"/>
    <w:rsid w:val="00C00DC6"/>
    <w:rsid w:val="00C00E50"/>
    <w:rsid w:val="00C010BD"/>
    <w:rsid w:val="00C01327"/>
    <w:rsid w:val="00C02C71"/>
    <w:rsid w:val="00C02E56"/>
    <w:rsid w:val="00C03567"/>
    <w:rsid w:val="00C03E8A"/>
    <w:rsid w:val="00C0415E"/>
    <w:rsid w:val="00C04414"/>
    <w:rsid w:val="00C054FF"/>
    <w:rsid w:val="00C05545"/>
    <w:rsid w:val="00C055E6"/>
    <w:rsid w:val="00C06139"/>
    <w:rsid w:val="00C062B9"/>
    <w:rsid w:val="00C071B7"/>
    <w:rsid w:val="00C075DC"/>
    <w:rsid w:val="00C1022F"/>
    <w:rsid w:val="00C10498"/>
    <w:rsid w:val="00C10589"/>
    <w:rsid w:val="00C10CFC"/>
    <w:rsid w:val="00C110C0"/>
    <w:rsid w:val="00C118BA"/>
    <w:rsid w:val="00C11D58"/>
    <w:rsid w:val="00C11FE3"/>
    <w:rsid w:val="00C1346A"/>
    <w:rsid w:val="00C13CA4"/>
    <w:rsid w:val="00C14E5F"/>
    <w:rsid w:val="00C1527F"/>
    <w:rsid w:val="00C15446"/>
    <w:rsid w:val="00C15783"/>
    <w:rsid w:val="00C15949"/>
    <w:rsid w:val="00C1661D"/>
    <w:rsid w:val="00C167AB"/>
    <w:rsid w:val="00C17AEB"/>
    <w:rsid w:val="00C17B8D"/>
    <w:rsid w:val="00C20CE2"/>
    <w:rsid w:val="00C218F4"/>
    <w:rsid w:val="00C21B95"/>
    <w:rsid w:val="00C21CF0"/>
    <w:rsid w:val="00C22385"/>
    <w:rsid w:val="00C22666"/>
    <w:rsid w:val="00C226A2"/>
    <w:rsid w:val="00C22ADD"/>
    <w:rsid w:val="00C22DD2"/>
    <w:rsid w:val="00C22ED4"/>
    <w:rsid w:val="00C23B57"/>
    <w:rsid w:val="00C24592"/>
    <w:rsid w:val="00C24985"/>
    <w:rsid w:val="00C25002"/>
    <w:rsid w:val="00C25077"/>
    <w:rsid w:val="00C25469"/>
    <w:rsid w:val="00C2646B"/>
    <w:rsid w:val="00C27E16"/>
    <w:rsid w:val="00C30741"/>
    <w:rsid w:val="00C3089C"/>
    <w:rsid w:val="00C31347"/>
    <w:rsid w:val="00C31496"/>
    <w:rsid w:val="00C3168D"/>
    <w:rsid w:val="00C317FE"/>
    <w:rsid w:val="00C31BEA"/>
    <w:rsid w:val="00C31ECB"/>
    <w:rsid w:val="00C32CDB"/>
    <w:rsid w:val="00C32DDF"/>
    <w:rsid w:val="00C3357A"/>
    <w:rsid w:val="00C36184"/>
    <w:rsid w:val="00C364E1"/>
    <w:rsid w:val="00C373F3"/>
    <w:rsid w:val="00C375F9"/>
    <w:rsid w:val="00C37E96"/>
    <w:rsid w:val="00C40AA1"/>
    <w:rsid w:val="00C40BB1"/>
    <w:rsid w:val="00C411D5"/>
    <w:rsid w:val="00C41A64"/>
    <w:rsid w:val="00C41D2D"/>
    <w:rsid w:val="00C425D7"/>
    <w:rsid w:val="00C42BDF"/>
    <w:rsid w:val="00C43B6C"/>
    <w:rsid w:val="00C43E33"/>
    <w:rsid w:val="00C44D12"/>
    <w:rsid w:val="00C4500A"/>
    <w:rsid w:val="00C450E5"/>
    <w:rsid w:val="00C45371"/>
    <w:rsid w:val="00C45ED5"/>
    <w:rsid w:val="00C46D09"/>
    <w:rsid w:val="00C501A5"/>
    <w:rsid w:val="00C51200"/>
    <w:rsid w:val="00C52DE8"/>
    <w:rsid w:val="00C5379F"/>
    <w:rsid w:val="00C55CDD"/>
    <w:rsid w:val="00C55E99"/>
    <w:rsid w:val="00C562C4"/>
    <w:rsid w:val="00C5695B"/>
    <w:rsid w:val="00C571FD"/>
    <w:rsid w:val="00C57316"/>
    <w:rsid w:val="00C573B1"/>
    <w:rsid w:val="00C573DD"/>
    <w:rsid w:val="00C57877"/>
    <w:rsid w:val="00C57ABB"/>
    <w:rsid w:val="00C57E46"/>
    <w:rsid w:val="00C6049C"/>
    <w:rsid w:val="00C61108"/>
    <w:rsid w:val="00C61117"/>
    <w:rsid w:val="00C625DF"/>
    <w:rsid w:val="00C63020"/>
    <w:rsid w:val="00C637FD"/>
    <w:rsid w:val="00C64BBC"/>
    <w:rsid w:val="00C65461"/>
    <w:rsid w:val="00C656F5"/>
    <w:rsid w:val="00C65841"/>
    <w:rsid w:val="00C65DF4"/>
    <w:rsid w:val="00C6609A"/>
    <w:rsid w:val="00C660F4"/>
    <w:rsid w:val="00C66FDC"/>
    <w:rsid w:val="00C677AA"/>
    <w:rsid w:val="00C67834"/>
    <w:rsid w:val="00C67882"/>
    <w:rsid w:val="00C67E96"/>
    <w:rsid w:val="00C70ABF"/>
    <w:rsid w:val="00C70B93"/>
    <w:rsid w:val="00C70EA9"/>
    <w:rsid w:val="00C71610"/>
    <w:rsid w:val="00C71A30"/>
    <w:rsid w:val="00C72852"/>
    <w:rsid w:val="00C72B57"/>
    <w:rsid w:val="00C732BA"/>
    <w:rsid w:val="00C74BC4"/>
    <w:rsid w:val="00C74E36"/>
    <w:rsid w:val="00C75232"/>
    <w:rsid w:val="00C75647"/>
    <w:rsid w:val="00C75FCF"/>
    <w:rsid w:val="00C76B36"/>
    <w:rsid w:val="00C76F40"/>
    <w:rsid w:val="00C770C3"/>
    <w:rsid w:val="00C7734E"/>
    <w:rsid w:val="00C776EB"/>
    <w:rsid w:val="00C77847"/>
    <w:rsid w:val="00C80757"/>
    <w:rsid w:val="00C81158"/>
    <w:rsid w:val="00C812A2"/>
    <w:rsid w:val="00C815FD"/>
    <w:rsid w:val="00C81BEA"/>
    <w:rsid w:val="00C822E9"/>
    <w:rsid w:val="00C82D00"/>
    <w:rsid w:val="00C82EA6"/>
    <w:rsid w:val="00C830F4"/>
    <w:rsid w:val="00C8396C"/>
    <w:rsid w:val="00C83A84"/>
    <w:rsid w:val="00C85007"/>
    <w:rsid w:val="00C85591"/>
    <w:rsid w:val="00C855E0"/>
    <w:rsid w:val="00C85CC3"/>
    <w:rsid w:val="00C85D98"/>
    <w:rsid w:val="00C85E70"/>
    <w:rsid w:val="00C86A6D"/>
    <w:rsid w:val="00C87500"/>
    <w:rsid w:val="00C87B0C"/>
    <w:rsid w:val="00C87C36"/>
    <w:rsid w:val="00C87D6A"/>
    <w:rsid w:val="00C87F9A"/>
    <w:rsid w:val="00C9104E"/>
    <w:rsid w:val="00C912E9"/>
    <w:rsid w:val="00C92357"/>
    <w:rsid w:val="00C92488"/>
    <w:rsid w:val="00C92A2F"/>
    <w:rsid w:val="00C92FEE"/>
    <w:rsid w:val="00C933FE"/>
    <w:rsid w:val="00C9367A"/>
    <w:rsid w:val="00C936FD"/>
    <w:rsid w:val="00C93EAD"/>
    <w:rsid w:val="00C93F5B"/>
    <w:rsid w:val="00C9423D"/>
    <w:rsid w:val="00C9432D"/>
    <w:rsid w:val="00C94721"/>
    <w:rsid w:val="00C94C08"/>
    <w:rsid w:val="00C94F5C"/>
    <w:rsid w:val="00C9637F"/>
    <w:rsid w:val="00C9645E"/>
    <w:rsid w:val="00C9649C"/>
    <w:rsid w:val="00C97868"/>
    <w:rsid w:val="00C97DC1"/>
    <w:rsid w:val="00C97FBE"/>
    <w:rsid w:val="00CA00C2"/>
    <w:rsid w:val="00CA00CF"/>
    <w:rsid w:val="00CA0900"/>
    <w:rsid w:val="00CA0EE3"/>
    <w:rsid w:val="00CA108B"/>
    <w:rsid w:val="00CA1D0F"/>
    <w:rsid w:val="00CA1EE1"/>
    <w:rsid w:val="00CA202C"/>
    <w:rsid w:val="00CA23D2"/>
    <w:rsid w:val="00CA283D"/>
    <w:rsid w:val="00CA2D66"/>
    <w:rsid w:val="00CA431B"/>
    <w:rsid w:val="00CA4356"/>
    <w:rsid w:val="00CA4BA3"/>
    <w:rsid w:val="00CA4C93"/>
    <w:rsid w:val="00CA50B3"/>
    <w:rsid w:val="00CA5495"/>
    <w:rsid w:val="00CA614E"/>
    <w:rsid w:val="00CA62DD"/>
    <w:rsid w:val="00CA64EB"/>
    <w:rsid w:val="00CA65ED"/>
    <w:rsid w:val="00CA6713"/>
    <w:rsid w:val="00CA677F"/>
    <w:rsid w:val="00CA68F0"/>
    <w:rsid w:val="00CA6CF0"/>
    <w:rsid w:val="00CA6F92"/>
    <w:rsid w:val="00CA7964"/>
    <w:rsid w:val="00CA7F20"/>
    <w:rsid w:val="00CB031D"/>
    <w:rsid w:val="00CB0F8E"/>
    <w:rsid w:val="00CB17EC"/>
    <w:rsid w:val="00CB22B6"/>
    <w:rsid w:val="00CB23B4"/>
    <w:rsid w:val="00CB2A7C"/>
    <w:rsid w:val="00CB3A96"/>
    <w:rsid w:val="00CB3EF7"/>
    <w:rsid w:val="00CB40B1"/>
    <w:rsid w:val="00CB4192"/>
    <w:rsid w:val="00CB426E"/>
    <w:rsid w:val="00CB49AF"/>
    <w:rsid w:val="00CB4A3F"/>
    <w:rsid w:val="00CB4A93"/>
    <w:rsid w:val="00CB4CE0"/>
    <w:rsid w:val="00CB4F30"/>
    <w:rsid w:val="00CB51AF"/>
    <w:rsid w:val="00CB5647"/>
    <w:rsid w:val="00CB5A8B"/>
    <w:rsid w:val="00CB5FE7"/>
    <w:rsid w:val="00CB6423"/>
    <w:rsid w:val="00CB64A7"/>
    <w:rsid w:val="00CB67C6"/>
    <w:rsid w:val="00CB6CE8"/>
    <w:rsid w:val="00CB7817"/>
    <w:rsid w:val="00CB788A"/>
    <w:rsid w:val="00CC079B"/>
    <w:rsid w:val="00CC07E1"/>
    <w:rsid w:val="00CC0A6F"/>
    <w:rsid w:val="00CC0FC9"/>
    <w:rsid w:val="00CC130C"/>
    <w:rsid w:val="00CC1AD0"/>
    <w:rsid w:val="00CC272B"/>
    <w:rsid w:val="00CC2B33"/>
    <w:rsid w:val="00CC2E45"/>
    <w:rsid w:val="00CC3461"/>
    <w:rsid w:val="00CC37D9"/>
    <w:rsid w:val="00CC3ABB"/>
    <w:rsid w:val="00CC3E91"/>
    <w:rsid w:val="00CC40CE"/>
    <w:rsid w:val="00CC47EC"/>
    <w:rsid w:val="00CC484B"/>
    <w:rsid w:val="00CC48FB"/>
    <w:rsid w:val="00CC4D33"/>
    <w:rsid w:val="00CC50D4"/>
    <w:rsid w:val="00CC521D"/>
    <w:rsid w:val="00CC52E0"/>
    <w:rsid w:val="00CC56F6"/>
    <w:rsid w:val="00CC585F"/>
    <w:rsid w:val="00CC5B75"/>
    <w:rsid w:val="00CC5BF6"/>
    <w:rsid w:val="00CC61D7"/>
    <w:rsid w:val="00CC6C65"/>
    <w:rsid w:val="00CC6F1A"/>
    <w:rsid w:val="00CC72F4"/>
    <w:rsid w:val="00CC7553"/>
    <w:rsid w:val="00CC7D50"/>
    <w:rsid w:val="00CC7F86"/>
    <w:rsid w:val="00CD044F"/>
    <w:rsid w:val="00CD0E70"/>
    <w:rsid w:val="00CD13BB"/>
    <w:rsid w:val="00CD1E08"/>
    <w:rsid w:val="00CD2327"/>
    <w:rsid w:val="00CD2939"/>
    <w:rsid w:val="00CD31AC"/>
    <w:rsid w:val="00CD36C3"/>
    <w:rsid w:val="00CD37FA"/>
    <w:rsid w:val="00CD3C6B"/>
    <w:rsid w:val="00CD41F7"/>
    <w:rsid w:val="00CD45A2"/>
    <w:rsid w:val="00CD4D93"/>
    <w:rsid w:val="00CD4EBB"/>
    <w:rsid w:val="00CD530D"/>
    <w:rsid w:val="00CD591A"/>
    <w:rsid w:val="00CD5B1A"/>
    <w:rsid w:val="00CD6389"/>
    <w:rsid w:val="00CD65E2"/>
    <w:rsid w:val="00CD68BD"/>
    <w:rsid w:val="00CD6AA4"/>
    <w:rsid w:val="00CD7150"/>
    <w:rsid w:val="00CD7555"/>
    <w:rsid w:val="00CD79B2"/>
    <w:rsid w:val="00CD7C08"/>
    <w:rsid w:val="00CE0292"/>
    <w:rsid w:val="00CE03C1"/>
    <w:rsid w:val="00CE065D"/>
    <w:rsid w:val="00CE0997"/>
    <w:rsid w:val="00CE0D5D"/>
    <w:rsid w:val="00CE1165"/>
    <w:rsid w:val="00CE11E5"/>
    <w:rsid w:val="00CE11F1"/>
    <w:rsid w:val="00CE170E"/>
    <w:rsid w:val="00CE1A74"/>
    <w:rsid w:val="00CE2026"/>
    <w:rsid w:val="00CE2355"/>
    <w:rsid w:val="00CE2CB4"/>
    <w:rsid w:val="00CE30AD"/>
    <w:rsid w:val="00CE328B"/>
    <w:rsid w:val="00CE4846"/>
    <w:rsid w:val="00CE4E46"/>
    <w:rsid w:val="00CE5FD0"/>
    <w:rsid w:val="00CE6159"/>
    <w:rsid w:val="00CE61AE"/>
    <w:rsid w:val="00CE6767"/>
    <w:rsid w:val="00CE6ADE"/>
    <w:rsid w:val="00CE7D86"/>
    <w:rsid w:val="00CF0B8A"/>
    <w:rsid w:val="00CF0EB5"/>
    <w:rsid w:val="00CF13B2"/>
    <w:rsid w:val="00CF147F"/>
    <w:rsid w:val="00CF214D"/>
    <w:rsid w:val="00CF4128"/>
    <w:rsid w:val="00CF579A"/>
    <w:rsid w:val="00CF6770"/>
    <w:rsid w:val="00CF68F1"/>
    <w:rsid w:val="00CF6DDC"/>
    <w:rsid w:val="00CF701E"/>
    <w:rsid w:val="00CF70F4"/>
    <w:rsid w:val="00CF7A68"/>
    <w:rsid w:val="00CF7A9E"/>
    <w:rsid w:val="00D001A7"/>
    <w:rsid w:val="00D003C0"/>
    <w:rsid w:val="00D00471"/>
    <w:rsid w:val="00D0048F"/>
    <w:rsid w:val="00D004E2"/>
    <w:rsid w:val="00D012D6"/>
    <w:rsid w:val="00D01472"/>
    <w:rsid w:val="00D0260C"/>
    <w:rsid w:val="00D03242"/>
    <w:rsid w:val="00D033E7"/>
    <w:rsid w:val="00D0357B"/>
    <w:rsid w:val="00D038F7"/>
    <w:rsid w:val="00D03CBA"/>
    <w:rsid w:val="00D03EE5"/>
    <w:rsid w:val="00D03FA3"/>
    <w:rsid w:val="00D04D74"/>
    <w:rsid w:val="00D050D3"/>
    <w:rsid w:val="00D058B5"/>
    <w:rsid w:val="00D06732"/>
    <w:rsid w:val="00D0681E"/>
    <w:rsid w:val="00D06A07"/>
    <w:rsid w:val="00D06D4F"/>
    <w:rsid w:val="00D06ECA"/>
    <w:rsid w:val="00D0731C"/>
    <w:rsid w:val="00D10457"/>
    <w:rsid w:val="00D1050C"/>
    <w:rsid w:val="00D106D9"/>
    <w:rsid w:val="00D1099B"/>
    <w:rsid w:val="00D10ADE"/>
    <w:rsid w:val="00D11044"/>
    <w:rsid w:val="00D11483"/>
    <w:rsid w:val="00D11744"/>
    <w:rsid w:val="00D11B31"/>
    <w:rsid w:val="00D11EDE"/>
    <w:rsid w:val="00D12218"/>
    <w:rsid w:val="00D1286E"/>
    <w:rsid w:val="00D12C93"/>
    <w:rsid w:val="00D12E63"/>
    <w:rsid w:val="00D137B4"/>
    <w:rsid w:val="00D13AE1"/>
    <w:rsid w:val="00D13BBC"/>
    <w:rsid w:val="00D13FCD"/>
    <w:rsid w:val="00D141BF"/>
    <w:rsid w:val="00D143A4"/>
    <w:rsid w:val="00D14F3B"/>
    <w:rsid w:val="00D14F54"/>
    <w:rsid w:val="00D14F5C"/>
    <w:rsid w:val="00D15AD5"/>
    <w:rsid w:val="00D15C42"/>
    <w:rsid w:val="00D15D4A"/>
    <w:rsid w:val="00D16470"/>
    <w:rsid w:val="00D16C0F"/>
    <w:rsid w:val="00D1760E"/>
    <w:rsid w:val="00D200CE"/>
    <w:rsid w:val="00D21838"/>
    <w:rsid w:val="00D218D7"/>
    <w:rsid w:val="00D21E97"/>
    <w:rsid w:val="00D23435"/>
    <w:rsid w:val="00D237CD"/>
    <w:rsid w:val="00D23B20"/>
    <w:rsid w:val="00D2446F"/>
    <w:rsid w:val="00D24CDE"/>
    <w:rsid w:val="00D2530C"/>
    <w:rsid w:val="00D2548F"/>
    <w:rsid w:val="00D25C5C"/>
    <w:rsid w:val="00D25C6B"/>
    <w:rsid w:val="00D25CEA"/>
    <w:rsid w:val="00D2609A"/>
    <w:rsid w:val="00D265EE"/>
    <w:rsid w:val="00D274B5"/>
    <w:rsid w:val="00D275BC"/>
    <w:rsid w:val="00D27844"/>
    <w:rsid w:val="00D3007E"/>
    <w:rsid w:val="00D30275"/>
    <w:rsid w:val="00D303B9"/>
    <w:rsid w:val="00D3085C"/>
    <w:rsid w:val="00D30A18"/>
    <w:rsid w:val="00D30A80"/>
    <w:rsid w:val="00D30B0D"/>
    <w:rsid w:val="00D30C7E"/>
    <w:rsid w:val="00D313EF"/>
    <w:rsid w:val="00D31777"/>
    <w:rsid w:val="00D32075"/>
    <w:rsid w:val="00D3255A"/>
    <w:rsid w:val="00D32AFE"/>
    <w:rsid w:val="00D32B85"/>
    <w:rsid w:val="00D32D83"/>
    <w:rsid w:val="00D33ECC"/>
    <w:rsid w:val="00D3490A"/>
    <w:rsid w:val="00D35E2B"/>
    <w:rsid w:val="00D360A4"/>
    <w:rsid w:val="00D3632C"/>
    <w:rsid w:val="00D36E6B"/>
    <w:rsid w:val="00D36E89"/>
    <w:rsid w:val="00D3727C"/>
    <w:rsid w:val="00D374BB"/>
    <w:rsid w:val="00D37A14"/>
    <w:rsid w:val="00D4009B"/>
    <w:rsid w:val="00D40353"/>
    <w:rsid w:val="00D406C9"/>
    <w:rsid w:val="00D406E9"/>
    <w:rsid w:val="00D40730"/>
    <w:rsid w:val="00D40ABA"/>
    <w:rsid w:val="00D40DCE"/>
    <w:rsid w:val="00D40E8C"/>
    <w:rsid w:val="00D418F0"/>
    <w:rsid w:val="00D41CF7"/>
    <w:rsid w:val="00D421A4"/>
    <w:rsid w:val="00D423F1"/>
    <w:rsid w:val="00D430B6"/>
    <w:rsid w:val="00D43A4E"/>
    <w:rsid w:val="00D43E9D"/>
    <w:rsid w:val="00D44761"/>
    <w:rsid w:val="00D45169"/>
    <w:rsid w:val="00D4592B"/>
    <w:rsid w:val="00D45A1E"/>
    <w:rsid w:val="00D464DE"/>
    <w:rsid w:val="00D47235"/>
    <w:rsid w:val="00D477BF"/>
    <w:rsid w:val="00D4781A"/>
    <w:rsid w:val="00D47996"/>
    <w:rsid w:val="00D5040D"/>
    <w:rsid w:val="00D50A1F"/>
    <w:rsid w:val="00D50AC6"/>
    <w:rsid w:val="00D50BE1"/>
    <w:rsid w:val="00D510B2"/>
    <w:rsid w:val="00D51171"/>
    <w:rsid w:val="00D51A59"/>
    <w:rsid w:val="00D51AC7"/>
    <w:rsid w:val="00D51EA2"/>
    <w:rsid w:val="00D51FDF"/>
    <w:rsid w:val="00D522FF"/>
    <w:rsid w:val="00D5243F"/>
    <w:rsid w:val="00D52BF1"/>
    <w:rsid w:val="00D52E75"/>
    <w:rsid w:val="00D52FB8"/>
    <w:rsid w:val="00D5342A"/>
    <w:rsid w:val="00D536E7"/>
    <w:rsid w:val="00D53746"/>
    <w:rsid w:val="00D53B2B"/>
    <w:rsid w:val="00D53E58"/>
    <w:rsid w:val="00D54499"/>
    <w:rsid w:val="00D5472F"/>
    <w:rsid w:val="00D5585A"/>
    <w:rsid w:val="00D5591B"/>
    <w:rsid w:val="00D55EFD"/>
    <w:rsid w:val="00D56045"/>
    <w:rsid w:val="00D56944"/>
    <w:rsid w:val="00D569FC"/>
    <w:rsid w:val="00D57707"/>
    <w:rsid w:val="00D57CFA"/>
    <w:rsid w:val="00D60734"/>
    <w:rsid w:val="00D612DF"/>
    <w:rsid w:val="00D617F3"/>
    <w:rsid w:val="00D61C48"/>
    <w:rsid w:val="00D624FD"/>
    <w:rsid w:val="00D629F7"/>
    <w:rsid w:val="00D62EE6"/>
    <w:rsid w:val="00D63530"/>
    <w:rsid w:val="00D63B3F"/>
    <w:rsid w:val="00D64A43"/>
    <w:rsid w:val="00D65420"/>
    <w:rsid w:val="00D65663"/>
    <w:rsid w:val="00D66AAE"/>
    <w:rsid w:val="00D66B91"/>
    <w:rsid w:val="00D66E17"/>
    <w:rsid w:val="00D67BEE"/>
    <w:rsid w:val="00D708FF"/>
    <w:rsid w:val="00D70D7E"/>
    <w:rsid w:val="00D70F71"/>
    <w:rsid w:val="00D71ADE"/>
    <w:rsid w:val="00D72A8A"/>
    <w:rsid w:val="00D72FB7"/>
    <w:rsid w:val="00D7335F"/>
    <w:rsid w:val="00D7348E"/>
    <w:rsid w:val="00D74105"/>
    <w:rsid w:val="00D745F6"/>
    <w:rsid w:val="00D746A3"/>
    <w:rsid w:val="00D74BF0"/>
    <w:rsid w:val="00D755D2"/>
    <w:rsid w:val="00D75C2C"/>
    <w:rsid w:val="00D75CF9"/>
    <w:rsid w:val="00D762DF"/>
    <w:rsid w:val="00D77E1D"/>
    <w:rsid w:val="00D805E1"/>
    <w:rsid w:val="00D8071C"/>
    <w:rsid w:val="00D811B7"/>
    <w:rsid w:val="00D81A87"/>
    <w:rsid w:val="00D82702"/>
    <w:rsid w:val="00D83421"/>
    <w:rsid w:val="00D83444"/>
    <w:rsid w:val="00D83793"/>
    <w:rsid w:val="00D83DA3"/>
    <w:rsid w:val="00D8471C"/>
    <w:rsid w:val="00D84F55"/>
    <w:rsid w:val="00D85D39"/>
    <w:rsid w:val="00D85D78"/>
    <w:rsid w:val="00D86F6C"/>
    <w:rsid w:val="00D8790B"/>
    <w:rsid w:val="00D9058A"/>
    <w:rsid w:val="00D90E2E"/>
    <w:rsid w:val="00D9121B"/>
    <w:rsid w:val="00D91858"/>
    <w:rsid w:val="00D91A06"/>
    <w:rsid w:val="00D92556"/>
    <w:rsid w:val="00D92AB8"/>
    <w:rsid w:val="00D9315F"/>
    <w:rsid w:val="00D93AEB"/>
    <w:rsid w:val="00D945E9"/>
    <w:rsid w:val="00D94A2B"/>
    <w:rsid w:val="00D94E92"/>
    <w:rsid w:val="00D95893"/>
    <w:rsid w:val="00D958D5"/>
    <w:rsid w:val="00D960D4"/>
    <w:rsid w:val="00D96A9A"/>
    <w:rsid w:val="00D979CC"/>
    <w:rsid w:val="00D97CE6"/>
    <w:rsid w:val="00D97E55"/>
    <w:rsid w:val="00D97E57"/>
    <w:rsid w:val="00DA01C8"/>
    <w:rsid w:val="00DA105F"/>
    <w:rsid w:val="00DA1345"/>
    <w:rsid w:val="00DA19A4"/>
    <w:rsid w:val="00DA1F6D"/>
    <w:rsid w:val="00DA1FFA"/>
    <w:rsid w:val="00DA2093"/>
    <w:rsid w:val="00DA281E"/>
    <w:rsid w:val="00DA284A"/>
    <w:rsid w:val="00DA31FD"/>
    <w:rsid w:val="00DA34F1"/>
    <w:rsid w:val="00DA3B73"/>
    <w:rsid w:val="00DA3CCE"/>
    <w:rsid w:val="00DA3F59"/>
    <w:rsid w:val="00DA4A0C"/>
    <w:rsid w:val="00DA53BC"/>
    <w:rsid w:val="00DA6B79"/>
    <w:rsid w:val="00DA6EC0"/>
    <w:rsid w:val="00DA72C2"/>
    <w:rsid w:val="00DA72DC"/>
    <w:rsid w:val="00DA75D6"/>
    <w:rsid w:val="00DA79F9"/>
    <w:rsid w:val="00DA7BC2"/>
    <w:rsid w:val="00DB0427"/>
    <w:rsid w:val="00DB0E01"/>
    <w:rsid w:val="00DB2F76"/>
    <w:rsid w:val="00DB33F5"/>
    <w:rsid w:val="00DB3504"/>
    <w:rsid w:val="00DB451C"/>
    <w:rsid w:val="00DB58F6"/>
    <w:rsid w:val="00DB5CB6"/>
    <w:rsid w:val="00DB650F"/>
    <w:rsid w:val="00DB6DB3"/>
    <w:rsid w:val="00DB6E88"/>
    <w:rsid w:val="00DB7224"/>
    <w:rsid w:val="00DB73A1"/>
    <w:rsid w:val="00DC0F57"/>
    <w:rsid w:val="00DC246C"/>
    <w:rsid w:val="00DC2483"/>
    <w:rsid w:val="00DC24A6"/>
    <w:rsid w:val="00DC2FEE"/>
    <w:rsid w:val="00DC389D"/>
    <w:rsid w:val="00DC3EF2"/>
    <w:rsid w:val="00DC4160"/>
    <w:rsid w:val="00DC430B"/>
    <w:rsid w:val="00DC4676"/>
    <w:rsid w:val="00DC4706"/>
    <w:rsid w:val="00DC4C6D"/>
    <w:rsid w:val="00DC521F"/>
    <w:rsid w:val="00DC5541"/>
    <w:rsid w:val="00DC5B7B"/>
    <w:rsid w:val="00DC60B1"/>
    <w:rsid w:val="00DC6174"/>
    <w:rsid w:val="00DC69FD"/>
    <w:rsid w:val="00DC71F2"/>
    <w:rsid w:val="00DC7AF8"/>
    <w:rsid w:val="00DD0B4A"/>
    <w:rsid w:val="00DD10CF"/>
    <w:rsid w:val="00DD1442"/>
    <w:rsid w:val="00DD14BC"/>
    <w:rsid w:val="00DD1A48"/>
    <w:rsid w:val="00DD2875"/>
    <w:rsid w:val="00DD2930"/>
    <w:rsid w:val="00DD3BD3"/>
    <w:rsid w:val="00DD4FEA"/>
    <w:rsid w:val="00DD55CE"/>
    <w:rsid w:val="00DD57DE"/>
    <w:rsid w:val="00DD57F8"/>
    <w:rsid w:val="00DD5800"/>
    <w:rsid w:val="00DD5A93"/>
    <w:rsid w:val="00DD62F6"/>
    <w:rsid w:val="00DD65F8"/>
    <w:rsid w:val="00DE0431"/>
    <w:rsid w:val="00DE0496"/>
    <w:rsid w:val="00DE1320"/>
    <w:rsid w:val="00DE17CE"/>
    <w:rsid w:val="00DE1BB5"/>
    <w:rsid w:val="00DE2443"/>
    <w:rsid w:val="00DE2BE3"/>
    <w:rsid w:val="00DE2D2C"/>
    <w:rsid w:val="00DE44B9"/>
    <w:rsid w:val="00DE450B"/>
    <w:rsid w:val="00DE4643"/>
    <w:rsid w:val="00DE4D13"/>
    <w:rsid w:val="00DE54DD"/>
    <w:rsid w:val="00DE59A2"/>
    <w:rsid w:val="00DE5B23"/>
    <w:rsid w:val="00DE6918"/>
    <w:rsid w:val="00DE7B0C"/>
    <w:rsid w:val="00DE7B47"/>
    <w:rsid w:val="00DE7ED9"/>
    <w:rsid w:val="00DF039C"/>
    <w:rsid w:val="00DF1721"/>
    <w:rsid w:val="00DF17DC"/>
    <w:rsid w:val="00DF190F"/>
    <w:rsid w:val="00DF1A8D"/>
    <w:rsid w:val="00DF1D04"/>
    <w:rsid w:val="00DF1DD3"/>
    <w:rsid w:val="00DF1EA6"/>
    <w:rsid w:val="00DF2015"/>
    <w:rsid w:val="00DF30EE"/>
    <w:rsid w:val="00DF33CA"/>
    <w:rsid w:val="00DF367E"/>
    <w:rsid w:val="00DF3A93"/>
    <w:rsid w:val="00DF3F71"/>
    <w:rsid w:val="00DF5EC0"/>
    <w:rsid w:val="00DF6C52"/>
    <w:rsid w:val="00DF735D"/>
    <w:rsid w:val="00E00239"/>
    <w:rsid w:val="00E00935"/>
    <w:rsid w:val="00E010FE"/>
    <w:rsid w:val="00E01A41"/>
    <w:rsid w:val="00E02193"/>
    <w:rsid w:val="00E023D5"/>
    <w:rsid w:val="00E025F0"/>
    <w:rsid w:val="00E02931"/>
    <w:rsid w:val="00E02B56"/>
    <w:rsid w:val="00E02BED"/>
    <w:rsid w:val="00E02D66"/>
    <w:rsid w:val="00E02F69"/>
    <w:rsid w:val="00E03770"/>
    <w:rsid w:val="00E03B19"/>
    <w:rsid w:val="00E0455A"/>
    <w:rsid w:val="00E04622"/>
    <w:rsid w:val="00E046BE"/>
    <w:rsid w:val="00E048EC"/>
    <w:rsid w:val="00E04EDC"/>
    <w:rsid w:val="00E05907"/>
    <w:rsid w:val="00E05CE5"/>
    <w:rsid w:val="00E05E9C"/>
    <w:rsid w:val="00E06019"/>
    <w:rsid w:val="00E0703A"/>
    <w:rsid w:val="00E0757E"/>
    <w:rsid w:val="00E102F9"/>
    <w:rsid w:val="00E1048D"/>
    <w:rsid w:val="00E108CE"/>
    <w:rsid w:val="00E10F40"/>
    <w:rsid w:val="00E11D61"/>
    <w:rsid w:val="00E11E2F"/>
    <w:rsid w:val="00E11F99"/>
    <w:rsid w:val="00E125E6"/>
    <w:rsid w:val="00E129B8"/>
    <w:rsid w:val="00E13302"/>
    <w:rsid w:val="00E13C81"/>
    <w:rsid w:val="00E141C6"/>
    <w:rsid w:val="00E151E1"/>
    <w:rsid w:val="00E16AC3"/>
    <w:rsid w:val="00E16C3D"/>
    <w:rsid w:val="00E16E21"/>
    <w:rsid w:val="00E175AE"/>
    <w:rsid w:val="00E1795F"/>
    <w:rsid w:val="00E17C75"/>
    <w:rsid w:val="00E17CEB"/>
    <w:rsid w:val="00E17D7C"/>
    <w:rsid w:val="00E17EA4"/>
    <w:rsid w:val="00E2128B"/>
    <w:rsid w:val="00E21601"/>
    <w:rsid w:val="00E222E2"/>
    <w:rsid w:val="00E22CBE"/>
    <w:rsid w:val="00E23B9E"/>
    <w:rsid w:val="00E2401A"/>
    <w:rsid w:val="00E24052"/>
    <w:rsid w:val="00E2575B"/>
    <w:rsid w:val="00E25AA8"/>
    <w:rsid w:val="00E26481"/>
    <w:rsid w:val="00E2659B"/>
    <w:rsid w:val="00E265AD"/>
    <w:rsid w:val="00E26D3E"/>
    <w:rsid w:val="00E26FF4"/>
    <w:rsid w:val="00E271C6"/>
    <w:rsid w:val="00E30158"/>
    <w:rsid w:val="00E30499"/>
    <w:rsid w:val="00E307B5"/>
    <w:rsid w:val="00E309F6"/>
    <w:rsid w:val="00E30C40"/>
    <w:rsid w:val="00E30D94"/>
    <w:rsid w:val="00E311AE"/>
    <w:rsid w:val="00E31FFC"/>
    <w:rsid w:val="00E32CB3"/>
    <w:rsid w:val="00E33491"/>
    <w:rsid w:val="00E346B5"/>
    <w:rsid w:val="00E3471C"/>
    <w:rsid w:val="00E3490F"/>
    <w:rsid w:val="00E3496D"/>
    <w:rsid w:val="00E35F91"/>
    <w:rsid w:val="00E36BED"/>
    <w:rsid w:val="00E36E17"/>
    <w:rsid w:val="00E36F08"/>
    <w:rsid w:val="00E36F12"/>
    <w:rsid w:val="00E3780D"/>
    <w:rsid w:val="00E3794B"/>
    <w:rsid w:val="00E37BA8"/>
    <w:rsid w:val="00E4027A"/>
    <w:rsid w:val="00E4120A"/>
    <w:rsid w:val="00E412AF"/>
    <w:rsid w:val="00E419AA"/>
    <w:rsid w:val="00E41D9F"/>
    <w:rsid w:val="00E423CE"/>
    <w:rsid w:val="00E4248E"/>
    <w:rsid w:val="00E429B5"/>
    <w:rsid w:val="00E43140"/>
    <w:rsid w:val="00E43CDF"/>
    <w:rsid w:val="00E44331"/>
    <w:rsid w:val="00E4447D"/>
    <w:rsid w:val="00E454AD"/>
    <w:rsid w:val="00E4557B"/>
    <w:rsid w:val="00E4565F"/>
    <w:rsid w:val="00E458A6"/>
    <w:rsid w:val="00E45D1D"/>
    <w:rsid w:val="00E45F30"/>
    <w:rsid w:val="00E45F37"/>
    <w:rsid w:val="00E45F64"/>
    <w:rsid w:val="00E46000"/>
    <w:rsid w:val="00E46784"/>
    <w:rsid w:val="00E47DBC"/>
    <w:rsid w:val="00E50F89"/>
    <w:rsid w:val="00E512C1"/>
    <w:rsid w:val="00E5171A"/>
    <w:rsid w:val="00E517FD"/>
    <w:rsid w:val="00E52FA9"/>
    <w:rsid w:val="00E539AE"/>
    <w:rsid w:val="00E53F6D"/>
    <w:rsid w:val="00E5414B"/>
    <w:rsid w:val="00E5528C"/>
    <w:rsid w:val="00E553C5"/>
    <w:rsid w:val="00E559AC"/>
    <w:rsid w:val="00E56124"/>
    <w:rsid w:val="00E56875"/>
    <w:rsid w:val="00E56C2C"/>
    <w:rsid w:val="00E56D39"/>
    <w:rsid w:val="00E56DF6"/>
    <w:rsid w:val="00E57DCB"/>
    <w:rsid w:val="00E57EE4"/>
    <w:rsid w:val="00E60651"/>
    <w:rsid w:val="00E60BA2"/>
    <w:rsid w:val="00E61139"/>
    <w:rsid w:val="00E6228B"/>
    <w:rsid w:val="00E6261A"/>
    <w:rsid w:val="00E628B7"/>
    <w:rsid w:val="00E62B68"/>
    <w:rsid w:val="00E632C8"/>
    <w:rsid w:val="00E63A44"/>
    <w:rsid w:val="00E64479"/>
    <w:rsid w:val="00E64C91"/>
    <w:rsid w:val="00E65351"/>
    <w:rsid w:val="00E65F9D"/>
    <w:rsid w:val="00E66AC7"/>
    <w:rsid w:val="00E66B4D"/>
    <w:rsid w:val="00E66E10"/>
    <w:rsid w:val="00E672D2"/>
    <w:rsid w:val="00E67C8D"/>
    <w:rsid w:val="00E67EC6"/>
    <w:rsid w:val="00E704EB"/>
    <w:rsid w:val="00E70713"/>
    <w:rsid w:val="00E70F20"/>
    <w:rsid w:val="00E71173"/>
    <w:rsid w:val="00E71955"/>
    <w:rsid w:val="00E71A30"/>
    <w:rsid w:val="00E71B5B"/>
    <w:rsid w:val="00E72C4F"/>
    <w:rsid w:val="00E72ECD"/>
    <w:rsid w:val="00E73158"/>
    <w:rsid w:val="00E73488"/>
    <w:rsid w:val="00E73564"/>
    <w:rsid w:val="00E73E44"/>
    <w:rsid w:val="00E74203"/>
    <w:rsid w:val="00E743A9"/>
    <w:rsid w:val="00E74FC8"/>
    <w:rsid w:val="00E75258"/>
    <w:rsid w:val="00E753DA"/>
    <w:rsid w:val="00E755EA"/>
    <w:rsid w:val="00E758F8"/>
    <w:rsid w:val="00E75CF8"/>
    <w:rsid w:val="00E763A6"/>
    <w:rsid w:val="00E76612"/>
    <w:rsid w:val="00E76C7B"/>
    <w:rsid w:val="00E76F10"/>
    <w:rsid w:val="00E7706E"/>
    <w:rsid w:val="00E77BF9"/>
    <w:rsid w:val="00E77E89"/>
    <w:rsid w:val="00E8003A"/>
    <w:rsid w:val="00E8025C"/>
    <w:rsid w:val="00E80F2A"/>
    <w:rsid w:val="00E816B4"/>
    <w:rsid w:val="00E8188E"/>
    <w:rsid w:val="00E81BD7"/>
    <w:rsid w:val="00E8219C"/>
    <w:rsid w:val="00E83B99"/>
    <w:rsid w:val="00E83BD7"/>
    <w:rsid w:val="00E843C1"/>
    <w:rsid w:val="00E847BC"/>
    <w:rsid w:val="00E848B3"/>
    <w:rsid w:val="00E85622"/>
    <w:rsid w:val="00E858C1"/>
    <w:rsid w:val="00E865B2"/>
    <w:rsid w:val="00E86AC9"/>
    <w:rsid w:val="00E86E50"/>
    <w:rsid w:val="00E86F91"/>
    <w:rsid w:val="00E8704F"/>
    <w:rsid w:val="00E87C9A"/>
    <w:rsid w:val="00E87D73"/>
    <w:rsid w:val="00E90862"/>
    <w:rsid w:val="00E9123D"/>
    <w:rsid w:val="00E91361"/>
    <w:rsid w:val="00E913E9"/>
    <w:rsid w:val="00E92455"/>
    <w:rsid w:val="00E92CDD"/>
    <w:rsid w:val="00E92E63"/>
    <w:rsid w:val="00E92EC0"/>
    <w:rsid w:val="00E9312F"/>
    <w:rsid w:val="00E934A6"/>
    <w:rsid w:val="00E93958"/>
    <w:rsid w:val="00E939FD"/>
    <w:rsid w:val="00E948A3"/>
    <w:rsid w:val="00E95004"/>
    <w:rsid w:val="00E95024"/>
    <w:rsid w:val="00E95618"/>
    <w:rsid w:val="00E9584B"/>
    <w:rsid w:val="00E96834"/>
    <w:rsid w:val="00EA025F"/>
    <w:rsid w:val="00EA04EB"/>
    <w:rsid w:val="00EA05F1"/>
    <w:rsid w:val="00EA0A0C"/>
    <w:rsid w:val="00EA0B11"/>
    <w:rsid w:val="00EA0F12"/>
    <w:rsid w:val="00EA213B"/>
    <w:rsid w:val="00EA266D"/>
    <w:rsid w:val="00EA2D1F"/>
    <w:rsid w:val="00EA3644"/>
    <w:rsid w:val="00EA37C2"/>
    <w:rsid w:val="00EA4B42"/>
    <w:rsid w:val="00EA4FA1"/>
    <w:rsid w:val="00EA60FB"/>
    <w:rsid w:val="00EA6489"/>
    <w:rsid w:val="00EA682B"/>
    <w:rsid w:val="00EA6890"/>
    <w:rsid w:val="00EA75E0"/>
    <w:rsid w:val="00EA76A7"/>
    <w:rsid w:val="00EA78A1"/>
    <w:rsid w:val="00EA79BA"/>
    <w:rsid w:val="00EA7A68"/>
    <w:rsid w:val="00EA7F39"/>
    <w:rsid w:val="00EB09B8"/>
    <w:rsid w:val="00EB0B57"/>
    <w:rsid w:val="00EB0F38"/>
    <w:rsid w:val="00EB2445"/>
    <w:rsid w:val="00EB3DC1"/>
    <w:rsid w:val="00EB436D"/>
    <w:rsid w:val="00EB4401"/>
    <w:rsid w:val="00EB6007"/>
    <w:rsid w:val="00EB60B2"/>
    <w:rsid w:val="00EB6A01"/>
    <w:rsid w:val="00EB70A0"/>
    <w:rsid w:val="00EB791D"/>
    <w:rsid w:val="00EC04FA"/>
    <w:rsid w:val="00EC08A2"/>
    <w:rsid w:val="00EC0937"/>
    <w:rsid w:val="00EC0C14"/>
    <w:rsid w:val="00EC119C"/>
    <w:rsid w:val="00EC1223"/>
    <w:rsid w:val="00EC1522"/>
    <w:rsid w:val="00EC1657"/>
    <w:rsid w:val="00EC1973"/>
    <w:rsid w:val="00EC23A6"/>
    <w:rsid w:val="00EC23E8"/>
    <w:rsid w:val="00EC3BE4"/>
    <w:rsid w:val="00EC3D89"/>
    <w:rsid w:val="00EC3F07"/>
    <w:rsid w:val="00EC4527"/>
    <w:rsid w:val="00EC472F"/>
    <w:rsid w:val="00EC4763"/>
    <w:rsid w:val="00EC56D0"/>
    <w:rsid w:val="00EC64C7"/>
    <w:rsid w:val="00EC756E"/>
    <w:rsid w:val="00EC7B61"/>
    <w:rsid w:val="00ED0108"/>
    <w:rsid w:val="00ED0607"/>
    <w:rsid w:val="00ED2137"/>
    <w:rsid w:val="00ED2508"/>
    <w:rsid w:val="00ED3815"/>
    <w:rsid w:val="00ED4124"/>
    <w:rsid w:val="00ED4C63"/>
    <w:rsid w:val="00ED4DC9"/>
    <w:rsid w:val="00ED5309"/>
    <w:rsid w:val="00ED5419"/>
    <w:rsid w:val="00ED56E6"/>
    <w:rsid w:val="00ED644C"/>
    <w:rsid w:val="00ED72E1"/>
    <w:rsid w:val="00ED749E"/>
    <w:rsid w:val="00EE04D0"/>
    <w:rsid w:val="00EE04F3"/>
    <w:rsid w:val="00EE07B9"/>
    <w:rsid w:val="00EE08F1"/>
    <w:rsid w:val="00EE0F27"/>
    <w:rsid w:val="00EE14E4"/>
    <w:rsid w:val="00EE15C7"/>
    <w:rsid w:val="00EE1BE0"/>
    <w:rsid w:val="00EE2343"/>
    <w:rsid w:val="00EE3D01"/>
    <w:rsid w:val="00EE3FF9"/>
    <w:rsid w:val="00EE526F"/>
    <w:rsid w:val="00EE53A3"/>
    <w:rsid w:val="00EE5A0D"/>
    <w:rsid w:val="00EE5AF1"/>
    <w:rsid w:val="00EE6C4B"/>
    <w:rsid w:val="00EE704E"/>
    <w:rsid w:val="00EE712F"/>
    <w:rsid w:val="00EE7517"/>
    <w:rsid w:val="00EE799F"/>
    <w:rsid w:val="00EE7DDA"/>
    <w:rsid w:val="00EF0274"/>
    <w:rsid w:val="00EF0441"/>
    <w:rsid w:val="00EF0699"/>
    <w:rsid w:val="00EF08D4"/>
    <w:rsid w:val="00EF0B21"/>
    <w:rsid w:val="00EF0FBA"/>
    <w:rsid w:val="00EF107F"/>
    <w:rsid w:val="00EF17C5"/>
    <w:rsid w:val="00EF19D8"/>
    <w:rsid w:val="00EF1C2F"/>
    <w:rsid w:val="00EF1CCC"/>
    <w:rsid w:val="00EF1E8E"/>
    <w:rsid w:val="00EF24BF"/>
    <w:rsid w:val="00EF2AA1"/>
    <w:rsid w:val="00EF2EE7"/>
    <w:rsid w:val="00EF32E7"/>
    <w:rsid w:val="00EF40E6"/>
    <w:rsid w:val="00EF4631"/>
    <w:rsid w:val="00EF5AC3"/>
    <w:rsid w:val="00EF5B0C"/>
    <w:rsid w:val="00EF5BF3"/>
    <w:rsid w:val="00EF6056"/>
    <w:rsid w:val="00EF61F4"/>
    <w:rsid w:val="00EF635F"/>
    <w:rsid w:val="00EF63EA"/>
    <w:rsid w:val="00EF6945"/>
    <w:rsid w:val="00F00255"/>
    <w:rsid w:val="00F003AE"/>
    <w:rsid w:val="00F01032"/>
    <w:rsid w:val="00F01B17"/>
    <w:rsid w:val="00F028E6"/>
    <w:rsid w:val="00F02BF1"/>
    <w:rsid w:val="00F02DC2"/>
    <w:rsid w:val="00F038F2"/>
    <w:rsid w:val="00F03EF8"/>
    <w:rsid w:val="00F04205"/>
    <w:rsid w:val="00F0485B"/>
    <w:rsid w:val="00F04B16"/>
    <w:rsid w:val="00F068B9"/>
    <w:rsid w:val="00F069F7"/>
    <w:rsid w:val="00F070DE"/>
    <w:rsid w:val="00F07559"/>
    <w:rsid w:val="00F103DD"/>
    <w:rsid w:val="00F103F1"/>
    <w:rsid w:val="00F1068A"/>
    <w:rsid w:val="00F1134C"/>
    <w:rsid w:val="00F1172D"/>
    <w:rsid w:val="00F123EF"/>
    <w:rsid w:val="00F127E4"/>
    <w:rsid w:val="00F1450E"/>
    <w:rsid w:val="00F1451A"/>
    <w:rsid w:val="00F14746"/>
    <w:rsid w:val="00F15328"/>
    <w:rsid w:val="00F1552D"/>
    <w:rsid w:val="00F15A29"/>
    <w:rsid w:val="00F1626B"/>
    <w:rsid w:val="00F16592"/>
    <w:rsid w:val="00F16620"/>
    <w:rsid w:val="00F16705"/>
    <w:rsid w:val="00F17AE0"/>
    <w:rsid w:val="00F200C3"/>
    <w:rsid w:val="00F205C0"/>
    <w:rsid w:val="00F207F3"/>
    <w:rsid w:val="00F20D26"/>
    <w:rsid w:val="00F21060"/>
    <w:rsid w:val="00F21B26"/>
    <w:rsid w:val="00F22DA9"/>
    <w:rsid w:val="00F23035"/>
    <w:rsid w:val="00F230C1"/>
    <w:rsid w:val="00F2337A"/>
    <w:rsid w:val="00F23394"/>
    <w:rsid w:val="00F23431"/>
    <w:rsid w:val="00F2383B"/>
    <w:rsid w:val="00F23DB4"/>
    <w:rsid w:val="00F240A8"/>
    <w:rsid w:val="00F247D9"/>
    <w:rsid w:val="00F25FD1"/>
    <w:rsid w:val="00F263CB"/>
    <w:rsid w:val="00F26DC7"/>
    <w:rsid w:val="00F2752D"/>
    <w:rsid w:val="00F2776B"/>
    <w:rsid w:val="00F279D6"/>
    <w:rsid w:val="00F27C41"/>
    <w:rsid w:val="00F30780"/>
    <w:rsid w:val="00F311ED"/>
    <w:rsid w:val="00F31BD7"/>
    <w:rsid w:val="00F3219A"/>
    <w:rsid w:val="00F33A86"/>
    <w:rsid w:val="00F3405D"/>
    <w:rsid w:val="00F3453E"/>
    <w:rsid w:val="00F346EA"/>
    <w:rsid w:val="00F34CAE"/>
    <w:rsid w:val="00F35098"/>
    <w:rsid w:val="00F35310"/>
    <w:rsid w:val="00F355E0"/>
    <w:rsid w:val="00F35B2C"/>
    <w:rsid w:val="00F36B36"/>
    <w:rsid w:val="00F36D50"/>
    <w:rsid w:val="00F371F2"/>
    <w:rsid w:val="00F400CD"/>
    <w:rsid w:val="00F40343"/>
    <w:rsid w:val="00F40B64"/>
    <w:rsid w:val="00F40DCA"/>
    <w:rsid w:val="00F4188C"/>
    <w:rsid w:val="00F421C0"/>
    <w:rsid w:val="00F4272F"/>
    <w:rsid w:val="00F42D04"/>
    <w:rsid w:val="00F4405B"/>
    <w:rsid w:val="00F452C0"/>
    <w:rsid w:val="00F45832"/>
    <w:rsid w:val="00F45867"/>
    <w:rsid w:val="00F460FE"/>
    <w:rsid w:val="00F4678D"/>
    <w:rsid w:val="00F4702D"/>
    <w:rsid w:val="00F47037"/>
    <w:rsid w:val="00F476D8"/>
    <w:rsid w:val="00F47918"/>
    <w:rsid w:val="00F47CA4"/>
    <w:rsid w:val="00F50155"/>
    <w:rsid w:val="00F50948"/>
    <w:rsid w:val="00F50D5B"/>
    <w:rsid w:val="00F50D8A"/>
    <w:rsid w:val="00F51801"/>
    <w:rsid w:val="00F52B52"/>
    <w:rsid w:val="00F52CAB"/>
    <w:rsid w:val="00F52DDA"/>
    <w:rsid w:val="00F52EAC"/>
    <w:rsid w:val="00F53271"/>
    <w:rsid w:val="00F53E7F"/>
    <w:rsid w:val="00F53EAF"/>
    <w:rsid w:val="00F5420B"/>
    <w:rsid w:val="00F54C5F"/>
    <w:rsid w:val="00F54CAF"/>
    <w:rsid w:val="00F5587D"/>
    <w:rsid w:val="00F55E76"/>
    <w:rsid w:val="00F56AB0"/>
    <w:rsid w:val="00F572D0"/>
    <w:rsid w:val="00F5769D"/>
    <w:rsid w:val="00F57B46"/>
    <w:rsid w:val="00F6006E"/>
    <w:rsid w:val="00F61252"/>
    <w:rsid w:val="00F61364"/>
    <w:rsid w:val="00F61D36"/>
    <w:rsid w:val="00F625D3"/>
    <w:rsid w:val="00F62635"/>
    <w:rsid w:val="00F627EF"/>
    <w:rsid w:val="00F62F08"/>
    <w:rsid w:val="00F63358"/>
    <w:rsid w:val="00F63413"/>
    <w:rsid w:val="00F63784"/>
    <w:rsid w:val="00F637D1"/>
    <w:rsid w:val="00F63E1E"/>
    <w:rsid w:val="00F642CB"/>
    <w:rsid w:val="00F648C3"/>
    <w:rsid w:val="00F648D9"/>
    <w:rsid w:val="00F64A7E"/>
    <w:rsid w:val="00F65454"/>
    <w:rsid w:val="00F655E0"/>
    <w:rsid w:val="00F656F1"/>
    <w:rsid w:val="00F65D0C"/>
    <w:rsid w:val="00F66B8D"/>
    <w:rsid w:val="00F67BDE"/>
    <w:rsid w:val="00F709A0"/>
    <w:rsid w:val="00F711A9"/>
    <w:rsid w:val="00F715DA"/>
    <w:rsid w:val="00F71A74"/>
    <w:rsid w:val="00F72643"/>
    <w:rsid w:val="00F7352A"/>
    <w:rsid w:val="00F73659"/>
    <w:rsid w:val="00F74036"/>
    <w:rsid w:val="00F7457A"/>
    <w:rsid w:val="00F745C2"/>
    <w:rsid w:val="00F74F36"/>
    <w:rsid w:val="00F753C6"/>
    <w:rsid w:val="00F75F10"/>
    <w:rsid w:val="00F76DC7"/>
    <w:rsid w:val="00F77877"/>
    <w:rsid w:val="00F77938"/>
    <w:rsid w:val="00F77F39"/>
    <w:rsid w:val="00F8004D"/>
    <w:rsid w:val="00F80CC6"/>
    <w:rsid w:val="00F81C3E"/>
    <w:rsid w:val="00F8235F"/>
    <w:rsid w:val="00F83263"/>
    <w:rsid w:val="00F8391F"/>
    <w:rsid w:val="00F83A17"/>
    <w:rsid w:val="00F8428B"/>
    <w:rsid w:val="00F84F18"/>
    <w:rsid w:val="00F85865"/>
    <w:rsid w:val="00F85FA4"/>
    <w:rsid w:val="00F8613C"/>
    <w:rsid w:val="00F8625A"/>
    <w:rsid w:val="00F86647"/>
    <w:rsid w:val="00F86F28"/>
    <w:rsid w:val="00F87E11"/>
    <w:rsid w:val="00F90166"/>
    <w:rsid w:val="00F91012"/>
    <w:rsid w:val="00F921F6"/>
    <w:rsid w:val="00F9251B"/>
    <w:rsid w:val="00F92AB8"/>
    <w:rsid w:val="00F92B39"/>
    <w:rsid w:val="00F92C6D"/>
    <w:rsid w:val="00F9354D"/>
    <w:rsid w:val="00F94237"/>
    <w:rsid w:val="00F947BD"/>
    <w:rsid w:val="00F947D0"/>
    <w:rsid w:val="00F94DA7"/>
    <w:rsid w:val="00F94F44"/>
    <w:rsid w:val="00F95330"/>
    <w:rsid w:val="00F9539C"/>
    <w:rsid w:val="00F95719"/>
    <w:rsid w:val="00F95BD0"/>
    <w:rsid w:val="00F961A7"/>
    <w:rsid w:val="00F96992"/>
    <w:rsid w:val="00F96ED8"/>
    <w:rsid w:val="00F96FF3"/>
    <w:rsid w:val="00F97ECA"/>
    <w:rsid w:val="00FA0399"/>
    <w:rsid w:val="00FA0794"/>
    <w:rsid w:val="00FA098C"/>
    <w:rsid w:val="00FA1011"/>
    <w:rsid w:val="00FA1DC1"/>
    <w:rsid w:val="00FA2CC6"/>
    <w:rsid w:val="00FA2D84"/>
    <w:rsid w:val="00FA3508"/>
    <w:rsid w:val="00FA3D00"/>
    <w:rsid w:val="00FA4528"/>
    <w:rsid w:val="00FA5391"/>
    <w:rsid w:val="00FA592C"/>
    <w:rsid w:val="00FA5C35"/>
    <w:rsid w:val="00FA6484"/>
    <w:rsid w:val="00FA6D40"/>
    <w:rsid w:val="00FA6F6B"/>
    <w:rsid w:val="00FA7A4E"/>
    <w:rsid w:val="00FB0011"/>
    <w:rsid w:val="00FB1BD2"/>
    <w:rsid w:val="00FB2A1C"/>
    <w:rsid w:val="00FB3339"/>
    <w:rsid w:val="00FB3592"/>
    <w:rsid w:val="00FB3EEA"/>
    <w:rsid w:val="00FB3EF7"/>
    <w:rsid w:val="00FB4068"/>
    <w:rsid w:val="00FB43CC"/>
    <w:rsid w:val="00FB5075"/>
    <w:rsid w:val="00FB6716"/>
    <w:rsid w:val="00FB6B4C"/>
    <w:rsid w:val="00FB6B82"/>
    <w:rsid w:val="00FB6C05"/>
    <w:rsid w:val="00FB6D15"/>
    <w:rsid w:val="00FB737A"/>
    <w:rsid w:val="00FB73C3"/>
    <w:rsid w:val="00FB7712"/>
    <w:rsid w:val="00FB78EF"/>
    <w:rsid w:val="00FC0E0E"/>
    <w:rsid w:val="00FC1074"/>
    <w:rsid w:val="00FC1518"/>
    <w:rsid w:val="00FC2023"/>
    <w:rsid w:val="00FC2A7C"/>
    <w:rsid w:val="00FC2B3E"/>
    <w:rsid w:val="00FC2FCD"/>
    <w:rsid w:val="00FC3C7A"/>
    <w:rsid w:val="00FC47F8"/>
    <w:rsid w:val="00FC4BA0"/>
    <w:rsid w:val="00FC4BDA"/>
    <w:rsid w:val="00FC51C5"/>
    <w:rsid w:val="00FC524B"/>
    <w:rsid w:val="00FC536C"/>
    <w:rsid w:val="00FC5403"/>
    <w:rsid w:val="00FC54BF"/>
    <w:rsid w:val="00FC5F29"/>
    <w:rsid w:val="00FC68A1"/>
    <w:rsid w:val="00FC6C81"/>
    <w:rsid w:val="00FC7AB1"/>
    <w:rsid w:val="00FD0466"/>
    <w:rsid w:val="00FD068A"/>
    <w:rsid w:val="00FD0CFC"/>
    <w:rsid w:val="00FD130B"/>
    <w:rsid w:val="00FD1742"/>
    <w:rsid w:val="00FD3645"/>
    <w:rsid w:val="00FD3650"/>
    <w:rsid w:val="00FD3A7C"/>
    <w:rsid w:val="00FD3AB8"/>
    <w:rsid w:val="00FD3CBC"/>
    <w:rsid w:val="00FD423A"/>
    <w:rsid w:val="00FD47EC"/>
    <w:rsid w:val="00FD4F24"/>
    <w:rsid w:val="00FD55DE"/>
    <w:rsid w:val="00FD57B6"/>
    <w:rsid w:val="00FD5ACB"/>
    <w:rsid w:val="00FD5F48"/>
    <w:rsid w:val="00FE0977"/>
    <w:rsid w:val="00FE0B18"/>
    <w:rsid w:val="00FE2441"/>
    <w:rsid w:val="00FE2486"/>
    <w:rsid w:val="00FE28ED"/>
    <w:rsid w:val="00FE2982"/>
    <w:rsid w:val="00FE2E05"/>
    <w:rsid w:val="00FE2E24"/>
    <w:rsid w:val="00FE315D"/>
    <w:rsid w:val="00FE31A1"/>
    <w:rsid w:val="00FE34B8"/>
    <w:rsid w:val="00FE3B80"/>
    <w:rsid w:val="00FE3F6B"/>
    <w:rsid w:val="00FE4EB7"/>
    <w:rsid w:val="00FE4F5E"/>
    <w:rsid w:val="00FE523B"/>
    <w:rsid w:val="00FE55A1"/>
    <w:rsid w:val="00FE5941"/>
    <w:rsid w:val="00FE65E0"/>
    <w:rsid w:val="00FE65E7"/>
    <w:rsid w:val="00FE67A6"/>
    <w:rsid w:val="00FE6B83"/>
    <w:rsid w:val="00FE6C0F"/>
    <w:rsid w:val="00FE6C39"/>
    <w:rsid w:val="00FE70EA"/>
    <w:rsid w:val="00FE7545"/>
    <w:rsid w:val="00FE77B6"/>
    <w:rsid w:val="00FE7BA7"/>
    <w:rsid w:val="00FF01F5"/>
    <w:rsid w:val="00FF0674"/>
    <w:rsid w:val="00FF15B4"/>
    <w:rsid w:val="00FF1894"/>
    <w:rsid w:val="00FF1E22"/>
    <w:rsid w:val="00FF24F1"/>
    <w:rsid w:val="00FF3079"/>
    <w:rsid w:val="00FF3391"/>
    <w:rsid w:val="00FF33C8"/>
    <w:rsid w:val="00FF3801"/>
    <w:rsid w:val="00FF394F"/>
    <w:rsid w:val="00FF3D55"/>
    <w:rsid w:val="00FF4538"/>
    <w:rsid w:val="00FF4977"/>
    <w:rsid w:val="00FF4C1A"/>
    <w:rsid w:val="00FF5150"/>
    <w:rsid w:val="00FF5865"/>
    <w:rsid w:val="00FF5D27"/>
    <w:rsid w:val="00FF65DB"/>
    <w:rsid w:val="00FF6A39"/>
    <w:rsid w:val="00FF6A6B"/>
    <w:rsid w:val="00FF6B61"/>
    <w:rsid w:val="00FF6D64"/>
    <w:rsid w:val="016CF6E5"/>
    <w:rsid w:val="01B65EDD"/>
    <w:rsid w:val="01BBA615"/>
    <w:rsid w:val="01D1EBF9"/>
    <w:rsid w:val="01DABFDB"/>
    <w:rsid w:val="020822B4"/>
    <w:rsid w:val="0225BD90"/>
    <w:rsid w:val="02B7713F"/>
    <w:rsid w:val="02F98DB7"/>
    <w:rsid w:val="0301FB53"/>
    <w:rsid w:val="033B8650"/>
    <w:rsid w:val="03AD30E5"/>
    <w:rsid w:val="04242357"/>
    <w:rsid w:val="044D5079"/>
    <w:rsid w:val="05C0ABB1"/>
    <w:rsid w:val="05FA5184"/>
    <w:rsid w:val="062575BC"/>
    <w:rsid w:val="067980A1"/>
    <w:rsid w:val="0735DE3E"/>
    <w:rsid w:val="07B1A814"/>
    <w:rsid w:val="07D5C3AF"/>
    <w:rsid w:val="08206F8E"/>
    <w:rsid w:val="088C255F"/>
    <w:rsid w:val="08B87293"/>
    <w:rsid w:val="090035D4"/>
    <w:rsid w:val="092C4F58"/>
    <w:rsid w:val="0A0E9A46"/>
    <w:rsid w:val="0A24F31D"/>
    <w:rsid w:val="0A3CA0DE"/>
    <w:rsid w:val="0A7DEDB3"/>
    <w:rsid w:val="0A8CE8B5"/>
    <w:rsid w:val="0ABDA2AE"/>
    <w:rsid w:val="0AD050C8"/>
    <w:rsid w:val="0B0F1507"/>
    <w:rsid w:val="0B17C147"/>
    <w:rsid w:val="0B309673"/>
    <w:rsid w:val="0BF79D6C"/>
    <w:rsid w:val="0C8DA13E"/>
    <w:rsid w:val="0CA4373D"/>
    <w:rsid w:val="0D08E98A"/>
    <w:rsid w:val="0DC06FB1"/>
    <w:rsid w:val="0DC778F8"/>
    <w:rsid w:val="0E4BB338"/>
    <w:rsid w:val="0E51A7D8"/>
    <w:rsid w:val="0EEF85CA"/>
    <w:rsid w:val="0F4D1F77"/>
    <w:rsid w:val="0FAA8F32"/>
    <w:rsid w:val="1004381D"/>
    <w:rsid w:val="10A5C435"/>
    <w:rsid w:val="10FAAE9A"/>
    <w:rsid w:val="11AF2A04"/>
    <w:rsid w:val="12A81B68"/>
    <w:rsid w:val="138C1A71"/>
    <w:rsid w:val="1459A29D"/>
    <w:rsid w:val="14A13DC1"/>
    <w:rsid w:val="14A82378"/>
    <w:rsid w:val="14C76916"/>
    <w:rsid w:val="14CB413C"/>
    <w:rsid w:val="150D1319"/>
    <w:rsid w:val="1562C896"/>
    <w:rsid w:val="15E60066"/>
    <w:rsid w:val="16ADACA5"/>
    <w:rsid w:val="1784072D"/>
    <w:rsid w:val="18356470"/>
    <w:rsid w:val="184D0467"/>
    <w:rsid w:val="189CA630"/>
    <w:rsid w:val="194E57A7"/>
    <w:rsid w:val="1A3EE337"/>
    <w:rsid w:val="1B0B941A"/>
    <w:rsid w:val="1B2A1046"/>
    <w:rsid w:val="1B476D5C"/>
    <w:rsid w:val="1B879879"/>
    <w:rsid w:val="1BC7A8D8"/>
    <w:rsid w:val="1BC8F2BC"/>
    <w:rsid w:val="1CB8C859"/>
    <w:rsid w:val="1CFE0731"/>
    <w:rsid w:val="1D850032"/>
    <w:rsid w:val="1DE7943D"/>
    <w:rsid w:val="1E23849B"/>
    <w:rsid w:val="1E26599D"/>
    <w:rsid w:val="1E2B4167"/>
    <w:rsid w:val="1EF5C6B1"/>
    <w:rsid w:val="1F10D35C"/>
    <w:rsid w:val="1FEFC833"/>
    <w:rsid w:val="201E9514"/>
    <w:rsid w:val="2028597E"/>
    <w:rsid w:val="209FDA65"/>
    <w:rsid w:val="2135A97B"/>
    <w:rsid w:val="218619CA"/>
    <w:rsid w:val="2251C975"/>
    <w:rsid w:val="229D8948"/>
    <w:rsid w:val="22EBAD3C"/>
    <w:rsid w:val="23348017"/>
    <w:rsid w:val="23A7C139"/>
    <w:rsid w:val="23C4C2B3"/>
    <w:rsid w:val="23E0FD1F"/>
    <w:rsid w:val="248CD7E5"/>
    <w:rsid w:val="24D2C088"/>
    <w:rsid w:val="24E9C1D7"/>
    <w:rsid w:val="25102018"/>
    <w:rsid w:val="25408769"/>
    <w:rsid w:val="256425DC"/>
    <w:rsid w:val="259CA69B"/>
    <w:rsid w:val="25BE79BE"/>
    <w:rsid w:val="25D779D8"/>
    <w:rsid w:val="25E4F825"/>
    <w:rsid w:val="26A4AF46"/>
    <w:rsid w:val="26BEF29E"/>
    <w:rsid w:val="2751094B"/>
    <w:rsid w:val="27A9355F"/>
    <w:rsid w:val="28A1F9F6"/>
    <w:rsid w:val="29831DAC"/>
    <w:rsid w:val="29E05CE6"/>
    <w:rsid w:val="2AA26E2B"/>
    <w:rsid w:val="2AA5D238"/>
    <w:rsid w:val="2AEC9E81"/>
    <w:rsid w:val="2B402261"/>
    <w:rsid w:val="2BB6D7C5"/>
    <w:rsid w:val="2BD274D0"/>
    <w:rsid w:val="2C09B3C2"/>
    <w:rsid w:val="2CF0F2A3"/>
    <w:rsid w:val="2DA2392C"/>
    <w:rsid w:val="2DABCE14"/>
    <w:rsid w:val="2DD3A842"/>
    <w:rsid w:val="2DE79EA5"/>
    <w:rsid w:val="2E02FD6E"/>
    <w:rsid w:val="2EAF896B"/>
    <w:rsid w:val="2EEBF282"/>
    <w:rsid w:val="30BA7D00"/>
    <w:rsid w:val="30DDB7D8"/>
    <w:rsid w:val="310143BF"/>
    <w:rsid w:val="311F4349"/>
    <w:rsid w:val="321C5894"/>
    <w:rsid w:val="32724070"/>
    <w:rsid w:val="32800131"/>
    <w:rsid w:val="329855D1"/>
    <w:rsid w:val="32D65ADC"/>
    <w:rsid w:val="32F416A0"/>
    <w:rsid w:val="330BA82E"/>
    <w:rsid w:val="331744BB"/>
    <w:rsid w:val="331E1917"/>
    <w:rsid w:val="3346B938"/>
    <w:rsid w:val="3373935D"/>
    <w:rsid w:val="3453C0EC"/>
    <w:rsid w:val="34D12CFE"/>
    <w:rsid w:val="34FC2372"/>
    <w:rsid w:val="35015865"/>
    <w:rsid w:val="35491E86"/>
    <w:rsid w:val="35AE46EB"/>
    <w:rsid w:val="35C0609F"/>
    <w:rsid w:val="35F41E38"/>
    <w:rsid w:val="367AAC5A"/>
    <w:rsid w:val="369083B3"/>
    <w:rsid w:val="37024049"/>
    <w:rsid w:val="37364798"/>
    <w:rsid w:val="377AABD7"/>
    <w:rsid w:val="37BE2DBB"/>
    <w:rsid w:val="3824EDC1"/>
    <w:rsid w:val="385338D2"/>
    <w:rsid w:val="3856E1C0"/>
    <w:rsid w:val="38CE834E"/>
    <w:rsid w:val="38D5830F"/>
    <w:rsid w:val="38FA00CC"/>
    <w:rsid w:val="38FC3173"/>
    <w:rsid w:val="3923F990"/>
    <w:rsid w:val="39381722"/>
    <w:rsid w:val="393D9AC3"/>
    <w:rsid w:val="3A05571C"/>
    <w:rsid w:val="3A81E0C3"/>
    <w:rsid w:val="3B5D1017"/>
    <w:rsid w:val="3B6758BD"/>
    <w:rsid w:val="3B77138A"/>
    <w:rsid w:val="3C1F03CD"/>
    <w:rsid w:val="3CE1F08B"/>
    <w:rsid w:val="3DD9F7DC"/>
    <w:rsid w:val="3E1AC4F8"/>
    <w:rsid w:val="3EC1DD55"/>
    <w:rsid w:val="3EE9B66B"/>
    <w:rsid w:val="3F013844"/>
    <w:rsid w:val="3F1A1B06"/>
    <w:rsid w:val="3F4BE806"/>
    <w:rsid w:val="3F5B676A"/>
    <w:rsid w:val="40188EFE"/>
    <w:rsid w:val="4029E180"/>
    <w:rsid w:val="403496A5"/>
    <w:rsid w:val="409ED84C"/>
    <w:rsid w:val="40D0FBA0"/>
    <w:rsid w:val="41323CFF"/>
    <w:rsid w:val="41527011"/>
    <w:rsid w:val="41ECEAED"/>
    <w:rsid w:val="42617ABB"/>
    <w:rsid w:val="427CD082"/>
    <w:rsid w:val="42925EAE"/>
    <w:rsid w:val="42D630C7"/>
    <w:rsid w:val="43107EFE"/>
    <w:rsid w:val="4318E0E0"/>
    <w:rsid w:val="433FCE02"/>
    <w:rsid w:val="435D2778"/>
    <w:rsid w:val="439C6E3B"/>
    <w:rsid w:val="4422104D"/>
    <w:rsid w:val="44C19731"/>
    <w:rsid w:val="450EA92B"/>
    <w:rsid w:val="45E9803D"/>
    <w:rsid w:val="461C2A3E"/>
    <w:rsid w:val="467E3CD1"/>
    <w:rsid w:val="470CEFD3"/>
    <w:rsid w:val="480C76D5"/>
    <w:rsid w:val="48481594"/>
    <w:rsid w:val="48816A38"/>
    <w:rsid w:val="488564E3"/>
    <w:rsid w:val="48879CFA"/>
    <w:rsid w:val="490B5C3B"/>
    <w:rsid w:val="491DCB62"/>
    <w:rsid w:val="494D9CD9"/>
    <w:rsid w:val="499BC719"/>
    <w:rsid w:val="4A086CA6"/>
    <w:rsid w:val="4A310926"/>
    <w:rsid w:val="4B2F1894"/>
    <w:rsid w:val="4B7AC000"/>
    <w:rsid w:val="4C3D576A"/>
    <w:rsid w:val="4C71510C"/>
    <w:rsid w:val="4C953351"/>
    <w:rsid w:val="4CC90874"/>
    <w:rsid w:val="4D28400B"/>
    <w:rsid w:val="4D5526C5"/>
    <w:rsid w:val="4D600749"/>
    <w:rsid w:val="4D964853"/>
    <w:rsid w:val="4DA11983"/>
    <w:rsid w:val="4E5E5147"/>
    <w:rsid w:val="4EE6DDB2"/>
    <w:rsid w:val="4F391F7C"/>
    <w:rsid w:val="4F48B0D7"/>
    <w:rsid w:val="4F4FB2BC"/>
    <w:rsid w:val="4FB3AEFB"/>
    <w:rsid w:val="517541BF"/>
    <w:rsid w:val="51793453"/>
    <w:rsid w:val="51F606EC"/>
    <w:rsid w:val="526529BF"/>
    <w:rsid w:val="52B69C4F"/>
    <w:rsid w:val="539886E8"/>
    <w:rsid w:val="53BE5660"/>
    <w:rsid w:val="53FB0CC4"/>
    <w:rsid w:val="54734146"/>
    <w:rsid w:val="54F19A28"/>
    <w:rsid w:val="5630867A"/>
    <w:rsid w:val="56587CCF"/>
    <w:rsid w:val="56772E17"/>
    <w:rsid w:val="56C0FE66"/>
    <w:rsid w:val="56E1F1A5"/>
    <w:rsid w:val="58529022"/>
    <w:rsid w:val="585E891C"/>
    <w:rsid w:val="585FFD46"/>
    <w:rsid w:val="587380F3"/>
    <w:rsid w:val="5874674D"/>
    <w:rsid w:val="589443F5"/>
    <w:rsid w:val="58B96158"/>
    <w:rsid w:val="59869495"/>
    <w:rsid w:val="5A3A4820"/>
    <w:rsid w:val="5AD9129F"/>
    <w:rsid w:val="5AF960F3"/>
    <w:rsid w:val="5B03E2F1"/>
    <w:rsid w:val="5B508C8A"/>
    <w:rsid w:val="5B964D3C"/>
    <w:rsid w:val="5C4D7599"/>
    <w:rsid w:val="5C54271F"/>
    <w:rsid w:val="5CE6ED48"/>
    <w:rsid w:val="5D519756"/>
    <w:rsid w:val="5D5E588F"/>
    <w:rsid w:val="5DD244B7"/>
    <w:rsid w:val="5E611B0D"/>
    <w:rsid w:val="5E80EC0A"/>
    <w:rsid w:val="5E9BA3C0"/>
    <w:rsid w:val="5EB74F94"/>
    <w:rsid w:val="5F577F70"/>
    <w:rsid w:val="5F879E93"/>
    <w:rsid w:val="5FA897FD"/>
    <w:rsid w:val="60F5A911"/>
    <w:rsid w:val="6167B494"/>
    <w:rsid w:val="61702057"/>
    <w:rsid w:val="6383B472"/>
    <w:rsid w:val="6426FE32"/>
    <w:rsid w:val="64A05D50"/>
    <w:rsid w:val="650F25EE"/>
    <w:rsid w:val="651877DD"/>
    <w:rsid w:val="65992B26"/>
    <w:rsid w:val="65EBA923"/>
    <w:rsid w:val="6658B60D"/>
    <w:rsid w:val="665EEB64"/>
    <w:rsid w:val="668FFEF4"/>
    <w:rsid w:val="671D5EFD"/>
    <w:rsid w:val="671D61EC"/>
    <w:rsid w:val="67954D9F"/>
    <w:rsid w:val="67C08E7A"/>
    <w:rsid w:val="67EDE457"/>
    <w:rsid w:val="689BFE17"/>
    <w:rsid w:val="68CFF3D9"/>
    <w:rsid w:val="68D9B8FD"/>
    <w:rsid w:val="68E437B2"/>
    <w:rsid w:val="690616A9"/>
    <w:rsid w:val="69126E90"/>
    <w:rsid w:val="69469D8C"/>
    <w:rsid w:val="69492C9B"/>
    <w:rsid w:val="695E9126"/>
    <w:rsid w:val="69C01073"/>
    <w:rsid w:val="6A0E51DA"/>
    <w:rsid w:val="6A1CF87C"/>
    <w:rsid w:val="6A51560B"/>
    <w:rsid w:val="6A8A780C"/>
    <w:rsid w:val="6B847173"/>
    <w:rsid w:val="6BB5BB72"/>
    <w:rsid w:val="6CF57EB6"/>
    <w:rsid w:val="6D009D8B"/>
    <w:rsid w:val="6D2E781C"/>
    <w:rsid w:val="6D78A46A"/>
    <w:rsid w:val="6DCBA64A"/>
    <w:rsid w:val="6E013714"/>
    <w:rsid w:val="6E017D00"/>
    <w:rsid w:val="6E0CBF98"/>
    <w:rsid w:val="6E503F72"/>
    <w:rsid w:val="6E8C2C7B"/>
    <w:rsid w:val="6E8F7BC5"/>
    <w:rsid w:val="6E98053B"/>
    <w:rsid w:val="6E9B2A70"/>
    <w:rsid w:val="6F3B017F"/>
    <w:rsid w:val="7019E53B"/>
    <w:rsid w:val="70670970"/>
    <w:rsid w:val="71793ABF"/>
    <w:rsid w:val="71CBDE21"/>
    <w:rsid w:val="71FCFAF2"/>
    <w:rsid w:val="72783B16"/>
    <w:rsid w:val="7360A55A"/>
    <w:rsid w:val="73925563"/>
    <w:rsid w:val="7445E9BA"/>
    <w:rsid w:val="74B91FFF"/>
    <w:rsid w:val="74BC21A6"/>
    <w:rsid w:val="7524E761"/>
    <w:rsid w:val="752817DB"/>
    <w:rsid w:val="75EA64C8"/>
    <w:rsid w:val="7622ABAA"/>
    <w:rsid w:val="762573D7"/>
    <w:rsid w:val="763F0B32"/>
    <w:rsid w:val="76EA6899"/>
    <w:rsid w:val="7706A3FE"/>
    <w:rsid w:val="77512400"/>
    <w:rsid w:val="776513FB"/>
    <w:rsid w:val="777300DC"/>
    <w:rsid w:val="77EB05D2"/>
    <w:rsid w:val="77F370CE"/>
    <w:rsid w:val="78500D47"/>
    <w:rsid w:val="78E6B208"/>
    <w:rsid w:val="796498AA"/>
    <w:rsid w:val="79ABA36B"/>
    <w:rsid w:val="7A6956AF"/>
    <w:rsid w:val="7A93824E"/>
    <w:rsid w:val="7AB588C4"/>
    <w:rsid w:val="7ADAC476"/>
    <w:rsid w:val="7B3AA516"/>
    <w:rsid w:val="7B6235BF"/>
    <w:rsid w:val="7B6958DC"/>
    <w:rsid w:val="7B777482"/>
    <w:rsid w:val="7BC08E0C"/>
    <w:rsid w:val="7BFD83E9"/>
    <w:rsid w:val="7C677D1D"/>
    <w:rsid w:val="7C7AF402"/>
    <w:rsid w:val="7CC7AAA9"/>
    <w:rsid w:val="7D9D3552"/>
    <w:rsid w:val="7DA3C087"/>
    <w:rsid w:val="7DDC6431"/>
    <w:rsid w:val="7E8FCDAB"/>
    <w:rsid w:val="7EE2C95F"/>
    <w:rsid w:val="7F94CD61"/>
    <w:rsid w:val="7F974D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84585"/>
  <w15:chartTrackingRefBased/>
  <w15:docId w15:val="{BB9FD004-51F3-4673-86F2-87FE35A1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BD3"/>
  </w:style>
  <w:style w:type="paragraph" w:styleId="Heading1">
    <w:name w:val="heading 1"/>
    <w:basedOn w:val="Normal"/>
    <w:next w:val="Normal"/>
    <w:link w:val="Heading1Char"/>
    <w:uiPriority w:val="9"/>
    <w:qFormat/>
    <w:rsid w:val="00DD57F8"/>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DD57F8"/>
    <w:pPr>
      <w:keepNext/>
      <w:keepLines/>
      <w:spacing w:before="160" w:after="120"/>
      <w:outlineLvl w:val="1"/>
    </w:pPr>
    <w:rPr>
      <w:rFonts w:ascii="Arial" w:eastAsiaTheme="majorEastAsia" w:hAnsi="Arial" w:cstheme="majorBidi"/>
      <w:b/>
      <w:color w:val="222A35" w:themeColor="text2" w:themeShade="80"/>
      <w:sz w:val="24"/>
      <w:szCs w:val="26"/>
    </w:rPr>
  </w:style>
  <w:style w:type="paragraph" w:styleId="Heading3">
    <w:name w:val="heading 3"/>
    <w:basedOn w:val="Normal"/>
    <w:next w:val="Normal"/>
    <w:link w:val="Heading3Char"/>
    <w:uiPriority w:val="9"/>
    <w:unhideWhenUsed/>
    <w:qFormat/>
    <w:rsid w:val="00F753C6"/>
    <w:pPr>
      <w:keepNext/>
      <w:keepLines/>
      <w:spacing w:before="40" w:after="0"/>
      <w:outlineLvl w:val="2"/>
    </w:pPr>
    <w:rPr>
      <w:rFonts w:ascii="Arial" w:eastAsiaTheme="majorEastAsia" w:hAnsi="Arial" w:cstheme="majorBidi"/>
      <w:b/>
      <w:color w:val="0D0D0D" w:themeColor="text1" w:themeTint="F2"/>
      <w:szCs w:val="24"/>
    </w:rPr>
  </w:style>
  <w:style w:type="paragraph" w:styleId="Heading4">
    <w:name w:val="heading 4"/>
    <w:basedOn w:val="Normal"/>
    <w:next w:val="Normal"/>
    <w:link w:val="Heading4Char"/>
    <w:uiPriority w:val="9"/>
    <w:unhideWhenUsed/>
    <w:qFormat/>
    <w:rsid w:val="00285B62"/>
    <w:pPr>
      <w:keepNext/>
      <w:keepLines/>
      <w:spacing w:before="40" w:after="0"/>
      <w:outlineLvl w:val="3"/>
    </w:pPr>
    <w:rPr>
      <w:rFonts w:ascii="Arial" w:eastAsiaTheme="majorEastAsia" w:hAnsi="Arial"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A0B"/>
    <w:pPr>
      <w:ind w:left="720"/>
      <w:contextualSpacing/>
    </w:pPr>
  </w:style>
  <w:style w:type="character" w:customStyle="1" w:styleId="Heading2Char">
    <w:name w:val="Heading 2 Char"/>
    <w:basedOn w:val="DefaultParagraphFont"/>
    <w:link w:val="Heading2"/>
    <w:uiPriority w:val="9"/>
    <w:rsid w:val="00DD57F8"/>
    <w:rPr>
      <w:rFonts w:ascii="Arial" w:eastAsiaTheme="majorEastAsia" w:hAnsi="Arial" w:cstheme="majorBidi"/>
      <w:b/>
      <w:color w:val="222A35" w:themeColor="text2" w:themeShade="80"/>
      <w:sz w:val="24"/>
      <w:szCs w:val="26"/>
    </w:rPr>
  </w:style>
  <w:style w:type="character" w:styleId="CommentReference">
    <w:name w:val="annotation reference"/>
    <w:basedOn w:val="DefaultParagraphFont"/>
    <w:uiPriority w:val="99"/>
    <w:semiHidden/>
    <w:unhideWhenUsed/>
    <w:rsid w:val="007029D5"/>
    <w:rPr>
      <w:sz w:val="16"/>
      <w:szCs w:val="16"/>
    </w:rPr>
  </w:style>
  <w:style w:type="paragraph" w:styleId="CommentText">
    <w:name w:val="annotation text"/>
    <w:basedOn w:val="Normal"/>
    <w:link w:val="CommentTextChar"/>
    <w:uiPriority w:val="99"/>
    <w:unhideWhenUsed/>
    <w:rsid w:val="007029D5"/>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7029D5"/>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8A0637"/>
    <w:rPr>
      <w:rFonts w:eastAsiaTheme="minorEastAsia"/>
      <w:b/>
      <w:bCs/>
      <w:lang w:eastAsia="zh-CN"/>
    </w:rPr>
  </w:style>
  <w:style w:type="character" w:customStyle="1" w:styleId="CommentSubjectChar">
    <w:name w:val="Comment Subject Char"/>
    <w:basedOn w:val="CommentTextChar"/>
    <w:link w:val="CommentSubject"/>
    <w:uiPriority w:val="99"/>
    <w:semiHidden/>
    <w:rsid w:val="008A0637"/>
    <w:rPr>
      <w:rFonts w:eastAsiaTheme="minorHAnsi"/>
      <w:b/>
      <w:bCs/>
      <w:sz w:val="20"/>
      <w:szCs w:val="20"/>
      <w:lang w:eastAsia="en-US"/>
    </w:rPr>
  </w:style>
  <w:style w:type="character" w:customStyle="1" w:styleId="Heading1Char">
    <w:name w:val="Heading 1 Char"/>
    <w:basedOn w:val="DefaultParagraphFont"/>
    <w:link w:val="Heading1"/>
    <w:uiPriority w:val="9"/>
    <w:rsid w:val="00DD57F8"/>
    <w:rPr>
      <w:rFonts w:ascii="Arial" w:eastAsiaTheme="majorEastAsia" w:hAnsi="Arial" w:cstheme="majorBidi"/>
      <w:b/>
      <w:sz w:val="28"/>
      <w:szCs w:val="32"/>
    </w:rPr>
  </w:style>
  <w:style w:type="character" w:customStyle="1" w:styleId="Heading3Char">
    <w:name w:val="Heading 3 Char"/>
    <w:basedOn w:val="DefaultParagraphFont"/>
    <w:link w:val="Heading3"/>
    <w:uiPriority w:val="9"/>
    <w:rsid w:val="00F753C6"/>
    <w:rPr>
      <w:rFonts w:ascii="Arial" w:eastAsiaTheme="majorEastAsia" w:hAnsi="Arial" w:cstheme="majorBidi"/>
      <w:b/>
      <w:color w:val="0D0D0D" w:themeColor="text1" w:themeTint="F2"/>
      <w:szCs w:val="24"/>
    </w:rPr>
  </w:style>
  <w:style w:type="paragraph" w:customStyle="1" w:styleId="EndNoteBibliographyTitle">
    <w:name w:val="EndNote Bibliography Title"/>
    <w:basedOn w:val="Normal"/>
    <w:link w:val="EndNoteBibliographyTitleChar"/>
    <w:rsid w:val="00C8115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81158"/>
    <w:rPr>
      <w:rFonts w:ascii="Calibri" w:hAnsi="Calibri" w:cs="Calibri"/>
      <w:noProof/>
    </w:rPr>
  </w:style>
  <w:style w:type="paragraph" w:customStyle="1" w:styleId="EndNoteBibliography">
    <w:name w:val="EndNote Bibliography"/>
    <w:basedOn w:val="Normal"/>
    <w:link w:val="EndNoteBibliographyChar"/>
    <w:rsid w:val="00C8115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81158"/>
    <w:rPr>
      <w:rFonts w:ascii="Calibri" w:hAnsi="Calibri" w:cs="Calibri"/>
      <w:noProof/>
    </w:rPr>
  </w:style>
  <w:style w:type="character" w:styleId="Hyperlink">
    <w:name w:val="Hyperlink"/>
    <w:basedOn w:val="DefaultParagraphFont"/>
    <w:uiPriority w:val="99"/>
    <w:unhideWhenUsed/>
    <w:rsid w:val="00C81158"/>
    <w:rPr>
      <w:color w:val="0563C1" w:themeColor="hyperlink"/>
      <w:u w:val="single"/>
    </w:rPr>
  </w:style>
  <w:style w:type="character" w:styleId="UnresolvedMention">
    <w:name w:val="Unresolved Mention"/>
    <w:basedOn w:val="DefaultParagraphFont"/>
    <w:uiPriority w:val="99"/>
    <w:semiHidden/>
    <w:unhideWhenUsed/>
    <w:rsid w:val="00C81158"/>
    <w:rPr>
      <w:color w:val="605E5C"/>
      <w:shd w:val="clear" w:color="auto" w:fill="E1DFDD"/>
    </w:rPr>
  </w:style>
  <w:style w:type="paragraph" w:styleId="Header">
    <w:name w:val="header"/>
    <w:basedOn w:val="Normal"/>
    <w:link w:val="HeaderChar"/>
    <w:uiPriority w:val="99"/>
    <w:unhideWhenUsed/>
    <w:rsid w:val="007D7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ED9"/>
  </w:style>
  <w:style w:type="paragraph" w:styleId="Footer">
    <w:name w:val="footer"/>
    <w:basedOn w:val="Normal"/>
    <w:link w:val="FooterChar"/>
    <w:uiPriority w:val="99"/>
    <w:unhideWhenUsed/>
    <w:rsid w:val="007D7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ED9"/>
  </w:style>
  <w:style w:type="paragraph" w:styleId="Revision">
    <w:name w:val="Revision"/>
    <w:hidden/>
    <w:uiPriority w:val="99"/>
    <w:semiHidden/>
    <w:rsid w:val="00684A25"/>
    <w:pPr>
      <w:spacing w:after="0" w:line="240" w:lineRule="auto"/>
    </w:p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61433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614332"/>
  </w:style>
  <w:style w:type="character" w:customStyle="1" w:styleId="eop">
    <w:name w:val="eop"/>
    <w:basedOn w:val="DefaultParagraphFont"/>
    <w:rsid w:val="00614332"/>
  </w:style>
  <w:style w:type="character" w:customStyle="1" w:styleId="Heading4Char">
    <w:name w:val="Heading 4 Char"/>
    <w:basedOn w:val="DefaultParagraphFont"/>
    <w:link w:val="Heading4"/>
    <w:uiPriority w:val="9"/>
    <w:rsid w:val="00285B62"/>
    <w:rPr>
      <w:rFonts w:ascii="Arial" w:eastAsiaTheme="majorEastAsia" w:hAnsi="Arial" w:cstheme="majorBidi"/>
      <w:b/>
      <w:iCs/>
      <w:color w:val="000000" w:themeColor="text1"/>
    </w:rPr>
  </w:style>
  <w:style w:type="character" w:customStyle="1" w:styleId="wacimagecontainer">
    <w:name w:val="wacimagecontainer"/>
    <w:basedOn w:val="DefaultParagraphFont"/>
    <w:rsid w:val="00F715DA"/>
  </w:style>
  <w:style w:type="paragraph" w:styleId="NormalWeb">
    <w:name w:val="Normal (Web)"/>
    <w:basedOn w:val="Normal"/>
    <w:uiPriority w:val="99"/>
    <w:unhideWhenUsed/>
    <w:rsid w:val="003E01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49007">
      <w:bodyDiv w:val="1"/>
      <w:marLeft w:val="0"/>
      <w:marRight w:val="0"/>
      <w:marTop w:val="0"/>
      <w:marBottom w:val="0"/>
      <w:divBdr>
        <w:top w:val="none" w:sz="0" w:space="0" w:color="auto"/>
        <w:left w:val="none" w:sz="0" w:space="0" w:color="auto"/>
        <w:bottom w:val="none" w:sz="0" w:space="0" w:color="auto"/>
        <w:right w:val="none" w:sz="0" w:space="0" w:color="auto"/>
      </w:divBdr>
    </w:div>
    <w:div w:id="216403016">
      <w:bodyDiv w:val="1"/>
      <w:marLeft w:val="0"/>
      <w:marRight w:val="0"/>
      <w:marTop w:val="0"/>
      <w:marBottom w:val="0"/>
      <w:divBdr>
        <w:top w:val="none" w:sz="0" w:space="0" w:color="auto"/>
        <w:left w:val="none" w:sz="0" w:space="0" w:color="auto"/>
        <w:bottom w:val="none" w:sz="0" w:space="0" w:color="auto"/>
        <w:right w:val="none" w:sz="0" w:space="0" w:color="auto"/>
      </w:divBdr>
    </w:div>
    <w:div w:id="239870692">
      <w:bodyDiv w:val="1"/>
      <w:marLeft w:val="0"/>
      <w:marRight w:val="0"/>
      <w:marTop w:val="0"/>
      <w:marBottom w:val="0"/>
      <w:divBdr>
        <w:top w:val="none" w:sz="0" w:space="0" w:color="auto"/>
        <w:left w:val="none" w:sz="0" w:space="0" w:color="auto"/>
        <w:bottom w:val="none" w:sz="0" w:space="0" w:color="auto"/>
        <w:right w:val="none" w:sz="0" w:space="0" w:color="auto"/>
      </w:divBdr>
    </w:div>
    <w:div w:id="257174068">
      <w:bodyDiv w:val="1"/>
      <w:marLeft w:val="0"/>
      <w:marRight w:val="0"/>
      <w:marTop w:val="0"/>
      <w:marBottom w:val="0"/>
      <w:divBdr>
        <w:top w:val="none" w:sz="0" w:space="0" w:color="auto"/>
        <w:left w:val="none" w:sz="0" w:space="0" w:color="auto"/>
        <w:bottom w:val="none" w:sz="0" w:space="0" w:color="auto"/>
        <w:right w:val="none" w:sz="0" w:space="0" w:color="auto"/>
      </w:divBdr>
    </w:div>
    <w:div w:id="366104121">
      <w:bodyDiv w:val="1"/>
      <w:marLeft w:val="0"/>
      <w:marRight w:val="0"/>
      <w:marTop w:val="0"/>
      <w:marBottom w:val="0"/>
      <w:divBdr>
        <w:top w:val="none" w:sz="0" w:space="0" w:color="auto"/>
        <w:left w:val="none" w:sz="0" w:space="0" w:color="auto"/>
        <w:bottom w:val="none" w:sz="0" w:space="0" w:color="auto"/>
        <w:right w:val="none" w:sz="0" w:space="0" w:color="auto"/>
      </w:divBdr>
      <w:divsChild>
        <w:div w:id="682048411">
          <w:marLeft w:val="0"/>
          <w:marRight w:val="0"/>
          <w:marTop w:val="0"/>
          <w:marBottom w:val="0"/>
          <w:divBdr>
            <w:top w:val="none" w:sz="0" w:space="0" w:color="auto"/>
            <w:left w:val="none" w:sz="0" w:space="0" w:color="auto"/>
            <w:bottom w:val="none" w:sz="0" w:space="0" w:color="auto"/>
            <w:right w:val="none" w:sz="0" w:space="0" w:color="auto"/>
          </w:divBdr>
        </w:div>
        <w:div w:id="872231450">
          <w:marLeft w:val="0"/>
          <w:marRight w:val="0"/>
          <w:marTop w:val="0"/>
          <w:marBottom w:val="0"/>
          <w:divBdr>
            <w:top w:val="none" w:sz="0" w:space="0" w:color="auto"/>
            <w:left w:val="none" w:sz="0" w:space="0" w:color="auto"/>
            <w:bottom w:val="none" w:sz="0" w:space="0" w:color="auto"/>
            <w:right w:val="none" w:sz="0" w:space="0" w:color="auto"/>
          </w:divBdr>
        </w:div>
        <w:div w:id="967466350">
          <w:marLeft w:val="0"/>
          <w:marRight w:val="0"/>
          <w:marTop w:val="0"/>
          <w:marBottom w:val="0"/>
          <w:divBdr>
            <w:top w:val="none" w:sz="0" w:space="0" w:color="auto"/>
            <w:left w:val="none" w:sz="0" w:space="0" w:color="auto"/>
            <w:bottom w:val="none" w:sz="0" w:space="0" w:color="auto"/>
            <w:right w:val="none" w:sz="0" w:space="0" w:color="auto"/>
          </w:divBdr>
        </w:div>
        <w:div w:id="1533692842">
          <w:marLeft w:val="0"/>
          <w:marRight w:val="0"/>
          <w:marTop w:val="0"/>
          <w:marBottom w:val="0"/>
          <w:divBdr>
            <w:top w:val="none" w:sz="0" w:space="0" w:color="auto"/>
            <w:left w:val="none" w:sz="0" w:space="0" w:color="auto"/>
            <w:bottom w:val="none" w:sz="0" w:space="0" w:color="auto"/>
            <w:right w:val="none" w:sz="0" w:space="0" w:color="auto"/>
          </w:divBdr>
        </w:div>
        <w:div w:id="1660310695">
          <w:marLeft w:val="0"/>
          <w:marRight w:val="0"/>
          <w:marTop w:val="0"/>
          <w:marBottom w:val="0"/>
          <w:divBdr>
            <w:top w:val="none" w:sz="0" w:space="0" w:color="auto"/>
            <w:left w:val="none" w:sz="0" w:space="0" w:color="auto"/>
            <w:bottom w:val="none" w:sz="0" w:space="0" w:color="auto"/>
            <w:right w:val="none" w:sz="0" w:space="0" w:color="auto"/>
          </w:divBdr>
        </w:div>
      </w:divsChild>
    </w:div>
    <w:div w:id="382563018">
      <w:bodyDiv w:val="1"/>
      <w:marLeft w:val="0"/>
      <w:marRight w:val="0"/>
      <w:marTop w:val="0"/>
      <w:marBottom w:val="0"/>
      <w:divBdr>
        <w:top w:val="none" w:sz="0" w:space="0" w:color="auto"/>
        <w:left w:val="none" w:sz="0" w:space="0" w:color="auto"/>
        <w:bottom w:val="none" w:sz="0" w:space="0" w:color="auto"/>
        <w:right w:val="none" w:sz="0" w:space="0" w:color="auto"/>
      </w:divBdr>
    </w:div>
    <w:div w:id="411589677">
      <w:bodyDiv w:val="1"/>
      <w:marLeft w:val="0"/>
      <w:marRight w:val="0"/>
      <w:marTop w:val="0"/>
      <w:marBottom w:val="0"/>
      <w:divBdr>
        <w:top w:val="none" w:sz="0" w:space="0" w:color="auto"/>
        <w:left w:val="none" w:sz="0" w:space="0" w:color="auto"/>
        <w:bottom w:val="none" w:sz="0" w:space="0" w:color="auto"/>
        <w:right w:val="none" w:sz="0" w:space="0" w:color="auto"/>
      </w:divBdr>
    </w:div>
    <w:div w:id="411898653">
      <w:bodyDiv w:val="1"/>
      <w:marLeft w:val="0"/>
      <w:marRight w:val="0"/>
      <w:marTop w:val="0"/>
      <w:marBottom w:val="0"/>
      <w:divBdr>
        <w:top w:val="none" w:sz="0" w:space="0" w:color="auto"/>
        <w:left w:val="none" w:sz="0" w:space="0" w:color="auto"/>
        <w:bottom w:val="none" w:sz="0" w:space="0" w:color="auto"/>
        <w:right w:val="none" w:sz="0" w:space="0" w:color="auto"/>
      </w:divBdr>
    </w:div>
    <w:div w:id="432240550">
      <w:bodyDiv w:val="1"/>
      <w:marLeft w:val="0"/>
      <w:marRight w:val="0"/>
      <w:marTop w:val="0"/>
      <w:marBottom w:val="0"/>
      <w:divBdr>
        <w:top w:val="none" w:sz="0" w:space="0" w:color="auto"/>
        <w:left w:val="none" w:sz="0" w:space="0" w:color="auto"/>
        <w:bottom w:val="none" w:sz="0" w:space="0" w:color="auto"/>
        <w:right w:val="none" w:sz="0" w:space="0" w:color="auto"/>
      </w:divBdr>
    </w:div>
    <w:div w:id="791286132">
      <w:bodyDiv w:val="1"/>
      <w:marLeft w:val="0"/>
      <w:marRight w:val="0"/>
      <w:marTop w:val="0"/>
      <w:marBottom w:val="0"/>
      <w:divBdr>
        <w:top w:val="none" w:sz="0" w:space="0" w:color="auto"/>
        <w:left w:val="none" w:sz="0" w:space="0" w:color="auto"/>
        <w:bottom w:val="none" w:sz="0" w:space="0" w:color="auto"/>
        <w:right w:val="none" w:sz="0" w:space="0" w:color="auto"/>
      </w:divBdr>
    </w:div>
    <w:div w:id="957831555">
      <w:bodyDiv w:val="1"/>
      <w:marLeft w:val="0"/>
      <w:marRight w:val="0"/>
      <w:marTop w:val="0"/>
      <w:marBottom w:val="0"/>
      <w:divBdr>
        <w:top w:val="none" w:sz="0" w:space="0" w:color="auto"/>
        <w:left w:val="none" w:sz="0" w:space="0" w:color="auto"/>
        <w:bottom w:val="none" w:sz="0" w:space="0" w:color="auto"/>
        <w:right w:val="none" w:sz="0" w:space="0" w:color="auto"/>
      </w:divBdr>
    </w:div>
    <w:div w:id="1151141207">
      <w:bodyDiv w:val="1"/>
      <w:marLeft w:val="0"/>
      <w:marRight w:val="0"/>
      <w:marTop w:val="0"/>
      <w:marBottom w:val="0"/>
      <w:divBdr>
        <w:top w:val="none" w:sz="0" w:space="0" w:color="auto"/>
        <w:left w:val="none" w:sz="0" w:space="0" w:color="auto"/>
        <w:bottom w:val="none" w:sz="0" w:space="0" w:color="auto"/>
        <w:right w:val="none" w:sz="0" w:space="0" w:color="auto"/>
      </w:divBdr>
    </w:div>
    <w:div w:id="1181505530">
      <w:bodyDiv w:val="1"/>
      <w:marLeft w:val="0"/>
      <w:marRight w:val="0"/>
      <w:marTop w:val="0"/>
      <w:marBottom w:val="0"/>
      <w:divBdr>
        <w:top w:val="none" w:sz="0" w:space="0" w:color="auto"/>
        <w:left w:val="none" w:sz="0" w:space="0" w:color="auto"/>
        <w:bottom w:val="none" w:sz="0" w:space="0" w:color="auto"/>
        <w:right w:val="none" w:sz="0" w:space="0" w:color="auto"/>
      </w:divBdr>
      <w:divsChild>
        <w:div w:id="310988110">
          <w:marLeft w:val="0"/>
          <w:marRight w:val="0"/>
          <w:marTop w:val="0"/>
          <w:marBottom w:val="0"/>
          <w:divBdr>
            <w:top w:val="none" w:sz="0" w:space="0" w:color="auto"/>
            <w:left w:val="none" w:sz="0" w:space="0" w:color="auto"/>
            <w:bottom w:val="none" w:sz="0" w:space="0" w:color="auto"/>
            <w:right w:val="none" w:sz="0" w:space="0" w:color="auto"/>
          </w:divBdr>
        </w:div>
        <w:div w:id="1062751783">
          <w:marLeft w:val="0"/>
          <w:marRight w:val="0"/>
          <w:marTop w:val="0"/>
          <w:marBottom w:val="0"/>
          <w:divBdr>
            <w:top w:val="none" w:sz="0" w:space="0" w:color="auto"/>
            <w:left w:val="none" w:sz="0" w:space="0" w:color="auto"/>
            <w:bottom w:val="none" w:sz="0" w:space="0" w:color="auto"/>
            <w:right w:val="none" w:sz="0" w:space="0" w:color="auto"/>
          </w:divBdr>
        </w:div>
      </w:divsChild>
    </w:div>
    <w:div w:id="1229153277">
      <w:bodyDiv w:val="1"/>
      <w:marLeft w:val="0"/>
      <w:marRight w:val="0"/>
      <w:marTop w:val="0"/>
      <w:marBottom w:val="0"/>
      <w:divBdr>
        <w:top w:val="none" w:sz="0" w:space="0" w:color="auto"/>
        <w:left w:val="none" w:sz="0" w:space="0" w:color="auto"/>
        <w:bottom w:val="none" w:sz="0" w:space="0" w:color="auto"/>
        <w:right w:val="none" w:sz="0" w:space="0" w:color="auto"/>
      </w:divBdr>
    </w:div>
    <w:div w:id="1347707122">
      <w:bodyDiv w:val="1"/>
      <w:marLeft w:val="0"/>
      <w:marRight w:val="0"/>
      <w:marTop w:val="0"/>
      <w:marBottom w:val="0"/>
      <w:divBdr>
        <w:top w:val="none" w:sz="0" w:space="0" w:color="auto"/>
        <w:left w:val="none" w:sz="0" w:space="0" w:color="auto"/>
        <w:bottom w:val="none" w:sz="0" w:space="0" w:color="auto"/>
        <w:right w:val="none" w:sz="0" w:space="0" w:color="auto"/>
      </w:divBdr>
    </w:div>
    <w:div w:id="1444885830">
      <w:bodyDiv w:val="1"/>
      <w:marLeft w:val="0"/>
      <w:marRight w:val="0"/>
      <w:marTop w:val="0"/>
      <w:marBottom w:val="0"/>
      <w:divBdr>
        <w:top w:val="none" w:sz="0" w:space="0" w:color="auto"/>
        <w:left w:val="none" w:sz="0" w:space="0" w:color="auto"/>
        <w:bottom w:val="none" w:sz="0" w:space="0" w:color="auto"/>
        <w:right w:val="none" w:sz="0" w:space="0" w:color="auto"/>
      </w:divBdr>
    </w:div>
    <w:div w:id="1661543864">
      <w:bodyDiv w:val="1"/>
      <w:marLeft w:val="0"/>
      <w:marRight w:val="0"/>
      <w:marTop w:val="0"/>
      <w:marBottom w:val="0"/>
      <w:divBdr>
        <w:top w:val="none" w:sz="0" w:space="0" w:color="auto"/>
        <w:left w:val="none" w:sz="0" w:space="0" w:color="auto"/>
        <w:bottom w:val="none" w:sz="0" w:space="0" w:color="auto"/>
        <w:right w:val="none" w:sz="0" w:space="0" w:color="auto"/>
      </w:divBdr>
    </w:div>
    <w:div w:id="1671326650">
      <w:bodyDiv w:val="1"/>
      <w:marLeft w:val="0"/>
      <w:marRight w:val="0"/>
      <w:marTop w:val="0"/>
      <w:marBottom w:val="0"/>
      <w:divBdr>
        <w:top w:val="none" w:sz="0" w:space="0" w:color="auto"/>
        <w:left w:val="none" w:sz="0" w:space="0" w:color="auto"/>
        <w:bottom w:val="none" w:sz="0" w:space="0" w:color="auto"/>
        <w:right w:val="none" w:sz="0" w:space="0" w:color="auto"/>
      </w:divBdr>
    </w:div>
    <w:div w:id="1796018653">
      <w:bodyDiv w:val="1"/>
      <w:marLeft w:val="0"/>
      <w:marRight w:val="0"/>
      <w:marTop w:val="0"/>
      <w:marBottom w:val="0"/>
      <w:divBdr>
        <w:top w:val="none" w:sz="0" w:space="0" w:color="auto"/>
        <w:left w:val="none" w:sz="0" w:space="0" w:color="auto"/>
        <w:bottom w:val="none" w:sz="0" w:space="0" w:color="auto"/>
        <w:right w:val="none" w:sz="0" w:space="0" w:color="auto"/>
      </w:divBdr>
      <w:divsChild>
        <w:div w:id="252475512">
          <w:marLeft w:val="0"/>
          <w:marRight w:val="0"/>
          <w:marTop w:val="0"/>
          <w:marBottom w:val="0"/>
          <w:divBdr>
            <w:top w:val="none" w:sz="0" w:space="0" w:color="auto"/>
            <w:left w:val="none" w:sz="0" w:space="0" w:color="auto"/>
            <w:bottom w:val="none" w:sz="0" w:space="0" w:color="auto"/>
            <w:right w:val="none" w:sz="0" w:space="0" w:color="auto"/>
          </w:divBdr>
        </w:div>
        <w:div w:id="897980374">
          <w:marLeft w:val="0"/>
          <w:marRight w:val="0"/>
          <w:marTop w:val="0"/>
          <w:marBottom w:val="0"/>
          <w:divBdr>
            <w:top w:val="none" w:sz="0" w:space="0" w:color="auto"/>
            <w:left w:val="none" w:sz="0" w:space="0" w:color="auto"/>
            <w:bottom w:val="none" w:sz="0" w:space="0" w:color="auto"/>
            <w:right w:val="none" w:sz="0" w:space="0" w:color="auto"/>
          </w:divBdr>
        </w:div>
        <w:div w:id="1121001274">
          <w:marLeft w:val="0"/>
          <w:marRight w:val="0"/>
          <w:marTop w:val="0"/>
          <w:marBottom w:val="0"/>
          <w:divBdr>
            <w:top w:val="none" w:sz="0" w:space="0" w:color="auto"/>
            <w:left w:val="none" w:sz="0" w:space="0" w:color="auto"/>
            <w:bottom w:val="none" w:sz="0" w:space="0" w:color="auto"/>
            <w:right w:val="none" w:sz="0" w:space="0" w:color="auto"/>
          </w:divBdr>
        </w:div>
      </w:divsChild>
    </w:div>
    <w:div w:id="1834829857">
      <w:bodyDiv w:val="1"/>
      <w:marLeft w:val="0"/>
      <w:marRight w:val="0"/>
      <w:marTop w:val="0"/>
      <w:marBottom w:val="0"/>
      <w:divBdr>
        <w:top w:val="none" w:sz="0" w:space="0" w:color="auto"/>
        <w:left w:val="none" w:sz="0" w:space="0" w:color="auto"/>
        <w:bottom w:val="none" w:sz="0" w:space="0" w:color="auto"/>
        <w:right w:val="none" w:sz="0" w:space="0" w:color="auto"/>
      </w:divBdr>
      <w:divsChild>
        <w:div w:id="771819970">
          <w:marLeft w:val="0"/>
          <w:marRight w:val="0"/>
          <w:marTop w:val="0"/>
          <w:marBottom w:val="0"/>
          <w:divBdr>
            <w:top w:val="none" w:sz="0" w:space="0" w:color="auto"/>
            <w:left w:val="none" w:sz="0" w:space="0" w:color="auto"/>
            <w:bottom w:val="none" w:sz="0" w:space="0" w:color="auto"/>
            <w:right w:val="none" w:sz="0" w:space="0" w:color="auto"/>
          </w:divBdr>
        </w:div>
        <w:div w:id="1029188132">
          <w:marLeft w:val="0"/>
          <w:marRight w:val="0"/>
          <w:marTop w:val="0"/>
          <w:marBottom w:val="0"/>
          <w:divBdr>
            <w:top w:val="none" w:sz="0" w:space="0" w:color="auto"/>
            <w:left w:val="none" w:sz="0" w:space="0" w:color="auto"/>
            <w:bottom w:val="none" w:sz="0" w:space="0" w:color="auto"/>
            <w:right w:val="none" w:sz="0" w:space="0" w:color="auto"/>
          </w:divBdr>
        </w:div>
      </w:divsChild>
    </w:div>
    <w:div w:id="1847359941">
      <w:bodyDiv w:val="1"/>
      <w:marLeft w:val="0"/>
      <w:marRight w:val="0"/>
      <w:marTop w:val="0"/>
      <w:marBottom w:val="0"/>
      <w:divBdr>
        <w:top w:val="none" w:sz="0" w:space="0" w:color="auto"/>
        <w:left w:val="none" w:sz="0" w:space="0" w:color="auto"/>
        <w:bottom w:val="none" w:sz="0" w:space="0" w:color="auto"/>
        <w:right w:val="none" w:sz="0" w:space="0" w:color="auto"/>
      </w:divBdr>
    </w:div>
    <w:div w:id="1896040499">
      <w:bodyDiv w:val="1"/>
      <w:marLeft w:val="0"/>
      <w:marRight w:val="0"/>
      <w:marTop w:val="0"/>
      <w:marBottom w:val="0"/>
      <w:divBdr>
        <w:top w:val="none" w:sz="0" w:space="0" w:color="auto"/>
        <w:left w:val="none" w:sz="0" w:space="0" w:color="auto"/>
        <w:bottom w:val="none" w:sz="0" w:space="0" w:color="auto"/>
        <w:right w:val="none" w:sz="0" w:space="0" w:color="auto"/>
      </w:divBdr>
      <w:divsChild>
        <w:div w:id="869219235">
          <w:marLeft w:val="0"/>
          <w:marRight w:val="0"/>
          <w:marTop w:val="0"/>
          <w:marBottom w:val="0"/>
          <w:divBdr>
            <w:top w:val="none" w:sz="0" w:space="0" w:color="auto"/>
            <w:left w:val="none" w:sz="0" w:space="0" w:color="auto"/>
            <w:bottom w:val="none" w:sz="0" w:space="0" w:color="auto"/>
            <w:right w:val="none" w:sz="0" w:space="0" w:color="auto"/>
          </w:divBdr>
        </w:div>
        <w:div w:id="2017684419">
          <w:marLeft w:val="0"/>
          <w:marRight w:val="0"/>
          <w:marTop w:val="0"/>
          <w:marBottom w:val="0"/>
          <w:divBdr>
            <w:top w:val="none" w:sz="0" w:space="0" w:color="auto"/>
            <w:left w:val="none" w:sz="0" w:space="0" w:color="auto"/>
            <w:bottom w:val="none" w:sz="0" w:space="0" w:color="auto"/>
            <w:right w:val="none" w:sz="0" w:space="0" w:color="auto"/>
          </w:divBdr>
        </w:div>
      </w:divsChild>
    </w:div>
    <w:div w:id="190730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fda.gov/industry/fda-data-standards-advisory-board/pharmaceutical-quality-chemistry-manufacturing-controls-pqcmc2024a" TargetMode="External"/><Relationship Id="rId2" Type="http://schemas.openxmlformats.org/officeDocument/2006/relationships/numbering" Target="numbering.xml"/><Relationship Id="rId16" Type="http://schemas.openxmlformats.org/officeDocument/2006/relationships/hyperlink" Target="https://doi.org/10.1016/j.ijpx.2024.10023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016/j.ijpx.2019.100010"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A8C51-2433-43F9-8370-35AA937E0554}">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133</TotalTime>
  <Pages>26</Pages>
  <Words>10702</Words>
  <Characters>61004</Characters>
  <Application>Microsoft Office Word</Application>
  <DocSecurity>0</DocSecurity>
  <Lines>508</Lines>
  <Paragraphs>143</Paragraphs>
  <ScaleCrop>false</ScaleCrop>
  <Company/>
  <LinksUpToDate>false</LinksUpToDate>
  <CharactersWithSpaces>71563</CharactersWithSpaces>
  <SharedDoc>false</SharedDoc>
  <HLinks>
    <vt:vector size="18" baseType="variant">
      <vt:variant>
        <vt:i4>4522010</vt:i4>
      </vt:variant>
      <vt:variant>
        <vt:i4>64</vt:i4>
      </vt:variant>
      <vt:variant>
        <vt:i4>0</vt:i4>
      </vt:variant>
      <vt:variant>
        <vt:i4>5</vt:i4>
      </vt:variant>
      <vt:variant>
        <vt:lpwstr>https://www.fda.gov/industry/fda-data-standards-advisory-board/pharmaceutical-quality-chemistry-manufacturing-controls-pqcmc2024a</vt:lpwstr>
      </vt:variant>
      <vt:variant>
        <vt:lpwstr/>
      </vt:variant>
      <vt:variant>
        <vt:i4>3866679</vt:i4>
      </vt:variant>
      <vt:variant>
        <vt:i4>61</vt:i4>
      </vt:variant>
      <vt:variant>
        <vt:i4>0</vt:i4>
      </vt:variant>
      <vt:variant>
        <vt:i4>5</vt:i4>
      </vt:variant>
      <vt:variant>
        <vt:lpwstr>https://doi.org/10.1016/j.ijpx.2024.100239</vt:lpwstr>
      </vt:variant>
      <vt:variant>
        <vt:lpwstr/>
      </vt:variant>
      <vt:variant>
        <vt:i4>3342392</vt:i4>
      </vt:variant>
      <vt:variant>
        <vt:i4>58</vt:i4>
      </vt:variant>
      <vt:variant>
        <vt:i4>0</vt:i4>
      </vt:variant>
      <vt:variant>
        <vt:i4>5</vt:i4>
      </vt:variant>
      <vt:variant>
        <vt:lpwstr>https://doi.org/10.1016/j.ijpx.2019.100010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Zhouxi</dc:creator>
  <cp:keywords/>
  <dc:description/>
  <cp:lastModifiedBy>Wang, Zhouxi</cp:lastModifiedBy>
  <cp:revision>55</cp:revision>
  <dcterms:created xsi:type="dcterms:W3CDTF">2025-11-18T14:14:00Z</dcterms:created>
  <dcterms:modified xsi:type="dcterms:W3CDTF">2025-11-18T23:15:00Z</dcterms:modified>
</cp:coreProperties>
</file>