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80C79" w14:textId="77777777" w:rsidR="00B15081" w:rsidRPr="00B659FB" w:rsidRDefault="00B15081" w:rsidP="00B15081">
      <w:pPr>
        <w:spacing w:line="480" w:lineRule="auto"/>
        <w:jc w:val="both"/>
        <w:rPr>
          <w:rFonts w:ascii="Arial" w:hAnsi="Arial" w:cs="Arial"/>
          <w:b/>
          <w:bCs/>
          <w:i/>
          <w:iCs/>
          <w:sz w:val="24"/>
          <w:szCs w:val="24"/>
          <w:lang w:val="en-GB"/>
        </w:rPr>
      </w:pPr>
      <w:bookmarkStart w:id="0" w:name="_GoBack"/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>Preclinical characterization of 3p-C-DEPA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vertAlign w:val="subscript"/>
          <w:lang w:val="en-GB"/>
        </w:rPr>
        <w:t>-NCS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 xml:space="preserve"> and 3p-C-DEPA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vertAlign w:val="subscript"/>
          <w:lang w:val="en-GB"/>
        </w:rPr>
        <w:t>-TFP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>-PEG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vertAlign w:val="subscript"/>
          <w:lang w:val="en-GB"/>
        </w:rPr>
        <w:t>4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 xml:space="preserve"> as potential Actinium-225 bifunctional chelators using DOTA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vertAlign w:val="subscript"/>
          <w:lang w:val="en-GB"/>
        </w:rPr>
        <w:t>-NCS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 xml:space="preserve"> and macropa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vertAlign w:val="subscript"/>
          <w:lang w:val="en-GB"/>
        </w:rPr>
        <w:t xml:space="preserve">-NCS </w:t>
      </w:r>
      <w:r w:rsidRPr="00B659FB">
        <w:rPr>
          <w:rFonts w:ascii="Arial" w:hAnsi="Arial" w:cs="Arial"/>
          <w:b/>
          <w:bCs/>
          <w:i/>
          <w:iCs/>
          <w:sz w:val="24"/>
          <w:szCs w:val="24"/>
          <w:lang w:val="en-GB"/>
        </w:rPr>
        <w:t>as benchmarks.</w:t>
      </w:r>
    </w:p>
    <w:p w14:paraId="40735A92" w14:textId="5D32AE0A" w:rsidR="00B15081" w:rsidRPr="00B659FB" w:rsidRDefault="00B15081" w:rsidP="00B15081">
      <w:pPr>
        <w:spacing w:line="480" w:lineRule="auto"/>
        <w:jc w:val="both"/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</w:pPr>
      <w:r w:rsidRPr="00B659FB">
        <w:rPr>
          <w:rFonts w:ascii="Arial" w:hAnsi="Arial" w:cs="Arial"/>
          <w:i/>
          <w:iCs/>
          <w:sz w:val="24"/>
          <w:szCs w:val="24"/>
          <w:lang w:val="en-GB"/>
        </w:rPr>
        <w:t>Jessica Pougoue Ketchemen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1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,2‡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, Stephen </w:t>
      </w:r>
      <w:r w:rsidR="00680BE7" w:rsidRPr="00B659FB">
        <w:rPr>
          <w:rFonts w:ascii="Arial" w:hAnsi="Arial" w:cs="Arial"/>
          <w:i/>
          <w:iCs/>
          <w:sz w:val="24"/>
          <w:szCs w:val="24"/>
          <w:lang w:val="en-GB"/>
        </w:rPr>
        <w:t>Ahenkorah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3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,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4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,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5‡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>, Emmanuel Nwangele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1,2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>,</w:t>
      </w:r>
      <w:r w:rsidR="00B86CDE"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 Siphelele </w:t>
      </w:r>
      <w:r w:rsidR="003A287F" w:rsidRPr="00D7512F">
        <w:rPr>
          <w:rFonts w:ascii="Arial" w:hAnsi="Arial" w:cs="Arial"/>
          <w:i/>
          <w:iCs/>
          <w:color w:val="1F1F1F"/>
        </w:rPr>
        <w:t>Siphesihle Pearl</w:t>
      </w:r>
      <w:r w:rsidR="00B86CDE"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 Malaza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4</w:t>
      </w:r>
      <w:r w:rsidR="00EC2929" w:rsidRPr="00B659FB">
        <w:rPr>
          <w:rFonts w:ascii="Arial" w:hAnsi="Arial" w:cs="Arial"/>
          <w:i/>
          <w:iCs/>
          <w:sz w:val="24"/>
          <w:szCs w:val="24"/>
          <w:lang w:val="en-GB"/>
        </w:rPr>
        <w:t>,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 Maarten </w:t>
      </w:r>
      <w:r w:rsidR="00680BE7" w:rsidRPr="00B659FB">
        <w:rPr>
          <w:rFonts w:ascii="Arial" w:hAnsi="Arial" w:cs="Arial"/>
          <w:i/>
          <w:iCs/>
          <w:sz w:val="24"/>
          <w:szCs w:val="24"/>
          <w:lang w:val="en-GB"/>
        </w:rPr>
        <w:t>Ooms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3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, Thomas </w:t>
      </w:r>
      <w:r w:rsidR="00680BE7" w:rsidRPr="00B659FB">
        <w:rPr>
          <w:rFonts w:ascii="Arial" w:hAnsi="Arial" w:cs="Arial"/>
          <w:i/>
          <w:iCs/>
          <w:sz w:val="24"/>
          <w:szCs w:val="24"/>
          <w:lang w:val="en-GB"/>
        </w:rPr>
        <w:t>Cardinaels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6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,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7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, Simon </w:t>
      </w:r>
      <w:r w:rsidR="00680BE7" w:rsidRPr="00B659FB">
        <w:rPr>
          <w:rFonts w:ascii="Arial" w:hAnsi="Arial" w:cs="Arial"/>
          <w:i/>
          <w:iCs/>
          <w:sz w:val="24"/>
          <w:szCs w:val="24"/>
          <w:lang w:val="en-GB"/>
        </w:rPr>
        <w:t>Leekens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4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, Frederik </w:t>
      </w:r>
      <w:r w:rsidR="00680BE7" w:rsidRPr="00B659FB">
        <w:rPr>
          <w:rFonts w:ascii="Arial" w:hAnsi="Arial" w:cs="Arial"/>
          <w:i/>
          <w:iCs/>
          <w:sz w:val="24"/>
          <w:szCs w:val="24"/>
          <w:lang w:val="en-GB"/>
        </w:rPr>
        <w:t>Cleeren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4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*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>, Humphrey Fonge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1,2,</w:t>
      </w:r>
      <w:r w:rsidR="00680BE7"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8</w:t>
      </w:r>
      <w:r w:rsidRPr="00B659FB">
        <w:rPr>
          <w:rFonts w:ascii="Arial" w:hAnsi="Arial" w:cs="Arial"/>
          <w:i/>
          <w:iCs/>
          <w:sz w:val="24"/>
          <w:szCs w:val="24"/>
          <w:vertAlign w:val="superscript"/>
          <w:lang w:val="en-GB"/>
        </w:rPr>
        <w:t>*</w:t>
      </w:r>
    </w:p>
    <w:p w14:paraId="24665A00" w14:textId="3CAED215" w:rsidR="00B15081" w:rsidRPr="00B659FB" w:rsidRDefault="00B15081" w:rsidP="00B15081">
      <w:pPr>
        <w:spacing w:line="480" w:lineRule="auto"/>
        <w:jc w:val="both"/>
        <w:rPr>
          <w:rFonts w:ascii="Arial" w:hAnsi="Arial" w:cs="Arial"/>
          <w:sz w:val="24"/>
          <w:szCs w:val="24"/>
          <w:vertAlign w:val="superscript"/>
          <w:lang w:val="fr-FR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fr-FR"/>
        </w:rPr>
        <w:t>1</w:t>
      </w:r>
      <w:r w:rsidRPr="00B659FB">
        <w:rPr>
          <w:rFonts w:ascii="Arial" w:hAnsi="Arial" w:cs="Arial"/>
          <w:sz w:val="24"/>
          <w:szCs w:val="24"/>
          <w:lang w:val="fr-FR"/>
        </w:rPr>
        <w:t xml:space="preserve">Faculté de Pharmacie, Université Laval, Québec, </w:t>
      </w:r>
      <w:r w:rsidR="006A7CD8" w:rsidRPr="00B659FB">
        <w:rPr>
          <w:rFonts w:ascii="Arial" w:hAnsi="Arial" w:cs="Arial"/>
          <w:sz w:val="24"/>
          <w:szCs w:val="24"/>
          <w:lang w:val="fr-FR"/>
        </w:rPr>
        <w:t xml:space="preserve">QC, </w:t>
      </w:r>
      <w:r w:rsidRPr="00B659FB">
        <w:rPr>
          <w:rFonts w:ascii="Arial" w:hAnsi="Arial" w:cs="Arial"/>
          <w:sz w:val="24"/>
          <w:szCs w:val="24"/>
          <w:lang w:val="fr-FR"/>
        </w:rPr>
        <w:t>Canada</w:t>
      </w:r>
      <w:r w:rsidRPr="00B659FB">
        <w:rPr>
          <w:rFonts w:ascii="Arial" w:hAnsi="Arial" w:cs="Arial"/>
          <w:sz w:val="24"/>
          <w:szCs w:val="24"/>
          <w:vertAlign w:val="superscript"/>
          <w:lang w:val="fr-FR"/>
        </w:rPr>
        <w:t xml:space="preserve"> </w:t>
      </w:r>
    </w:p>
    <w:p w14:paraId="05976601" w14:textId="3F742F0F" w:rsidR="00B15081" w:rsidRPr="00B659FB" w:rsidRDefault="00B15081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fr-FR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fr-FR"/>
        </w:rPr>
        <w:t>2</w:t>
      </w:r>
      <w:r w:rsidRPr="00B659FB">
        <w:rPr>
          <w:rFonts w:ascii="Arial" w:hAnsi="Arial" w:cs="Arial"/>
          <w:sz w:val="24"/>
          <w:szCs w:val="24"/>
          <w:lang w:val="fr-FR"/>
        </w:rPr>
        <w:t xml:space="preserve">Axe Oncologie, Centre de Recherche du CHU de Québec-Université Laval, Québec, </w:t>
      </w:r>
      <w:r w:rsidR="006A7CD8" w:rsidRPr="00B659FB">
        <w:rPr>
          <w:rFonts w:ascii="Arial" w:hAnsi="Arial" w:cs="Arial"/>
          <w:sz w:val="24"/>
          <w:szCs w:val="24"/>
          <w:lang w:val="fr-FR"/>
        </w:rPr>
        <w:t xml:space="preserve">QC, </w:t>
      </w:r>
      <w:r w:rsidRPr="00B659FB">
        <w:rPr>
          <w:rFonts w:ascii="Arial" w:hAnsi="Arial" w:cs="Arial"/>
          <w:sz w:val="24"/>
          <w:szCs w:val="24"/>
          <w:lang w:val="fr-FR"/>
        </w:rPr>
        <w:t xml:space="preserve">Canada </w:t>
      </w:r>
    </w:p>
    <w:p w14:paraId="1B9130E6" w14:textId="68552088" w:rsidR="00B15081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3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Nuclear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Medical Applications Institute, Belgian Nuclear Research Center (SCK CEN), Mol, Belgium.</w:t>
      </w:r>
    </w:p>
    <w:p w14:paraId="2C0DB867" w14:textId="75125288" w:rsidR="00B15081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bCs/>
          <w:sz w:val="24"/>
          <w:szCs w:val="24"/>
          <w:vertAlign w:val="superscript"/>
          <w:lang w:val="en-GB"/>
        </w:rPr>
        <w:t>4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Radiopharmaceutical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Research, Department of Pharmaceutical and Pharmacological Sciences, University of Leuven, Leuven, Belgium.</w:t>
      </w:r>
    </w:p>
    <w:p w14:paraId="256820E2" w14:textId="06F37B53" w:rsidR="00B15081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5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Department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of Radiology, University of Iowa Health Care, 200 Hawkins Drive, Iowa City, IA</w:t>
      </w:r>
      <w:r w:rsidR="006A7CD8" w:rsidRPr="00B659FB">
        <w:rPr>
          <w:rFonts w:ascii="Arial" w:hAnsi="Arial" w:cs="Arial"/>
          <w:sz w:val="24"/>
          <w:szCs w:val="24"/>
          <w:lang w:val="en-GB"/>
        </w:rPr>
        <w:t>,</w:t>
      </w:r>
      <w:r w:rsidR="00B15081" w:rsidRPr="00B659FB">
        <w:rPr>
          <w:rFonts w:ascii="Arial" w:hAnsi="Arial" w:cs="Arial"/>
          <w:sz w:val="24"/>
          <w:szCs w:val="24"/>
          <w:lang w:val="en-GB"/>
        </w:rPr>
        <w:t xml:space="preserve"> USA</w:t>
      </w:r>
    </w:p>
    <w:p w14:paraId="26C2534C" w14:textId="2A4DDDD8" w:rsidR="00B15081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6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Department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of Chemistry, University of Leuven, Leuven, Belgium</w:t>
      </w:r>
    </w:p>
    <w:p w14:paraId="0802523F" w14:textId="43980E1C" w:rsidR="00B15081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7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Flemish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Institute for Technological Research (VITO), Materials and Chemistry Unit, Mol, Belgium</w:t>
      </w:r>
    </w:p>
    <w:p w14:paraId="61FC0EB7" w14:textId="3B621B58" w:rsidR="00680BE7" w:rsidRPr="00B659FB" w:rsidRDefault="00680BE7" w:rsidP="00680BE7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8</w:t>
      </w:r>
      <w:r w:rsidRPr="00B659FB">
        <w:rPr>
          <w:rFonts w:ascii="Arial" w:hAnsi="Arial" w:cs="Arial"/>
          <w:sz w:val="24"/>
          <w:szCs w:val="24"/>
          <w:lang w:val="en-GB"/>
        </w:rPr>
        <w:t>Department of Medical Imaging, College of Medicine, University of Saskatchewan, Saskatoon, SK, Canada</w:t>
      </w:r>
    </w:p>
    <w:p w14:paraId="7CA4331D" w14:textId="77777777" w:rsidR="00680BE7" w:rsidRPr="00B659FB" w:rsidRDefault="00680BE7" w:rsidP="00B15081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2B48A1D6" w14:textId="77777777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140E64F" w14:textId="77777777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59CFE266" w14:textId="772D98B7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sz w:val="24"/>
          <w:szCs w:val="24"/>
          <w:lang w:val="en-GB"/>
        </w:rPr>
        <w:t>Supplementary information:</w:t>
      </w:r>
    </w:p>
    <w:p w14:paraId="197E88AE" w14:textId="68276E32" w:rsidR="00183C7E" w:rsidRPr="00B659FB" w:rsidRDefault="00183C7E" w:rsidP="00183C7E">
      <w:pPr>
        <w:spacing w:line="48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659FB">
        <w:rPr>
          <w:rFonts w:ascii="Arial" w:hAnsi="Arial" w:cs="Arial"/>
          <w:b/>
          <w:bCs/>
          <w:sz w:val="24"/>
          <w:szCs w:val="24"/>
        </w:rPr>
        <w:t xml:space="preserve">Chemicals </w:t>
      </w:r>
    </w:p>
    <w:p w14:paraId="234301A2" w14:textId="5CD95AD5" w:rsidR="00183C7E" w:rsidRPr="00B659FB" w:rsidRDefault="00183C7E" w:rsidP="003A1A6D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t>Triethylamine was purchased from Sigma-Aldrich and used without purification. All HPLC grade solvents used were purchased from Merck and de-ionized water was generated in-house using a Millipore water purification system. Bis-TFP-PEG</w:t>
      </w:r>
      <w:r w:rsidRPr="00B659FB">
        <w:rPr>
          <w:rFonts w:ascii="Arial" w:hAnsi="Arial" w:cs="Arial"/>
          <w:sz w:val="24"/>
          <w:szCs w:val="24"/>
          <w:vertAlign w:val="subscript"/>
        </w:rPr>
        <w:t>4</w:t>
      </w:r>
      <w:r w:rsidRPr="00B659FB">
        <w:rPr>
          <w:rFonts w:ascii="Arial" w:hAnsi="Arial" w:cs="Arial"/>
          <w:sz w:val="24"/>
          <w:szCs w:val="24"/>
        </w:rPr>
        <w:t xml:space="preserve"> was purchased from MedChemExpress (Monmouth Junction, NJ).</w:t>
      </w:r>
    </w:p>
    <w:p w14:paraId="786673FB" w14:textId="77777777" w:rsidR="00183C7E" w:rsidRPr="00B659FB" w:rsidRDefault="00183C7E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72D5420" w14:textId="76191040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sz w:val="24"/>
          <w:szCs w:val="24"/>
          <w:lang w:val="en-GB"/>
        </w:rPr>
        <w:t>Synthesis</w:t>
      </w:r>
      <w:r w:rsidR="009035F1" w:rsidRPr="00B659FB">
        <w:rPr>
          <w:rFonts w:ascii="Arial" w:hAnsi="Arial" w:cs="Arial"/>
          <w:b/>
          <w:bCs/>
          <w:sz w:val="24"/>
          <w:szCs w:val="24"/>
          <w:lang w:val="en-GB"/>
        </w:rPr>
        <w:t>, purification and characterization of</w:t>
      </w:r>
      <w:r w:rsidRPr="00B659FB">
        <w:rPr>
          <w:rFonts w:ascii="Arial" w:hAnsi="Arial" w:cs="Arial"/>
          <w:b/>
          <w:bCs/>
          <w:sz w:val="24"/>
          <w:szCs w:val="24"/>
          <w:lang w:val="en-GB"/>
        </w:rPr>
        <w:t xml:space="preserve"> 3p-C-DEPA</w:t>
      </w:r>
      <w:r w:rsidRPr="00B659FB">
        <w:rPr>
          <w:rFonts w:ascii="Arial" w:hAnsi="Arial" w:cs="Arial"/>
          <w:b/>
          <w:bCs/>
          <w:sz w:val="24"/>
          <w:szCs w:val="24"/>
          <w:vertAlign w:val="subscript"/>
          <w:lang w:val="en-GB"/>
        </w:rPr>
        <w:t>-TFP</w:t>
      </w:r>
      <w:r w:rsidRPr="00B659FB">
        <w:rPr>
          <w:rFonts w:ascii="Arial" w:hAnsi="Arial" w:cs="Arial"/>
          <w:b/>
          <w:bCs/>
          <w:sz w:val="24"/>
          <w:szCs w:val="24"/>
          <w:lang w:val="en-GB"/>
        </w:rPr>
        <w:t>-PEG</w:t>
      </w:r>
      <w:r w:rsidRPr="00B659FB">
        <w:rPr>
          <w:rFonts w:ascii="Arial" w:hAnsi="Arial" w:cs="Arial"/>
          <w:b/>
          <w:bCs/>
          <w:sz w:val="24"/>
          <w:szCs w:val="24"/>
          <w:vertAlign w:val="subscript"/>
          <w:lang w:val="en-GB"/>
        </w:rPr>
        <w:t xml:space="preserve">4 </w:t>
      </w:r>
    </w:p>
    <w:p w14:paraId="410106C6" w14:textId="4EA86003" w:rsidR="00B15081" w:rsidRPr="00B659FB" w:rsidRDefault="00183C7E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sz w:val="24"/>
          <w:szCs w:val="24"/>
        </w:rPr>
        <w:t>3p-C-DEPA-NH</w:t>
      </w:r>
      <w:r w:rsidRPr="00B659FB">
        <w:rPr>
          <w:rFonts w:ascii="Arial" w:hAnsi="Arial" w:cs="Arial"/>
          <w:sz w:val="24"/>
          <w:szCs w:val="24"/>
          <w:vertAlign w:val="subscript"/>
        </w:rPr>
        <w:t>2</w:t>
      </w:r>
      <w:r w:rsidRPr="00B659FB">
        <w:rPr>
          <w:rFonts w:ascii="Arial" w:hAnsi="Arial" w:cs="Arial"/>
          <w:sz w:val="24"/>
          <w:szCs w:val="24"/>
        </w:rPr>
        <w:t xml:space="preserve"> (</w:t>
      </w:r>
      <w:r w:rsidRPr="00B659FB">
        <w:rPr>
          <w:rFonts w:ascii="Arial" w:hAnsi="Arial" w:cs="Arial"/>
          <w:sz w:val="24"/>
          <w:szCs w:val="24"/>
          <w:vertAlign w:val="superscript"/>
        </w:rPr>
        <w:t>t</w:t>
      </w:r>
      <w:r w:rsidRPr="00B659FB">
        <w:rPr>
          <w:rFonts w:ascii="Arial" w:hAnsi="Arial" w:cs="Arial"/>
          <w:sz w:val="24"/>
          <w:szCs w:val="24"/>
        </w:rPr>
        <w:t>Bu</w:t>
      </w:r>
      <w:r w:rsidRPr="00B659FB">
        <w:rPr>
          <w:rFonts w:ascii="Arial" w:hAnsi="Arial" w:cs="Arial"/>
          <w:sz w:val="24"/>
          <w:szCs w:val="24"/>
          <w:vertAlign w:val="subscript"/>
        </w:rPr>
        <w:t>5</w:t>
      </w:r>
      <w:r w:rsidRPr="00B659FB">
        <w:rPr>
          <w:rFonts w:ascii="Arial" w:hAnsi="Arial" w:cs="Arial"/>
          <w:sz w:val="24"/>
          <w:szCs w:val="24"/>
        </w:rPr>
        <w:t xml:space="preserve">) was synthesized analogous to the method by Song </w:t>
      </w:r>
      <w:r w:rsidRPr="00B659FB">
        <w:rPr>
          <w:rFonts w:ascii="Arial" w:hAnsi="Arial" w:cs="Arial"/>
          <w:i/>
          <w:iCs/>
          <w:sz w:val="24"/>
          <w:szCs w:val="24"/>
        </w:rPr>
        <w:t>et al</w:t>
      </w:r>
      <w:r w:rsidRPr="00B659FB">
        <w:rPr>
          <w:rFonts w:ascii="Arial" w:hAnsi="Arial" w:cs="Arial"/>
          <w:sz w:val="24"/>
          <w:szCs w:val="24"/>
        </w:rPr>
        <w:t>.</w:t>
      </w:r>
      <w:r w:rsidR="00204D05" w:rsidRPr="00B659FB">
        <w:rPr>
          <w:rFonts w:ascii="Arial" w:hAnsi="Arial" w:cs="Arial"/>
          <w:sz w:val="24"/>
          <w:szCs w:val="24"/>
        </w:rPr>
        <w:t xml:space="preserve"> </w:t>
      </w:r>
      <w:r w:rsidR="00204D05" w:rsidRPr="00B659FB">
        <w:rPr>
          <w:rFonts w:ascii="Arial" w:hAnsi="Arial" w:cs="Arial"/>
          <w:sz w:val="24"/>
          <w:szCs w:val="24"/>
        </w:rPr>
        <w:fldChar w:fldCharType="begin">
          <w:fldData xml:space="preserve">PEVuZE5vdGU+PENpdGU+PEF1dGhvcj5Tb25nPC9BdXRob3I+PFllYXI+MjAxMTwvWWVhcj48UmVj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==
</w:fldData>
        </w:fldChar>
      </w:r>
      <w:r w:rsidR="00204D05" w:rsidRPr="00B659FB">
        <w:rPr>
          <w:rFonts w:ascii="Arial" w:hAnsi="Arial" w:cs="Arial"/>
          <w:sz w:val="24"/>
          <w:szCs w:val="24"/>
        </w:rPr>
        <w:instrText xml:space="preserve"> ADDIN EN.CITE </w:instrText>
      </w:r>
      <w:r w:rsidR="00204D05" w:rsidRPr="00B659FB">
        <w:rPr>
          <w:rFonts w:ascii="Arial" w:hAnsi="Arial" w:cs="Arial"/>
          <w:sz w:val="24"/>
          <w:szCs w:val="24"/>
        </w:rPr>
        <w:fldChar w:fldCharType="begin">
          <w:fldData xml:space="preserve">PEVuZE5vdGU+PENpdGU+PEF1dGhvcj5Tb25nPC9BdXRob3I+PFllYXI+MjAxMTwvWWVhcj48UmVj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==
</w:fldData>
        </w:fldChar>
      </w:r>
      <w:r w:rsidR="00204D05" w:rsidRPr="00B659FB">
        <w:rPr>
          <w:rFonts w:ascii="Arial" w:hAnsi="Arial" w:cs="Arial"/>
          <w:sz w:val="24"/>
          <w:szCs w:val="24"/>
        </w:rPr>
        <w:instrText xml:space="preserve"> ADDIN EN.CITE.DATA </w:instrText>
      </w:r>
      <w:r w:rsidR="00204D05" w:rsidRPr="00B659FB">
        <w:rPr>
          <w:rFonts w:ascii="Arial" w:hAnsi="Arial" w:cs="Arial"/>
          <w:sz w:val="24"/>
          <w:szCs w:val="24"/>
        </w:rPr>
      </w:r>
      <w:r w:rsidR="00204D05" w:rsidRPr="00B659FB">
        <w:rPr>
          <w:rFonts w:ascii="Arial" w:hAnsi="Arial" w:cs="Arial"/>
          <w:sz w:val="24"/>
          <w:szCs w:val="24"/>
        </w:rPr>
        <w:fldChar w:fldCharType="end"/>
      </w:r>
      <w:r w:rsidR="00204D05" w:rsidRPr="00B659FB">
        <w:rPr>
          <w:rFonts w:ascii="Arial" w:hAnsi="Arial" w:cs="Arial"/>
          <w:sz w:val="24"/>
          <w:szCs w:val="24"/>
        </w:rPr>
      </w:r>
      <w:r w:rsidR="00204D05" w:rsidRPr="00B659FB">
        <w:rPr>
          <w:rFonts w:ascii="Arial" w:hAnsi="Arial" w:cs="Arial"/>
          <w:sz w:val="24"/>
          <w:szCs w:val="24"/>
        </w:rPr>
        <w:fldChar w:fldCharType="separate"/>
      </w:r>
      <w:r w:rsidR="00204D05" w:rsidRPr="00B659FB">
        <w:rPr>
          <w:rFonts w:ascii="Arial" w:hAnsi="Arial" w:cs="Arial"/>
          <w:noProof/>
          <w:sz w:val="24"/>
          <w:szCs w:val="24"/>
        </w:rPr>
        <w:t>[1]</w:t>
      </w:r>
      <w:r w:rsidR="00204D05" w:rsidRPr="00B659FB">
        <w:rPr>
          <w:rFonts w:ascii="Arial" w:hAnsi="Arial" w:cs="Arial"/>
          <w:sz w:val="24"/>
          <w:szCs w:val="24"/>
        </w:rPr>
        <w:fldChar w:fldCharType="end"/>
      </w:r>
      <w:r w:rsidRPr="00B659FB">
        <w:rPr>
          <w:rFonts w:ascii="Arial" w:hAnsi="Arial" w:cs="Arial"/>
          <w:sz w:val="24"/>
          <w:szCs w:val="24"/>
        </w:rPr>
        <w:t xml:space="preserve">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16.2 mg (1 molar eq.) of 3p-C-DEPA-NH2 (tBu)5 in 0.5 mL ACN was added to 1.5 molar eq. of TFP-PEG</w:t>
      </w:r>
      <w:r w:rsidR="00B15081" w:rsidRPr="00B659FB">
        <w:rPr>
          <w:rFonts w:ascii="Arial" w:hAnsi="Arial" w:cs="Arial"/>
          <w:sz w:val="24"/>
          <w:szCs w:val="24"/>
          <w:vertAlign w:val="subscript"/>
          <w:lang w:val="en-GB"/>
        </w:rPr>
        <w:t>4</w:t>
      </w:r>
      <w:r w:rsidR="00B15081" w:rsidRPr="00B659FB">
        <w:rPr>
          <w:rFonts w:ascii="Arial" w:hAnsi="Arial" w:cs="Arial"/>
          <w:sz w:val="24"/>
          <w:szCs w:val="24"/>
          <w:lang w:val="en-GB"/>
        </w:rPr>
        <w:t>-TFP (MedChemExpress, Monmouth Junction, USA) and 1.5 molar eq. of DIPEA in 0.5 mL ACN (drop-by-drop). The reaction was carried out at 60°C, for 48 h under continuous stirring. The resulting crude mixture was purified using preparative HPLC</w:t>
      </w:r>
      <w:r w:rsidR="00B15081" w:rsidRPr="00B659FB">
        <w:rPr>
          <w:rFonts w:ascii="Arial" w:hAnsi="Arial" w:cs="Arial"/>
          <w:i/>
          <w:iCs/>
          <w:sz w:val="24"/>
          <w:szCs w:val="24"/>
          <w:lang w:val="en-GB"/>
        </w:rPr>
        <w:t xml:space="preserve">.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3p-</w:t>
      </w:r>
      <w:r w:rsidR="00B15081" w:rsidRPr="00B659FB">
        <w:rPr>
          <w:rFonts w:ascii="Arial" w:hAnsi="Arial" w:cs="Arial"/>
          <w:i/>
          <w:iCs/>
          <w:sz w:val="24"/>
          <w:szCs w:val="24"/>
          <w:lang w:val="en-GB"/>
        </w:rPr>
        <w:t>C</w:t>
      </w:r>
      <w:r w:rsidR="00B15081" w:rsidRPr="00B659FB">
        <w:rPr>
          <w:rFonts w:ascii="Arial" w:hAnsi="Arial" w:cs="Arial"/>
          <w:sz w:val="24"/>
          <w:szCs w:val="24"/>
          <w:lang w:val="en-GB"/>
        </w:rPr>
        <w:t>-DEPA-TFP(tBu)</w:t>
      </w:r>
      <w:r w:rsidR="00B15081" w:rsidRPr="00B659FB">
        <w:rPr>
          <w:rFonts w:ascii="Arial" w:hAnsi="Arial" w:cs="Arial"/>
          <w:sz w:val="24"/>
          <w:szCs w:val="24"/>
          <w:vertAlign w:val="subscript"/>
          <w:lang w:val="en-GB"/>
        </w:rPr>
        <w:t xml:space="preserve">5 </w:t>
      </w:r>
      <w:r w:rsidR="00B15081" w:rsidRPr="00B659FB">
        <w:rPr>
          <w:rFonts w:ascii="Arial" w:hAnsi="Arial" w:cs="Arial"/>
          <w:sz w:val="24"/>
          <w:szCs w:val="24"/>
          <w:lang w:val="en-GB"/>
        </w:rPr>
        <w:t>was redissolved in 2 mL 100% TFA and left to deprotect for 4.5 h under continuous stirring at room temperature</w:t>
      </w:r>
      <w:r w:rsidR="005B0CCF" w:rsidRPr="00B659FB">
        <w:rPr>
          <w:rFonts w:ascii="Arial" w:hAnsi="Arial" w:cs="Arial"/>
          <w:sz w:val="24"/>
          <w:szCs w:val="24"/>
          <w:lang w:val="en-GB"/>
        </w:rPr>
        <w:t xml:space="preserve"> followed by purification using preparative HPLC</w:t>
      </w:r>
      <w:r w:rsidR="00B15081" w:rsidRPr="00B659FB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796A91AF" w14:textId="45FB8BE9" w:rsidR="009035F1" w:rsidRPr="00B659FB" w:rsidRDefault="009035F1" w:rsidP="003A1A6D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t xml:space="preserve">Preparative HPLC was performed using an Agilent 1100 Series HPLC system fitted with an X-Bridge C-18 (5 µm, 4.6 x 250 mm) column and injection volume of 10 – 15 µL. The analysis software was GINA star 5.8 (Elysia-Raytest). </w:t>
      </w:r>
      <w:r w:rsidR="005B0CCF" w:rsidRPr="00B659FB">
        <w:rPr>
          <w:rFonts w:ascii="Arial" w:hAnsi="Arial" w:cs="Arial"/>
          <w:sz w:val="24"/>
          <w:szCs w:val="24"/>
        </w:rPr>
        <w:t>M</w:t>
      </w:r>
      <w:r w:rsidRPr="00B659FB">
        <w:rPr>
          <w:rFonts w:ascii="Arial" w:hAnsi="Arial" w:cs="Arial"/>
          <w:sz w:val="24"/>
          <w:szCs w:val="24"/>
        </w:rPr>
        <w:t xml:space="preserve">obile phase </w:t>
      </w:r>
      <w:r w:rsidR="005B0CCF" w:rsidRPr="00B659FB">
        <w:rPr>
          <w:rFonts w:ascii="Arial" w:hAnsi="Arial" w:cs="Arial"/>
          <w:sz w:val="24"/>
          <w:szCs w:val="24"/>
        </w:rPr>
        <w:t>comprised of</w:t>
      </w:r>
      <w:r w:rsidRPr="00B659FB">
        <w:rPr>
          <w:rFonts w:ascii="Arial" w:hAnsi="Arial" w:cs="Arial"/>
          <w:sz w:val="24"/>
          <w:szCs w:val="24"/>
        </w:rPr>
        <w:t xml:space="preserve"> 0.1%TFA/deionized Water (solvent A) and 0.1%TFA/Acetonitrile (solvent B) at a flow rate of 1 mL/min over 30 minutes. To remove impurities, a gradient of 30 – 80% solvent B over 10 minutes followed by isocratic 10% solvent B over 5 minutes was used. Thereafter, isocratic 95% solvent B for 10 minutes to elute the desired </w:t>
      </w:r>
      <w:r w:rsidRPr="00B659FB">
        <w:rPr>
          <w:rFonts w:ascii="Arial" w:hAnsi="Arial" w:cs="Arial"/>
          <w:sz w:val="24"/>
          <w:szCs w:val="24"/>
        </w:rPr>
        <w:lastRenderedPageBreak/>
        <w:t>compound. Subsequently, the mobile phase was set to a gradient from 95 – 30% solvent B for equilibration. The collected fractions were dried using a benchtop Labconco FreeZone 2.5 L freeze dryer at -84 ºC prior to characterization.</w:t>
      </w:r>
    </w:p>
    <w:p w14:paraId="59A9FBEC" w14:textId="139CA97F" w:rsidR="005B0CCF" w:rsidRPr="00B659FB" w:rsidRDefault="009035F1" w:rsidP="00C83145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t>Nuclear magnetic resonance (NMR) spectra were recorded on a Bruker Ultrashield 300 Plus spectrometer (</w:t>
      </w:r>
      <w:r w:rsidRPr="00B659FB">
        <w:rPr>
          <w:rFonts w:ascii="Arial" w:hAnsi="Arial" w:cs="Arial"/>
          <w:sz w:val="24"/>
          <w:szCs w:val="24"/>
          <w:vertAlign w:val="superscript"/>
        </w:rPr>
        <w:t>1</w:t>
      </w:r>
      <w:r w:rsidRPr="00B659FB">
        <w:rPr>
          <w:rFonts w:ascii="Arial" w:hAnsi="Arial" w:cs="Arial"/>
          <w:sz w:val="24"/>
          <w:szCs w:val="24"/>
        </w:rPr>
        <w:t xml:space="preserve">H: 300 MHz, </w:t>
      </w:r>
      <w:r w:rsidRPr="00B659FB">
        <w:rPr>
          <w:rFonts w:ascii="Arial" w:hAnsi="Arial" w:cs="Arial"/>
          <w:sz w:val="24"/>
          <w:szCs w:val="24"/>
          <w:vertAlign w:val="superscript"/>
        </w:rPr>
        <w:t>19</w:t>
      </w:r>
      <w:r w:rsidRPr="00B659FB">
        <w:rPr>
          <w:rFonts w:ascii="Arial" w:hAnsi="Arial" w:cs="Arial"/>
          <w:sz w:val="24"/>
          <w:szCs w:val="24"/>
        </w:rPr>
        <w:t>F{</w:t>
      </w:r>
      <w:r w:rsidRPr="00B659FB">
        <w:rPr>
          <w:rFonts w:ascii="Arial" w:hAnsi="Arial" w:cs="Arial"/>
          <w:sz w:val="24"/>
          <w:szCs w:val="24"/>
          <w:vertAlign w:val="superscript"/>
        </w:rPr>
        <w:t>1</w:t>
      </w:r>
      <w:r w:rsidRPr="00B659FB">
        <w:rPr>
          <w:rFonts w:ascii="Arial" w:hAnsi="Arial" w:cs="Arial"/>
          <w:sz w:val="24"/>
          <w:szCs w:val="24"/>
        </w:rPr>
        <w:t>H}:282 MHz) at ambient temperature. All chemical shifts are reported in the standard δ notation of parts per million using tetramethylsilane (TMS) as an internal standard and were referenced relative to the signal of the deuterated solvent, DMSO-</w:t>
      </w:r>
      <w:r w:rsidRPr="00B659FB">
        <w:rPr>
          <w:rFonts w:ascii="Arial" w:hAnsi="Arial" w:cs="Arial"/>
          <w:i/>
          <w:iCs/>
          <w:sz w:val="24"/>
          <w:szCs w:val="24"/>
        </w:rPr>
        <w:t>d</w:t>
      </w:r>
      <w:r w:rsidRPr="00B659FB">
        <w:rPr>
          <w:rFonts w:ascii="Arial" w:hAnsi="Arial" w:cs="Arial"/>
          <w:i/>
          <w:iCs/>
          <w:sz w:val="24"/>
          <w:szCs w:val="24"/>
          <w:vertAlign w:val="subscript"/>
        </w:rPr>
        <w:t>6</w:t>
      </w:r>
      <w:r w:rsidRPr="00B659FB">
        <w:rPr>
          <w:rFonts w:ascii="Arial" w:hAnsi="Arial" w:cs="Arial"/>
          <w:sz w:val="24"/>
          <w:szCs w:val="24"/>
        </w:rPr>
        <w:t xml:space="preserve">. The J coupling constants are reported in Hertz (Hz). Spin multiplicities are reported in abbreviated conventional format (s = singlet, m = multiplet, d = doublet, br t = broad triplet). </w:t>
      </w:r>
      <w:r w:rsidR="002708D8" w:rsidRPr="00B659FB">
        <w:rPr>
          <w:rFonts w:ascii="Arial" w:hAnsi="Arial" w:cs="Arial"/>
          <w:sz w:val="24"/>
          <w:szCs w:val="24"/>
          <w:vertAlign w:val="superscript"/>
          <w:lang w:val="pt-BR"/>
        </w:rPr>
        <w:t>1</w:t>
      </w:r>
      <w:r w:rsidR="002708D8" w:rsidRPr="00B659FB">
        <w:rPr>
          <w:rFonts w:ascii="Arial" w:hAnsi="Arial" w:cs="Arial"/>
          <w:sz w:val="24"/>
          <w:szCs w:val="24"/>
          <w:lang w:val="pt-BR"/>
        </w:rPr>
        <w:t>H NMR (300 MHz, DMSO-</w:t>
      </w:r>
      <w:r w:rsidR="002708D8" w:rsidRPr="00B659FB">
        <w:rPr>
          <w:rFonts w:ascii="Arial" w:hAnsi="Arial" w:cs="Arial"/>
          <w:i/>
          <w:iCs/>
          <w:sz w:val="24"/>
          <w:szCs w:val="24"/>
          <w:lang w:val="pt-BR"/>
        </w:rPr>
        <w:t>d</w:t>
      </w:r>
      <w:r w:rsidR="002708D8" w:rsidRPr="00B659FB">
        <w:rPr>
          <w:rFonts w:ascii="Arial" w:hAnsi="Arial" w:cs="Arial"/>
          <w:i/>
          <w:iCs/>
          <w:sz w:val="24"/>
          <w:szCs w:val="24"/>
          <w:vertAlign w:val="subscript"/>
          <w:lang w:val="pt-BR"/>
        </w:rPr>
        <w:t>6</w:t>
      </w:r>
      <w:r w:rsidR="002708D8" w:rsidRPr="00B659FB">
        <w:rPr>
          <w:rFonts w:ascii="Arial" w:hAnsi="Arial" w:cs="Arial"/>
          <w:sz w:val="24"/>
          <w:szCs w:val="24"/>
          <w:lang w:val="pt-BR"/>
        </w:rPr>
        <w:t xml:space="preserve">) δ 9.86 (s, 1H), 7.97-7.88 (m, 1H), 7.50 (d, </w:t>
      </w:r>
      <w:r w:rsidR="002708D8" w:rsidRPr="00B659FB">
        <w:rPr>
          <w:rFonts w:ascii="Arial" w:hAnsi="Arial" w:cs="Arial"/>
          <w:i/>
          <w:iCs/>
          <w:sz w:val="24"/>
          <w:szCs w:val="24"/>
          <w:vertAlign w:val="superscript"/>
          <w:lang w:val="pt-BR"/>
        </w:rPr>
        <w:t>2</w:t>
      </w:r>
      <w:r w:rsidR="002708D8" w:rsidRPr="00B659FB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2708D8" w:rsidRPr="00B659FB">
        <w:rPr>
          <w:rFonts w:ascii="Arial" w:hAnsi="Arial" w:cs="Arial"/>
          <w:sz w:val="24"/>
          <w:szCs w:val="24"/>
          <w:lang w:val="pt-BR"/>
        </w:rPr>
        <w:t xml:space="preserve"> =9 Hz, 2H) , 7.12 (d, </w:t>
      </w:r>
      <w:r w:rsidR="002708D8" w:rsidRPr="00B659FB">
        <w:rPr>
          <w:rFonts w:ascii="Arial" w:hAnsi="Arial" w:cs="Arial"/>
          <w:i/>
          <w:iCs/>
          <w:sz w:val="24"/>
          <w:szCs w:val="24"/>
          <w:vertAlign w:val="superscript"/>
          <w:lang w:val="pt-BR"/>
        </w:rPr>
        <w:t>2</w:t>
      </w:r>
      <w:r w:rsidR="002708D8" w:rsidRPr="00B659FB">
        <w:rPr>
          <w:rFonts w:ascii="Arial" w:hAnsi="Arial" w:cs="Arial"/>
          <w:i/>
          <w:iCs/>
          <w:sz w:val="24"/>
          <w:szCs w:val="24"/>
          <w:lang w:val="pt-BR"/>
        </w:rPr>
        <w:t>J</w:t>
      </w:r>
      <w:r w:rsidR="002708D8" w:rsidRPr="00B659FB">
        <w:rPr>
          <w:rFonts w:ascii="Arial" w:hAnsi="Arial" w:cs="Arial"/>
          <w:sz w:val="24"/>
          <w:szCs w:val="24"/>
          <w:lang w:val="pt-BR"/>
        </w:rPr>
        <w:t xml:space="preserve"> =9 Hz, 2H) , 4.20 - 4.23 (m, 4H), 3.89 - 3.68 (coalesce signals, 28H), 3.18- 2.99 (coalesce signals, 10H), 2.43 (br t, 2H) 2.28 (s, 2H), 1.82 (s, 2H), 1.56 - 1.40 (coalesce signals, 10H), 1.23 (s, 6H), 0.8- 0.83 (m, 2H).</w:t>
      </w:r>
    </w:p>
    <w:p w14:paraId="487CECCA" w14:textId="6F2535E0" w:rsidR="009035F1" w:rsidRPr="00B659FB" w:rsidRDefault="005B0CCF" w:rsidP="003A1A6D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  <w:lang w:val="en-GB"/>
        </w:rPr>
        <w:t xml:space="preserve">Purity and identity of the end-product was verified using LC-HRMS. </w:t>
      </w:r>
      <w:r w:rsidR="009035F1" w:rsidRPr="00B659FB">
        <w:rPr>
          <w:rFonts w:ascii="Arial" w:hAnsi="Arial" w:cs="Arial"/>
          <w:sz w:val="24"/>
          <w:szCs w:val="24"/>
        </w:rPr>
        <w:t xml:space="preserve">LC-MS data was obtained using a Waters e-2695 Separations Module coupled to a Waters 2998 PDA UV Detector (λ =210-400 nm) and a Waters Acquity ESI QDa (negative mode, 100-1200 Da) system. The data was analysed using Waters’ Empower 3 software. The column used was an X-Bridge C-18 (3.5 µm, 3.0 x 100 mm). The mobile phase comprised 0.1% formic acid/deionized Water (solvent A) and 0.1% formic acid/Acetonitrile (solvent B) at a flow rate of 0.8 mL/min. The mobile phase was isocratic 5% solvent B for 3 minutes, a gradient of 5 – 95% solvent B over 10 minutes and isocratic 95% solvent B for a minute followed by 5% solvent B for 2 minutes. </w:t>
      </w:r>
      <w:r w:rsidRPr="00B659FB">
        <w:rPr>
          <w:rFonts w:ascii="Arial" w:hAnsi="Arial" w:cs="Arial"/>
          <w:sz w:val="24"/>
          <w:szCs w:val="24"/>
          <w:lang w:val="en-GB"/>
        </w:rPr>
        <w:t>The following m/z value was observed after deprotection; 532.37 (calculated for C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47</w:t>
      </w:r>
      <w:r w:rsidRPr="00B659FB">
        <w:rPr>
          <w:rFonts w:ascii="Arial" w:hAnsi="Arial" w:cs="Arial"/>
          <w:sz w:val="24"/>
          <w:szCs w:val="24"/>
          <w:lang w:val="en-GB"/>
        </w:rPr>
        <w:t>H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66</w:t>
      </w:r>
      <w:r w:rsidRPr="00B659FB">
        <w:rPr>
          <w:rFonts w:ascii="Arial" w:hAnsi="Arial" w:cs="Arial"/>
          <w:sz w:val="24"/>
          <w:szCs w:val="24"/>
          <w:lang w:val="en-GB"/>
        </w:rPr>
        <w:t>F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4</w:t>
      </w:r>
      <w:r w:rsidRPr="00B659FB">
        <w:rPr>
          <w:rFonts w:ascii="Arial" w:hAnsi="Arial" w:cs="Arial"/>
          <w:sz w:val="24"/>
          <w:szCs w:val="24"/>
          <w:lang w:val="en-GB"/>
        </w:rPr>
        <w:t>N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6</w:t>
      </w:r>
      <w:r w:rsidRPr="00B659FB">
        <w:rPr>
          <w:rFonts w:ascii="Arial" w:hAnsi="Arial" w:cs="Arial"/>
          <w:sz w:val="24"/>
          <w:szCs w:val="24"/>
          <w:lang w:val="en-GB"/>
        </w:rPr>
        <w:t>O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17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 [M + 2H]</w:t>
      </w:r>
      <w:r w:rsidRPr="00B659FB">
        <w:rPr>
          <w:rFonts w:ascii="Arial" w:hAnsi="Arial" w:cs="Arial"/>
          <w:sz w:val="24"/>
          <w:szCs w:val="24"/>
          <w:vertAlign w:val="superscript"/>
          <w:lang w:val="en-GB"/>
        </w:rPr>
        <w:t>2+;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 532.23).</w:t>
      </w:r>
    </w:p>
    <w:p w14:paraId="5F6DA7C7" w14:textId="528C4C15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EE00E79" w14:textId="760AED37" w:rsidR="00C83145" w:rsidRPr="00B659FB" w:rsidRDefault="00972787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1C3B578F" wp14:editId="346526B1">
            <wp:extent cx="5731510" cy="2745740"/>
            <wp:effectExtent l="0" t="0" r="0" b="0"/>
            <wp:docPr id="1692137631" name="Picture 1" descr="A black background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37631" name="Picture 1" descr="A black background with red tex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AB408" w14:textId="1A7E4207" w:rsidR="00C83145" w:rsidRPr="00B659FB" w:rsidRDefault="00972787" w:rsidP="00B15081">
      <w:pPr>
        <w:spacing w:before="120" w:after="120" w:line="480" w:lineRule="auto"/>
        <w:jc w:val="both"/>
        <w:rPr>
          <w:rFonts w:ascii="Arial" w:hAnsi="Arial" w:cs="Arial"/>
          <w:b/>
          <w:bCs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noProof/>
          <w:sz w:val="24"/>
          <w:szCs w:val="24"/>
          <w:lang w:val="en-US"/>
        </w:rPr>
        <w:drawing>
          <wp:inline distT="0" distB="0" distL="0" distR="0" wp14:anchorId="78B7B61F" wp14:editId="77626ECE">
            <wp:extent cx="5731510" cy="1842135"/>
            <wp:effectExtent l="0" t="0" r="0" b="0"/>
            <wp:docPr id="1470657399" name="Picture 1" descr="A close-up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657399" name="Picture 1" descr="A close-up of a graph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84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A72EF" w14:textId="3E236726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sz w:val="24"/>
          <w:szCs w:val="24"/>
          <w:lang w:val="en-GB"/>
        </w:rPr>
        <w:t>Fig. S1: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 Synthesis </w:t>
      </w:r>
      <w:r w:rsidR="00C83145" w:rsidRPr="00B659FB">
        <w:rPr>
          <w:rFonts w:ascii="Arial" w:hAnsi="Arial" w:cs="Arial"/>
          <w:sz w:val="24"/>
          <w:szCs w:val="24"/>
          <w:lang w:val="en-GB"/>
        </w:rPr>
        <w:t xml:space="preserve">and analyses </w:t>
      </w:r>
      <w:r w:rsidRPr="00B659FB">
        <w:rPr>
          <w:rFonts w:ascii="Arial" w:hAnsi="Arial" w:cs="Arial"/>
          <w:sz w:val="24"/>
          <w:szCs w:val="24"/>
          <w:lang w:val="en-GB"/>
        </w:rPr>
        <w:t>of 3p-</w:t>
      </w:r>
      <w:r w:rsidRPr="00B659FB">
        <w:rPr>
          <w:rFonts w:ascii="Arial" w:hAnsi="Arial" w:cs="Arial"/>
          <w:i/>
          <w:iCs/>
          <w:sz w:val="24"/>
          <w:szCs w:val="24"/>
          <w:lang w:val="en-GB"/>
        </w:rPr>
        <w:t>C</w:t>
      </w:r>
      <w:r w:rsidRPr="00B659FB">
        <w:rPr>
          <w:rFonts w:ascii="Arial" w:hAnsi="Arial" w:cs="Arial"/>
          <w:sz w:val="24"/>
          <w:szCs w:val="24"/>
          <w:lang w:val="en-GB"/>
        </w:rPr>
        <w:t>-DEPA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-TFP</w:t>
      </w:r>
      <w:r w:rsidRPr="00B659FB">
        <w:rPr>
          <w:rFonts w:ascii="Arial" w:hAnsi="Arial" w:cs="Arial"/>
          <w:sz w:val="24"/>
          <w:szCs w:val="24"/>
          <w:lang w:val="en-GB"/>
        </w:rPr>
        <w:t>-PEG</w:t>
      </w:r>
      <w:r w:rsidRPr="00B659FB">
        <w:rPr>
          <w:rFonts w:ascii="Arial" w:hAnsi="Arial" w:cs="Arial"/>
          <w:sz w:val="24"/>
          <w:szCs w:val="24"/>
          <w:vertAlign w:val="subscript"/>
          <w:lang w:val="en-GB"/>
        </w:rPr>
        <w:t>4</w:t>
      </w:r>
      <w:r w:rsidR="00C83145" w:rsidRPr="00B659FB">
        <w:rPr>
          <w:rFonts w:ascii="Arial" w:hAnsi="Arial" w:cs="Arial"/>
          <w:sz w:val="24"/>
          <w:szCs w:val="24"/>
          <w:lang w:val="en-GB"/>
        </w:rPr>
        <w:t xml:space="preserve">. </w:t>
      </w:r>
      <w:r w:rsidR="00F02C66" w:rsidRPr="00B659FB">
        <w:rPr>
          <w:rFonts w:ascii="Arial" w:hAnsi="Arial" w:cs="Arial"/>
          <w:sz w:val="24"/>
          <w:szCs w:val="24"/>
          <w:lang w:val="en-GB"/>
        </w:rPr>
        <w:t>(</w:t>
      </w:r>
      <w:r w:rsidR="00C83145" w:rsidRPr="00B659FB">
        <w:rPr>
          <w:rFonts w:ascii="Arial" w:hAnsi="Arial" w:cs="Arial"/>
          <w:sz w:val="24"/>
          <w:szCs w:val="24"/>
          <w:lang w:val="en-GB"/>
        </w:rPr>
        <w:t>A) reaction scheme</w:t>
      </w:r>
      <w:r w:rsidR="00F02C66" w:rsidRPr="00B659FB">
        <w:rPr>
          <w:rFonts w:ascii="Arial" w:hAnsi="Arial" w:cs="Arial"/>
          <w:sz w:val="24"/>
          <w:szCs w:val="24"/>
          <w:lang w:val="en-GB"/>
        </w:rPr>
        <w:t xml:space="preserve">, (B) </w:t>
      </w:r>
      <w:r w:rsidR="00F02C66" w:rsidRPr="00B659FB">
        <w:rPr>
          <w:rFonts w:ascii="Arial" w:hAnsi="Arial" w:cs="Arial"/>
          <w:sz w:val="24"/>
          <w:szCs w:val="24"/>
          <w:vertAlign w:val="superscript"/>
          <w:lang w:val="en-GB"/>
        </w:rPr>
        <w:t>1</w:t>
      </w:r>
      <w:r w:rsidR="00F02C66" w:rsidRPr="00B659FB">
        <w:rPr>
          <w:rFonts w:ascii="Arial" w:hAnsi="Arial" w:cs="Arial"/>
          <w:sz w:val="24"/>
          <w:szCs w:val="24"/>
          <w:lang w:val="en-GB"/>
        </w:rPr>
        <w:t>H-NMR spectrum of 3p-</w:t>
      </w:r>
      <w:r w:rsidR="00F02C66" w:rsidRPr="00B659FB">
        <w:rPr>
          <w:rFonts w:ascii="Arial" w:hAnsi="Arial" w:cs="Arial"/>
          <w:i/>
          <w:iCs/>
          <w:sz w:val="24"/>
          <w:szCs w:val="24"/>
          <w:lang w:val="en-GB"/>
        </w:rPr>
        <w:t>C</w:t>
      </w:r>
      <w:r w:rsidR="00F02C66" w:rsidRPr="00B659FB">
        <w:rPr>
          <w:rFonts w:ascii="Arial" w:hAnsi="Arial" w:cs="Arial"/>
          <w:sz w:val="24"/>
          <w:szCs w:val="24"/>
          <w:lang w:val="en-GB"/>
        </w:rPr>
        <w:t>-DEPA</w:t>
      </w:r>
      <w:r w:rsidR="00F02C66" w:rsidRPr="00B659FB">
        <w:rPr>
          <w:rFonts w:ascii="Arial" w:hAnsi="Arial" w:cs="Arial"/>
          <w:sz w:val="24"/>
          <w:szCs w:val="24"/>
          <w:vertAlign w:val="subscript"/>
          <w:lang w:val="en-GB"/>
        </w:rPr>
        <w:t>-TFP</w:t>
      </w:r>
      <w:r w:rsidR="00F02C66" w:rsidRPr="00B659FB">
        <w:rPr>
          <w:rFonts w:ascii="Arial" w:hAnsi="Arial" w:cs="Arial"/>
          <w:sz w:val="24"/>
          <w:szCs w:val="24"/>
          <w:lang w:val="en-GB"/>
        </w:rPr>
        <w:t>-PEG</w:t>
      </w:r>
      <w:r w:rsidR="00F02C66" w:rsidRPr="00B659FB">
        <w:rPr>
          <w:rFonts w:ascii="Arial" w:hAnsi="Arial" w:cs="Arial"/>
          <w:sz w:val="24"/>
          <w:szCs w:val="24"/>
          <w:vertAlign w:val="subscript"/>
          <w:lang w:val="en-GB"/>
        </w:rPr>
        <w:t xml:space="preserve">4 </w:t>
      </w:r>
      <w:r w:rsidR="00F02C66" w:rsidRPr="00B659FB">
        <w:rPr>
          <w:rFonts w:ascii="Arial" w:hAnsi="Arial" w:cs="Arial"/>
          <w:sz w:val="24"/>
          <w:szCs w:val="24"/>
          <w:lang w:val="en-GB"/>
        </w:rPr>
        <w:t>in DMSO-d6; (D) High Performance Liquid Chromatography (HPLC) of the crude reaction mixture of 3p-</w:t>
      </w:r>
      <w:r w:rsidR="00F02C66" w:rsidRPr="00B659FB">
        <w:rPr>
          <w:rFonts w:ascii="Arial" w:hAnsi="Arial" w:cs="Arial"/>
          <w:i/>
          <w:iCs/>
          <w:sz w:val="24"/>
          <w:szCs w:val="24"/>
          <w:lang w:val="en-GB"/>
        </w:rPr>
        <w:t>C</w:t>
      </w:r>
      <w:r w:rsidR="00F02C66" w:rsidRPr="00B659FB">
        <w:rPr>
          <w:rFonts w:ascii="Arial" w:hAnsi="Arial" w:cs="Arial"/>
          <w:sz w:val="24"/>
          <w:szCs w:val="24"/>
          <w:lang w:val="en-GB"/>
        </w:rPr>
        <w:t>-DEPA</w:t>
      </w:r>
      <w:r w:rsidR="00F02C66" w:rsidRPr="00B659FB">
        <w:rPr>
          <w:rFonts w:ascii="Arial" w:hAnsi="Arial" w:cs="Arial"/>
          <w:sz w:val="24"/>
          <w:szCs w:val="24"/>
          <w:vertAlign w:val="subscript"/>
          <w:lang w:val="en-GB"/>
        </w:rPr>
        <w:t>-TFP</w:t>
      </w:r>
      <w:r w:rsidR="00F02C66" w:rsidRPr="00B659FB">
        <w:rPr>
          <w:rFonts w:ascii="Arial" w:hAnsi="Arial" w:cs="Arial"/>
          <w:sz w:val="24"/>
          <w:szCs w:val="24"/>
          <w:lang w:val="en-GB"/>
        </w:rPr>
        <w:t>-PEG</w:t>
      </w:r>
      <w:r w:rsidR="00F02C66" w:rsidRPr="00B659FB">
        <w:rPr>
          <w:rFonts w:ascii="Arial" w:hAnsi="Arial" w:cs="Arial"/>
          <w:sz w:val="24"/>
          <w:szCs w:val="24"/>
          <w:vertAlign w:val="subscript"/>
          <w:lang w:val="en-GB"/>
        </w:rPr>
        <w:t xml:space="preserve">4 </w:t>
      </w:r>
      <w:r w:rsidR="00F02C66" w:rsidRPr="00B659FB">
        <w:rPr>
          <w:rFonts w:ascii="Arial" w:hAnsi="Arial" w:cs="Arial"/>
          <w:sz w:val="24"/>
          <w:szCs w:val="24"/>
          <w:lang w:val="en-GB"/>
        </w:rPr>
        <w:t>using X-Bridge C18 column (5 µm) 4.6 X 250 mm</w:t>
      </w:r>
      <w:r w:rsidR="00972787" w:rsidRPr="00B659FB">
        <w:rPr>
          <w:rFonts w:ascii="Arial" w:hAnsi="Arial" w:cs="Arial"/>
          <w:sz w:val="24"/>
          <w:szCs w:val="24"/>
          <w:lang w:val="en-GB"/>
        </w:rPr>
        <w:t>.</w:t>
      </w:r>
    </w:p>
    <w:p w14:paraId="4DA7F50B" w14:textId="77777777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54F63E61" w14:textId="624B2E9B" w:rsidR="001212C7" w:rsidRPr="00B659FB" w:rsidRDefault="001212C7" w:rsidP="001212C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1F31CF9B" wp14:editId="5567177D">
            <wp:extent cx="6088696" cy="5078186"/>
            <wp:effectExtent l="0" t="0" r="7620" b="8255"/>
            <wp:docPr id="999979172" name="Picture 2" descr="A graph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79172" name="Picture 2" descr="A graph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633" cy="508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B6BAB" w14:textId="77777777" w:rsidR="00C64767" w:rsidRPr="00B659FB" w:rsidRDefault="00C64767" w:rsidP="00C6476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b/>
          <w:bCs/>
          <w:sz w:val="24"/>
          <w:szCs w:val="24"/>
        </w:rPr>
        <w:t>Fig. S2:</w:t>
      </w:r>
      <w:r w:rsidRPr="00B659FB">
        <w:rPr>
          <w:rFonts w:ascii="Arial" w:hAnsi="Arial" w:cs="Arial"/>
          <w:sz w:val="24"/>
          <w:szCs w:val="24"/>
        </w:rPr>
        <w:t xml:space="preserve"> Matrix-assisted laser desorption/ionization- Time of flight (MALDI-TOF) mass spectrometry of trastuzumab  and its conjugates. (A) trastuzumab, and (B) DOTA-trastuzumab, (C) 3p-</w:t>
      </w:r>
      <w:r w:rsidRPr="00B659FB">
        <w:rPr>
          <w:rFonts w:ascii="Arial" w:hAnsi="Arial" w:cs="Arial"/>
          <w:i/>
          <w:iCs/>
          <w:sz w:val="24"/>
          <w:szCs w:val="24"/>
        </w:rPr>
        <w:t>C</w:t>
      </w:r>
      <w:r w:rsidRPr="00B659FB">
        <w:rPr>
          <w:rFonts w:ascii="Arial" w:hAnsi="Arial" w:cs="Arial"/>
          <w:sz w:val="24"/>
          <w:szCs w:val="24"/>
        </w:rPr>
        <w:t>-DEPA-trastuzumab, (D) macropa-trastuzumab, and (E) 3p-</w:t>
      </w:r>
      <w:r w:rsidRPr="00B659FB">
        <w:rPr>
          <w:rFonts w:ascii="Arial" w:hAnsi="Arial" w:cs="Arial"/>
          <w:i/>
          <w:iCs/>
          <w:sz w:val="24"/>
          <w:szCs w:val="24"/>
        </w:rPr>
        <w:t>C</w:t>
      </w:r>
      <w:r w:rsidRPr="00B659FB">
        <w:rPr>
          <w:rFonts w:ascii="Arial" w:hAnsi="Arial" w:cs="Arial"/>
          <w:sz w:val="24"/>
          <w:szCs w:val="24"/>
        </w:rPr>
        <w:t>-DEPA</w:t>
      </w:r>
      <w:r w:rsidRPr="00B659FB">
        <w:rPr>
          <w:rFonts w:ascii="Arial" w:hAnsi="Arial" w:cs="Arial"/>
          <w:sz w:val="24"/>
          <w:szCs w:val="24"/>
          <w:vertAlign w:val="subscript"/>
        </w:rPr>
        <w:t>-TFP</w:t>
      </w:r>
      <w:r w:rsidRPr="00B659FB">
        <w:rPr>
          <w:rFonts w:ascii="Arial" w:hAnsi="Arial" w:cs="Arial"/>
          <w:sz w:val="24"/>
          <w:szCs w:val="24"/>
        </w:rPr>
        <w:t>-PEG</w:t>
      </w:r>
      <w:r w:rsidRPr="00B659FB">
        <w:rPr>
          <w:rFonts w:ascii="Arial" w:hAnsi="Arial" w:cs="Arial"/>
          <w:sz w:val="24"/>
          <w:szCs w:val="24"/>
          <w:vertAlign w:val="subscript"/>
        </w:rPr>
        <w:t>4</w:t>
      </w:r>
      <w:r w:rsidRPr="00B659FB">
        <w:rPr>
          <w:rFonts w:ascii="Arial" w:hAnsi="Arial" w:cs="Arial"/>
          <w:sz w:val="24"/>
          <w:szCs w:val="24"/>
        </w:rPr>
        <w:t>-trastuzumab</w:t>
      </w:r>
    </w:p>
    <w:p w14:paraId="643BB215" w14:textId="66FB0D68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</w:p>
    <w:p w14:paraId="2E8D3410" w14:textId="77777777" w:rsidR="00F7146F" w:rsidRPr="00B659FB" w:rsidRDefault="00F7146F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</w:p>
    <w:p w14:paraId="0FAEA46A" w14:textId="77777777" w:rsidR="00F7146F" w:rsidRPr="00B659FB" w:rsidRDefault="00F7146F" w:rsidP="00F7146F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b/>
          <w:bCs/>
          <w:sz w:val="24"/>
          <w:szCs w:val="24"/>
        </w:rPr>
        <w:t xml:space="preserve">Table S1. </w:t>
      </w:r>
      <w:r w:rsidRPr="00B659FB">
        <w:rPr>
          <w:rFonts w:ascii="Arial" w:hAnsi="Arial" w:cs="Arial"/>
          <w:sz w:val="24"/>
          <w:szCs w:val="24"/>
        </w:rPr>
        <w:t xml:space="preserve">Chelator-to-antibody ratio (CAR) of trastuzumab immunoconjugates based on MALDI-TOF mass spectrometry. </w:t>
      </w:r>
    </w:p>
    <w:p w14:paraId="6BDBF773" w14:textId="756E8578" w:rsidR="00FD0491" w:rsidRPr="00B659FB" w:rsidRDefault="00FD049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</w:p>
    <w:tbl>
      <w:tblPr>
        <w:tblW w:w="5000" w:type="pct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95"/>
        <w:gridCol w:w="1643"/>
        <w:gridCol w:w="1681"/>
        <w:gridCol w:w="1816"/>
        <w:gridCol w:w="2091"/>
      </w:tblGrid>
      <w:tr w:rsidR="00B659FB" w:rsidRPr="00B659FB" w14:paraId="0E689E14" w14:textId="77777777" w:rsidTr="007C6091">
        <w:trPr>
          <w:trHeight w:val="584"/>
        </w:trPr>
        <w:tc>
          <w:tcPr>
            <w:tcW w:w="99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26D61C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b/>
                <w:bCs/>
                <w:kern w:val="24"/>
                <w:sz w:val="24"/>
                <w:szCs w:val="24"/>
                <w:lang w:val="en-CA" w:eastAsia="en-CA"/>
              </w:rPr>
              <w:lastRenderedPageBreak/>
              <w:t>Construct</w:t>
            </w:r>
          </w:p>
        </w:tc>
        <w:tc>
          <w:tcPr>
            <w:tcW w:w="8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F0E01E" w14:textId="77777777" w:rsidR="007C6091" w:rsidRPr="00B659FB" w:rsidRDefault="007C6091" w:rsidP="007C6091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fr-FR" w:eastAsia="en-CA"/>
              </w:rPr>
              <w:t>3p-C-DEPA-trastuzumab</w:t>
            </w:r>
          </w:p>
        </w:tc>
        <w:tc>
          <w:tcPr>
            <w:tcW w:w="9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D2A09C" w14:textId="77777777" w:rsidR="007C6091" w:rsidRPr="00B659FB" w:rsidRDefault="007C6091" w:rsidP="007C6091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en-GB" w:eastAsia="en-CA"/>
              </w:rPr>
              <w:t>DOTA-trastuzumab</w:t>
            </w:r>
          </w:p>
        </w:tc>
        <w:tc>
          <w:tcPr>
            <w:tcW w:w="10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6865F9" w14:textId="77777777" w:rsidR="007C6091" w:rsidRPr="00B659FB" w:rsidRDefault="007C6091" w:rsidP="007C6091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en-GB" w:eastAsia="en-CA"/>
              </w:rPr>
              <w:t>Macropa-trastuzumab</w:t>
            </w:r>
          </w:p>
        </w:tc>
        <w:tc>
          <w:tcPr>
            <w:tcW w:w="116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1CF17A" w14:textId="77777777" w:rsidR="007C6091" w:rsidRPr="00B659FB" w:rsidRDefault="007C6091" w:rsidP="007C6091">
            <w:pPr>
              <w:spacing w:line="25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s-ES" w:eastAsia="en-CA"/>
              </w:rPr>
            </w:pP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es-ES" w:eastAsia="en-CA"/>
              </w:rPr>
              <w:t>3p-C-DEPA-</w:t>
            </w:r>
            <w:r w:rsidRPr="00B659FB">
              <w:rPr>
                <w:rFonts w:ascii="Arial" w:eastAsia="Times New Roman" w:hAnsi="Arial" w:cs="Arial"/>
                <w:b/>
                <w:bCs/>
                <w:kern w:val="2"/>
                <w:position w:val="-6"/>
                <w:sz w:val="24"/>
                <w:szCs w:val="24"/>
                <w:vertAlign w:val="subscript"/>
                <w:lang w:val="es-ES" w:eastAsia="en-CA"/>
              </w:rPr>
              <w:t>TFP</w:t>
            </w: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es-ES" w:eastAsia="en-CA"/>
              </w:rPr>
              <w:t>-PEG</w:t>
            </w:r>
            <w:r w:rsidRPr="00B659FB">
              <w:rPr>
                <w:rFonts w:ascii="Arial" w:eastAsia="Times New Roman" w:hAnsi="Arial" w:cs="Arial"/>
                <w:b/>
                <w:bCs/>
                <w:kern w:val="2"/>
                <w:position w:val="-6"/>
                <w:sz w:val="24"/>
                <w:szCs w:val="24"/>
                <w:vertAlign w:val="subscript"/>
                <w:lang w:val="es-ES" w:eastAsia="en-CA"/>
              </w:rPr>
              <w:t>4</w:t>
            </w:r>
            <w:r w:rsidRPr="00B659FB">
              <w:rPr>
                <w:rFonts w:ascii="Arial" w:eastAsia="Times New Roman" w:hAnsi="Arial" w:cs="Arial"/>
                <w:b/>
                <w:bCs/>
                <w:kern w:val="2"/>
                <w:sz w:val="24"/>
                <w:szCs w:val="24"/>
                <w:lang w:val="es-ES" w:eastAsia="en-CA"/>
              </w:rPr>
              <w:t>-trastuzumab</w:t>
            </w:r>
          </w:p>
        </w:tc>
      </w:tr>
      <w:tr w:rsidR="00B659FB" w:rsidRPr="00B659FB" w14:paraId="302F502F" w14:textId="77777777" w:rsidTr="007C6091">
        <w:trPr>
          <w:trHeight w:val="584"/>
        </w:trPr>
        <w:tc>
          <w:tcPr>
            <w:tcW w:w="99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85270D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kern w:val="24"/>
                <w:sz w:val="24"/>
                <w:szCs w:val="24"/>
                <w:lang w:val="en-CA" w:eastAsia="en-CA"/>
              </w:rPr>
              <w:t>Chelator-to-antibody ratio (CAR)</w:t>
            </w:r>
          </w:p>
        </w:tc>
        <w:tc>
          <w:tcPr>
            <w:tcW w:w="89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3809FF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kern w:val="24"/>
                <w:sz w:val="24"/>
                <w:szCs w:val="24"/>
                <w:lang w:val="en-CA" w:eastAsia="en-CA"/>
              </w:rPr>
              <w:t>1.2</w:t>
            </w:r>
          </w:p>
        </w:tc>
        <w:tc>
          <w:tcPr>
            <w:tcW w:w="935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E4412C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kern w:val="24"/>
                <w:sz w:val="24"/>
                <w:szCs w:val="24"/>
                <w:lang w:val="en-CA" w:eastAsia="en-CA"/>
              </w:rPr>
              <w:t>3.6</w:t>
            </w:r>
          </w:p>
        </w:tc>
        <w:tc>
          <w:tcPr>
            <w:tcW w:w="101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A4FE09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kern w:val="24"/>
                <w:sz w:val="24"/>
                <w:szCs w:val="24"/>
                <w:lang w:val="en-CA" w:eastAsia="en-CA"/>
              </w:rPr>
              <w:t>2.1</w:t>
            </w:r>
          </w:p>
        </w:tc>
        <w:tc>
          <w:tcPr>
            <w:tcW w:w="1162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B2A34C" w14:textId="77777777" w:rsidR="007C6091" w:rsidRPr="00B659FB" w:rsidRDefault="007C6091" w:rsidP="007C609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CA" w:eastAsia="en-CA"/>
              </w:rPr>
            </w:pPr>
            <w:r w:rsidRPr="00B659FB">
              <w:rPr>
                <w:rFonts w:ascii="Arial" w:eastAsia="Times New Roman" w:hAnsi="Arial" w:cs="Arial"/>
                <w:kern w:val="24"/>
                <w:sz w:val="24"/>
                <w:szCs w:val="24"/>
                <w:lang w:val="en-CA" w:eastAsia="en-CA"/>
              </w:rPr>
              <w:t>2.0</w:t>
            </w:r>
          </w:p>
        </w:tc>
      </w:tr>
    </w:tbl>
    <w:p w14:paraId="22F2AE6E" w14:textId="2A5DB465" w:rsidR="00AA638B" w:rsidRPr="00B659FB" w:rsidRDefault="00AA638B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379475F1" w14:textId="77777777" w:rsidR="00B15081" w:rsidRPr="00B659FB" w:rsidRDefault="00B15081" w:rsidP="00B15081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</w:p>
    <w:p w14:paraId="6E19F00F" w14:textId="32C2A136" w:rsidR="00B15081" w:rsidRPr="00B659FB" w:rsidRDefault="001B5297" w:rsidP="001B529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noProof/>
          <w:sz w:val="24"/>
          <w:szCs w:val="24"/>
          <w:lang w:val="en-US"/>
        </w:rPr>
        <w:drawing>
          <wp:inline distT="0" distB="0" distL="0" distR="0" wp14:anchorId="6FAF65D6" wp14:editId="1A08A27D">
            <wp:extent cx="5731510" cy="4530090"/>
            <wp:effectExtent l="0" t="0" r="2540" b="3810"/>
            <wp:docPr id="5" name="Picture 4" descr="A graph of a red lin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0E235EF-AAA1-F1B3-2B2A-6CA04968111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graph of a red line&#10;&#10;AI-generated content may be incorrect.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0E235EF-AAA1-F1B3-2B2A-6CA04968111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3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6499" w14:textId="14D615F7" w:rsidR="001B5297" w:rsidRPr="00B659FB" w:rsidRDefault="001B5297" w:rsidP="001B529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b/>
          <w:bCs/>
          <w:sz w:val="24"/>
          <w:szCs w:val="24"/>
          <w:lang w:val="en-US"/>
        </w:rPr>
        <w:t>Fig. S3</w:t>
      </w:r>
      <w:r w:rsidRPr="00B659FB">
        <w:rPr>
          <w:rFonts w:ascii="Arial" w:hAnsi="Arial" w:cs="Arial"/>
          <w:sz w:val="24"/>
          <w:szCs w:val="24"/>
          <w:lang w:val="en-US"/>
        </w:rPr>
        <w:t>. Radio Instant thin layer chromatography (radio-iTLC) of  free actinium nitrate [</w:t>
      </w:r>
      <w:r w:rsidRPr="00B659FB">
        <w:rPr>
          <w:rFonts w:ascii="Arial" w:hAnsi="Arial" w:cs="Arial"/>
          <w:sz w:val="24"/>
          <w:szCs w:val="24"/>
          <w:vertAlign w:val="superscript"/>
          <w:lang w:val="en-US"/>
        </w:rPr>
        <w:t>225</w:t>
      </w:r>
      <w:r w:rsidRPr="00B659FB">
        <w:rPr>
          <w:rFonts w:ascii="Arial" w:hAnsi="Arial" w:cs="Arial"/>
          <w:sz w:val="24"/>
          <w:szCs w:val="24"/>
          <w:lang w:val="en-US"/>
        </w:rPr>
        <w:t>Ac]AcNO</w:t>
      </w:r>
      <w:r w:rsidRPr="00B659FB">
        <w:rPr>
          <w:rFonts w:ascii="Arial" w:hAnsi="Arial" w:cs="Arial"/>
          <w:sz w:val="24"/>
          <w:szCs w:val="24"/>
          <w:vertAlign w:val="subscript"/>
          <w:lang w:val="en-US"/>
        </w:rPr>
        <w:t>3</w:t>
      </w:r>
      <w:r w:rsidRPr="00B659FB">
        <w:rPr>
          <w:rFonts w:ascii="Arial" w:hAnsi="Arial" w:cs="Arial"/>
          <w:sz w:val="24"/>
          <w:szCs w:val="24"/>
          <w:lang w:val="en-US"/>
        </w:rPr>
        <w:t xml:space="preserve">. More than 92% of free actinium </w:t>
      </w:r>
      <w:r w:rsidR="001C2B3C" w:rsidRPr="00B659FB">
        <w:rPr>
          <w:rFonts w:ascii="Arial" w:hAnsi="Arial" w:cs="Arial"/>
          <w:sz w:val="24"/>
          <w:szCs w:val="24"/>
          <w:lang w:val="en-US"/>
        </w:rPr>
        <w:t>(</w:t>
      </w:r>
      <w:r w:rsidR="004109EE" w:rsidRPr="00B659FB">
        <w:rPr>
          <w:rFonts w:ascii="Arial" w:hAnsi="Arial" w:cs="Arial"/>
          <w:sz w:val="24"/>
          <w:szCs w:val="24"/>
          <w:vertAlign w:val="superscript"/>
          <w:lang w:val="en-US"/>
        </w:rPr>
        <w:t>225</w:t>
      </w:r>
      <w:r w:rsidR="001C2B3C" w:rsidRPr="00B659FB">
        <w:rPr>
          <w:rFonts w:ascii="Arial" w:hAnsi="Arial" w:cs="Arial"/>
          <w:sz w:val="24"/>
          <w:szCs w:val="24"/>
          <w:lang w:val="en-US"/>
        </w:rPr>
        <w:t xml:space="preserve">Ac) </w:t>
      </w:r>
      <w:r w:rsidRPr="00B659FB">
        <w:rPr>
          <w:rFonts w:ascii="Arial" w:hAnsi="Arial" w:cs="Arial"/>
          <w:sz w:val="24"/>
          <w:szCs w:val="24"/>
          <w:lang w:val="en-US"/>
        </w:rPr>
        <w:t xml:space="preserve">is observed at the top of the ITLC strip. </w:t>
      </w:r>
    </w:p>
    <w:p w14:paraId="22B2F79B" w14:textId="77777777" w:rsidR="001B5297" w:rsidRPr="00B659FB" w:rsidRDefault="001B5297" w:rsidP="001B529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</w:p>
    <w:p w14:paraId="07866ADF" w14:textId="0F8B867E" w:rsidR="001B5297" w:rsidRPr="00B659FB" w:rsidRDefault="00427B5A" w:rsidP="001B529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noProof/>
          <w:sz w:val="24"/>
          <w:szCs w:val="24"/>
          <w:lang w:val="en-US"/>
        </w:rPr>
        <w:lastRenderedPageBreak/>
        <w:drawing>
          <wp:inline distT="0" distB="0" distL="0" distR="0" wp14:anchorId="76B35262" wp14:editId="652CB657">
            <wp:extent cx="5731510" cy="3740150"/>
            <wp:effectExtent l="0" t="0" r="2540" b="0"/>
            <wp:docPr id="28708460" name="Picture 1" descr="A graph of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8460" name="Picture 1" descr="A graph of a number of patient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4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03E64" w14:textId="241958FF" w:rsidR="00427B5A" w:rsidRPr="00B659FB" w:rsidRDefault="00427B5A" w:rsidP="00427B5A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  <w:r w:rsidRPr="00B659FB">
        <w:rPr>
          <w:rFonts w:ascii="Arial" w:hAnsi="Arial" w:cs="Arial"/>
          <w:b/>
          <w:bCs/>
          <w:sz w:val="24"/>
          <w:szCs w:val="24"/>
          <w:lang w:val="en-US"/>
        </w:rPr>
        <w:t>Fig. S4</w:t>
      </w:r>
      <w:r w:rsidRPr="00B659FB">
        <w:rPr>
          <w:rFonts w:ascii="Arial" w:hAnsi="Arial" w:cs="Arial"/>
          <w:sz w:val="24"/>
          <w:szCs w:val="24"/>
          <w:lang w:val="en-US"/>
        </w:rPr>
        <w:t>. Radio-SEC HPLC of radioimmunoconjugates</w:t>
      </w:r>
      <w:r w:rsidR="004109EE" w:rsidRPr="00B659FB">
        <w:rPr>
          <w:rFonts w:ascii="Arial" w:hAnsi="Arial" w:cs="Arial"/>
          <w:sz w:val="24"/>
          <w:szCs w:val="24"/>
          <w:lang w:val="en-US"/>
        </w:rPr>
        <w:t xml:space="preserve"> (RIC)</w:t>
      </w:r>
      <w:r w:rsidRPr="00B659FB">
        <w:rPr>
          <w:rFonts w:ascii="Arial" w:hAnsi="Arial" w:cs="Arial"/>
          <w:sz w:val="24"/>
          <w:szCs w:val="24"/>
          <w:lang w:val="en-US"/>
        </w:rPr>
        <w:t>. Each 50 kBq of radioimmunoconjugate (RIC) was injected in the radio-SEC HPLC for a 30 minute run. The activity of the samples collected into tubes were counted using the gamma counter and the results were then plotted with respect to time</w:t>
      </w:r>
      <w:r w:rsidR="004109EE" w:rsidRPr="00B659FB">
        <w:rPr>
          <w:rFonts w:ascii="Arial" w:hAnsi="Arial" w:cs="Arial"/>
          <w:sz w:val="24"/>
          <w:szCs w:val="24"/>
          <w:lang w:val="en-US"/>
        </w:rPr>
        <w:t>,</w:t>
      </w:r>
      <w:r w:rsidRPr="00B659FB">
        <w:rPr>
          <w:rFonts w:ascii="Arial" w:hAnsi="Arial" w:cs="Arial"/>
          <w:sz w:val="24"/>
          <w:szCs w:val="24"/>
          <w:lang w:val="en-US"/>
        </w:rPr>
        <w:t xml:space="preserve"> confirming the purity of the RICs.  </w:t>
      </w:r>
    </w:p>
    <w:p w14:paraId="47E4B4D0" w14:textId="77777777" w:rsidR="00427B5A" w:rsidRPr="00B659FB" w:rsidRDefault="00427B5A" w:rsidP="001B5297">
      <w:pPr>
        <w:spacing w:before="120" w:after="120" w:line="480" w:lineRule="auto"/>
        <w:jc w:val="both"/>
        <w:rPr>
          <w:rFonts w:ascii="Arial" w:hAnsi="Arial" w:cs="Arial"/>
          <w:sz w:val="24"/>
          <w:szCs w:val="24"/>
          <w:lang w:val="en-CA"/>
        </w:rPr>
      </w:pPr>
    </w:p>
    <w:p w14:paraId="3F708601" w14:textId="5EB0A0CF" w:rsidR="00B15081" w:rsidRPr="00B659FB" w:rsidRDefault="00B15081" w:rsidP="00B15081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r w:rsidRPr="00B659FB">
        <w:rPr>
          <w:rFonts w:ascii="Arial" w:hAnsi="Arial" w:cs="Arial"/>
          <w:b/>
          <w:bCs/>
          <w:sz w:val="24"/>
          <w:szCs w:val="24"/>
          <w:lang w:val="en-GB"/>
        </w:rPr>
        <w:t>Table S</w:t>
      </w:r>
      <w:r w:rsidR="00427B5A" w:rsidRPr="00B659FB">
        <w:rPr>
          <w:rFonts w:ascii="Arial" w:hAnsi="Arial" w:cs="Arial"/>
          <w:b/>
          <w:bCs/>
          <w:sz w:val="24"/>
          <w:szCs w:val="24"/>
          <w:lang w:val="en-GB"/>
        </w:rPr>
        <w:t>2</w:t>
      </w:r>
      <w:r w:rsidRPr="00B659FB">
        <w:rPr>
          <w:rFonts w:ascii="Arial" w:hAnsi="Arial" w:cs="Arial"/>
          <w:b/>
          <w:bCs/>
          <w:sz w:val="24"/>
          <w:szCs w:val="24"/>
          <w:lang w:val="en-GB"/>
        </w:rPr>
        <w:t>:</w:t>
      </w:r>
      <w:r w:rsidRPr="00B659FB">
        <w:rPr>
          <w:rFonts w:ascii="Arial" w:hAnsi="Arial" w:cs="Arial"/>
          <w:sz w:val="24"/>
          <w:szCs w:val="24"/>
          <w:lang w:val="en-GB"/>
        </w:rPr>
        <w:t xml:space="preserve"> </w:t>
      </w:r>
      <w:r w:rsidR="004109EE" w:rsidRPr="00B659FB">
        <w:rPr>
          <w:rFonts w:ascii="Arial" w:hAnsi="Arial" w:cs="Arial"/>
          <w:sz w:val="24"/>
          <w:szCs w:val="24"/>
          <w:lang w:val="en-GB"/>
        </w:rPr>
        <w:t>Biodistribution of [</w:t>
      </w:r>
      <w:r w:rsidR="004109EE" w:rsidRPr="00B659FB">
        <w:rPr>
          <w:rFonts w:ascii="Arial" w:hAnsi="Arial" w:cs="Arial"/>
          <w:sz w:val="24"/>
          <w:szCs w:val="24"/>
          <w:vertAlign w:val="superscript"/>
          <w:lang w:val="en-GB"/>
        </w:rPr>
        <w:t>225</w:t>
      </w:r>
      <w:r w:rsidR="004109EE" w:rsidRPr="00B659FB">
        <w:rPr>
          <w:rFonts w:ascii="Arial" w:hAnsi="Arial" w:cs="Arial"/>
          <w:sz w:val="24"/>
          <w:szCs w:val="24"/>
          <w:lang w:val="en-GB"/>
        </w:rPr>
        <w:t>Ac]Ac-labeled antbody conjugates expressed as % injected activity per gram tissue (</w:t>
      </w:r>
      <w:r w:rsidRPr="00B659FB">
        <w:rPr>
          <w:rFonts w:ascii="Arial" w:hAnsi="Arial" w:cs="Arial"/>
          <w:sz w:val="24"/>
          <w:szCs w:val="24"/>
          <w:lang w:val="en-GB"/>
        </w:rPr>
        <w:t>%IA/g</w:t>
      </w:r>
      <w:r w:rsidR="004109EE" w:rsidRPr="00B659FB">
        <w:rPr>
          <w:rFonts w:ascii="Arial" w:hAnsi="Arial" w:cs="Arial"/>
          <w:sz w:val="24"/>
          <w:szCs w:val="24"/>
          <w:lang w:val="en-GB"/>
        </w:rPr>
        <w:t>)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230"/>
        <w:gridCol w:w="1537"/>
        <w:gridCol w:w="1701"/>
        <w:gridCol w:w="1843"/>
        <w:gridCol w:w="1938"/>
      </w:tblGrid>
      <w:tr w:rsidR="00B659FB" w:rsidRPr="00B659FB" w14:paraId="22246BAB" w14:textId="44615341" w:rsidTr="003A1A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AD1BA7D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Organs % IA/g (mean ± SEM)</w:t>
            </w:r>
          </w:p>
        </w:tc>
        <w:tc>
          <w:tcPr>
            <w:tcW w:w="0" w:type="dxa"/>
          </w:tcPr>
          <w:p w14:paraId="3AEC3D5B" w14:textId="77777777" w:rsidR="00816BB4" w:rsidRPr="00B659FB" w:rsidRDefault="00816BB4" w:rsidP="008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fr-FR"/>
              </w:rPr>
            </w:pP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[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vertAlign w:val="superscript"/>
                <w:lang w:val="fr-FR"/>
              </w:rPr>
              <w:t>225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Ac]Ac-3p-</w:t>
            </w:r>
            <w:r w:rsidRPr="00B659FB">
              <w:rPr>
                <w:rFonts w:ascii="Arial" w:hAnsi="Arial" w:cs="Arial"/>
                <w:b w:val="0"/>
                <w:bCs w:val="0"/>
                <w:i/>
                <w:color w:val="auto"/>
                <w:sz w:val="24"/>
                <w:szCs w:val="24"/>
                <w:lang w:val="fr-FR"/>
              </w:rPr>
              <w:t>C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-DEPA-trastuzumab</w:t>
            </w:r>
          </w:p>
        </w:tc>
        <w:tc>
          <w:tcPr>
            <w:tcW w:w="1701" w:type="dxa"/>
          </w:tcPr>
          <w:p w14:paraId="13FA8DC6" w14:textId="77777777" w:rsidR="00816BB4" w:rsidRPr="00B659FB" w:rsidRDefault="00816BB4" w:rsidP="008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fr-FR"/>
              </w:rPr>
            </w:pP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en-GB"/>
              </w:rPr>
              <w:t>[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vertAlign w:val="superscript"/>
                <w:lang w:val="en-GB"/>
              </w:rPr>
              <w:t>225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en-GB"/>
              </w:rPr>
              <w:t>Ac]Ac-DOTA-trastuzumab</w:t>
            </w:r>
          </w:p>
        </w:tc>
        <w:tc>
          <w:tcPr>
            <w:tcW w:w="1843" w:type="dxa"/>
          </w:tcPr>
          <w:p w14:paraId="0E1DA3DF" w14:textId="77777777" w:rsidR="00816BB4" w:rsidRPr="00B659FB" w:rsidRDefault="00816BB4" w:rsidP="008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fr-FR"/>
              </w:rPr>
            </w:pP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en-GB"/>
              </w:rPr>
              <w:t>[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vertAlign w:val="superscript"/>
                <w:lang w:val="en-GB"/>
              </w:rPr>
              <w:t>225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en-GB"/>
              </w:rPr>
              <w:t>Ac]Ac-macropa-trastuzumab</w:t>
            </w:r>
          </w:p>
        </w:tc>
        <w:tc>
          <w:tcPr>
            <w:tcW w:w="1938" w:type="dxa"/>
          </w:tcPr>
          <w:p w14:paraId="64C3B742" w14:textId="556D713D" w:rsidR="00816BB4" w:rsidRPr="00B659FB" w:rsidRDefault="00816BB4" w:rsidP="00816B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color w:val="auto"/>
                <w:sz w:val="24"/>
                <w:szCs w:val="24"/>
                <w:lang w:val="fr-FR"/>
              </w:rPr>
            </w:pP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[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vertAlign w:val="superscript"/>
                <w:lang w:val="fr-FR"/>
              </w:rPr>
              <w:t>225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Ac]Ac-3p-</w:t>
            </w:r>
            <w:r w:rsidRPr="00B659FB">
              <w:rPr>
                <w:rFonts w:ascii="Arial" w:hAnsi="Arial" w:cs="Arial"/>
                <w:b w:val="0"/>
                <w:bCs w:val="0"/>
                <w:i/>
                <w:color w:val="auto"/>
                <w:sz w:val="24"/>
                <w:szCs w:val="24"/>
                <w:lang w:val="fr-FR"/>
              </w:rPr>
              <w:t>C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-DEPA-</w:t>
            </w:r>
            <w:r w:rsidR="003D6763" w:rsidRPr="00B659FB">
              <w:rPr>
                <w:rFonts w:ascii="Arial" w:hAnsi="Arial" w:cs="Arial"/>
                <w:iCs/>
                <w:color w:val="auto"/>
                <w:sz w:val="24"/>
                <w:szCs w:val="24"/>
                <w:vertAlign w:val="subscript"/>
                <w:lang w:val="fr-FR"/>
              </w:rPr>
              <w:t>TFP</w:t>
            </w:r>
            <w:r w:rsidR="003D6763"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-PEG</w:t>
            </w:r>
            <w:r w:rsidR="003D6763" w:rsidRPr="00B659FB">
              <w:rPr>
                <w:rFonts w:ascii="Arial" w:hAnsi="Arial" w:cs="Arial"/>
                <w:iCs/>
                <w:color w:val="auto"/>
                <w:sz w:val="24"/>
                <w:szCs w:val="24"/>
                <w:vertAlign w:val="subscript"/>
                <w:lang w:val="fr-FR"/>
              </w:rPr>
              <w:t>4</w:t>
            </w:r>
            <w:r w:rsidR="003D6763"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-</w:t>
            </w:r>
            <w:r w:rsidRPr="00B659FB">
              <w:rPr>
                <w:rFonts w:ascii="Arial" w:hAnsi="Arial" w:cs="Arial"/>
                <w:b w:val="0"/>
                <w:bCs w:val="0"/>
                <w:iCs/>
                <w:color w:val="auto"/>
                <w:sz w:val="24"/>
                <w:szCs w:val="24"/>
                <w:lang w:val="fr-FR"/>
              </w:rPr>
              <w:t>trastuzumab</w:t>
            </w:r>
          </w:p>
        </w:tc>
      </w:tr>
      <w:tr w:rsidR="00B659FB" w:rsidRPr="00B659FB" w14:paraId="35FA4209" w14:textId="36908454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A4347CD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Bladder</w:t>
            </w:r>
          </w:p>
        </w:tc>
        <w:tc>
          <w:tcPr>
            <w:tcW w:w="0" w:type="dxa"/>
          </w:tcPr>
          <w:p w14:paraId="322664A8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4.2 ± 2.2</w:t>
            </w:r>
          </w:p>
        </w:tc>
        <w:tc>
          <w:tcPr>
            <w:tcW w:w="1701" w:type="dxa"/>
          </w:tcPr>
          <w:p w14:paraId="05F04B10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4.2 ± 2.4</w:t>
            </w:r>
          </w:p>
        </w:tc>
        <w:tc>
          <w:tcPr>
            <w:tcW w:w="1843" w:type="dxa"/>
          </w:tcPr>
          <w:p w14:paraId="6E7C69F8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6.0 ± 1.5</w:t>
            </w:r>
          </w:p>
        </w:tc>
        <w:tc>
          <w:tcPr>
            <w:tcW w:w="1938" w:type="dxa"/>
          </w:tcPr>
          <w:p w14:paraId="61314841" w14:textId="716FFDE3" w:rsidR="00816BB4" w:rsidRPr="00B659FB" w:rsidRDefault="001E064B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2.9 ± 0.1</w:t>
            </w:r>
          </w:p>
        </w:tc>
      </w:tr>
      <w:tr w:rsidR="00B659FB" w:rsidRPr="00B659FB" w14:paraId="588B7A9B" w14:textId="78C2CD56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CC41F52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Kidney</w:t>
            </w:r>
          </w:p>
        </w:tc>
        <w:tc>
          <w:tcPr>
            <w:tcW w:w="0" w:type="dxa"/>
          </w:tcPr>
          <w:p w14:paraId="6AF274A3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16.3 ± 8.1</w:t>
            </w:r>
          </w:p>
        </w:tc>
        <w:tc>
          <w:tcPr>
            <w:tcW w:w="1701" w:type="dxa"/>
          </w:tcPr>
          <w:p w14:paraId="727187F9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11.6 ± 0.8</w:t>
            </w:r>
          </w:p>
        </w:tc>
        <w:tc>
          <w:tcPr>
            <w:tcW w:w="1843" w:type="dxa"/>
          </w:tcPr>
          <w:p w14:paraId="087A57EB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6.8 ± 1.9</w:t>
            </w:r>
          </w:p>
        </w:tc>
        <w:tc>
          <w:tcPr>
            <w:tcW w:w="1938" w:type="dxa"/>
          </w:tcPr>
          <w:p w14:paraId="644C5E9E" w14:textId="3FE7AA97" w:rsidR="00816BB4" w:rsidRPr="00B659FB" w:rsidRDefault="001E064B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 xml:space="preserve">6.5 ± </w:t>
            </w:r>
            <w:r w:rsidR="00216231"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0.5</w:t>
            </w:r>
          </w:p>
        </w:tc>
      </w:tr>
      <w:tr w:rsidR="00B659FB" w:rsidRPr="00B659FB" w14:paraId="61AB70D2" w14:textId="5D7F2FB5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9EB7AE6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Liver</w:t>
            </w:r>
          </w:p>
        </w:tc>
        <w:tc>
          <w:tcPr>
            <w:tcW w:w="0" w:type="dxa"/>
          </w:tcPr>
          <w:p w14:paraId="59D6CDA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9.0 ± 3.3</w:t>
            </w:r>
          </w:p>
        </w:tc>
        <w:tc>
          <w:tcPr>
            <w:tcW w:w="1701" w:type="dxa"/>
          </w:tcPr>
          <w:p w14:paraId="209C6280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14.1 ±2.9</w:t>
            </w:r>
          </w:p>
        </w:tc>
        <w:tc>
          <w:tcPr>
            <w:tcW w:w="1843" w:type="dxa"/>
          </w:tcPr>
          <w:p w14:paraId="2A7B9262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6.7 ± 0.8</w:t>
            </w:r>
          </w:p>
        </w:tc>
        <w:tc>
          <w:tcPr>
            <w:tcW w:w="1938" w:type="dxa"/>
          </w:tcPr>
          <w:p w14:paraId="73560B77" w14:textId="17B06926" w:rsidR="00816BB4" w:rsidRPr="00B659FB" w:rsidRDefault="00216231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12.9 ± 1</w:t>
            </w:r>
          </w:p>
        </w:tc>
      </w:tr>
      <w:tr w:rsidR="00B659FB" w:rsidRPr="00B659FB" w14:paraId="08BBB1D9" w14:textId="20846766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914237A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Pancreas</w:t>
            </w:r>
          </w:p>
        </w:tc>
        <w:tc>
          <w:tcPr>
            <w:tcW w:w="0" w:type="dxa"/>
          </w:tcPr>
          <w:p w14:paraId="64A1A41C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1.2 ± 0.5</w:t>
            </w:r>
          </w:p>
        </w:tc>
        <w:tc>
          <w:tcPr>
            <w:tcW w:w="1701" w:type="dxa"/>
          </w:tcPr>
          <w:p w14:paraId="2821A722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1.7 ± 0.2</w:t>
            </w:r>
          </w:p>
        </w:tc>
        <w:tc>
          <w:tcPr>
            <w:tcW w:w="1843" w:type="dxa"/>
          </w:tcPr>
          <w:p w14:paraId="2E15787A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2.1 ± 0.2</w:t>
            </w:r>
          </w:p>
        </w:tc>
        <w:tc>
          <w:tcPr>
            <w:tcW w:w="1938" w:type="dxa"/>
          </w:tcPr>
          <w:p w14:paraId="127F8A27" w14:textId="488AD415" w:rsidR="00816BB4" w:rsidRPr="00B659FB" w:rsidRDefault="00216231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 xml:space="preserve">2.0 ± </w:t>
            </w:r>
            <w:r w:rsidR="00934288"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0.2</w:t>
            </w:r>
          </w:p>
        </w:tc>
      </w:tr>
      <w:tr w:rsidR="00B659FB" w:rsidRPr="00B659FB" w14:paraId="5C646658" w14:textId="645D3EEF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3A276EC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Spleen</w:t>
            </w:r>
          </w:p>
        </w:tc>
        <w:tc>
          <w:tcPr>
            <w:tcW w:w="0" w:type="dxa"/>
          </w:tcPr>
          <w:p w14:paraId="2AB91234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5.5 ± 3.0</w:t>
            </w:r>
          </w:p>
        </w:tc>
        <w:tc>
          <w:tcPr>
            <w:tcW w:w="1701" w:type="dxa"/>
          </w:tcPr>
          <w:p w14:paraId="18FC1FE6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4.8 ± 0.8</w:t>
            </w:r>
          </w:p>
        </w:tc>
        <w:tc>
          <w:tcPr>
            <w:tcW w:w="1843" w:type="dxa"/>
          </w:tcPr>
          <w:p w14:paraId="1B60673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8.3 ± 1.1</w:t>
            </w:r>
          </w:p>
        </w:tc>
        <w:tc>
          <w:tcPr>
            <w:tcW w:w="1938" w:type="dxa"/>
          </w:tcPr>
          <w:p w14:paraId="68443934" w14:textId="0DC0A6BB" w:rsidR="00816BB4" w:rsidRPr="00B659FB" w:rsidRDefault="00934288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9.8 ± 0.2</w:t>
            </w:r>
          </w:p>
        </w:tc>
      </w:tr>
      <w:tr w:rsidR="00B659FB" w:rsidRPr="00B659FB" w14:paraId="7B6BF90B" w14:textId="31A0B609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12B7351C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Lungs</w:t>
            </w:r>
          </w:p>
        </w:tc>
        <w:tc>
          <w:tcPr>
            <w:tcW w:w="0" w:type="dxa"/>
          </w:tcPr>
          <w:p w14:paraId="197D1F4F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5.6 ± 3.1</w:t>
            </w:r>
          </w:p>
        </w:tc>
        <w:tc>
          <w:tcPr>
            <w:tcW w:w="1701" w:type="dxa"/>
          </w:tcPr>
          <w:p w14:paraId="7026CCA6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6.7 ±1</w:t>
            </w:r>
          </w:p>
        </w:tc>
        <w:tc>
          <w:tcPr>
            <w:tcW w:w="1843" w:type="dxa"/>
          </w:tcPr>
          <w:p w14:paraId="1B85E9ED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9.2 ± 1</w:t>
            </w:r>
          </w:p>
        </w:tc>
        <w:tc>
          <w:tcPr>
            <w:tcW w:w="1938" w:type="dxa"/>
          </w:tcPr>
          <w:p w14:paraId="7D74578D" w14:textId="5A356BE8" w:rsidR="00816BB4" w:rsidRPr="00B659FB" w:rsidRDefault="00934288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6.5 ± 0.6</w:t>
            </w:r>
          </w:p>
        </w:tc>
      </w:tr>
      <w:tr w:rsidR="00B659FB" w:rsidRPr="00B659FB" w14:paraId="01C78358" w14:textId="6E87A2A8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83E13ED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lastRenderedPageBreak/>
              <w:t>Heart</w:t>
            </w:r>
          </w:p>
        </w:tc>
        <w:tc>
          <w:tcPr>
            <w:tcW w:w="0" w:type="dxa"/>
          </w:tcPr>
          <w:p w14:paraId="008F71E6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3.1 ± 1.1</w:t>
            </w:r>
          </w:p>
        </w:tc>
        <w:tc>
          <w:tcPr>
            <w:tcW w:w="1701" w:type="dxa"/>
          </w:tcPr>
          <w:p w14:paraId="1A112F5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4.4 ± 0.2</w:t>
            </w:r>
          </w:p>
        </w:tc>
        <w:tc>
          <w:tcPr>
            <w:tcW w:w="1843" w:type="dxa"/>
          </w:tcPr>
          <w:p w14:paraId="2051EB95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6.9 ± 1.3</w:t>
            </w:r>
          </w:p>
        </w:tc>
        <w:tc>
          <w:tcPr>
            <w:tcW w:w="1938" w:type="dxa"/>
          </w:tcPr>
          <w:p w14:paraId="64780429" w14:textId="24E70B3D" w:rsidR="00816BB4" w:rsidRPr="00B659FB" w:rsidRDefault="00FE7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5.0 ± 0.4</w:t>
            </w:r>
          </w:p>
        </w:tc>
      </w:tr>
      <w:tr w:rsidR="00B659FB" w:rsidRPr="00B659FB" w14:paraId="0728C89D" w14:textId="2DF43B64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E067862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Large intestine</w:t>
            </w:r>
          </w:p>
        </w:tc>
        <w:tc>
          <w:tcPr>
            <w:tcW w:w="0" w:type="dxa"/>
          </w:tcPr>
          <w:p w14:paraId="39452CA5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1.2 ± 0.5</w:t>
            </w:r>
          </w:p>
        </w:tc>
        <w:tc>
          <w:tcPr>
            <w:tcW w:w="1701" w:type="dxa"/>
          </w:tcPr>
          <w:p w14:paraId="2DCE915B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1.1 ± 0.1</w:t>
            </w:r>
          </w:p>
        </w:tc>
        <w:tc>
          <w:tcPr>
            <w:tcW w:w="1843" w:type="dxa"/>
          </w:tcPr>
          <w:p w14:paraId="68AB1A9C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2.2 ± 0.1</w:t>
            </w:r>
          </w:p>
        </w:tc>
        <w:tc>
          <w:tcPr>
            <w:tcW w:w="1938" w:type="dxa"/>
          </w:tcPr>
          <w:p w14:paraId="0D973CB4" w14:textId="7A79780B" w:rsidR="00816BB4" w:rsidRPr="00B659FB" w:rsidRDefault="00FE7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2.4 ± 0.4</w:t>
            </w:r>
          </w:p>
        </w:tc>
      </w:tr>
      <w:tr w:rsidR="00B659FB" w:rsidRPr="00B659FB" w14:paraId="6E89E032" w14:textId="59ECC687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2A4DEC4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Small intestine</w:t>
            </w:r>
          </w:p>
        </w:tc>
        <w:tc>
          <w:tcPr>
            <w:tcW w:w="0" w:type="dxa"/>
          </w:tcPr>
          <w:p w14:paraId="4A02D3BA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1.1 ± 0.6</w:t>
            </w:r>
          </w:p>
        </w:tc>
        <w:tc>
          <w:tcPr>
            <w:tcW w:w="1701" w:type="dxa"/>
          </w:tcPr>
          <w:p w14:paraId="69816E32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1.6 ± 0.2</w:t>
            </w:r>
          </w:p>
        </w:tc>
        <w:tc>
          <w:tcPr>
            <w:tcW w:w="1843" w:type="dxa"/>
          </w:tcPr>
          <w:p w14:paraId="256D5606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2.4 ± 0.4</w:t>
            </w:r>
          </w:p>
        </w:tc>
        <w:tc>
          <w:tcPr>
            <w:tcW w:w="1938" w:type="dxa"/>
          </w:tcPr>
          <w:p w14:paraId="6B89032E" w14:textId="7FBA0604" w:rsidR="00816BB4" w:rsidRPr="00B659FB" w:rsidRDefault="00FE7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2.6 ± 0.1</w:t>
            </w:r>
          </w:p>
        </w:tc>
      </w:tr>
      <w:tr w:rsidR="00B659FB" w:rsidRPr="00B659FB" w14:paraId="6711C6DE" w14:textId="7F97DA91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A6ACAF6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Stomach</w:t>
            </w:r>
          </w:p>
        </w:tc>
        <w:tc>
          <w:tcPr>
            <w:tcW w:w="0" w:type="dxa"/>
          </w:tcPr>
          <w:p w14:paraId="2DF90F51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0.9 ± 0.3</w:t>
            </w:r>
          </w:p>
        </w:tc>
        <w:tc>
          <w:tcPr>
            <w:tcW w:w="1701" w:type="dxa"/>
          </w:tcPr>
          <w:p w14:paraId="46CD68FF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1.2 ± 0.1</w:t>
            </w:r>
          </w:p>
        </w:tc>
        <w:tc>
          <w:tcPr>
            <w:tcW w:w="1843" w:type="dxa"/>
          </w:tcPr>
          <w:p w14:paraId="5141DEEB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1.3 ± 0.1</w:t>
            </w:r>
          </w:p>
        </w:tc>
        <w:tc>
          <w:tcPr>
            <w:tcW w:w="1938" w:type="dxa"/>
          </w:tcPr>
          <w:p w14:paraId="7FA8DF76" w14:textId="3C876704" w:rsidR="00816BB4" w:rsidRPr="00B659FB" w:rsidRDefault="00FE7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 xml:space="preserve">1.9 ± </w:t>
            </w:r>
            <w:r w:rsidR="002B2C25"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0.3</w:t>
            </w:r>
          </w:p>
        </w:tc>
      </w:tr>
      <w:tr w:rsidR="00B659FB" w:rsidRPr="00B659FB" w14:paraId="237ED972" w14:textId="48A36F92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0072943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Skull</w:t>
            </w:r>
          </w:p>
        </w:tc>
        <w:tc>
          <w:tcPr>
            <w:tcW w:w="0" w:type="dxa"/>
          </w:tcPr>
          <w:p w14:paraId="1DC6B76C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3.8 ± 1.3</w:t>
            </w:r>
          </w:p>
        </w:tc>
        <w:tc>
          <w:tcPr>
            <w:tcW w:w="1701" w:type="dxa"/>
          </w:tcPr>
          <w:p w14:paraId="6B777A08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4.2 ± 0.4</w:t>
            </w:r>
          </w:p>
        </w:tc>
        <w:tc>
          <w:tcPr>
            <w:tcW w:w="1843" w:type="dxa"/>
          </w:tcPr>
          <w:p w14:paraId="61916FE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3.6 ± 0.4</w:t>
            </w:r>
          </w:p>
        </w:tc>
        <w:tc>
          <w:tcPr>
            <w:tcW w:w="1938" w:type="dxa"/>
          </w:tcPr>
          <w:p w14:paraId="40FC0C3B" w14:textId="159AB865" w:rsidR="00816BB4" w:rsidRPr="00B659FB" w:rsidRDefault="002B2C25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3.7 ± 0.4</w:t>
            </w:r>
          </w:p>
        </w:tc>
      </w:tr>
      <w:tr w:rsidR="00B659FB" w:rsidRPr="00B659FB" w14:paraId="56CB5C44" w14:textId="39D56489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468ACCD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Brain</w:t>
            </w:r>
          </w:p>
        </w:tc>
        <w:tc>
          <w:tcPr>
            <w:tcW w:w="0" w:type="dxa"/>
          </w:tcPr>
          <w:p w14:paraId="4EBA0BC3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0.5 ± 0.2</w:t>
            </w:r>
          </w:p>
        </w:tc>
        <w:tc>
          <w:tcPr>
            <w:tcW w:w="1701" w:type="dxa"/>
          </w:tcPr>
          <w:p w14:paraId="52622921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0.3 ± 0.3</w:t>
            </w:r>
          </w:p>
        </w:tc>
        <w:tc>
          <w:tcPr>
            <w:tcW w:w="1843" w:type="dxa"/>
          </w:tcPr>
          <w:p w14:paraId="1AD0C968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0.3 ± 0.1</w:t>
            </w:r>
          </w:p>
        </w:tc>
        <w:tc>
          <w:tcPr>
            <w:tcW w:w="1938" w:type="dxa"/>
          </w:tcPr>
          <w:p w14:paraId="4A7EA845" w14:textId="4D08837B" w:rsidR="00816BB4" w:rsidRPr="00B659FB" w:rsidRDefault="002B2C25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0.2 ± 0.01</w:t>
            </w:r>
          </w:p>
        </w:tc>
      </w:tr>
      <w:tr w:rsidR="00B659FB" w:rsidRPr="00B659FB" w14:paraId="5A9ABF9C" w14:textId="7D0CE3A0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29F9377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Limbs</w:t>
            </w:r>
          </w:p>
        </w:tc>
        <w:tc>
          <w:tcPr>
            <w:tcW w:w="0" w:type="dxa"/>
          </w:tcPr>
          <w:p w14:paraId="4EE9123F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3.7 ± 1.4</w:t>
            </w:r>
          </w:p>
        </w:tc>
        <w:tc>
          <w:tcPr>
            <w:tcW w:w="1701" w:type="dxa"/>
          </w:tcPr>
          <w:p w14:paraId="5E6DE8CE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2.7 ± 0.2</w:t>
            </w:r>
          </w:p>
        </w:tc>
        <w:tc>
          <w:tcPr>
            <w:tcW w:w="1843" w:type="dxa"/>
          </w:tcPr>
          <w:p w14:paraId="39891295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2.5 ± 0.2</w:t>
            </w:r>
          </w:p>
        </w:tc>
        <w:tc>
          <w:tcPr>
            <w:tcW w:w="1938" w:type="dxa"/>
          </w:tcPr>
          <w:p w14:paraId="7285773E" w14:textId="59576855" w:rsidR="00816BB4" w:rsidRPr="00B659FB" w:rsidRDefault="008100A9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3.2 ± 0.3</w:t>
            </w:r>
          </w:p>
        </w:tc>
      </w:tr>
      <w:tr w:rsidR="00B659FB" w:rsidRPr="00B659FB" w14:paraId="274777F3" w14:textId="0CAA85EA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DB5A992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Spine</w:t>
            </w:r>
          </w:p>
        </w:tc>
        <w:tc>
          <w:tcPr>
            <w:tcW w:w="0" w:type="dxa"/>
          </w:tcPr>
          <w:p w14:paraId="3D374771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2.6 ± 0.9</w:t>
            </w:r>
          </w:p>
        </w:tc>
        <w:tc>
          <w:tcPr>
            <w:tcW w:w="1701" w:type="dxa"/>
          </w:tcPr>
          <w:p w14:paraId="0CBC8834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3.2 ± 0.3</w:t>
            </w:r>
          </w:p>
        </w:tc>
        <w:tc>
          <w:tcPr>
            <w:tcW w:w="1843" w:type="dxa"/>
          </w:tcPr>
          <w:p w14:paraId="37C1F7AD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 ± 0.2</w:t>
            </w:r>
          </w:p>
        </w:tc>
        <w:tc>
          <w:tcPr>
            <w:tcW w:w="1938" w:type="dxa"/>
          </w:tcPr>
          <w:p w14:paraId="04E020E0" w14:textId="43EB55D1" w:rsidR="00816BB4" w:rsidRPr="00B659FB" w:rsidRDefault="00C8444A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2.9 ± 0.3</w:t>
            </w:r>
          </w:p>
        </w:tc>
      </w:tr>
      <w:tr w:rsidR="00B659FB" w:rsidRPr="00B659FB" w14:paraId="3DC4B525" w14:textId="79DA25D7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BD15F6B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Blood</w:t>
            </w:r>
          </w:p>
        </w:tc>
        <w:tc>
          <w:tcPr>
            <w:tcW w:w="0" w:type="dxa"/>
          </w:tcPr>
          <w:p w14:paraId="2A468A4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19.1 ± 6.5</w:t>
            </w:r>
          </w:p>
        </w:tc>
        <w:tc>
          <w:tcPr>
            <w:tcW w:w="1701" w:type="dxa"/>
          </w:tcPr>
          <w:p w14:paraId="6F3389C0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18.3 ± 0.5</w:t>
            </w:r>
          </w:p>
        </w:tc>
        <w:tc>
          <w:tcPr>
            <w:tcW w:w="1843" w:type="dxa"/>
          </w:tcPr>
          <w:p w14:paraId="2738814A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19.4 ± 2.8</w:t>
            </w:r>
          </w:p>
        </w:tc>
        <w:tc>
          <w:tcPr>
            <w:tcW w:w="1938" w:type="dxa"/>
          </w:tcPr>
          <w:p w14:paraId="40EA9D05" w14:textId="01C07515" w:rsidR="00816BB4" w:rsidRPr="00B659FB" w:rsidRDefault="00C8444A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18.8 ± 1.1</w:t>
            </w:r>
          </w:p>
        </w:tc>
      </w:tr>
      <w:tr w:rsidR="00B659FB" w:rsidRPr="00B659FB" w14:paraId="1D5A8BF7" w14:textId="00884AC9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E662E4C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Bone</w:t>
            </w:r>
          </w:p>
        </w:tc>
        <w:tc>
          <w:tcPr>
            <w:tcW w:w="0" w:type="dxa"/>
          </w:tcPr>
          <w:p w14:paraId="710AFBFD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2.1 ± 0.7</w:t>
            </w:r>
          </w:p>
        </w:tc>
        <w:tc>
          <w:tcPr>
            <w:tcW w:w="1701" w:type="dxa"/>
          </w:tcPr>
          <w:p w14:paraId="4D7205B5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2.2 ± 0.4</w:t>
            </w:r>
          </w:p>
        </w:tc>
        <w:tc>
          <w:tcPr>
            <w:tcW w:w="1843" w:type="dxa"/>
          </w:tcPr>
          <w:p w14:paraId="2A51C0B4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2.3 ± 0.4</w:t>
            </w:r>
          </w:p>
        </w:tc>
        <w:tc>
          <w:tcPr>
            <w:tcW w:w="1938" w:type="dxa"/>
          </w:tcPr>
          <w:p w14:paraId="07A9A8E3" w14:textId="7F3B70BB" w:rsidR="00816BB4" w:rsidRPr="00B659FB" w:rsidRDefault="00C8444A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2.8 ± 0.3</w:t>
            </w:r>
          </w:p>
        </w:tc>
      </w:tr>
      <w:tr w:rsidR="00B659FB" w:rsidRPr="00B659FB" w14:paraId="2CB31C93" w14:textId="4CB2A6CD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5B83CA7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Muscles</w:t>
            </w:r>
          </w:p>
        </w:tc>
        <w:tc>
          <w:tcPr>
            <w:tcW w:w="0" w:type="dxa"/>
          </w:tcPr>
          <w:p w14:paraId="77FB95CD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1.2 ± 0.5</w:t>
            </w:r>
          </w:p>
        </w:tc>
        <w:tc>
          <w:tcPr>
            <w:tcW w:w="1701" w:type="dxa"/>
          </w:tcPr>
          <w:p w14:paraId="09AED016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0.9 ± 0</w:t>
            </w:r>
          </w:p>
        </w:tc>
        <w:tc>
          <w:tcPr>
            <w:tcW w:w="1843" w:type="dxa"/>
          </w:tcPr>
          <w:p w14:paraId="1271A427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1.7 ± 0.1</w:t>
            </w:r>
          </w:p>
        </w:tc>
        <w:tc>
          <w:tcPr>
            <w:tcW w:w="1938" w:type="dxa"/>
          </w:tcPr>
          <w:p w14:paraId="7CB5DB67" w14:textId="1532CA6B" w:rsidR="00816BB4" w:rsidRPr="00B659FB" w:rsidRDefault="00C8444A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1.5 ± 0.1</w:t>
            </w:r>
          </w:p>
        </w:tc>
      </w:tr>
      <w:tr w:rsidR="00B659FB" w:rsidRPr="00B659FB" w14:paraId="1932B5BF" w14:textId="2FC522AE" w:rsidTr="003A1A6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6E5BF3EA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Tail</w:t>
            </w:r>
          </w:p>
        </w:tc>
        <w:tc>
          <w:tcPr>
            <w:tcW w:w="0" w:type="dxa"/>
          </w:tcPr>
          <w:p w14:paraId="58A940E8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2.3 ± 0.8</w:t>
            </w:r>
          </w:p>
        </w:tc>
        <w:tc>
          <w:tcPr>
            <w:tcW w:w="1701" w:type="dxa"/>
          </w:tcPr>
          <w:p w14:paraId="702BE982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4.3 ± 1.3</w:t>
            </w:r>
          </w:p>
        </w:tc>
        <w:tc>
          <w:tcPr>
            <w:tcW w:w="1843" w:type="dxa"/>
          </w:tcPr>
          <w:p w14:paraId="5FAA0946" w14:textId="77777777" w:rsidR="00816BB4" w:rsidRPr="00B659FB" w:rsidRDefault="00816BB4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3.1 ± 0.3</w:t>
            </w:r>
          </w:p>
        </w:tc>
        <w:tc>
          <w:tcPr>
            <w:tcW w:w="1938" w:type="dxa"/>
          </w:tcPr>
          <w:p w14:paraId="38D03106" w14:textId="4D40407C" w:rsidR="00816BB4" w:rsidRPr="00B659FB" w:rsidRDefault="002F7463" w:rsidP="00816B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4.2 ± 0.9</w:t>
            </w:r>
          </w:p>
        </w:tc>
      </w:tr>
      <w:tr w:rsidR="00B659FB" w:rsidRPr="00B659FB" w14:paraId="3FB02913" w14:textId="0BD3AB3F" w:rsidTr="003A1A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97328C4" w14:textId="77777777" w:rsidR="00816BB4" w:rsidRPr="00B659FB" w:rsidRDefault="00816BB4" w:rsidP="00816BB4">
            <w:pPr>
              <w:jc w:val="center"/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b w:val="0"/>
                <w:bCs w:val="0"/>
                <w:color w:val="auto"/>
                <w:sz w:val="24"/>
                <w:szCs w:val="24"/>
                <w:lang w:val="en-GB"/>
              </w:rPr>
              <w:t>Skin</w:t>
            </w:r>
          </w:p>
        </w:tc>
        <w:tc>
          <w:tcPr>
            <w:tcW w:w="0" w:type="dxa"/>
          </w:tcPr>
          <w:p w14:paraId="61EFD2E0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6.2 ± 2.2</w:t>
            </w:r>
          </w:p>
        </w:tc>
        <w:tc>
          <w:tcPr>
            <w:tcW w:w="1701" w:type="dxa"/>
          </w:tcPr>
          <w:p w14:paraId="4879B5E3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2.8 ± 0.8</w:t>
            </w:r>
          </w:p>
        </w:tc>
        <w:tc>
          <w:tcPr>
            <w:tcW w:w="1843" w:type="dxa"/>
          </w:tcPr>
          <w:p w14:paraId="0043AF7E" w14:textId="77777777" w:rsidR="00816BB4" w:rsidRPr="00B659FB" w:rsidRDefault="00816BB4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3.8 ± 0.7</w:t>
            </w:r>
          </w:p>
        </w:tc>
        <w:tc>
          <w:tcPr>
            <w:tcW w:w="1938" w:type="dxa"/>
          </w:tcPr>
          <w:p w14:paraId="525D34D3" w14:textId="41AA0B93" w:rsidR="00816BB4" w:rsidRPr="00B659FB" w:rsidRDefault="002F7463" w:rsidP="00816B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</w:pPr>
            <w:r w:rsidRPr="00B659FB">
              <w:rPr>
                <w:rFonts w:ascii="Arial" w:hAnsi="Arial" w:cs="Arial"/>
                <w:color w:val="auto"/>
                <w:sz w:val="24"/>
                <w:szCs w:val="24"/>
                <w:lang w:val="en-GB"/>
              </w:rPr>
              <w:t>4.7 ± 0.2</w:t>
            </w:r>
          </w:p>
        </w:tc>
      </w:tr>
    </w:tbl>
    <w:p w14:paraId="64248F80" w14:textId="77777777" w:rsidR="00B15081" w:rsidRPr="00B659FB" w:rsidRDefault="00B15081" w:rsidP="00B15081">
      <w:pPr>
        <w:rPr>
          <w:rFonts w:ascii="Arial" w:hAnsi="Arial" w:cs="Arial"/>
          <w:sz w:val="24"/>
          <w:szCs w:val="24"/>
          <w:lang w:val="en-GB"/>
        </w:rPr>
      </w:pPr>
    </w:p>
    <w:p w14:paraId="69A2024E" w14:textId="77777777" w:rsidR="00B15081" w:rsidRPr="00B659FB" w:rsidRDefault="00B15081" w:rsidP="00B15081">
      <w:pPr>
        <w:rPr>
          <w:rFonts w:ascii="Arial" w:hAnsi="Arial" w:cs="Arial"/>
          <w:sz w:val="24"/>
          <w:szCs w:val="24"/>
          <w:lang w:val="en-GB"/>
        </w:rPr>
      </w:pPr>
    </w:p>
    <w:p w14:paraId="5EA67B1D" w14:textId="77777777" w:rsidR="00204D05" w:rsidRPr="00B659FB" w:rsidRDefault="00204D05" w:rsidP="003A1A6D">
      <w:pPr>
        <w:spacing w:line="720" w:lineRule="auto"/>
        <w:rPr>
          <w:rFonts w:ascii="Arial" w:hAnsi="Arial" w:cs="Arial"/>
          <w:sz w:val="24"/>
          <w:szCs w:val="24"/>
        </w:rPr>
      </w:pPr>
    </w:p>
    <w:p w14:paraId="7E76B895" w14:textId="28E347B1" w:rsidR="00204D05" w:rsidRPr="00B659FB" w:rsidRDefault="00204D05" w:rsidP="003A1A6D">
      <w:pPr>
        <w:spacing w:line="720" w:lineRule="auto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t xml:space="preserve">Reference </w:t>
      </w:r>
    </w:p>
    <w:p w14:paraId="1E2B43B2" w14:textId="77777777" w:rsidR="00204D05" w:rsidRPr="00B659FB" w:rsidRDefault="00204D05" w:rsidP="003A1A6D">
      <w:pPr>
        <w:pStyle w:val="EndNoteBibliography"/>
        <w:spacing w:line="720" w:lineRule="auto"/>
        <w:rPr>
          <w:rFonts w:ascii="Arial" w:hAnsi="Arial" w:cs="Arial"/>
          <w:noProof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fldChar w:fldCharType="begin"/>
      </w:r>
      <w:r w:rsidRPr="00B659FB">
        <w:rPr>
          <w:rFonts w:ascii="Arial" w:hAnsi="Arial" w:cs="Arial"/>
          <w:sz w:val="24"/>
          <w:szCs w:val="24"/>
        </w:rPr>
        <w:instrText xml:space="preserve"> ADDIN EN.REFLIST </w:instrText>
      </w:r>
      <w:r w:rsidRPr="00B659FB">
        <w:rPr>
          <w:rFonts w:ascii="Arial" w:hAnsi="Arial" w:cs="Arial"/>
          <w:sz w:val="24"/>
          <w:szCs w:val="24"/>
        </w:rPr>
        <w:fldChar w:fldCharType="separate"/>
      </w:r>
      <w:r w:rsidRPr="00B659FB">
        <w:rPr>
          <w:rFonts w:ascii="Arial" w:hAnsi="Arial" w:cs="Arial"/>
          <w:noProof/>
          <w:sz w:val="24"/>
          <w:szCs w:val="24"/>
        </w:rPr>
        <w:t>1.</w:t>
      </w:r>
      <w:r w:rsidRPr="00B659FB">
        <w:rPr>
          <w:rFonts w:ascii="Arial" w:hAnsi="Arial" w:cs="Arial"/>
          <w:noProof/>
          <w:sz w:val="24"/>
          <w:szCs w:val="24"/>
        </w:rPr>
        <w:tab/>
        <w:t>Song HA, Kang CS, Baidoo KE, Milenic DE, Chen Y, Dai A, et al. Efficient bifunctional decadentate ligand 3p-C-DEPA for targeted alpha-radioimmunotherapy applications. Bioconjug Chem. 2011;22:1128-35. doi:10.1021/bc100586y.</w:t>
      </w:r>
    </w:p>
    <w:p w14:paraId="39F52939" w14:textId="13E6F3FF" w:rsidR="006C72D7" w:rsidRPr="00B659FB" w:rsidRDefault="00204D05" w:rsidP="003A1A6D">
      <w:pPr>
        <w:spacing w:line="720" w:lineRule="auto"/>
        <w:rPr>
          <w:rFonts w:ascii="Arial" w:hAnsi="Arial" w:cs="Arial"/>
          <w:sz w:val="24"/>
          <w:szCs w:val="24"/>
        </w:rPr>
      </w:pPr>
      <w:r w:rsidRPr="00B659FB">
        <w:rPr>
          <w:rFonts w:ascii="Arial" w:hAnsi="Arial" w:cs="Arial"/>
          <w:sz w:val="24"/>
          <w:szCs w:val="24"/>
        </w:rPr>
        <w:fldChar w:fldCharType="end"/>
      </w:r>
      <w:bookmarkEnd w:id="0"/>
    </w:p>
    <w:sectPr w:rsidR="006C72D7" w:rsidRPr="00B659FB" w:rsidSect="00EB2568">
      <w:footerReference w:type="even" r:id="rId11"/>
      <w:footerReference w:type="default" r:id="rId12"/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34462" w14:textId="77777777" w:rsidR="00297004" w:rsidRDefault="00297004">
      <w:pPr>
        <w:spacing w:after="0" w:line="240" w:lineRule="auto"/>
      </w:pPr>
      <w:r>
        <w:separator/>
      </w:r>
    </w:p>
  </w:endnote>
  <w:endnote w:type="continuationSeparator" w:id="0">
    <w:p w14:paraId="3B390AD5" w14:textId="77777777" w:rsidR="00297004" w:rsidRDefault="00297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9748806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2213F28" w14:textId="77777777" w:rsidR="00450BDE" w:rsidRDefault="00EC2929" w:rsidP="00234B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080BF0B" w14:textId="77777777" w:rsidR="00450BDE" w:rsidRDefault="00450BDE" w:rsidP="0012448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983620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98121B" w14:textId="77777777" w:rsidR="00450BDE" w:rsidRDefault="00EC2929" w:rsidP="00234B8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B2568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FB7664" w14:textId="77777777" w:rsidR="00450BDE" w:rsidRDefault="00450BDE" w:rsidP="0012448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26FBD" w14:textId="77777777" w:rsidR="00297004" w:rsidRDefault="00297004">
      <w:pPr>
        <w:spacing w:after="0" w:line="240" w:lineRule="auto"/>
      </w:pPr>
      <w:r>
        <w:separator/>
      </w:r>
    </w:p>
  </w:footnote>
  <w:footnote w:type="continuationSeparator" w:id="0">
    <w:p w14:paraId="390DC4CC" w14:textId="77777777" w:rsidR="00297004" w:rsidRDefault="002970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Euro J Nuc Med Molec Imaging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pprfx59q5fddsea2vo5eas1x0tsr202e55d&quot;&gt;My EndNote Library_EJNMI chem radiopharm&lt;record-ids&gt;&lt;item&gt;1&lt;/item&gt;&lt;/record-ids&gt;&lt;/item&gt;&lt;/Libraries&gt;"/>
  </w:docVars>
  <w:rsids>
    <w:rsidRoot w:val="00B15081"/>
    <w:rsid w:val="00024746"/>
    <w:rsid w:val="001212C7"/>
    <w:rsid w:val="001411A4"/>
    <w:rsid w:val="00175433"/>
    <w:rsid w:val="00183C7E"/>
    <w:rsid w:val="001854E4"/>
    <w:rsid w:val="00196F3B"/>
    <w:rsid w:val="001B5297"/>
    <w:rsid w:val="001C2B3C"/>
    <w:rsid w:val="001D655B"/>
    <w:rsid w:val="001E064B"/>
    <w:rsid w:val="00204D05"/>
    <w:rsid w:val="00216231"/>
    <w:rsid w:val="002248DB"/>
    <w:rsid w:val="002701B3"/>
    <w:rsid w:val="002708D8"/>
    <w:rsid w:val="00297004"/>
    <w:rsid w:val="002B2C25"/>
    <w:rsid w:val="002D082F"/>
    <w:rsid w:val="002F6BCC"/>
    <w:rsid w:val="002F7463"/>
    <w:rsid w:val="00306447"/>
    <w:rsid w:val="0038306C"/>
    <w:rsid w:val="003852E9"/>
    <w:rsid w:val="003A1A6D"/>
    <w:rsid w:val="003A287F"/>
    <w:rsid w:val="003D6763"/>
    <w:rsid w:val="004109EE"/>
    <w:rsid w:val="0041520F"/>
    <w:rsid w:val="00427B5A"/>
    <w:rsid w:val="00447A29"/>
    <w:rsid w:val="00450BDE"/>
    <w:rsid w:val="0053780F"/>
    <w:rsid w:val="00556E08"/>
    <w:rsid w:val="005B0CCF"/>
    <w:rsid w:val="005E597D"/>
    <w:rsid w:val="00680BE7"/>
    <w:rsid w:val="00697C20"/>
    <w:rsid w:val="006A7CD8"/>
    <w:rsid w:val="006C72D7"/>
    <w:rsid w:val="006F171A"/>
    <w:rsid w:val="006F5593"/>
    <w:rsid w:val="00747E33"/>
    <w:rsid w:val="0077507E"/>
    <w:rsid w:val="007C6091"/>
    <w:rsid w:val="007D0964"/>
    <w:rsid w:val="007D7AC6"/>
    <w:rsid w:val="008100A9"/>
    <w:rsid w:val="00812A38"/>
    <w:rsid w:val="00816BB4"/>
    <w:rsid w:val="008A7252"/>
    <w:rsid w:val="008C191A"/>
    <w:rsid w:val="009035F1"/>
    <w:rsid w:val="00934288"/>
    <w:rsid w:val="00972787"/>
    <w:rsid w:val="009B1854"/>
    <w:rsid w:val="00A260D6"/>
    <w:rsid w:val="00A65182"/>
    <w:rsid w:val="00A95767"/>
    <w:rsid w:val="00AA638B"/>
    <w:rsid w:val="00AA7138"/>
    <w:rsid w:val="00AE2421"/>
    <w:rsid w:val="00B13DE7"/>
    <w:rsid w:val="00B15081"/>
    <w:rsid w:val="00B30C0A"/>
    <w:rsid w:val="00B50821"/>
    <w:rsid w:val="00B659FB"/>
    <w:rsid w:val="00B6725B"/>
    <w:rsid w:val="00B86CDE"/>
    <w:rsid w:val="00BE4D7A"/>
    <w:rsid w:val="00C64767"/>
    <w:rsid w:val="00C83145"/>
    <w:rsid w:val="00C8444A"/>
    <w:rsid w:val="00C90531"/>
    <w:rsid w:val="00CB4562"/>
    <w:rsid w:val="00E15852"/>
    <w:rsid w:val="00E2122F"/>
    <w:rsid w:val="00E5129C"/>
    <w:rsid w:val="00E83B60"/>
    <w:rsid w:val="00EB2568"/>
    <w:rsid w:val="00EB5D3D"/>
    <w:rsid w:val="00EC2929"/>
    <w:rsid w:val="00F02C66"/>
    <w:rsid w:val="00F7146F"/>
    <w:rsid w:val="00FD0491"/>
    <w:rsid w:val="00FE7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41408"/>
  <w15:chartTrackingRefBased/>
  <w15:docId w15:val="{38B2BCE0-C1A5-42C5-A32D-01EC9E9B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081"/>
    <w:pPr>
      <w:spacing w:line="259" w:lineRule="auto"/>
    </w:pPr>
    <w:rPr>
      <w:kern w:val="0"/>
      <w:sz w:val="22"/>
      <w:szCs w:val="22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0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50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508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508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508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508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508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508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508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5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5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5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5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5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5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5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5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5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5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15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508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15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5081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15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5081"/>
    <w:pPr>
      <w:spacing w:line="278" w:lineRule="auto"/>
      <w:ind w:left="720"/>
      <w:contextualSpacing/>
    </w:pPr>
    <w:rPr>
      <w:kern w:val="2"/>
      <w:sz w:val="24"/>
      <w:szCs w:val="24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15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508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15081"/>
    <w:pPr>
      <w:spacing w:after="0" w:line="240" w:lineRule="auto"/>
    </w:pPr>
    <w:rPr>
      <w:kern w:val="0"/>
      <w:sz w:val="22"/>
      <w:szCs w:val="22"/>
      <w:lang w:val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150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081"/>
    <w:rPr>
      <w:kern w:val="0"/>
      <w:sz w:val="22"/>
      <w:szCs w:val="22"/>
      <w:lang w:val="en-ID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15081"/>
  </w:style>
  <w:style w:type="character" w:styleId="LineNumber">
    <w:name w:val="line number"/>
    <w:basedOn w:val="DefaultParagraphFont"/>
    <w:uiPriority w:val="99"/>
    <w:semiHidden/>
    <w:unhideWhenUsed/>
    <w:rsid w:val="00B15081"/>
  </w:style>
  <w:style w:type="table" w:styleId="PlainTable4">
    <w:name w:val="Plain Table 4"/>
    <w:basedOn w:val="TableNormal"/>
    <w:uiPriority w:val="44"/>
    <w:rsid w:val="00B150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6Colorful">
    <w:name w:val="List Table 6 Colorful"/>
    <w:basedOn w:val="TableNormal"/>
    <w:uiPriority w:val="51"/>
    <w:rsid w:val="00B150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6A7CD8"/>
    <w:pPr>
      <w:spacing w:after="0" w:line="240" w:lineRule="auto"/>
    </w:pPr>
    <w:rPr>
      <w:kern w:val="0"/>
      <w:sz w:val="22"/>
      <w:szCs w:val="22"/>
      <w:lang w:val="en-I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C6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customStyle="1" w:styleId="EndNoteBibliographyTitle">
    <w:name w:val="EndNote Bibliography Title"/>
    <w:basedOn w:val="Normal"/>
    <w:link w:val="EndNoteBibliographyTitleChar"/>
    <w:rsid w:val="00204D05"/>
    <w:pPr>
      <w:spacing w:after="0"/>
      <w:jc w:val="center"/>
    </w:pPr>
    <w:rPr>
      <w:rFonts w:ascii="Aptos" w:hAnsi="Aptos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04D05"/>
    <w:rPr>
      <w:rFonts w:ascii="Aptos" w:hAnsi="Aptos"/>
      <w:kern w:val="0"/>
      <w:sz w:val="22"/>
      <w:szCs w:val="22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04D05"/>
    <w:pPr>
      <w:spacing w:line="240" w:lineRule="auto"/>
    </w:pPr>
    <w:rPr>
      <w:rFonts w:ascii="Aptos" w:hAnsi="Aptos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04D05"/>
    <w:rPr>
      <w:rFonts w:ascii="Aptos" w:hAnsi="Aptos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Pougoue Ketchemen</dc:creator>
  <cp:keywords/>
  <dc:description/>
  <cp:lastModifiedBy>Eugin Samuvel Santhiyagu</cp:lastModifiedBy>
  <cp:revision>3</cp:revision>
  <dcterms:created xsi:type="dcterms:W3CDTF">2025-11-21T11:51:00Z</dcterms:created>
  <dcterms:modified xsi:type="dcterms:W3CDTF">2025-12-01T01:52:00Z</dcterms:modified>
</cp:coreProperties>
</file>