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FCA5B" w14:textId="537B6AA5" w:rsidR="002C1C55" w:rsidRPr="002C1C55" w:rsidRDefault="002C1C55" w:rsidP="002C1C55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98629874"/>
      <w:r w:rsidRPr="002C1C55">
        <w:rPr>
          <w:rFonts w:ascii="Arial" w:hAnsi="Arial" w:cs="Arial"/>
          <w:b/>
          <w:bCs/>
          <w:sz w:val="24"/>
          <w:szCs w:val="24"/>
        </w:rPr>
        <w:t>Supporting information for:</w:t>
      </w:r>
    </w:p>
    <w:bookmarkEnd w:id="0"/>
    <w:p w14:paraId="73D43B9B" w14:textId="6EF6A629" w:rsidR="0077058F" w:rsidRDefault="00214581" w:rsidP="002C1C55">
      <w:pPr>
        <w:spacing w:line="360" w:lineRule="auto"/>
        <w:jc w:val="both"/>
        <w:rPr>
          <w:rFonts w:ascii="Arial" w:hAnsi="Arial" w:cs="Arial"/>
          <w:b/>
          <w:bCs/>
        </w:rPr>
      </w:pPr>
      <w:r w:rsidRPr="00441513">
        <w:rPr>
          <w:rFonts w:ascii="Arial" w:hAnsi="Arial" w:cs="Arial"/>
          <w:b/>
          <w:bCs/>
        </w:rPr>
        <w:t xml:space="preserve">The use of mass cytometry (CyTOF) to evaluate the cellular uptake of </w:t>
      </w:r>
      <w:r>
        <w:rPr>
          <w:rFonts w:ascii="Arial" w:hAnsi="Arial" w:cs="Arial"/>
          <w:b/>
          <w:bCs/>
        </w:rPr>
        <w:t xml:space="preserve">stable </w:t>
      </w:r>
      <w:r w:rsidRPr="00441513">
        <w:rPr>
          <w:rFonts w:ascii="Arial" w:hAnsi="Arial" w:cs="Arial"/>
          <w:b/>
          <w:bCs/>
        </w:rPr>
        <w:t xml:space="preserve">radiopharmaceutical </w:t>
      </w:r>
      <w:r>
        <w:rPr>
          <w:rFonts w:ascii="Arial" w:hAnsi="Arial" w:cs="Arial"/>
          <w:b/>
          <w:bCs/>
        </w:rPr>
        <w:t xml:space="preserve">surrogates </w:t>
      </w:r>
      <w:r w:rsidRPr="00441513">
        <w:rPr>
          <w:rFonts w:ascii="Arial" w:hAnsi="Arial" w:cs="Arial"/>
          <w:b/>
          <w:bCs/>
        </w:rPr>
        <w:t xml:space="preserve">in </w:t>
      </w:r>
      <w:r>
        <w:rPr>
          <w:rFonts w:ascii="Arial" w:hAnsi="Arial" w:cs="Arial"/>
          <w:b/>
          <w:bCs/>
        </w:rPr>
        <w:t>single</w:t>
      </w:r>
      <w:r w:rsidRPr="00441513">
        <w:rPr>
          <w:rFonts w:ascii="Arial" w:hAnsi="Arial" w:cs="Arial"/>
          <w:b/>
          <w:bCs/>
        </w:rPr>
        <w:t xml:space="preserve"> cells: a proof-of-concept study</w:t>
      </w:r>
    </w:p>
    <w:p w14:paraId="22E4174A" w14:textId="3A80A204" w:rsidR="002C1C55" w:rsidRPr="00677D82" w:rsidRDefault="002C1C55" w:rsidP="002C1C55">
      <w:pPr>
        <w:spacing w:line="360" w:lineRule="auto"/>
        <w:jc w:val="both"/>
        <w:rPr>
          <w:rFonts w:ascii="Arial" w:hAnsi="Arial" w:cs="Arial"/>
          <w:lang w:val="es-ES"/>
        </w:rPr>
      </w:pPr>
      <w:r w:rsidRPr="00677D82">
        <w:rPr>
          <w:rFonts w:ascii="Arial" w:hAnsi="Arial" w:cs="Arial"/>
          <w:lang w:val="es-ES"/>
        </w:rPr>
        <w:t xml:space="preserve">Miguel </w:t>
      </w:r>
      <w:r w:rsidR="003422F3" w:rsidRPr="003422F3">
        <w:rPr>
          <w:rFonts w:ascii="Arial" w:hAnsi="Arial" w:cs="Arial"/>
          <w:lang w:val="es-ES"/>
        </w:rPr>
        <w:t>Gómez-Sánchez</w:t>
      </w:r>
      <w:r w:rsidRPr="00677D82">
        <w:rPr>
          <w:rFonts w:ascii="Arial" w:hAnsi="Arial" w:cs="Arial"/>
          <w:vertAlign w:val="superscript"/>
          <w:lang w:val="es-ES"/>
        </w:rPr>
        <w:t>1,2</w:t>
      </w:r>
      <w:r w:rsidRPr="00677D82">
        <w:rPr>
          <w:rFonts w:ascii="Arial" w:hAnsi="Arial" w:cs="Arial"/>
          <w:lang w:val="es-ES"/>
        </w:rPr>
        <w:t xml:space="preserve">, </w:t>
      </w:r>
      <w:r w:rsidRPr="00677D82">
        <w:rPr>
          <w:rFonts w:ascii="Arial" w:hAnsi="Arial" w:cs="Arial"/>
          <w:color w:val="000000" w:themeColor="text1"/>
          <w:lang w:val="es-ES"/>
        </w:rPr>
        <w:t xml:space="preserve">Elisa </w:t>
      </w:r>
      <w:bookmarkStart w:id="1" w:name="_Hlk213141741"/>
      <w:r w:rsidRPr="00677D82">
        <w:rPr>
          <w:rFonts w:ascii="Arial" w:hAnsi="Arial" w:cs="Arial"/>
          <w:color w:val="000000" w:themeColor="text1"/>
          <w:lang w:val="es-ES"/>
        </w:rPr>
        <w:t>Blanco</w:t>
      </w:r>
      <w:r w:rsidR="00105EFC" w:rsidRPr="00677D82">
        <w:rPr>
          <w:rFonts w:ascii="Arial" w:hAnsi="Arial" w:cs="Arial"/>
          <w:color w:val="000000" w:themeColor="text1"/>
          <w:lang w:val="es-ES"/>
        </w:rPr>
        <w:t>-González</w:t>
      </w:r>
      <w:bookmarkEnd w:id="1"/>
      <w:r w:rsidRPr="00677D82">
        <w:rPr>
          <w:rFonts w:ascii="Arial" w:hAnsi="Arial" w:cs="Arial"/>
          <w:vertAlign w:val="superscript"/>
          <w:lang w:val="es-ES"/>
        </w:rPr>
        <w:t>1,2</w:t>
      </w:r>
      <w:r w:rsidR="00B04171">
        <w:rPr>
          <w:rFonts w:ascii="Arial" w:hAnsi="Arial" w:cs="Arial"/>
          <w:lang w:val="es-ES"/>
        </w:rPr>
        <w:t>, Marí</w:t>
      </w:r>
      <w:r w:rsidRPr="00677D82">
        <w:rPr>
          <w:rFonts w:ascii="Arial" w:hAnsi="Arial" w:cs="Arial"/>
          <w:lang w:val="es-ES"/>
        </w:rPr>
        <w:t>a Montes-</w:t>
      </w:r>
      <w:r w:rsidR="003422F3" w:rsidRPr="003422F3">
        <w:rPr>
          <w:rFonts w:ascii="Segoe UI" w:hAnsi="Segoe UI" w:cs="Segoe UI"/>
          <w:color w:val="212121"/>
          <w:sz w:val="21"/>
          <w:szCs w:val="21"/>
          <w:shd w:val="clear" w:color="auto" w:fill="FFFFFF"/>
          <w:lang w:val="es-ES"/>
        </w:rPr>
        <w:t xml:space="preserve"> </w:t>
      </w:r>
      <w:r w:rsidR="003422F3" w:rsidRPr="003422F3">
        <w:rPr>
          <w:rFonts w:ascii="Arial" w:hAnsi="Arial" w:cs="Arial"/>
          <w:lang w:val="es-ES"/>
        </w:rPr>
        <w:t>Bayón</w:t>
      </w:r>
      <w:r w:rsidRPr="00677D82">
        <w:rPr>
          <w:rFonts w:ascii="Arial" w:hAnsi="Arial" w:cs="Arial"/>
          <w:vertAlign w:val="superscript"/>
          <w:lang w:val="es-ES"/>
        </w:rPr>
        <w:t>1,2</w:t>
      </w:r>
      <w:r w:rsidRPr="00677D82">
        <w:rPr>
          <w:rFonts w:ascii="Arial" w:hAnsi="Arial" w:cs="Arial"/>
          <w:lang w:val="es-ES"/>
        </w:rPr>
        <w:t>, Martin Behe</w:t>
      </w:r>
      <w:r w:rsidRPr="00677D82">
        <w:rPr>
          <w:rFonts w:ascii="Arial" w:hAnsi="Arial" w:cs="Arial"/>
          <w:vertAlign w:val="superscript"/>
          <w:lang w:val="es-ES"/>
        </w:rPr>
        <w:t>3</w:t>
      </w:r>
      <w:r w:rsidRPr="00677D82">
        <w:rPr>
          <w:rFonts w:ascii="Arial" w:hAnsi="Arial" w:cs="Arial"/>
          <w:lang w:val="es-ES"/>
        </w:rPr>
        <w:t>, Roger Schibli</w:t>
      </w:r>
      <w:r w:rsidRPr="00677D82">
        <w:rPr>
          <w:rFonts w:ascii="Arial" w:hAnsi="Arial" w:cs="Arial"/>
          <w:vertAlign w:val="superscript"/>
          <w:lang w:val="es-ES"/>
        </w:rPr>
        <w:t>3,4</w:t>
      </w:r>
      <w:r w:rsidRPr="00677D82">
        <w:rPr>
          <w:rFonts w:ascii="Arial" w:hAnsi="Arial" w:cs="Arial"/>
          <w:lang w:val="es-ES"/>
        </w:rPr>
        <w:t>, Elisa Rioja-Blanco</w:t>
      </w:r>
      <w:r w:rsidRPr="00677D82">
        <w:rPr>
          <w:rFonts w:ascii="Arial" w:hAnsi="Arial" w:cs="Arial"/>
          <w:vertAlign w:val="superscript"/>
          <w:lang w:val="es-ES"/>
        </w:rPr>
        <w:t>3,4*</w:t>
      </w:r>
    </w:p>
    <w:p w14:paraId="235E2A15" w14:textId="77777777" w:rsidR="002C1C55" w:rsidRPr="001F2E92" w:rsidRDefault="002C1C55" w:rsidP="002C1C55">
      <w:pPr>
        <w:pStyle w:val="ListParagraph"/>
        <w:numPr>
          <w:ilvl w:val="0"/>
          <w:numId w:val="1"/>
        </w:numPr>
        <w:spacing w:after="200" w:line="480" w:lineRule="auto"/>
        <w:jc w:val="both"/>
        <w:rPr>
          <w:rFonts w:ascii="Arial" w:hAnsi="Arial" w:cs="Arial"/>
        </w:rPr>
      </w:pPr>
      <w:r w:rsidRPr="001F2E92">
        <w:rPr>
          <w:rFonts w:ascii="Arial" w:hAnsi="Arial" w:cs="Arial"/>
        </w:rPr>
        <w:t>Department of Physical and Analytical Chemistry, Faculty</w:t>
      </w:r>
      <w:r>
        <w:rPr>
          <w:rFonts w:ascii="Arial" w:hAnsi="Arial" w:cs="Arial"/>
        </w:rPr>
        <w:t xml:space="preserve"> </w:t>
      </w:r>
      <w:r w:rsidRPr="001F2E92">
        <w:rPr>
          <w:rFonts w:ascii="Arial" w:hAnsi="Arial" w:cs="Arial"/>
        </w:rPr>
        <w:t>of Chemistry, University of Oviedo, Julián Clavería 8,</w:t>
      </w:r>
      <w:r>
        <w:rPr>
          <w:rFonts w:ascii="Arial" w:hAnsi="Arial" w:cs="Arial"/>
        </w:rPr>
        <w:t xml:space="preserve"> </w:t>
      </w:r>
      <w:r w:rsidRPr="001F2E92">
        <w:rPr>
          <w:rFonts w:ascii="Arial" w:hAnsi="Arial" w:cs="Arial"/>
        </w:rPr>
        <w:t>Oviedo 33006, Spain</w:t>
      </w:r>
    </w:p>
    <w:p w14:paraId="6E8123F2" w14:textId="2B97B9F2" w:rsidR="002C1C55" w:rsidRPr="0077058F" w:rsidRDefault="00D75B1B" w:rsidP="00D75B1B">
      <w:pPr>
        <w:pStyle w:val="ListParagraph"/>
        <w:numPr>
          <w:ilvl w:val="0"/>
          <w:numId w:val="1"/>
        </w:numPr>
        <w:spacing w:after="200" w:line="480" w:lineRule="auto"/>
        <w:jc w:val="both"/>
        <w:rPr>
          <w:rFonts w:ascii="Arial" w:hAnsi="Arial" w:cs="Arial"/>
        </w:rPr>
      </w:pPr>
      <w:r w:rsidRPr="00214581">
        <w:rPr>
          <w:rFonts w:ascii="Arial" w:hAnsi="Arial" w:cs="Arial"/>
          <w:lang w:val="es-ES"/>
        </w:rPr>
        <w:t>Instituto de Investigación Sanitaria del Principado de Asturias (ISPA)</w:t>
      </w:r>
      <w:r w:rsidR="002C1C55" w:rsidRPr="00214581">
        <w:rPr>
          <w:rFonts w:ascii="Arial" w:hAnsi="Arial" w:cs="Arial"/>
          <w:lang w:val="es-ES"/>
        </w:rPr>
        <w:t xml:space="preserve">, Av. </w:t>
      </w:r>
      <w:r w:rsidR="002C1C55" w:rsidRPr="0077058F">
        <w:rPr>
          <w:rFonts w:ascii="Arial" w:hAnsi="Arial" w:cs="Arial"/>
        </w:rPr>
        <w:t>Hospital Universitario s/n, Oviedo 33011, Spain</w:t>
      </w:r>
    </w:p>
    <w:p w14:paraId="6B4CDD38" w14:textId="77777777" w:rsidR="002C1C55" w:rsidRPr="003372CC" w:rsidRDefault="002C1C55" w:rsidP="002C1C55">
      <w:pPr>
        <w:pStyle w:val="ListParagraph"/>
        <w:numPr>
          <w:ilvl w:val="0"/>
          <w:numId w:val="1"/>
        </w:numPr>
        <w:spacing w:after="200" w:line="480" w:lineRule="auto"/>
        <w:jc w:val="both"/>
        <w:rPr>
          <w:rFonts w:ascii="Arial" w:hAnsi="Arial" w:cs="Arial"/>
        </w:rPr>
      </w:pPr>
      <w:r w:rsidRPr="003372CC">
        <w:rPr>
          <w:rFonts w:ascii="Arial" w:hAnsi="Arial" w:cs="Arial"/>
        </w:rPr>
        <w:t xml:space="preserve">Center for Radiopharmaceutical Sciences, </w:t>
      </w:r>
      <w:r w:rsidRPr="008B424C">
        <w:rPr>
          <w:rFonts w:ascii="Arial" w:hAnsi="Arial" w:cs="Arial"/>
        </w:rPr>
        <w:t>PSI Center for Life Sciences</w:t>
      </w:r>
      <w:r w:rsidRPr="003372CC">
        <w:rPr>
          <w:rFonts w:ascii="Arial" w:hAnsi="Arial" w:cs="Arial"/>
        </w:rPr>
        <w:t>, Villigen</w:t>
      </w:r>
      <w:r>
        <w:rPr>
          <w:rFonts w:ascii="Arial" w:hAnsi="Arial" w:cs="Arial"/>
        </w:rPr>
        <w:t>-PSI</w:t>
      </w:r>
      <w:r w:rsidRPr="003372CC">
        <w:rPr>
          <w:rFonts w:ascii="Arial" w:hAnsi="Arial" w:cs="Arial"/>
        </w:rPr>
        <w:t>, Switzerland.</w:t>
      </w:r>
    </w:p>
    <w:p w14:paraId="7ECF932B" w14:textId="77777777" w:rsidR="002C1C55" w:rsidRPr="003372CC" w:rsidRDefault="002C1C55" w:rsidP="002C1C55">
      <w:pPr>
        <w:pStyle w:val="ListParagraph"/>
        <w:numPr>
          <w:ilvl w:val="0"/>
          <w:numId w:val="1"/>
        </w:numPr>
        <w:spacing w:after="200" w:line="480" w:lineRule="auto"/>
        <w:jc w:val="both"/>
        <w:rPr>
          <w:rFonts w:ascii="Arial" w:hAnsi="Arial" w:cs="Arial"/>
        </w:rPr>
      </w:pPr>
      <w:r w:rsidRPr="003372CC">
        <w:rPr>
          <w:rFonts w:ascii="Arial" w:hAnsi="Arial" w:cs="Arial"/>
        </w:rPr>
        <w:t>Department of Chemistry and Applied Biosciences, Institute of Pharmaceutical Sciences, ETH Zurich, Zurich, Switzerland.</w:t>
      </w:r>
    </w:p>
    <w:p w14:paraId="7C4DD320" w14:textId="77777777" w:rsidR="002C1C55" w:rsidRPr="001F2E92" w:rsidRDefault="002C1C55" w:rsidP="002C1C55">
      <w:pPr>
        <w:spacing w:line="360" w:lineRule="auto"/>
        <w:jc w:val="both"/>
        <w:rPr>
          <w:rFonts w:ascii="Arial" w:hAnsi="Arial" w:cs="Arial"/>
          <w:lang w:val="es-ES"/>
        </w:rPr>
      </w:pPr>
      <w:r w:rsidRPr="001F2E92">
        <w:rPr>
          <w:rFonts w:ascii="Arial" w:hAnsi="Arial" w:cs="Arial"/>
          <w:lang w:val="es-ES"/>
        </w:rPr>
        <w:t>* Corresponding author:</w:t>
      </w:r>
    </w:p>
    <w:p w14:paraId="50A9723A" w14:textId="77777777" w:rsidR="002C1C55" w:rsidRPr="001F2E92" w:rsidRDefault="002C1C55" w:rsidP="002C1C55">
      <w:pPr>
        <w:spacing w:line="360" w:lineRule="auto"/>
        <w:jc w:val="both"/>
        <w:rPr>
          <w:rFonts w:ascii="Arial" w:hAnsi="Arial" w:cs="Arial"/>
          <w:lang w:val="es-ES"/>
        </w:rPr>
      </w:pPr>
      <w:r w:rsidRPr="001F2E92">
        <w:rPr>
          <w:rFonts w:ascii="Arial" w:hAnsi="Arial" w:cs="Arial"/>
          <w:lang w:val="es-ES"/>
        </w:rPr>
        <w:t>Elisa Rioja-</w:t>
      </w:r>
      <w:r>
        <w:rPr>
          <w:rFonts w:ascii="Arial" w:hAnsi="Arial" w:cs="Arial"/>
          <w:lang w:val="es-ES"/>
        </w:rPr>
        <w:t>Blanco</w:t>
      </w:r>
      <w:r w:rsidRPr="001F2E92">
        <w:rPr>
          <w:rFonts w:ascii="Arial" w:hAnsi="Arial" w:cs="Arial"/>
          <w:lang w:val="es-ES"/>
        </w:rPr>
        <w:t>: Tel: +41563102178</w:t>
      </w:r>
      <w:r>
        <w:rPr>
          <w:rFonts w:ascii="Arial" w:hAnsi="Arial" w:cs="Arial"/>
          <w:lang w:val="es-ES"/>
        </w:rPr>
        <w:t>; E</w:t>
      </w:r>
      <w:r w:rsidRPr="001F2E92">
        <w:rPr>
          <w:rFonts w:ascii="Arial" w:hAnsi="Arial" w:cs="Arial"/>
          <w:lang w:val="es-ES"/>
        </w:rPr>
        <w:t>-Mail: elisa.rioja-blanco@psi.ch</w:t>
      </w:r>
    </w:p>
    <w:p w14:paraId="66166B0E" w14:textId="77777777" w:rsidR="00F1172D" w:rsidRPr="002C1C55" w:rsidRDefault="00F1172D">
      <w:pPr>
        <w:rPr>
          <w:lang w:val="es-ES"/>
        </w:rPr>
      </w:pPr>
    </w:p>
    <w:p w14:paraId="399098C1" w14:textId="77777777" w:rsidR="0078427D" w:rsidRPr="002C1C55" w:rsidRDefault="0078427D">
      <w:pPr>
        <w:rPr>
          <w:lang w:val="es-ES"/>
        </w:rPr>
      </w:pPr>
    </w:p>
    <w:p w14:paraId="06B772B0" w14:textId="77777777" w:rsidR="0078427D" w:rsidRPr="002C1C55" w:rsidRDefault="0078427D">
      <w:pPr>
        <w:rPr>
          <w:lang w:val="es-ES"/>
        </w:rPr>
      </w:pPr>
    </w:p>
    <w:p w14:paraId="08F9D5AF" w14:textId="77777777" w:rsidR="0078427D" w:rsidRPr="002C1C55" w:rsidRDefault="0078427D">
      <w:pPr>
        <w:rPr>
          <w:lang w:val="es-ES"/>
        </w:rPr>
      </w:pPr>
    </w:p>
    <w:p w14:paraId="2765AA6F" w14:textId="77777777" w:rsidR="0078427D" w:rsidRPr="002C1C55" w:rsidRDefault="0078427D">
      <w:pPr>
        <w:rPr>
          <w:lang w:val="es-ES"/>
        </w:rPr>
      </w:pPr>
    </w:p>
    <w:p w14:paraId="2491D074" w14:textId="77777777" w:rsidR="0078427D" w:rsidRPr="002C1C55" w:rsidRDefault="0078427D">
      <w:pPr>
        <w:rPr>
          <w:lang w:val="es-ES"/>
        </w:rPr>
      </w:pPr>
    </w:p>
    <w:p w14:paraId="7DD7120C" w14:textId="77777777" w:rsidR="0078427D" w:rsidRPr="002C1C55" w:rsidRDefault="0078427D">
      <w:pPr>
        <w:rPr>
          <w:lang w:val="es-ES"/>
        </w:rPr>
      </w:pPr>
    </w:p>
    <w:p w14:paraId="24455768" w14:textId="77777777" w:rsidR="0078427D" w:rsidRPr="002C1C55" w:rsidRDefault="0078427D">
      <w:pPr>
        <w:rPr>
          <w:lang w:val="es-ES"/>
        </w:rPr>
      </w:pPr>
    </w:p>
    <w:p w14:paraId="3DED91FB" w14:textId="77777777" w:rsidR="0078427D" w:rsidRPr="002C1C55" w:rsidRDefault="0078427D">
      <w:pPr>
        <w:rPr>
          <w:lang w:val="es-ES"/>
        </w:rPr>
      </w:pPr>
    </w:p>
    <w:p w14:paraId="2E8695FF" w14:textId="77777777" w:rsidR="0078427D" w:rsidRPr="002C1C55" w:rsidRDefault="0078427D">
      <w:pPr>
        <w:rPr>
          <w:lang w:val="es-ES"/>
        </w:rPr>
      </w:pPr>
    </w:p>
    <w:p w14:paraId="1EC391FD" w14:textId="77777777" w:rsidR="0078427D" w:rsidRPr="002C1C55" w:rsidRDefault="0078427D">
      <w:pPr>
        <w:rPr>
          <w:lang w:val="es-ES"/>
        </w:rPr>
      </w:pPr>
    </w:p>
    <w:p w14:paraId="3918C19F" w14:textId="77777777" w:rsidR="0078427D" w:rsidRPr="002C1C55" w:rsidRDefault="0078427D">
      <w:pPr>
        <w:rPr>
          <w:lang w:val="es-ES"/>
        </w:rPr>
      </w:pPr>
    </w:p>
    <w:p w14:paraId="7F34741A" w14:textId="77777777" w:rsidR="0078427D" w:rsidRPr="002C1C55" w:rsidRDefault="0078427D">
      <w:pPr>
        <w:rPr>
          <w:lang w:val="es-ES"/>
        </w:rPr>
      </w:pPr>
    </w:p>
    <w:p w14:paraId="17C3BAEF" w14:textId="77777777" w:rsidR="0078427D" w:rsidRPr="002C1C55" w:rsidRDefault="0078427D">
      <w:pPr>
        <w:rPr>
          <w:lang w:val="es-ES"/>
        </w:rPr>
      </w:pPr>
    </w:p>
    <w:p w14:paraId="1AC5D359" w14:textId="04BD916C" w:rsidR="002374E5" w:rsidRPr="00444723" w:rsidRDefault="00444723">
      <w:pPr>
        <w:rPr>
          <w:rFonts w:ascii="Arial" w:hAnsi="Arial" w:cs="Arial"/>
          <w:b/>
          <w:bCs/>
          <w:lang w:val="es-ES"/>
        </w:rPr>
      </w:pPr>
      <w:r w:rsidRPr="00444723">
        <w:rPr>
          <w:rFonts w:ascii="Arial" w:hAnsi="Arial" w:cs="Arial"/>
          <w:b/>
          <w:bCs/>
          <w:noProof/>
          <w:lang w:val="es-ES" w:eastAsia="es-ES"/>
        </w:rPr>
        <w:lastRenderedPageBreak/>
        <w:drawing>
          <wp:inline distT="0" distB="0" distL="0" distR="0" wp14:anchorId="77809D59" wp14:editId="697016F4">
            <wp:extent cx="5731510" cy="4545330"/>
            <wp:effectExtent l="0" t="0" r="2540" b="7620"/>
            <wp:docPr id="980216875" name="Picture 1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216875" name="Picture 1" descr="A diagram of a graph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4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05695" w14:textId="0C79EE74" w:rsidR="0078427D" w:rsidRPr="00685501" w:rsidRDefault="00BD5E53" w:rsidP="00685501">
      <w:pPr>
        <w:spacing w:line="360" w:lineRule="auto"/>
        <w:jc w:val="both"/>
      </w:pPr>
      <w:r w:rsidRPr="00546C8C">
        <w:rPr>
          <w:rFonts w:ascii="Arial" w:hAnsi="Arial" w:cs="Arial"/>
          <w:b/>
          <w:bCs/>
        </w:rPr>
        <w:t>Figure S</w:t>
      </w:r>
      <w:r>
        <w:rPr>
          <w:rFonts w:ascii="Arial" w:hAnsi="Arial" w:cs="Arial"/>
          <w:b/>
          <w:bCs/>
        </w:rPr>
        <w:t>1</w:t>
      </w:r>
      <w:r w:rsidRPr="00546C8C">
        <w:rPr>
          <w:rFonts w:ascii="Arial" w:hAnsi="Arial" w:cs="Arial"/>
          <w:b/>
          <w:bCs/>
        </w:rPr>
        <w:t>.</w:t>
      </w:r>
      <w:r w:rsidR="00685501">
        <w:rPr>
          <w:rFonts w:ascii="Arial" w:hAnsi="Arial" w:cs="Arial"/>
          <w:b/>
          <w:bCs/>
        </w:rPr>
        <w:t xml:space="preserve"> </w:t>
      </w:r>
      <w:r w:rsidR="00685501" w:rsidRPr="00685501">
        <w:rPr>
          <w:rFonts w:ascii="Arial" w:hAnsi="Arial" w:cs="Arial"/>
          <w:color w:val="000000" w:themeColor="text1"/>
        </w:rPr>
        <w:t>MaxEnt1 deconvoluted mass spectra of the reduced cAC10 antibody and the DOTA-cAC10 immunoconjugate.</w:t>
      </w:r>
      <w:r w:rsidR="00685501">
        <w:rPr>
          <w:rFonts w:ascii="Arial" w:hAnsi="Arial" w:cs="Arial"/>
        </w:rPr>
        <w:t xml:space="preserve"> </w:t>
      </w:r>
    </w:p>
    <w:p w14:paraId="5B57C909" w14:textId="77777777" w:rsidR="00BD5E53" w:rsidRPr="00685501" w:rsidRDefault="00BD5E53"/>
    <w:p w14:paraId="53AE19E0" w14:textId="79AE9BA6" w:rsidR="0078427D" w:rsidRDefault="00256CD0" w:rsidP="0078427D">
      <w:pPr>
        <w:jc w:val="center"/>
      </w:pPr>
      <w:r w:rsidRPr="00256CD0">
        <w:rPr>
          <w:noProof/>
          <w:lang w:val="es-ES" w:eastAsia="es-ES"/>
        </w:rPr>
        <w:drawing>
          <wp:inline distT="0" distB="0" distL="0" distR="0" wp14:anchorId="6BE0E591" wp14:editId="030451FB">
            <wp:extent cx="2676525" cy="2295774"/>
            <wp:effectExtent l="0" t="0" r="0" b="9525"/>
            <wp:docPr id="847820647" name="Picture 1" descr="A graph of a normalized pul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820647" name="Picture 1" descr="A graph of a normalized pulse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88776" cy="2306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C3AE4" w14:textId="7E776B01" w:rsidR="0078427D" w:rsidRPr="006268BD" w:rsidRDefault="0078427D" w:rsidP="00AC4B6F">
      <w:pPr>
        <w:spacing w:line="360" w:lineRule="auto"/>
        <w:jc w:val="both"/>
        <w:rPr>
          <w:rFonts w:ascii="Arial" w:hAnsi="Arial" w:cs="Arial"/>
          <w:color w:val="FF0000"/>
        </w:rPr>
      </w:pPr>
      <w:r w:rsidRPr="00546C8C">
        <w:rPr>
          <w:rFonts w:ascii="Arial" w:hAnsi="Arial" w:cs="Arial"/>
          <w:b/>
          <w:bCs/>
        </w:rPr>
        <w:t>Figure S</w:t>
      </w:r>
      <w:r w:rsidR="00BD5E53">
        <w:rPr>
          <w:rFonts w:ascii="Arial" w:hAnsi="Arial" w:cs="Arial"/>
          <w:b/>
          <w:bCs/>
        </w:rPr>
        <w:t>2</w:t>
      </w:r>
      <w:r w:rsidRPr="00546C8C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</w:t>
      </w:r>
      <w:r w:rsidRPr="00B94DFF">
        <w:rPr>
          <w:rFonts w:ascii="Arial" w:hAnsi="Arial" w:cs="Arial"/>
          <w:color w:val="000000" w:themeColor="text1"/>
        </w:rPr>
        <w:t xml:space="preserve">Representative SEC chromatogram </w:t>
      </w:r>
      <w:r w:rsidR="006130DF" w:rsidRPr="00B94DFF">
        <w:rPr>
          <w:rFonts w:ascii="Arial" w:hAnsi="Arial" w:cs="Arial"/>
          <w:color w:val="000000" w:themeColor="text1"/>
        </w:rPr>
        <w:t xml:space="preserve">with on-line radiodetection </w:t>
      </w:r>
      <w:r w:rsidRPr="00B94DFF">
        <w:rPr>
          <w:rFonts w:ascii="Arial" w:hAnsi="Arial" w:cs="Arial"/>
          <w:color w:val="000000" w:themeColor="text1"/>
        </w:rPr>
        <w:t xml:space="preserve">of the </w:t>
      </w:r>
      <w:r w:rsidR="006130DF" w:rsidRPr="00B94DFF">
        <w:rPr>
          <w:rFonts w:ascii="Arial" w:hAnsi="Arial" w:cs="Arial"/>
          <w:color w:val="000000" w:themeColor="text1"/>
        </w:rPr>
        <w:t xml:space="preserve">immune conjugate DOTA-cAC10 labeled with </w:t>
      </w:r>
      <w:r w:rsidRPr="00B94DFF">
        <w:rPr>
          <w:rFonts w:ascii="Arial" w:hAnsi="Arial" w:cs="Arial"/>
          <w:color w:val="000000" w:themeColor="text1"/>
          <w:vertAlign w:val="superscript"/>
        </w:rPr>
        <w:t>177</w:t>
      </w:r>
      <w:r w:rsidRPr="00B94DFF">
        <w:rPr>
          <w:rFonts w:ascii="Arial" w:hAnsi="Arial" w:cs="Arial"/>
          <w:color w:val="000000" w:themeColor="text1"/>
        </w:rPr>
        <w:t xml:space="preserve">Lu after PD10 purification. </w:t>
      </w:r>
      <w:r w:rsidR="006130DF" w:rsidRPr="00B94DFF">
        <w:rPr>
          <w:rFonts w:ascii="Arial" w:hAnsi="Arial" w:cs="Arial"/>
          <w:color w:val="000000" w:themeColor="text1"/>
        </w:rPr>
        <w:t>The m</w:t>
      </w:r>
      <w:r w:rsidRPr="00B94DFF">
        <w:rPr>
          <w:rFonts w:ascii="Arial" w:hAnsi="Arial" w:cs="Arial"/>
          <w:color w:val="000000" w:themeColor="text1"/>
        </w:rPr>
        <w:t xml:space="preserve">ain peak </w:t>
      </w:r>
      <w:r w:rsidR="006268BD" w:rsidRPr="00B94DFF">
        <w:rPr>
          <w:rFonts w:ascii="Arial" w:hAnsi="Arial" w:cs="Arial"/>
          <w:color w:val="000000" w:themeColor="text1"/>
        </w:rPr>
        <w:t xml:space="preserve">at </w:t>
      </w:r>
      <w:r w:rsidRPr="00B94DFF">
        <w:rPr>
          <w:rFonts w:ascii="Arial" w:hAnsi="Arial" w:cs="Arial"/>
          <w:color w:val="000000" w:themeColor="text1"/>
        </w:rPr>
        <w:t xml:space="preserve"> ~14 min</w:t>
      </w:r>
      <w:r w:rsidR="006130DF" w:rsidRPr="00B94DFF">
        <w:rPr>
          <w:rFonts w:ascii="Arial" w:hAnsi="Arial" w:cs="Arial"/>
          <w:color w:val="000000" w:themeColor="text1"/>
        </w:rPr>
        <w:t xml:space="preserve"> corresponded to </w:t>
      </w:r>
      <w:r w:rsidR="006268BD" w:rsidRPr="00B94DFF">
        <w:rPr>
          <w:rFonts w:ascii="Arial" w:hAnsi="Arial" w:cs="Arial"/>
          <w:color w:val="000000" w:themeColor="text1"/>
        </w:rPr>
        <w:t>[</w:t>
      </w:r>
      <w:r w:rsidR="006268BD" w:rsidRPr="00B94DFF">
        <w:rPr>
          <w:rFonts w:ascii="Arial" w:hAnsi="Arial" w:cs="Arial"/>
          <w:color w:val="000000" w:themeColor="text1"/>
          <w:vertAlign w:val="superscript"/>
        </w:rPr>
        <w:t>177</w:t>
      </w:r>
      <w:r w:rsidR="006130DF" w:rsidRPr="00B94DFF">
        <w:rPr>
          <w:rFonts w:ascii="Arial" w:hAnsi="Arial" w:cs="Arial"/>
          <w:color w:val="000000" w:themeColor="text1"/>
        </w:rPr>
        <w:t>Lu]Lu-DOTA-cAC10</w:t>
      </w:r>
      <w:r w:rsidR="006268BD" w:rsidRPr="00B94DFF">
        <w:rPr>
          <w:rFonts w:ascii="Arial" w:hAnsi="Arial" w:cs="Arial"/>
          <w:color w:val="000000" w:themeColor="text1"/>
        </w:rPr>
        <w:t>. The peak at ~10 min was assigned to radiolabeled antibody aggregates</w:t>
      </w:r>
      <w:r w:rsidR="00DC0277">
        <w:rPr>
          <w:rFonts w:ascii="Arial" w:hAnsi="Arial" w:cs="Arial"/>
          <w:color w:val="000000" w:themeColor="text1"/>
        </w:rPr>
        <w:t>.</w:t>
      </w:r>
    </w:p>
    <w:p w14:paraId="78C83923" w14:textId="77777777" w:rsidR="0078427D" w:rsidRDefault="0078427D" w:rsidP="0078427D">
      <w:pPr>
        <w:jc w:val="both"/>
        <w:rPr>
          <w:rFonts w:ascii="Arial" w:hAnsi="Arial" w:cs="Arial"/>
        </w:rPr>
      </w:pPr>
    </w:p>
    <w:p w14:paraId="55EF1D4A" w14:textId="603E68BF" w:rsidR="0078427D" w:rsidRDefault="002577DF" w:rsidP="002577DF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s-ES" w:eastAsia="es-ES"/>
        </w:rPr>
        <w:drawing>
          <wp:inline distT="0" distB="0" distL="0" distR="0" wp14:anchorId="6605174A" wp14:editId="6662A8CC">
            <wp:extent cx="3987800" cy="2819344"/>
            <wp:effectExtent l="0" t="0" r="0" b="635"/>
            <wp:docPr id="212182144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324" cy="2821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41DA3" w14:textId="2AC5BAA7" w:rsidR="00C167F3" w:rsidRPr="005F3998" w:rsidRDefault="0078427D" w:rsidP="00677D82">
      <w:pPr>
        <w:spacing w:line="360" w:lineRule="auto"/>
        <w:jc w:val="both"/>
        <w:rPr>
          <w:rFonts w:ascii="Arial" w:hAnsi="Arial" w:cs="Arial"/>
          <w:color w:val="FF0000"/>
        </w:rPr>
      </w:pPr>
      <w:r w:rsidRPr="00546C8C">
        <w:rPr>
          <w:rFonts w:ascii="Arial" w:hAnsi="Arial" w:cs="Arial"/>
          <w:b/>
          <w:bCs/>
        </w:rPr>
        <w:t>Figure S</w:t>
      </w:r>
      <w:r w:rsidR="00BD5E53">
        <w:rPr>
          <w:rFonts w:ascii="Arial" w:hAnsi="Arial" w:cs="Arial"/>
          <w:b/>
          <w:bCs/>
        </w:rPr>
        <w:t>3</w:t>
      </w:r>
      <w:r w:rsidRPr="00546C8C">
        <w:rPr>
          <w:rFonts w:ascii="Arial" w:hAnsi="Arial" w:cs="Arial"/>
          <w:b/>
          <w:bCs/>
        </w:rPr>
        <w:t>.</w:t>
      </w:r>
      <w:r w:rsidRPr="00061778">
        <w:rPr>
          <w:rFonts w:ascii="Arial" w:hAnsi="Arial" w:cs="Arial"/>
        </w:rPr>
        <w:t xml:space="preserve"> </w:t>
      </w:r>
      <w:r w:rsidR="006268BD" w:rsidRPr="00B94DFF">
        <w:rPr>
          <w:rFonts w:ascii="Arial" w:hAnsi="Arial" w:cs="Arial"/>
          <w:color w:val="000000" w:themeColor="text1"/>
        </w:rPr>
        <w:t xml:space="preserve">Representative SEC-ICP-MS </w:t>
      </w:r>
      <w:r w:rsidR="00AC4B6F" w:rsidRPr="00B94DFF">
        <w:rPr>
          <w:rFonts w:ascii="Arial" w:hAnsi="Arial" w:cs="Arial"/>
          <w:color w:val="000000" w:themeColor="text1"/>
        </w:rPr>
        <w:t xml:space="preserve">chromatogram </w:t>
      </w:r>
      <w:r w:rsidR="006268BD" w:rsidRPr="00B94DFF">
        <w:rPr>
          <w:rFonts w:ascii="Arial" w:hAnsi="Arial" w:cs="Arial"/>
          <w:color w:val="000000" w:themeColor="text1"/>
        </w:rPr>
        <w:t xml:space="preserve">monitoring </w:t>
      </w:r>
      <w:r w:rsidR="006268BD" w:rsidRPr="00B94DFF">
        <w:rPr>
          <w:rFonts w:ascii="Arial" w:hAnsi="Arial" w:cs="Arial"/>
          <w:color w:val="000000" w:themeColor="text1"/>
          <w:vertAlign w:val="superscript"/>
        </w:rPr>
        <w:t>175</w:t>
      </w:r>
      <w:r w:rsidR="006268BD" w:rsidRPr="00B94DFF">
        <w:rPr>
          <w:rFonts w:ascii="Arial" w:hAnsi="Arial" w:cs="Arial"/>
          <w:color w:val="000000" w:themeColor="text1"/>
        </w:rPr>
        <w:t>Lu</w:t>
      </w:r>
      <w:r w:rsidR="006268BD" w:rsidRPr="00B94DFF">
        <w:rPr>
          <w:rFonts w:ascii="Arial" w:hAnsi="Arial" w:cs="Arial"/>
          <w:color w:val="000000" w:themeColor="text1"/>
          <w:vertAlign w:val="superscript"/>
        </w:rPr>
        <w:t>+</w:t>
      </w:r>
      <w:r w:rsidR="006268BD" w:rsidRPr="00B94DFF">
        <w:rPr>
          <w:rFonts w:ascii="Arial" w:hAnsi="Arial" w:cs="Arial"/>
          <w:color w:val="000000" w:themeColor="text1"/>
        </w:rPr>
        <w:t xml:space="preserve"> of the immune conjugate DOTA-cAC10 labeled with</w:t>
      </w:r>
      <w:r w:rsidR="00061778" w:rsidRPr="00B94DFF">
        <w:rPr>
          <w:rFonts w:ascii="Arial" w:hAnsi="Arial" w:cs="Arial"/>
          <w:color w:val="000000" w:themeColor="text1"/>
        </w:rPr>
        <w:t xml:space="preserve"> </w:t>
      </w:r>
      <w:r w:rsidR="00AC4B6F" w:rsidRPr="00B94DFF">
        <w:rPr>
          <w:rFonts w:ascii="Arial" w:hAnsi="Arial" w:cs="Arial"/>
          <w:color w:val="000000" w:themeColor="text1"/>
          <w:vertAlign w:val="superscript"/>
        </w:rPr>
        <w:t>175</w:t>
      </w:r>
      <w:r w:rsidR="00AC4B6F" w:rsidRPr="00B94DFF">
        <w:rPr>
          <w:rFonts w:ascii="Arial" w:hAnsi="Arial" w:cs="Arial"/>
          <w:color w:val="000000" w:themeColor="text1"/>
        </w:rPr>
        <w:t>Lu</w:t>
      </w:r>
      <w:r w:rsidR="002577DF" w:rsidRPr="00B94DFF">
        <w:rPr>
          <w:rFonts w:ascii="Arial" w:hAnsi="Arial" w:cs="Arial"/>
          <w:color w:val="000000" w:themeColor="text1"/>
        </w:rPr>
        <w:t xml:space="preserve">. </w:t>
      </w:r>
      <w:r w:rsidR="005F3998" w:rsidRPr="00B94DFF">
        <w:rPr>
          <w:rFonts w:ascii="Arial" w:hAnsi="Arial" w:cs="Arial"/>
          <w:color w:val="000000" w:themeColor="text1"/>
        </w:rPr>
        <w:t>The peak at ~16 min corresponded to [</w:t>
      </w:r>
      <w:r w:rsidR="005F3998" w:rsidRPr="00B94DFF">
        <w:rPr>
          <w:rFonts w:ascii="Arial" w:hAnsi="Arial" w:cs="Arial"/>
          <w:color w:val="000000" w:themeColor="text1"/>
          <w:vertAlign w:val="superscript"/>
        </w:rPr>
        <w:t>175</w:t>
      </w:r>
      <w:r w:rsidR="005F3998" w:rsidRPr="00B94DFF">
        <w:rPr>
          <w:rFonts w:ascii="Arial" w:hAnsi="Arial" w:cs="Arial"/>
          <w:color w:val="000000" w:themeColor="text1"/>
        </w:rPr>
        <w:t xml:space="preserve">Lu]Lu-DOTA-cAC10. The peaks at 12-14 min were assigned to metal-labeled antibody aggregates. The peak at ~28 min corresponded to the complex of </w:t>
      </w:r>
      <w:r w:rsidR="005F3998" w:rsidRPr="00B94DFF">
        <w:rPr>
          <w:rFonts w:ascii="Arial" w:hAnsi="Arial" w:cs="Arial"/>
          <w:color w:val="000000" w:themeColor="text1"/>
          <w:vertAlign w:val="superscript"/>
        </w:rPr>
        <w:t>175</w:t>
      </w:r>
      <w:r w:rsidR="005F3998" w:rsidRPr="00B94DFF">
        <w:rPr>
          <w:rFonts w:ascii="Arial" w:hAnsi="Arial" w:cs="Arial"/>
          <w:color w:val="000000" w:themeColor="text1"/>
        </w:rPr>
        <w:t>Lu with EDTA</w:t>
      </w:r>
      <w:r w:rsidR="00DC0277">
        <w:rPr>
          <w:rFonts w:ascii="Arial" w:hAnsi="Arial" w:cs="Arial"/>
          <w:color w:val="000000" w:themeColor="text1"/>
        </w:rPr>
        <w:t>.</w:t>
      </w:r>
    </w:p>
    <w:p w14:paraId="11AB228B" w14:textId="77777777" w:rsidR="00AC4B6F" w:rsidRDefault="00AC4B6F" w:rsidP="0078427D">
      <w:pPr>
        <w:jc w:val="both"/>
        <w:rPr>
          <w:rFonts w:ascii="Arial" w:hAnsi="Arial" w:cs="Arial"/>
        </w:rPr>
      </w:pPr>
    </w:p>
    <w:p w14:paraId="04B40CB6" w14:textId="7B65280A" w:rsidR="00AC4B6F" w:rsidRDefault="00AC4B6F" w:rsidP="0078427D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val="es-ES" w:eastAsia="es-ES"/>
        </w:rPr>
        <w:drawing>
          <wp:inline distT="0" distB="0" distL="0" distR="0" wp14:anchorId="72BE0E20" wp14:editId="1CDD4E28">
            <wp:extent cx="5982262" cy="2646485"/>
            <wp:effectExtent l="0" t="0" r="0" b="1905"/>
            <wp:docPr id="1879748356" name="Picture 2" descr="A graph of a number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748356" name="Picture 2" descr="A graph of a number of different colored lines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7916" cy="2648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1AF6F" w14:textId="4FB7B88D" w:rsidR="00AC4B6F" w:rsidRDefault="00AC4B6F" w:rsidP="00AC4B6F">
      <w:pPr>
        <w:spacing w:line="360" w:lineRule="auto"/>
        <w:jc w:val="both"/>
        <w:rPr>
          <w:color w:val="000000" w:themeColor="text1"/>
        </w:rPr>
      </w:pPr>
      <w:r w:rsidRPr="00546C8C">
        <w:rPr>
          <w:rFonts w:ascii="Arial" w:hAnsi="Arial" w:cs="Arial"/>
          <w:b/>
          <w:bCs/>
        </w:rPr>
        <w:t>Figure S</w:t>
      </w:r>
      <w:r w:rsidR="00BD5E53">
        <w:rPr>
          <w:rFonts w:ascii="Arial" w:hAnsi="Arial" w:cs="Arial"/>
          <w:b/>
          <w:bCs/>
        </w:rPr>
        <w:t>4</w:t>
      </w:r>
      <w:r w:rsidRPr="00546C8C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</w:t>
      </w:r>
      <w:r w:rsidRPr="00B94DFF">
        <w:rPr>
          <w:rFonts w:ascii="Arial" w:hAnsi="Arial" w:cs="Arial"/>
          <w:color w:val="000000" w:themeColor="text1"/>
        </w:rPr>
        <w:t xml:space="preserve">CD30 membrane expression in </w:t>
      </w:r>
      <w:r w:rsidR="00105EFC" w:rsidRPr="00B94DFF">
        <w:rPr>
          <w:rFonts w:ascii="Arial" w:hAnsi="Arial" w:cs="Arial"/>
          <w:color w:val="000000" w:themeColor="text1"/>
        </w:rPr>
        <w:t xml:space="preserve">the </w:t>
      </w:r>
      <w:r w:rsidRPr="00B94DFF">
        <w:rPr>
          <w:rFonts w:ascii="Arial" w:hAnsi="Arial" w:cs="Arial"/>
          <w:color w:val="000000" w:themeColor="text1"/>
        </w:rPr>
        <w:t>three different T-cell lymphoma cell lines by flow cytometry</w:t>
      </w:r>
      <w:r w:rsidR="00904925" w:rsidRPr="00B94DFF">
        <w:rPr>
          <w:color w:val="000000" w:themeColor="text1"/>
        </w:rPr>
        <w:t xml:space="preserve"> </w:t>
      </w:r>
      <w:r w:rsidR="00904925" w:rsidRPr="00B94DFF">
        <w:rPr>
          <w:rFonts w:ascii="Arial" w:hAnsi="Arial" w:cs="Arial"/>
          <w:color w:val="000000" w:themeColor="text1"/>
        </w:rPr>
        <w:t>using the anti-CD30- allophycocyanin (APC) antibody for staining</w:t>
      </w:r>
      <w:r w:rsidRPr="00B94DFF">
        <w:rPr>
          <w:rFonts w:ascii="Arial" w:hAnsi="Arial" w:cs="Arial"/>
          <w:color w:val="000000" w:themeColor="text1"/>
        </w:rPr>
        <w:t xml:space="preserve">. Histograms of the </w:t>
      </w:r>
      <w:r w:rsidR="00904925" w:rsidRPr="00B94DFF">
        <w:rPr>
          <w:rFonts w:ascii="Arial" w:hAnsi="Arial" w:cs="Arial"/>
          <w:color w:val="000000" w:themeColor="text1"/>
        </w:rPr>
        <w:t>CD30-stained cell population</w:t>
      </w:r>
      <w:r w:rsidRPr="00B94DFF">
        <w:rPr>
          <w:rFonts w:ascii="Arial" w:hAnsi="Arial" w:cs="Arial"/>
          <w:color w:val="000000" w:themeColor="text1"/>
        </w:rPr>
        <w:t xml:space="preserve"> in Jurkat </w:t>
      </w:r>
      <w:r w:rsidR="00105EFC" w:rsidRPr="00B94DFF">
        <w:rPr>
          <w:rFonts w:ascii="Arial" w:hAnsi="Arial" w:cs="Arial"/>
          <w:color w:val="000000" w:themeColor="text1"/>
        </w:rPr>
        <w:t>(</w:t>
      </w:r>
      <w:r w:rsidR="00DC7A65" w:rsidRPr="00B94DFF">
        <w:rPr>
          <w:rFonts w:ascii="Arial" w:hAnsi="Arial" w:cs="Arial"/>
          <w:color w:val="000000" w:themeColor="text1"/>
        </w:rPr>
        <w:t xml:space="preserve">in </w:t>
      </w:r>
      <w:r w:rsidR="00716F88" w:rsidRPr="00B94DFF">
        <w:rPr>
          <w:rFonts w:ascii="Arial" w:hAnsi="Arial" w:cs="Arial"/>
          <w:color w:val="000000" w:themeColor="text1"/>
        </w:rPr>
        <w:t>green</w:t>
      </w:r>
      <w:r w:rsidR="00904925" w:rsidRPr="00B94DFF">
        <w:rPr>
          <w:rFonts w:ascii="Arial" w:hAnsi="Arial" w:cs="Arial"/>
          <w:color w:val="000000" w:themeColor="text1"/>
        </w:rPr>
        <w:t xml:space="preserve">) </w:t>
      </w:r>
      <w:r w:rsidRPr="00B94DFF">
        <w:rPr>
          <w:rFonts w:ascii="Arial" w:hAnsi="Arial" w:cs="Arial"/>
          <w:color w:val="000000" w:themeColor="text1"/>
        </w:rPr>
        <w:t xml:space="preserve">(A), Myla </w:t>
      </w:r>
      <w:r w:rsidR="00904925" w:rsidRPr="00B94DFF">
        <w:rPr>
          <w:rFonts w:ascii="Arial" w:hAnsi="Arial" w:cs="Arial"/>
          <w:color w:val="000000" w:themeColor="text1"/>
        </w:rPr>
        <w:t>(</w:t>
      </w:r>
      <w:r w:rsidR="00DC7A65" w:rsidRPr="00B94DFF">
        <w:rPr>
          <w:rFonts w:ascii="Arial" w:hAnsi="Arial" w:cs="Arial"/>
          <w:color w:val="000000" w:themeColor="text1"/>
        </w:rPr>
        <w:t xml:space="preserve">in </w:t>
      </w:r>
      <w:r w:rsidR="00D75B1B">
        <w:rPr>
          <w:rFonts w:ascii="Arial" w:hAnsi="Arial" w:cs="Arial"/>
          <w:color w:val="000000" w:themeColor="text1"/>
        </w:rPr>
        <w:t>orange</w:t>
      </w:r>
      <w:r w:rsidR="00904925" w:rsidRPr="00B94DFF">
        <w:rPr>
          <w:rFonts w:ascii="Arial" w:hAnsi="Arial" w:cs="Arial"/>
          <w:color w:val="000000" w:themeColor="text1"/>
        </w:rPr>
        <w:t xml:space="preserve">) </w:t>
      </w:r>
      <w:r w:rsidRPr="00B94DFF">
        <w:rPr>
          <w:rFonts w:ascii="Arial" w:hAnsi="Arial" w:cs="Arial"/>
          <w:color w:val="000000" w:themeColor="text1"/>
        </w:rPr>
        <w:t xml:space="preserve">(B), and Karpas </w:t>
      </w:r>
      <w:r w:rsidR="00546C8C" w:rsidRPr="00B94DFF">
        <w:rPr>
          <w:rFonts w:ascii="Arial" w:hAnsi="Arial" w:cs="Arial"/>
          <w:color w:val="000000" w:themeColor="text1"/>
        </w:rPr>
        <w:t>299 (</w:t>
      </w:r>
      <w:r w:rsidR="00DC7A65" w:rsidRPr="00B94DFF">
        <w:rPr>
          <w:rFonts w:ascii="Arial" w:hAnsi="Arial" w:cs="Arial"/>
          <w:color w:val="000000" w:themeColor="text1"/>
        </w:rPr>
        <w:t xml:space="preserve">in </w:t>
      </w:r>
      <w:r w:rsidR="00904925" w:rsidRPr="00B94DFF">
        <w:rPr>
          <w:rFonts w:ascii="Arial" w:hAnsi="Arial" w:cs="Arial"/>
          <w:color w:val="000000" w:themeColor="text1"/>
        </w:rPr>
        <w:t xml:space="preserve">violet) </w:t>
      </w:r>
      <w:r w:rsidRPr="00B94DFF">
        <w:rPr>
          <w:rFonts w:ascii="Arial" w:hAnsi="Arial" w:cs="Arial"/>
          <w:color w:val="000000" w:themeColor="text1"/>
        </w:rPr>
        <w:t xml:space="preserve">(C) cells lines </w:t>
      </w:r>
      <w:r w:rsidR="00904925" w:rsidRPr="00B94DFF">
        <w:rPr>
          <w:rFonts w:ascii="Arial" w:hAnsi="Arial" w:cs="Arial"/>
          <w:color w:val="000000" w:themeColor="text1"/>
        </w:rPr>
        <w:t xml:space="preserve">in </w:t>
      </w:r>
      <w:r w:rsidRPr="00B94DFF">
        <w:rPr>
          <w:rFonts w:ascii="Arial" w:hAnsi="Arial" w:cs="Arial"/>
          <w:color w:val="000000" w:themeColor="text1"/>
        </w:rPr>
        <w:t>comparison with the isotype controls</w:t>
      </w:r>
      <w:r w:rsidR="00904925" w:rsidRPr="00B94DFF">
        <w:rPr>
          <w:rFonts w:ascii="Arial" w:hAnsi="Arial" w:cs="Arial"/>
          <w:color w:val="000000" w:themeColor="text1"/>
        </w:rPr>
        <w:t xml:space="preserve"> (</w:t>
      </w:r>
      <w:r w:rsidR="00DC7A65" w:rsidRPr="00B94DFF">
        <w:rPr>
          <w:rFonts w:ascii="Arial" w:hAnsi="Arial" w:cs="Arial"/>
          <w:color w:val="000000" w:themeColor="text1"/>
        </w:rPr>
        <w:t xml:space="preserve">in </w:t>
      </w:r>
      <w:r w:rsidR="00904925" w:rsidRPr="00B94DFF">
        <w:rPr>
          <w:rFonts w:ascii="Arial" w:hAnsi="Arial" w:cs="Arial"/>
          <w:color w:val="000000" w:themeColor="text1"/>
        </w:rPr>
        <w:t>grey)</w:t>
      </w:r>
      <w:r w:rsidRPr="00B94DFF">
        <w:rPr>
          <w:rFonts w:ascii="Arial" w:hAnsi="Arial" w:cs="Arial"/>
          <w:color w:val="000000" w:themeColor="text1"/>
        </w:rPr>
        <w:t>.</w:t>
      </w:r>
      <w:r w:rsidR="00904925" w:rsidRPr="00B94DFF">
        <w:rPr>
          <w:color w:val="000000" w:themeColor="text1"/>
        </w:rPr>
        <w:t xml:space="preserve"> </w:t>
      </w:r>
    </w:p>
    <w:p w14:paraId="43552524" w14:textId="77777777" w:rsidR="001F0217" w:rsidRDefault="001F0217" w:rsidP="00AC4B6F">
      <w:pPr>
        <w:spacing w:line="360" w:lineRule="auto"/>
        <w:jc w:val="both"/>
        <w:rPr>
          <w:color w:val="000000" w:themeColor="text1"/>
        </w:rPr>
      </w:pPr>
    </w:p>
    <w:p w14:paraId="1418AE19" w14:textId="46BB8282" w:rsidR="001F0217" w:rsidRDefault="00C02B4F" w:rsidP="00256CD0">
      <w:pPr>
        <w:spacing w:line="360" w:lineRule="auto"/>
        <w:jc w:val="center"/>
        <w:rPr>
          <w:rFonts w:ascii="Arial" w:hAnsi="Arial" w:cs="Arial"/>
          <w:b/>
          <w:bCs/>
        </w:rPr>
      </w:pPr>
      <w:r w:rsidRPr="00C02B4F">
        <w:rPr>
          <w:rFonts w:ascii="Arial" w:hAnsi="Arial" w:cs="Arial"/>
          <w:b/>
          <w:bCs/>
        </w:rPr>
        <w:lastRenderedPageBreak/>
        <w:drawing>
          <wp:inline distT="0" distB="0" distL="0" distR="0" wp14:anchorId="228A8BB2" wp14:editId="71522703">
            <wp:extent cx="3407639" cy="2695229"/>
            <wp:effectExtent l="0" t="0" r="2540" b="0"/>
            <wp:docPr id="575181953" name="Picture 1" descr="A graph of cell uptak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181953" name="Picture 1" descr="A graph of cell uptake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14929" cy="270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28086" w14:textId="28CD3364" w:rsidR="00105EFC" w:rsidRDefault="001F0217" w:rsidP="00AC4B6F">
      <w:pPr>
        <w:spacing w:line="360" w:lineRule="auto"/>
        <w:jc w:val="both"/>
        <w:rPr>
          <w:rFonts w:ascii="Arial" w:hAnsi="Arial" w:cs="Arial"/>
          <w:color w:val="FF0000"/>
        </w:rPr>
      </w:pPr>
      <w:r w:rsidRPr="00231FCC">
        <w:rPr>
          <w:rFonts w:ascii="Arial" w:hAnsi="Arial" w:cs="Arial"/>
          <w:b/>
          <w:bCs/>
          <w:color w:val="FF0000"/>
        </w:rPr>
        <w:t>Figure S5.</w:t>
      </w:r>
      <w:r w:rsidR="008D6602">
        <w:rPr>
          <w:rFonts w:ascii="Arial" w:hAnsi="Arial" w:cs="Arial"/>
          <w:b/>
          <w:bCs/>
          <w:color w:val="FF0000"/>
        </w:rPr>
        <w:t xml:space="preserve"> </w:t>
      </w:r>
      <w:r w:rsidR="008D6602" w:rsidRPr="008D6602">
        <w:rPr>
          <w:rFonts w:ascii="Arial" w:hAnsi="Arial" w:cs="Arial"/>
          <w:color w:val="FF0000"/>
        </w:rPr>
        <w:t>Percentage of</w:t>
      </w:r>
      <w:r w:rsidRPr="008D6602">
        <w:rPr>
          <w:rFonts w:ascii="Arial" w:hAnsi="Arial" w:cs="Arial"/>
          <w:color w:val="FF0000"/>
        </w:rPr>
        <w:t xml:space="preserve"> </w:t>
      </w:r>
      <w:r w:rsidR="008D6602" w:rsidRPr="008D6602">
        <w:rPr>
          <w:rFonts w:ascii="Arial" w:hAnsi="Arial" w:cs="Arial"/>
          <w:color w:val="FF0000"/>
        </w:rPr>
        <w:t>[</w:t>
      </w:r>
      <w:r w:rsidR="008D6602" w:rsidRPr="008D6602">
        <w:rPr>
          <w:rFonts w:ascii="Arial" w:hAnsi="Arial" w:cs="Arial"/>
          <w:color w:val="FF0000"/>
          <w:vertAlign w:val="superscript"/>
        </w:rPr>
        <w:t>177</w:t>
      </w:r>
      <w:r w:rsidR="008D6602" w:rsidRPr="008D6602">
        <w:rPr>
          <w:rFonts w:ascii="Arial" w:hAnsi="Arial" w:cs="Arial"/>
          <w:color w:val="FF0000"/>
        </w:rPr>
        <w:t>Lu]Lu-DOTA-cAC10 cell</w:t>
      </w:r>
      <w:r w:rsidR="008D6602">
        <w:rPr>
          <w:rFonts w:ascii="Arial" w:hAnsi="Arial" w:cs="Arial"/>
          <w:color w:val="FF0000"/>
        </w:rPr>
        <w:t>ular</w:t>
      </w:r>
      <w:r w:rsidR="008D6602" w:rsidRPr="008D6602">
        <w:rPr>
          <w:rFonts w:ascii="Arial" w:hAnsi="Arial" w:cs="Arial"/>
          <w:color w:val="FF0000"/>
        </w:rPr>
        <w:t xml:space="preserve"> uptake in </w:t>
      </w:r>
      <w:r w:rsidR="008D6602">
        <w:rPr>
          <w:rFonts w:ascii="Arial" w:hAnsi="Arial" w:cs="Arial"/>
          <w:color w:val="FF0000"/>
        </w:rPr>
        <w:t xml:space="preserve">the membrane and internalized fractions for the three tested cell lines measured by </w:t>
      </w:r>
      <w:r w:rsidR="008D6602" w:rsidRPr="008D6602">
        <w:rPr>
          <w:rFonts w:ascii="Arial" w:hAnsi="Arial" w:cs="Arial"/>
          <w:color w:val="FF0000"/>
        </w:rPr>
        <w:t>γ-counting (mean ± SD, n=3).</w:t>
      </w:r>
    </w:p>
    <w:p w14:paraId="261D8152" w14:textId="77777777" w:rsidR="008D6602" w:rsidRPr="008D6602" w:rsidRDefault="008D6602" w:rsidP="00AC4B6F">
      <w:pPr>
        <w:spacing w:line="360" w:lineRule="auto"/>
        <w:jc w:val="both"/>
        <w:rPr>
          <w:rFonts w:ascii="Arial" w:hAnsi="Arial" w:cs="Arial"/>
          <w:color w:val="FF0000"/>
        </w:rPr>
      </w:pPr>
    </w:p>
    <w:p w14:paraId="1B0C4A10" w14:textId="3DD2894C" w:rsidR="00D471D8" w:rsidRDefault="00545125" w:rsidP="00545125">
      <w:pPr>
        <w:spacing w:line="360" w:lineRule="auto"/>
        <w:jc w:val="center"/>
        <w:rPr>
          <w:rFonts w:ascii="Arial" w:hAnsi="Arial" w:cs="Arial"/>
        </w:rPr>
      </w:pPr>
      <w:r w:rsidRPr="00545125">
        <w:rPr>
          <w:rFonts w:ascii="Arial" w:hAnsi="Arial" w:cs="Arial"/>
          <w:noProof/>
          <w:lang w:val="es-ES" w:eastAsia="es-ES"/>
        </w:rPr>
        <w:drawing>
          <wp:inline distT="0" distB="0" distL="0" distR="0" wp14:anchorId="50E9ED51" wp14:editId="4CA74CFE">
            <wp:extent cx="3918857" cy="2644140"/>
            <wp:effectExtent l="0" t="0" r="5715" b="3810"/>
            <wp:docPr id="3" name="Picture 2" descr="Histograma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2C05F8A2-4BAE-22A1-814A-C16B5AC20D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Histograma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2C05F8A2-4BAE-22A1-814A-C16B5AC20D7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l="12237" t="24000" r="31947" b="9053"/>
                    <a:stretch/>
                  </pic:blipFill>
                  <pic:spPr bwMode="auto">
                    <a:xfrm>
                      <a:off x="0" y="0"/>
                      <a:ext cx="3923930" cy="2647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E1F988" w14:textId="71789F87" w:rsidR="000B02D4" w:rsidRPr="00546C8C" w:rsidRDefault="00586583" w:rsidP="00677D82">
      <w:pPr>
        <w:spacing w:line="360" w:lineRule="auto"/>
        <w:jc w:val="both"/>
        <w:rPr>
          <w:rFonts w:ascii="Arial" w:hAnsi="Arial" w:cs="Arial"/>
        </w:rPr>
      </w:pPr>
      <w:r w:rsidRPr="00594924">
        <w:rPr>
          <w:rFonts w:ascii="Arial" w:hAnsi="Arial" w:cs="Arial"/>
          <w:b/>
          <w:bCs/>
          <w:color w:val="FF0000"/>
        </w:rPr>
        <w:t>Figure S</w:t>
      </w:r>
      <w:r w:rsidR="00594924" w:rsidRPr="00594924">
        <w:rPr>
          <w:rFonts w:ascii="Arial" w:hAnsi="Arial" w:cs="Arial"/>
          <w:b/>
          <w:bCs/>
          <w:color w:val="FF0000"/>
        </w:rPr>
        <w:t>6</w:t>
      </w:r>
      <w:r w:rsidRPr="00546C8C">
        <w:rPr>
          <w:rFonts w:ascii="Arial" w:hAnsi="Arial" w:cs="Arial"/>
          <w:b/>
          <w:bCs/>
        </w:rPr>
        <w:t>.</w:t>
      </w:r>
      <w:r w:rsidRPr="00061778">
        <w:rPr>
          <w:rFonts w:ascii="Arial" w:hAnsi="Arial" w:cs="Arial"/>
        </w:rPr>
        <w:t xml:space="preserve"> </w:t>
      </w:r>
      <w:r w:rsidR="00BB44C0" w:rsidRPr="00B94DFF">
        <w:rPr>
          <w:rFonts w:ascii="Arial" w:hAnsi="Arial" w:cs="Arial"/>
          <w:color w:val="000000" w:themeColor="text1"/>
        </w:rPr>
        <w:t>Overlay h</w:t>
      </w:r>
      <w:r w:rsidR="000B02D4" w:rsidRPr="00B94DFF">
        <w:rPr>
          <w:rFonts w:ascii="Arial" w:hAnsi="Arial" w:cs="Arial"/>
          <w:color w:val="000000" w:themeColor="text1"/>
        </w:rPr>
        <w:t xml:space="preserve">istograms of the </w:t>
      </w:r>
      <w:r w:rsidR="000B02D4" w:rsidRPr="00B94DFF">
        <w:rPr>
          <w:rFonts w:ascii="Arial" w:hAnsi="Arial" w:cs="Arial"/>
          <w:color w:val="000000" w:themeColor="text1"/>
          <w:vertAlign w:val="superscript"/>
        </w:rPr>
        <w:t>175</w:t>
      </w:r>
      <w:r w:rsidR="000B02D4" w:rsidRPr="00B94DFF">
        <w:rPr>
          <w:rFonts w:ascii="Arial" w:hAnsi="Arial" w:cs="Arial"/>
          <w:color w:val="000000" w:themeColor="text1"/>
        </w:rPr>
        <w:t xml:space="preserve">Lu signal </w:t>
      </w:r>
      <w:r w:rsidR="009C738F" w:rsidRPr="00B94DFF">
        <w:rPr>
          <w:rFonts w:ascii="Arial" w:hAnsi="Arial" w:cs="Arial"/>
          <w:color w:val="000000" w:themeColor="text1"/>
        </w:rPr>
        <w:t xml:space="preserve">(normalized </w:t>
      </w:r>
      <w:r w:rsidR="00716F88" w:rsidRPr="00B94DFF">
        <w:rPr>
          <w:rFonts w:ascii="Arial" w:hAnsi="Arial" w:cs="Arial"/>
          <w:color w:val="000000" w:themeColor="text1"/>
        </w:rPr>
        <w:t xml:space="preserve">to the mode, </w:t>
      </w:r>
      <w:r w:rsidR="00096E60" w:rsidRPr="00B94DFF">
        <w:rPr>
          <w:rFonts w:ascii="Arial" w:hAnsi="Arial" w:cs="Arial"/>
          <w:color w:val="000000" w:themeColor="text1"/>
        </w:rPr>
        <w:t>most frequent value</w:t>
      </w:r>
      <w:r w:rsidR="00716F88" w:rsidRPr="00B94DFF">
        <w:rPr>
          <w:rFonts w:ascii="Arial" w:hAnsi="Arial" w:cs="Arial"/>
          <w:color w:val="000000" w:themeColor="text1"/>
        </w:rPr>
        <w:t xml:space="preserve">) </w:t>
      </w:r>
      <w:r w:rsidR="000B02D4" w:rsidRPr="00B94DFF">
        <w:rPr>
          <w:rFonts w:ascii="Arial" w:hAnsi="Arial" w:cs="Arial"/>
          <w:color w:val="000000" w:themeColor="text1"/>
        </w:rPr>
        <w:t xml:space="preserve">obtained by CyTOF on Karpas 299 cells treated with </w:t>
      </w:r>
      <w:r w:rsidR="00BB44C0" w:rsidRPr="00B94DFF">
        <w:rPr>
          <w:rFonts w:ascii="Arial" w:hAnsi="Arial" w:cs="Arial"/>
          <w:color w:val="000000" w:themeColor="text1"/>
        </w:rPr>
        <w:t>[</w:t>
      </w:r>
      <w:r w:rsidR="00BB44C0" w:rsidRPr="00B94DFF">
        <w:rPr>
          <w:rFonts w:ascii="Arial" w:hAnsi="Arial" w:cs="Arial"/>
          <w:color w:val="000000" w:themeColor="text1"/>
          <w:vertAlign w:val="superscript"/>
        </w:rPr>
        <w:t>175</w:t>
      </w:r>
      <w:r w:rsidR="00BB44C0" w:rsidRPr="00B94DFF">
        <w:rPr>
          <w:rFonts w:ascii="Arial" w:hAnsi="Arial" w:cs="Arial"/>
          <w:color w:val="000000" w:themeColor="text1"/>
        </w:rPr>
        <w:t>Lu]Lu-DOTA-cAC10 at different concentrations</w:t>
      </w:r>
      <w:r w:rsidR="000B02D4" w:rsidRPr="00B94DFF">
        <w:rPr>
          <w:rFonts w:ascii="Arial" w:hAnsi="Arial" w:cs="Arial"/>
          <w:color w:val="000000" w:themeColor="text1"/>
        </w:rPr>
        <w:t>: 1</w:t>
      </w:r>
      <w:r w:rsidR="00214581">
        <w:rPr>
          <w:rFonts w:ascii="Arial" w:hAnsi="Arial" w:cs="Arial"/>
          <w:color w:val="000000" w:themeColor="text1"/>
        </w:rPr>
        <w:t>µ</w:t>
      </w:r>
      <w:r w:rsidR="000B02D4" w:rsidRPr="00B94DFF">
        <w:rPr>
          <w:rFonts w:ascii="Arial" w:hAnsi="Arial" w:cs="Arial"/>
          <w:color w:val="000000" w:themeColor="text1"/>
        </w:rPr>
        <w:t>g</w:t>
      </w:r>
      <w:r w:rsidR="00DC7A65" w:rsidRPr="00B94DFF">
        <w:rPr>
          <w:rFonts w:ascii="Arial" w:hAnsi="Arial" w:cs="Arial"/>
          <w:color w:val="000000" w:themeColor="text1"/>
        </w:rPr>
        <w:t>/mL</w:t>
      </w:r>
      <w:r w:rsidR="000B02D4" w:rsidRPr="00B94DFF">
        <w:rPr>
          <w:rFonts w:ascii="Arial" w:hAnsi="Arial" w:cs="Arial"/>
          <w:color w:val="000000" w:themeColor="text1"/>
        </w:rPr>
        <w:t xml:space="preserve"> (</w:t>
      </w:r>
      <w:r w:rsidR="00BB44C0" w:rsidRPr="00B94DFF">
        <w:rPr>
          <w:rFonts w:ascii="Arial" w:hAnsi="Arial" w:cs="Arial"/>
          <w:color w:val="000000" w:themeColor="text1"/>
        </w:rPr>
        <w:t xml:space="preserve">in </w:t>
      </w:r>
      <w:r w:rsidR="00E27AF7">
        <w:rPr>
          <w:rFonts w:ascii="Arial" w:hAnsi="Arial" w:cs="Arial"/>
          <w:color w:val="000000" w:themeColor="text1"/>
        </w:rPr>
        <w:t>orange</w:t>
      </w:r>
      <w:r w:rsidR="000B02D4" w:rsidRPr="00B94DFF">
        <w:rPr>
          <w:rFonts w:ascii="Arial" w:hAnsi="Arial" w:cs="Arial"/>
          <w:color w:val="000000" w:themeColor="text1"/>
        </w:rPr>
        <w:t xml:space="preserve">), 2 </w:t>
      </w:r>
      <w:r w:rsidR="00214581">
        <w:rPr>
          <w:rFonts w:ascii="Arial" w:hAnsi="Arial" w:cs="Arial"/>
          <w:color w:val="000000" w:themeColor="text1"/>
        </w:rPr>
        <w:t>µ</w:t>
      </w:r>
      <w:r w:rsidR="000B02D4" w:rsidRPr="00B94DFF">
        <w:rPr>
          <w:rFonts w:ascii="Arial" w:hAnsi="Arial" w:cs="Arial"/>
          <w:color w:val="000000" w:themeColor="text1"/>
        </w:rPr>
        <w:t>g</w:t>
      </w:r>
      <w:r w:rsidR="00DC7A65" w:rsidRPr="00B94DFF">
        <w:rPr>
          <w:rFonts w:ascii="Arial" w:hAnsi="Arial" w:cs="Arial"/>
          <w:color w:val="000000" w:themeColor="text1"/>
        </w:rPr>
        <w:t>/</w:t>
      </w:r>
      <w:r w:rsidR="00BB44C0" w:rsidRPr="00B94DFF">
        <w:rPr>
          <w:rFonts w:ascii="Arial" w:hAnsi="Arial" w:cs="Arial"/>
          <w:color w:val="000000" w:themeColor="text1"/>
        </w:rPr>
        <w:t>mL</w:t>
      </w:r>
      <w:r w:rsidR="000B02D4" w:rsidRPr="00B94DFF">
        <w:rPr>
          <w:rFonts w:ascii="Arial" w:hAnsi="Arial" w:cs="Arial"/>
          <w:color w:val="000000" w:themeColor="text1"/>
        </w:rPr>
        <w:t xml:space="preserve"> (in pink), 4 </w:t>
      </w:r>
      <w:r w:rsidR="00214581">
        <w:rPr>
          <w:rFonts w:ascii="Arial" w:hAnsi="Arial" w:cs="Arial"/>
          <w:color w:val="000000" w:themeColor="text1"/>
        </w:rPr>
        <w:t>µ</w:t>
      </w:r>
      <w:r w:rsidR="000B02D4" w:rsidRPr="00B94DFF">
        <w:rPr>
          <w:rFonts w:ascii="Arial" w:hAnsi="Arial" w:cs="Arial"/>
          <w:color w:val="000000" w:themeColor="text1"/>
        </w:rPr>
        <w:t>g</w:t>
      </w:r>
      <w:r w:rsidR="00BB44C0" w:rsidRPr="00B94DFF">
        <w:rPr>
          <w:rFonts w:ascii="Arial" w:hAnsi="Arial" w:cs="Arial"/>
          <w:color w:val="000000" w:themeColor="text1"/>
        </w:rPr>
        <w:t>/mL (</w:t>
      </w:r>
      <w:r w:rsidR="000B02D4" w:rsidRPr="00B94DFF">
        <w:rPr>
          <w:rFonts w:ascii="Arial" w:hAnsi="Arial" w:cs="Arial"/>
          <w:color w:val="000000" w:themeColor="text1"/>
        </w:rPr>
        <w:t xml:space="preserve">in blue) and 6 </w:t>
      </w:r>
      <w:r w:rsidR="00214581">
        <w:rPr>
          <w:rFonts w:ascii="Arial" w:hAnsi="Arial" w:cs="Arial"/>
          <w:color w:val="000000" w:themeColor="text1"/>
        </w:rPr>
        <w:t>µ</w:t>
      </w:r>
      <w:r w:rsidR="000B02D4" w:rsidRPr="00B94DFF">
        <w:rPr>
          <w:rFonts w:ascii="Arial" w:hAnsi="Arial" w:cs="Arial"/>
          <w:color w:val="000000" w:themeColor="text1"/>
        </w:rPr>
        <w:t>g</w:t>
      </w:r>
      <w:r w:rsidR="00BB44C0" w:rsidRPr="00B94DFF">
        <w:rPr>
          <w:rFonts w:ascii="Arial" w:hAnsi="Arial" w:cs="Arial"/>
          <w:color w:val="000000" w:themeColor="text1"/>
        </w:rPr>
        <w:t>/mL (</w:t>
      </w:r>
      <w:r w:rsidR="000B02D4" w:rsidRPr="00B94DFF">
        <w:rPr>
          <w:rFonts w:ascii="Arial" w:hAnsi="Arial" w:cs="Arial"/>
          <w:color w:val="000000" w:themeColor="text1"/>
        </w:rPr>
        <w:t>in green</w:t>
      </w:r>
      <w:r w:rsidR="00BB44C0" w:rsidRPr="00546C8C">
        <w:rPr>
          <w:rFonts w:ascii="Arial" w:hAnsi="Arial" w:cs="Arial"/>
        </w:rPr>
        <w:t>)</w:t>
      </w:r>
      <w:r w:rsidR="00546C8C" w:rsidRPr="00546C8C">
        <w:rPr>
          <w:rFonts w:ascii="Arial" w:hAnsi="Arial" w:cs="Arial"/>
        </w:rPr>
        <w:t>.</w:t>
      </w:r>
    </w:p>
    <w:p w14:paraId="11DA95C8" w14:textId="77777777" w:rsidR="00586583" w:rsidRPr="0078427D" w:rsidRDefault="00586583" w:rsidP="00AC4B6F">
      <w:pPr>
        <w:spacing w:line="360" w:lineRule="auto"/>
        <w:jc w:val="both"/>
        <w:rPr>
          <w:rFonts w:ascii="Arial" w:hAnsi="Arial" w:cs="Arial"/>
        </w:rPr>
      </w:pPr>
    </w:p>
    <w:sectPr w:rsidR="00586583" w:rsidRPr="0078427D" w:rsidSect="00AE495F"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A9FE3" w14:textId="77777777" w:rsidR="003748B8" w:rsidRDefault="003748B8" w:rsidP="00B50765">
      <w:pPr>
        <w:spacing w:after="0" w:line="240" w:lineRule="auto"/>
      </w:pPr>
      <w:r>
        <w:separator/>
      </w:r>
    </w:p>
  </w:endnote>
  <w:endnote w:type="continuationSeparator" w:id="0">
    <w:p w14:paraId="6BC43E49" w14:textId="77777777" w:rsidR="003748B8" w:rsidRDefault="003748B8" w:rsidP="00B50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9179285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ED190A" w14:textId="516135B0" w:rsidR="00B50765" w:rsidRPr="00B50765" w:rsidRDefault="00B50765">
        <w:pPr>
          <w:pStyle w:val="Footer"/>
          <w:jc w:val="right"/>
          <w:rPr>
            <w:rFonts w:ascii="Arial" w:hAnsi="Arial" w:cs="Arial"/>
          </w:rPr>
        </w:pPr>
        <w:r w:rsidRPr="00B50765">
          <w:rPr>
            <w:rFonts w:ascii="Arial" w:hAnsi="Arial" w:cs="Arial"/>
          </w:rPr>
          <w:fldChar w:fldCharType="begin"/>
        </w:r>
        <w:r w:rsidRPr="00B50765">
          <w:rPr>
            <w:rFonts w:ascii="Arial" w:hAnsi="Arial" w:cs="Arial"/>
          </w:rPr>
          <w:instrText xml:space="preserve"> PAGE   \* MERGEFORMAT </w:instrText>
        </w:r>
        <w:r w:rsidRPr="00B50765">
          <w:rPr>
            <w:rFonts w:ascii="Arial" w:hAnsi="Arial" w:cs="Arial"/>
          </w:rPr>
          <w:fldChar w:fldCharType="separate"/>
        </w:r>
        <w:r w:rsidR="00D75B1B">
          <w:rPr>
            <w:rFonts w:ascii="Arial" w:hAnsi="Arial" w:cs="Arial"/>
            <w:noProof/>
          </w:rPr>
          <w:t>1</w:t>
        </w:r>
        <w:r w:rsidRPr="00B50765">
          <w:rPr>
            <w:rFonts w:ascii="Arial" w:hAnsi="Arial" w:cs="Arial"/>
            <w:noProof/>
          </w:rPr>
          <w:fldChar w:fldCharType="end"/>
        </w:r>
      </w:p>
    </w:sdtContent>
  </w:sdt>
  <w:p w14:paraId="1AF9C7F8" w14:textId="77777777" w:rsidR="00B50765" w:rsidRDefault="00B507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390A6" w14:textId="77777777" w:rsidR="003748B8" w:rsidRDefault="003748B8" w:rsidP="00B50765">
      <w:pPr>
        <w:spacing w:after="0" w:line="240" w:lineRule="auto"/>
      </w:pPr>
      <w:r>
        <w:separator/>
      </w:r>
    </w:p>
  </w:footnote>
  <w:footnote w:type="continuationSeparator" w:id="0">
    <w:p w14:paraId="0D2D34DC" w14:textId="77777777" w:rsidR="003748B8" w:rsidRDefault="003748B8" w:rsidP="00B50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4C4D6D"/>
    <w:multiLevelType w:val="hybridMultilevel"/>
    <w:tmpl w:val="ABA69AEA"/>
    <w:lvl w:ilvl="0" w:tplc="42DA04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479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27D"/>
    <w:rsid w:val="00000480"/>
    <w:rsid w:val="00005F1B"/>
    <w:rsid w:val="000224FC"/>
    <w:rsid w:val="00046D81"/>
    <w:rsid w:val="00061778"/>
    <w:rsid w:val="000735F9"/>
    <w:rsid w:val="00093E82"/>
    <w:rsid w:val="00096E60"/>
    <w:rsid w:val="000A11B7"/>
    <w:rsid w:val="000B02D4"/>
    <w:rsid w:val="000C0435"/>
    <w:rsid w:val="000F7164"/>
    <w:rsid w:val="00105EFC"/>
    <w:rsid w:val="00131A3B"/>
    <w:rsid w:val="001F0217"/>
    <w:rsid w:val="001F5543"/>
    <w:rsid w:val="00202F7E"/>
    <w:rsid w:val="00214581"/>
    <w:rsid w:val="00231FCC"/>
    <w:rsid w:val="002374E5"/>
    <w:rsid w:val="00255967"/>
    <w:rsid w:val="00256CD0"/>
    <w:rsid w:val="00257425"/>
    <w:rsid w:val="002577DF"/>
    <w:rsid w:val="002740D4"/>
    <w:rsid w:val="002C1C55"/>
    <w:rsid w:val="002C5962"/>
    <w:rsid w:val="00336B1E"/>
    <w:rsid w:val="003422F3"/>
    <w:rsid w:val="0034557A"/>
    <w:rsid w:val="003748B8"/>
    <w:rsid w:val="003A6AC0"/>
    <w:rsid w:val="003F096F"/>
    <w:rsid w:val="0040172C"/>
    <w:rsid w:val="0041304C"/>
    <w:rsid w:val="00444723"/>
    <w:rsid w:val="004518F4"/>
    <w:rsid w:val="0047000F"/>
    <w:rsid w:val="004706BB"/>
    <w:rsid w:val="004C3FE2"/>
    <w:rsid w:val="00506298"/>
    <w:rsid w:val="00545125"/>
    <w:rsid w:val="00546C8C"/>
    <w:rsid w:val="00586583"/>
    <w:rsid w:val="00594924"/>
    <w:rsid w:val="005A3CCB"/>
    <w:rsid w:val="005F3998"/>
    <w:rsid w:val="006130DF"/>
    <w:rsid w:val="006268BD"/>
    <w:rsid w:val="00677D82"/>
    <w:rsid w:val="00680184"/>
    <w:rsid w:val="00685501"/>
    <w:rsid w:val="006A3041"/>
    <w:rsid w:val="006E78EE"/>
    <w:rsid w:val="006F300F"/>
    <w:rsid w:val="00716EC1"/>
    <w:rsid w:val="00716F88"/>
    <w:rsid w:val="00717973"/>
    <w:rsid w:val="00731F7C"/>
    <w:rsid w:val="0077058F"/>
    <w:rsid w:val="0078427D"/>
    <w:rsid w:val="007D5146"/>
    <w:rsid w:val="007F767A"/>
    <w:rsid w:val="00831282"/>
    <w:rsid w:val="008577A6"/>
    <w:rsid w:val="0087208C"/>
    <w:rsid w:val="00882964"/>
    <w:rsid w:val="00893C42"/>
    <w:rsid w:val="00895353"/>
    <w:rsid w:val="008D2314"/>
    <w:rsid w:val="008D6602"/>
    <w:rsid w:val="00904925"/>
    <w:rsid w:val="009C738F"/>
    <w:rsid w:val="00A25C3C"/>
    <w:rsid w:val="00A4507B"/>
    <w:rsid w:val="00AA39F8"/>
    <w:rsid w:val="00AC4B6F"/>
    <w:rsid w:val="00AE495F"/>
    <w:rsid w:val="00B04171"/>
    <w:rsid w:val="00B10885"/>
    <w:rsid w:val="00B24BD3"/>
    <w:rsid w:val="00B447B7"/>
    <w:rsid w:val="00B50765"/>
    <w:rsid w:val="00B94DFF"/>
    <w:rsid w:val="00BB44C0"/>
    <w:rsid w:val="00BC3317"/>
    <w:rsid w:val="00BD5E53"/>
    <w:rsid w:val="00C02B4F"/>
    <w:rsid w:val="00C167F3"/>
    <w:rsid w:val="00C25867"/>
    <w:rsid w:val="00C3602D"/>
    <w:rsid w:val="00C443CA"/>
    <w:rsid w:val="00C546E5"/>
    <w:rsid w:val="00CC74E0"/>
    <w:rsid w:val="00D471D8"/>
    <w:rsid w:val="00D72778"/>
    <w:rsid w:val="00D75B1B"/>
    <w:rsid w:val="00DC0277"/>
    <w:rsid w:val="00DC7A65"/>
    <w:rsid w:val="00E27AF7"/>
    <w:rsid w:val="00E27F0E"/>
    <w:rsid w:val="00E90599"/>
    <w:rsid w:val="00E94A52"/>
    <w:rsid w:val="00EA1E1A"/>
    <w:rsid w:val="00EE161F"/>
    <w:rsid w:val="00F1172D"/>
    <w:rsid w:val="00F8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797EE4"/>
  <w15:chartTrackingRefBased/>
  <w15:docId w15:val="{778E1A3C-DB4F-497F-9E6D-670D2A2C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07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765"/>
  </w:style>
  <w:style w:type="paragraph" w:styleId="Footer">
    <w:name w:val="footer"/>
    <w:basedOn w:val="Normal"/>
    <w:link w:val="FooterChar"/>
    <w:uiPriority w:val="99"/>
    <w:unhideWhenUsed/>
    <w:rsid w:val="00B507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765"/>
  </w:style>
  <w:style w:type="paragraph" w:styleId="ListParagraph">
    <w:name w:val="List Paragraph"/>
    <w:basedOn w:val="Normal"/>
    <w:uiPriority w:val="34"/>
    <w:qFormat/>
    <w:rsid w:val="002C1C55"/>
    <w:pPr>
      <w:ind w:left="720"/>
      <w:contextualSpacing/>
    </w:pPr>
  </w:style>
  <w:style w:type="paragraph" w:styleId="Revision">
    <w:name w:val="Revision"/>
    <w:hidden/>
    <w:uiPriority w:val="99"/>
    <w:semiHidden/>
    <w:rsid w:val="00E27AF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5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B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9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B61B1-5AC4-4E03-8565-5CED35CD6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335</Words>
  <Characters>2111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Paul Scherrer Institut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Rioja Blanco Elisa</dc:creator>
  <cp:keywords/>
  <dc:description/>
  <cp:lastModifiedBy>Rioja Blanco, Elisa</cp:lastModifiedBy>
  <cp:revision>14</cp:revision>
  <dcterms:created xsi:type="dcterms:W3CDTF">2025-11-20T14:08:00Z</dcterms:created>
  <dcterms:modified xsi:type="dcterms:W3CDTF">2026-02-25T15:28:00Z</dcterms:modified>
</cp:coreProperties>
</file>