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1035" w14:textId="77777777" w:rsidR="007866F3" w:rsidRDefault="00FC2C1A">
      <w:pPr>
        <w:spacing w:after="260" w:line="262" w:lineRule="auto"/>
        <w:jc w:val="right"/>
      </w:pPr>
      <w:r>
        <w:t>October 9, 2026</w:t>
      </w:r>
    </w:p>
    <w:p w14:paraId="67919C97" w14:textId="77777777" w:rsidR="007866F3" w:rsidRDefault="00FC2C1A">
      <w:pPr>
        <w:keepNext/>
        <w:spacing w:after="0" w:line="262" w:lineRule="auto"/>
      </w:pPr>
      <w:r>
        <w:rPr>
          <w:b/>
        </w:rPr>
        <w:t>Professor Dr. Philip H. Elsinga</w:t>
      </w:r>
    </w:p>
    <w:p w14:paraId="583136CE" w14:textId="77777777" w:rsidR="007866F3" w:rsidRDefault="00FC2C1A">
      <w:pPr>
        <w:keepNext/>
        <w:spacing w:after="0" w:line="262" w:lineRule="auto"/>
      </w:pPr>
      <w:r>
        <w:t>Editor-in-Chief</w:t>
      </w:r>
    </w:p>
    <w:p w14:paraId="73105087" w14:textId="77777777" w:rsidR="007866F3" w:rsidRDefault="00FC2C1A">
      <w:pPr>
        <w:keepNext/>
        <w:spacing w:after="180" w:line="262" w:lineRule="auto"/>
      </w:pPr>
      <w:r>
        <w:rPr>
          <w:i/>
        </w:rPr>
        <w:t>EJNMMI Radiopharmacy and Chemistry</w:t>
      </w:r>
    </w:p>
    <w:p w14:paraId="53EE4720" w14:textId="77777777" w:rsidR="007866F3" w:rsidRDefault="00FC2C1A">
      <w:pPr>
        <w:keepNext/>
        <w:spacing w:after="40" w:line="250" w:lineRule="auto"/>
      </w:pPr>
      <w:r>
        <w:rPr>
          <w:b/>
        </w:rPr>
        <w:t xml:space="preserve">Manuscript ID: </w:t>
      </w:r>
      <w:r>
        <w:t>ERPC-D-26-00129R1</w:t>
      </w:r>
    </w:p>
    <w:p w14:paraId="772B68AB" w14:textId="77777777" w:rsidR="007866F3" w:rsidRDefault="00FC2C1A">
      <w:pPr>
        <w:keepNext/>
        <w:spacing w:after="180" w:line="250" w:lineRule="auto"/>
      </w:pPr>
      <w:r>
        <w:rPr>
          <w:b/>
        </w:rPr>
        <w:t xml:space="preserve">Manuscript title: </w:t>
      </w:r>
      <w:r>
        <w:t>Adverse Event Reporting for Radiopharmaceuticals in Brazil: A VigiMed Pharmacovigilance Study with Disproportionality and International Safety Intercomparison</w:t>
      </w:r>
    </w:p>
    <w:p w14:paraId="575B645A" w14:textId="77777777" w:rsidR="007866F3" w:rsidRDefault="00FC2C1A">
      <w:pPr>
        <w:spacing w:after="140" w:line="262" w:lineRule="auto"/>
      </w:pPr>
      <w:r>
        <w:t>Dear Professor Elsinga,</w:t>
      </w:r>
    </w:p>
    <w:p w14:paraId="6825B0D4" w14:textId="77777777" w:rsidR="007866F3" w:rsidRDefault="00FC2C1A">
      <w:pPr>
        <w:spacing w:line="262" w:lineRule="auto"/>
        <w:jc w:val="both"/>
      </w:pPr>
      <w:r>
        <w:t>On behalf of all authors, I would like to thank you and the reviewers for the attentive and constructive evaluation of our manuscript. We appreciate the opportunity to refine its scientific presentation and to address the questions concerning journal scope, the interpretation of spontaneous adverse-event reports, and the appropriate communication of safety findings. We have carefully considered each observation while preserving the original data and analytical framework and making the focused revisions deta</w:t>
      </w:r>
      <w:r>
        <w:t>iled below.</w:t>
      </w:r>
    </w:p>
    <w:p w14:paraId="08FD9095" w14:textId="1645F9B2" w:rsidR="007866F3" w:rsidRDefault="00FC2C1A">
      <w:pPr>
        <w:spacing w:line="262" w:lineRule="auto"/>
        <w:jc w:val="both"/>
      </w:pPr>
      <w:r>
        <w:t xml:space="preserve">We would respectfully emphasize the broader relevance of documenting radiopharmaceutical safety surveillance in Brazil. To our knowledge, the present </w:t>
      </w:r>
      <w:r w:rsidR="00E10975">
        <w:t xml:space="preserve">study </w:t>
      </w:r>
      <w:r>
        <w:t>is among the first structured national assessments of VigiMed reports involving radiopharmaceuticals, with particular attention to therapeutic agents. Its contribution is especially pertinent in the Latin American context, for which published pharmacovigilance information on therapeutic radiopharmaceuticals remains comparatively limited. Although a set of 126 spontaneous reports cannot determine adverse-event incidence, establish causality, or represent all patients receiving these treatments, it provides e</w:t>
      </w:r>
      <w:r>
        <w:t>vidence on the types of events reported, documentation quality, and practical surveillance challenges in a large health system. These aspects may inform the international discussion as radionuclide therapies become increasingly integrated into clinical care across healthcare settings with differing resources and reporting practices.</w:t>
      </w:r>
    </w:p>
    <w:p w14:paraId="02A05643" w14:textId="77777777" w:rsidR="007866F3" w:rsidRDefault="00FC2C1A">
      <w:pPr>
        <w:spacing w:after="220" w:line="262" w:lineRule="auto"/>
        <w:jc w:val="both"/>
      </w:pPr>
      <w:r>
        <w:t>We recognize that the journal has a strong focus on radiopharmaceutical development and radiochemistry. We nevertheless hope that the clinical implementation and post-marketing safety of radiopharmaceuticals will be considered relevant complementary dimensions of radiopharmacy, particularly in relation to responsible translation, risk recognition, and the harmonization of radiopharmaceutical practice. We have clarified these connections without suggesting that our study includes radiochemical experiments or</w:t>
      </w:r>
      <w:r>
        <w:t xml:space="preserve"> demonstrates causal or comparative safety outcomes beyond those supported by the data. The point-by-point responses below explain the revisions in detail.</w:t>
      </w:r>
    </w:p>
    <w:p w14:paraId="5C19E94F" w14:textId="77777777" w:rsidR="007866F3" w:rsidRDefault="00FC2C1A">
      <w:pPr>
        <w:keepNext/>
        <w:spacing w:before="160" w:after="120"/>
      </w:pPr>
      <w:r>
        <w:rPr>
          <w:b/>
          <w:sz w:val="23"/>
        </w:rPr>
        <w:t>RESPONSE TO REVIEWER #1</w:t>
      </w:r>
    </w:p>
    <w:p w14:paraId="6918528B" w14:textId="77777777" w:rsidR="007866F3" w:rsidRDefault="00FC2C1A">
      <w:pPr>
        <w:keepNext/>
        <w:spacing w:before="80" w:after="60" w:line="259" w:lineRule="auto"/>
        <w:jc w:val="both"/>
      </w:pPr>
      <w:r>
        <w:rPr>
          <w:b/>
        </w:rPr>
        <w:t xml:space="preserve">Comment 1. </w:t>
      </w:r>
      <w:r>
        <w:rPr>
          <w:i/>
        </w:rPr>
        <w:t>The manuscript is primarily a pharmacovigilance/pharmacoepidemiology analysis and may not fit the central chemistry/radiochemistry scope of EJNMMI Radiopharmacy and Chemistry.</w:t>
      </w:r>
    </w:p>
    <w:p w14:paraId="65237CFB" w14:textId="77777777" w:rsidR="007866F3" w:rsidRDefault="00FC2C1A">
      <w:pPr>
        <w:spacing w:after="140" w:line="262" w:lineRule="auto"/>
        <w:jc w:val="both"/>
      </w:pPr>
      <w:r>
        <w:rPr>
          <w:b/>
        </w:rPr>
        <w:t xml:space="preserve">Response. </w:t>
      </w:r>
      <w:r>
        <w:t>We thank the reviewer for bringing attention to the journal’s disciplinary focus. We agree that this is a pharmacovigilance study, rather than an experimental investigation of radiolabeling or formulation. At the same time, we respectfully consider the systematic assessment of safety during routine radiopharmaceutical use to be relevant to the translational continuum of radiopharmacy. The recorded events encompass radionuclide–vector products, administration-related problems and extravasation, as well as re</w:t>
      </w:r>
      <w:r>
        <w:t>ports concerning marrow and salivary/taste effects, all of which warrant interpretation at the interface of radiopharmacy, nuclear medicine, and clinical practice. This perspective complements, rather than substitutes for, the journal’s central interests in radiopharmaceutical development. The Introduction, Discussion, and Conclusion have been refined accordingly, with no artificial inclusion of radiochemistry or formulation work that was not undertaken.</w:t>
      </w:r>
    </w:p>
    <w:p w14:paraId="1D7E84E6" w14:textId="77777777" w:rsidR="007866F3" w:rsidRDefault="00FC2C1A">
      <w:pPr>
        <w:keepNext/>
        <w:spacing w:before="80" w:after="60" w:line="259" w:lineRule="auto"/>
        <w:jc w:val="both"/>
      </w:pPr>
      <w:r>
        <w:rPr>
          <w:b/>
        </w:rPr>
        <w:lastRenderedPageBreak/>
        <w:t xml:space="preserve">Comment 2. </w:t>
      </w:r>
      <w:r>
        <w:rPr>
          <w:i/>
        </w:rPr>
        <w:t>Scientific novelty and international impact are limited; the dataset is small (126 reports), approximately 70% of entries involve Xofigo or Pluvicto, and many findings reproduce known safety information.</w:t>
      </w:r>
    </w:p>
    <w:p w14:paraId="19BD2B9F" w14:textId="77777777" w:rsidR="007866F3" w:rsidRDefault="00FC2C1A">
      <w:pPr>
        <w:spacing w:after="140" w:line="262" w:lineRule="auto"/>
        <w:jc w:val="both"/>
      </w:pPr>
      <w:r>
        <w:rPr>
          <w:b/>
        </w:rPr>
        <w:t xml:space="preserve">Response. </w:t>
      </w:r>
      <w:r>
        <w:t>We appreciate this observation and fully acknowledge the limited sample size and the predominance of two therapeutic products. The revised manuscript does not claim to identify previously unrecognized adverse reactions or estimate their frequency in treated populations. Its scientific contribution lies instead in providing an early, structured account of Brazilian reporting involving radiopharmaceuticals, including therapeutic agents, within an international literature in which Latin American pharmacovigila</w:t>
      </w:r>
      <w:r>
        <w:t>nce data remain comparatively scarce. The 126 reports, of which 69.1% concern Xofigo or Pluvicto, offer a useful description of the reporting profile, rather than evidence of utilization patterns or relative product risk. From a broader perspective, information on report completeness, surveillance pathways, and operationally relevant events may be informative for other health systems expanding access to radionuclide therapy. We have further emphasized the small sample, product concentration, underrepresenta</w:t>
      </w:r>
      <w:r>
        <w:t>tion of diagnostic radiopharmaceuticals, and restricted generalizability. Published international observations are retained for context only, not as formal comparators or proof of novelty.</w:t>
      </w:r>
    </w:p>
    <w:p w14:paraId="093F31DB" w14:textId="77777777" w:rsidR="007866F3" w:rsidRDefault="00FC2C1A">
      <w:pPr>
        <w:keepNext/>
        <w:spacing w:before="80" w:after="60" w:line="259" w:lineRule="auto"/>
        <w:jc w:val="both"/>
      </w:pPr>
      <w:r>
        <w:rPr>
          <w:b/>
        </w:rPr>
        <w:t xml:space="preserve">Comment 3. </w:t>
      </w:r>
      <w:r>
        <w:rPr>
          <w:i/>
        </w:rPr>
        <w:t>In late-stage cancer patients, it is difficult to distinguish treatment-related toxicities from disease progression, concomitant medications, or other clinical factors.</w:t>
      </w:r>
    </w:p>
    <w:p w14:paraId="58684FC9" w14:textId="77777777" w:rsidR="007866F3" w:rsidRDefault="00FC2C1A">
      <w:pPr>
        <w:spacing w:after="140" w:line="262" w:lineRule="auto"/>
        <w:jc w:val="both"/>
      </w:pPr>
      <w:r>
        <w:rPr>
          <w:b/>
        </w:rPr>
        <w:t xml:space="preserve">Response. </w:t>
      </w:r>
      <w:r>
        <w:t>We agree. This issue is now emphasized throughout the Methods, Results, Discussion, and Conclusion. Indication-confounded terms are explicitly separated from more plausible treatment-, radiation-, or procedure-related signals. The language was revised to avoid causal interpretation, especially for pain, disease progression, and fatal outcomes.</w:t>
      </w:r>
    </w:p>
    <w:p w14:paraId="34C9B8D2" w14:textId="77777777" w:rsidR="007866F3" w:rsidRDefault="00FC2C1A">
      <w:pPr>
        <w:keepNext/>
        <w:spacing w:before="80" w:after="60" w:line="259" w:lineRule="auto"/>
        <w:jc w:val="both"/>
      </w:pPr>
      <w:r>
        <w:rPr>
          <w:b/>
        </w:rPr>
        <w:t xml:space="preserve">Comment 4. </w:t>
      </w:r>
      <w:r>
        <w:rPr>
          <w:i/>
        </w:rPr>
        <w:t>The principal contribution may be the description of Brazilian VigiMed reporting patterns rather than a broadly generalizable international safety finding.</w:t>
      </w:r>
    </w:p>
    <w:p w14:paraId="39C43239" w14:textId="77777777" w:rsidR="007866F3" w:rsidRDefault="00FC2C1A">
      <w:pPr>
        <w:spacing w:after="140" w:line="262" w:lineRule="auto"/>
        <w:jc w:val="both"/>
      </w:pPr>
      <w:r>
        <w:rPr>
          <w:b/>
        </w:rPr>
        <w:t xml:space="preserve">Response. </w:t>
      </w:r>
      <w:r>
        <w:t>We appreciate this distinction and agree that the empirical findings concern the Brazilian VigiMed reporting profile. We would, however, respectfully suggest that evidence originating from a national database need not be of interest exclusively to that country. In a field in which use of therapeutic radiopharmaceuticals is expanding internationally, systematic descriptions from previously underrepresented settings can help identify common challenges in documentation, reporting completeness, and the interfac</w:t>
      </w:r>
      <w:r>
        <w:t>e between radiopharmacy and clinical follow-up. We have therefore positioned the Brazilian findings as the primary contribution and retained the international literature as contextual triangulation, without presenting the study as a confirmatory cross-country comparison or implying that its results can be directly generalized to other populations.</w:t>
      </w:r>
    </w:p>
    <w:p w14:paraId="36C777B2" w14:textId="77777777" w:rsidR="007866F3" w:rsidRDefault="00FC2C1A">
      <w:pPr>
        <w:keepNext/>
        <w:spacing w:before="220" w:after="120"/>
      </w:pPr>
      <w:r>
        <w:rPr>
          <w:b/>
          <w:sz w:val="23"/>
        </w:rPr>
        <w:t>RESPONSE TO REVIEWER #2</w:t>
      </w:r>
    </w:p>
    <w:p w14:paraId="1D47A9FA" w14:textId="77777777" w:rsidR="007866F3" w:rsidRDefault="00FC2C1A">
      <w:pPr>
        <w:keepNext/>
        <w:spacing w:before="80" w:after="60" w:line="259" w:lineRule="auto"/>
        <w:jc w:val="both"/>
      </w:pPr>
      <w:r>
        <w:rPr>
          <w:b/>
        </w:rPr>
        <w:t xml:space="preserve">Comment 1. </w:t>
      </w:r>
      <w:r>
        <w:rPr>
          <w:i/>
        </w:rPr>
        <w:t>The use of statistics may provide limited additional insight.</w:t>
      </w:r>
    </w:p>
    <w:p w14:paraId="6150AC24" w14:textId="77777777" w:rsidR="007866F3" w:rsidRDefault="00FC2C1A">
      <w:pPr>
        <w:spacing w:after="140" w:line="262" w:lineRule="auto"/>
        <w:jc w:val="both"/>
      </w:pPr>
      <w:r>
        <w:rPr>
          <w:b/>
        </w:rPr>
        <w:t xml:space="preserve">Response. </w:t>
      </w:r>
      <w:r>
        <w:t>We agree in part. The formal Mann-Whitney and Fisher between-product hypothesis tests were removed because the small number of reports, sparse event categories, lack of exposure denominators, and multiple coded events per report make such comparative inference of limited value. Xofigo and Pluvicto are now compared descriptively. We retained PRR/ROR disproportionality because it is a standard exploratory pharmacovigilance signal-generation method; it is now explicitly described as exploratory rather than con</w:t>
      </w:r>
      <w:r>
        <w:t>firmatory, and adjusted p-values are treated as supportive information only.</w:t>
      </w:r>
    </w:p>
    <w:p w14:paraId="6EE8D67D" w14:textId="77777777" w:rsidR="007866F3" w:rsidRDefault="00FC2C1A">
      <w:pPr>
        <w:keepNext/>
        <w:spacing w:before="80" w:after="60" w:line="259" w:lineRule="auto"/>
        <w:jc w:val="both"/>
      </w:pPr>
      <w:r>
        <w:rPr>
          <w:b/>
        </w:rPr>
        <w:t xml:space="preserve">Comment 2. </w:t>
      </w:r>
      <w:r>
        <w:rPr>
          <w:i/>
        </w:rPr>
        <w:t>The extensive discussion of fatal reports may give the impression that therapeutic radiopharmaceuticals are dangerous, although most deaths are likely related to advanced mCRPC.</w:t>
      </w:r>
    </w:p>
    <w:p w14:paraId="75796B73" w14:textId="77777777" w:rsidR="007866F3" w:rsidRDefault="00FC2C1A">
      <w:pPr>
        <w:spacing w:after="140" w:line="262" w:lineRule="auto"/>
        <w:jc w:val="both"/>
      </w:pPr>
      <w:r>
        <w:rPr>
          <w:b/>
        </w:rPr>
        <w:t xml:space="preserve">Response. </w:t>
      </w:r>
      <w:r>
        <w:t>We agree. The fatal-report section was substantially condensed. The revised text now states clearly that fatal reports are concentrated in advanced mCRPC, are strongly confounded by disease severity and progression, and cannot be interpreted as treatment-related deaths. The detailed list of fatal-outcome Preferred Terms was moved to Supplementary Table S6, and the main text no longer gives disproportionate emphasis to fatal events.</w:t>
      </w:r>
    </w:p>
    <w:p w14:paraId="4E1C064D" w14:textId="77777777" w:rsidR="007866F3" w:rsidRDefault="00FC2C1A">
      <w:pPr>
        <w:keepNext/>
        <w:spacing w:before="80" w:after="60" w:line="259" w:lineRule="auto"/>
        <w:jc w:val="both"/>
      </w:pPr>
      <w:r>
        <w:rPr>
          <w:b/>
        </w:rPr>
        <w:lastRenderedPageBreak/>
        <w:t xml:space="preserve">Comment 3. </w:t>
      </w:r>
      <w:r>
        <w:rPr>
          <w:i/>
        </w:rPr>
        <w:t>Table 1 duplicates Figure 1.</w:t>
      </w:r>
    </w:p>
    <w:p w14:paraId="242A84A0" w14:textId="77777777" w:rsidR="007866F3" w:rsidRDefault="00FC2C1A">
      <w:pPr>
        <w:spacing w:after="140" w:line="262" w:lineRule="auto"/>
        <w:jc w:val="both"/>
      </w:pPr>
      <w:r>
        <w:rPr>
          <w:b/>
        </w:rPr>
        <w:t xml:space="preserve">Response. </w:t>
      </w:r>
      <w:r>
        <w:t>Agreed. The detailed numerical distribution formerly presented as Table 1 was moved to Supplementary Table S5, while Figure 1 was retained in the main manuscript as the more efficient visual summary. The remaining main-text tables were renumbered.</w:t>
      </w:r>
    </w:p>
    <w:p w14:paraId="0E2EC100" w14:textId="77777777" w:rsidR="007866F3" w:rsidRDefault="00FC2C1A">
      <w:pPr>
        <w:keepNext/>
        <w:spacing w:before="80" w:after="60" w:line="259" w:lineRule="auto"/>
        <w:jc w:val="both"/>
      </w:pPr>
      <w:r>
        <w:rPr>
          <w:b/>
        </w:rPr>
        <w:t xml:space="preserve">Comment 4. </w:t>
      </w:r>
      <w:r>
        <w:rPr>
          <w:i/>
        </w:rPr>
        <w:t>Table 2 and Figure 5 are duplicative.</w:t>
      </w:r>
    </w:p>
    <w:p w14:paraId="32AECC6E" w14:textId="77777777" w:rsidR="007866F3" w:rsidRDefault="00FC2C1A">
      <w:pPr>
        <w:spacing w:after="140" w:line="262" w:lineRule="auto"/>
        <w:jc w:val="both"/>
      </w:pPr>
      <w:r>
        <w:rPr>
          <w:b/>
        </w:rPr>
        <w:t xml:space="preserve">Response. </w:t>
      </w:r>
      <w:r>
        <w:t>Agreed. The redundant Figure 5 has been removed, while the table was retained because it provides the exact demographic, geographic, and reporting-source values.</w:t>
      </w:r>
    </w:p>
    <w:p w14:paraId="76E570F9" w14:textId="77777777" w:rsidR="007866F3" w:rsidRDefault="00FC2C1A">
      <w:pPr>
        <w:keepNext/>
        <w:spacing w:before="80" w:after="60" w:line="259" w:lineRule="auto"/>
        <w:jc w:val="both"/>
      </w:pPr>
      <w:r>
        <w:rPr>
          <w:b/>
        </w:rPr>
        <w:t xml:space="preserve">Comment 5. </w:t>
      </w:r>
      <w:r>
        <w:rPr>
          <w:i/>
        </w:rPr>
        <w:t>Superscript isotope numbers for 177 and 225 are missing in several locations.</w:t>
      </w:r>
    </w:p>
    <w:p w14:paraId="5B2BF891" w14:textId="77777777" w:rsidR="007866F3" w:rsidRDefault="00FC2C1A">
      <w:pPr>
        <w:spacing w:after="140" w:line="262" w:lineRule="auto"/>
        <w:jc w:val="both"/>
      </w:pPr>
      <w:r>
        <w:rPr>
          <w:b/>
        </w:rPr>
        <w:t xml:space="preserve">Response. </w:t>
      </w:r>
      <w:r>
        <w:t>Corrected throughout the manuscript and Supplementary Information. Isotope notation was standardized, including ¹⁷⁷Lu and ²²⁵Ac where applicable.</w:t>
      </w:r>
    </w:p>
    <w:p w14:paraId="40EBB31C" w14:textId="77777777" w:rsidR="007866F3" w:rsidRDefault="00FC2C1A">
      <w:pPr>
        <w:keepNext/>
        <w:spacing w:before="80" w:after="60" w:line="259" w:lineRule="auto"/>
        <w:jc w:val="both"/>
      </w:pPr>
      <w:r>
        <w:rPr>
          <w:b/>
        </w:rPr>
        <w:t xml:space="preserve">Comment 6. </w:t>
      </w:r>
      <w:r>
        <w:rPr>
          <w:i/>
        </w:rPr>
        <w:t>References are not formatted consistently, for example reference 8.</w:t>
      </w:r>
    </w:p>
    <w:p w14:paraId="2D430A3F" w14:textId="77777777" w:rsidR="007866F3" w:rsidRDefault="00FC2C1A">
      <w:pPr>
        <w:spacing w:after="140" w:line="262" w:lineRule="auto"/>
        <w:jc w:val="both"/>
      </w:pPr>
      <w:r>
        <w:rPr>
          <w:b/>
        </w:rPr>
        <w:t xml:space="preserve">Response. </w:t>
      </w:r>
      <w:r>
        <w:t>The reference list was standardized. Incomplete entries were completed where bibliographic information was available, including reference 8, and formatting was made consistent across journal articles, regulatory documents, and legal sources.</w:t>
      </w:r>
    </w:p>
    <w:p w14:paraId="7FECDAE4" w14:textId="77777777" w:rsidR="007866F3" w:rsidRDefault="00FC2C1A">
      <w:pPr>
        <w:spacing w:after="200" w:line="262" w:lineRule="auto"/>
        <w:jc w:val="both"/>
      </w:pPr>
      <w:r>
        <w:t>We are grateful for the reviewers’ careful assessment and believe that these revisions have improved the manuscript’s focus, transparency, and scientific balance. We respectfully submit the revised version for your consideration and hope that its contribution to understanding the reporting and surveillance of therapeutic radiopharmaceuticals in an underrepresented regional setting will be of interest to the journal’s international readership.</w:t>
      </w:r>
    </w:p>
    <w:p w14:paraId="3C964C06" w14:textId="77777777" w:rsidR="007866F3" w:rsidRDefault="00FC2C1A">
      <w:pPr>
        <w:spacing w:after="80" w:line="262" w:lineRule="auto"/>
      </w:pPr>
      <w:r>
        <w:t>Sincerely,</w:t>
      </w:r>
    </w:p>
    <w:p w14:paraId="6CEF4AEF" w14:textId="77777777" w:rsidR="007866F3" w:rsidRDefault="00FC2C1A">
      <w:pPr>
        <w:spacing w:after="20" w:line="262" w:lineRule="auto"/>
      </w:pPr>
      <w:r>
        <w:rPr>
          <w:b/>
        </w:rPr>
        <w:t>Dr. Ralph Santos-Oliveira</w:t>
      </w:r>
    </w:p>
    <w:p w14:paraId="331A9AFA" w14:textId="77777777" w:rsidR="007866F3" w:rsidRDefault="00FC2C1A">
      <w:pPr>
        <w:spacing w:after="60" w:line="262" w:lineRule="auto"/>
      </w:pPr>
      <w:r>
        <w:rPr>
          <w:i/>
        </w:rPr>
        <w:t>Corresponding Author, on behalf of all authors</w:t>
      </w:r>
    </w:p>
    <w:p w14:paraId="1EB82EE1" w14:textId="77777777" w:rsidR="007866F3" w:rsidRDefault="00FC2C1A">
      <w:pPr>
        <w:spacing w:after="0" w:line="262" w:lineRule="auto"/>
      </w:pPr>
      <w:r>
        <w:t>Laboratory of Nanoradiopharmacy and Synthesis of New Radiopharmaceuticals</w:t>
      </w:r>
    </w:p>
    <w:p w14:paraId="1AEB4136" w14:textId="77777777" w:rsidR="007866F3" w:rsidRPr="00E10975" w:rsidRDefault="00FC2C1A">
      <w:pPr>
        <w:spacing w:after="0" w:line="262" w:lineRule="auto"/>
        <w:rPr>
          <w:lang w:val="pt-BR"/>
        </w:rPr>
      </w:pPr>
      <w:r w:rsidRPr="00E10975">
        <w:rPr>
          <w:lang w:val="pt-BR"/>
        </w:rPr>
        <w:t xml:space="preserve">Instituto de Engenharia Nuclear (IEN/CNEN), Rio de Janeiro, </w:t>
      </w:r>
      <w:proofErr w:type="spellStart"/>
      <w:r w:rsidRPr="00E10975">
        <w:rPr>
          <w:lang w:val="pt-BR"/>
        </w:rPr>
        <w:t>Brazil</w:t>
      </w:r>
      <w:proofErr w:type="spellEnd"/>
    </w:p>
    <w:p w14:paraId="4E31756E" w14:textId="77777777" w:rsidR="007866F3" w:rsidRPr="00E10975" w:rsidRDefault="00FC2C1A">
      <w:pPr>
        <w:spacing w:after="0" w:line="262" w:lineRule="auto"/>
        <w:rPr>
          <w:lang w:val="pt-BR"/>
        </w:rPr>
      </w:pPr>
      <w:proofErr w:type="spellStart"/>
      <w:r w:rsidRPr="00E10975">
        <w:rPr>
          <w:lang w:val="pt-BR"/>
        </w:rPr>
        <w:t>Laboratory</w:t>
      </w:r>
      <w:proofErr w:type="spellEnd"/>
      <w:r w:rsidRPr="00E10975">
        <w:rPr>
          <w:lang w:val="pt-BR"/>
        </w:rPr>
        <w:t xml:space="preserve"> </w:t>
      </w:r>
      <w:proofErr w:type="spellStart"/>
      <w:r w:rsidRPr="00E10975">
        <w:rPr>
          <w:lang w:val="pt-BR"/>
        </w:rPr>
        <w:t>of</w:t>
      </w:r>
      <w:proofErr w:type="spellEnd"/>
      <w:r w:rsidRPr="00E10975">
        <w:rPr>
          <w:lang w:val="pt-BR"/>
        </w:rPr>
        <w:t xml:space="preserve"> </w:t>
      </w:r>
      <w:proofErr w:type="spellStart"/>
      <w:r w:rsidRPr="00E10975">
        <w:rPr>
          <w:lang w:val="pt-BR"/>
        </w:rPr>
        <w:t>Radiopharmacy</w:t>
      </w:r>
      <w:proofErr w:type="spellEnd"/>
      <w:r w:rsidRPr="00E10975">
        <w:rPr>
          <w:lang w:val="pt-BR"/>
        </w:rPr>
        <w:t xml:space="preserve"> </w:t>
      </w:r>
      <w:proofErr w:type="spellStart"/>
      <w:r w:rsidRPr="00E10975">
        <w:rPr>
          <w:lang w:val="pt-BR"/>
        </w:rPr>
        <w:t>and</w:t>
      </w:r>
      <w:proofErr w:type="spellEnd"/>
      <w:r w:rsidRPr="00E10975">
        <w:rPr>
          <w:lang w:val="pt-BR"/>
        </w:rPr>
        <w:t xml:space="preserve"> </w:t>
      </w:r>
      <w:proofErr w:type="spellStart"/>
      <w:r w:rsidRPr="00E10975">
        <w:rPr>
          <w:lang w:val="pt-BR"/>
        </w:rPr>
        <w:t>Nanoradiopharmaceuticals</w:t>
      </w:r>
      <w:proofErr w:type="spellEnd"/>
    </w:p>
    <w:p w14:paraId="5A72DB5F" w14:textId="77777777" w:rsidR="007866F3" w:rsidRPr="00E10975" w:rsidRDefault="00FC2C1A">
      <w:pPr>
        <w:spacing w:after="0" w:line="262" w:lineRule="auto"/>
        <w:rPr>
          <w:lang w:val="pt-BR"/>
        </w:rPr>
      </w:pPr>
      <w:r w:rsidRPr="00E10975">
        <w:rPr>
          <w:lang w:val="pt-BR"/>
        </w:rPr>
        <w:t xml:space="preserve">Universidade do Estado do Rio de Janeiro (UERJ), Rio de Janeiro, </w:t>
      </w:r>
      <w:proofErr w:type="spellStart"/>
      <w:r w:rsidRPr="00E10975">
        <w:rPr>
          <w:lang w:val="pt-BR"/>
        </w:rPr>
        <w:t>Brazil</w:t>
      </w:r>
      <w:proofErr w:type="spellEnd"/>
    </w:p>
    <w:p w14:paraId="0356A042" w14:textId="77777777" w:rsidR="007866F3" w:rsidRDefault="00FC2C1A">
      <w:pPr>
        <w:spacing w:after="0" w:line="262" w:lineRule="auto"/>
      </w:pPr>
      <w:r>
        <w:t>E-mail: presidenciaradiofarmacia@gmail.com</w:t>
      </w:r>
    </w:p>
    <w:sectPr w:rsidR="007866F3" w:rsidSect="00034616">
      <w:headerReference w:type="default" r:id="rId8"/>
      <w:footerReference w:type="default" r:id="rId9"/>
      <w:pgSz w:w="12240" w:h="15840"/>
      <w:pgMar w:top="792" w:right="1080" w:bottom="792" w:left="1080" w:header="216"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FEB33" w14:textId="77777777" w:rsidR="00FC2C1A" w:rsidRDefault="00FC2C1A">
      <w:pPr>
        <w:spacing w:after="0" w:line="240" w:lineRule="auto"/>
      </w:pPr>
      <w:r>
        <w:separator/>
      </w:r>
    </w:p>
  </w:endnote>
  <w:endnote w:type="continuationSeparator" w:id="0">
    <w:p w14:paraId="61660006" w14:textId="77777777" w:rsidR="00FC2C1A" w:rsidRDefault="00FC2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92E6" w14:textId="77777777" w:rsidR="007866F3" w:rsidRPr="00E10975" w:rsidRDefault="00FC2C1A">
    <w:pPr>
      <w:pStyle w:val="Rodap"/>
      <w:jc w:val="center"/>
      <w:rPr>
        <w:lang w:val="pt-BR"/>
      </w:rPr>
    </w:pPr>
    <w:r w:rsidRPr="00E10975">
      <w:rPr>
        <w:rFonts w:ascii="Arial" w:hAnsi="Arial"/>
        <w:color w:val="696969"/>
        <w:sz w:val="15"/>
        <w:lang w:val="pt-BR"/>
      </w:rPr>
      <w:t>Instituto de Engenharia Nuclear (IEN/</w:t>
    </w:r>
    <w:proofErr w:type="gramStart"/>
    <w:r w:rsidRPr="00E10975">
      <w:rPr>
        <w:rFonts w:ascii="Arial" w:hAnsi="Arial"/>
        <w:color w:val="696969"/>
        <w:sz w:val="15"/>
        <w:lang w:val="pt-BR"/>
      </w:rPr>
      <w:t>CNEN)  |</w:t>
    </w:r>
    <w:proofErr w:type="gramEnd"/>
    <w:r w:rsidRPr="00E10975">
      <w:rPr>
        <w:rFonts w:ascii="Arial" w:hAnsi="Arial"/>
        <w:color w:val="696969"/>
        <w:sz w:val="15"/>
        <w:lang w:val="pt-BR"/>
      </w:rPr>
      <w:t xml:space="preserve">  Universidade do Estado do Rio de Janeiro (UERJ)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249F5" w14:textId="77777777" w:rsidR="00FC2C1A" w:rsidRDefault="00FC2C1A">
      <w:pPr>
        <w:spacing w:after="0" w:line="240" w:lineRule="auto"/>
      </w:pPr>
      <w:r>
        <w:separator/>
      </w:r>
    </w:p>
  </w:footnote>
  <w:footnote w:type="continuationSeparator" w:id="0">
    <w:p w14:paraId="2C080E3E" w14:textId="77777777" w:rsidR="00FC2C1A" w:rsidRDefault="00FC2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DE656" w14:textId="77777777" w:rsidR="007866F3" w:rsidRDefault="007866F3">
    <w:pPr>
      <w:pStyle w:val="Cabealho"/>
    </w:pPr>
  </w:p>
  <w:tbl>
    <w:tblPr>
      <w:tblW w:w="0" w:type="auto"/>
      <w:jc w:val="center"/>
      <w:tblLayout w:type="fixed"/>
      <w:tblLook w:val="04A0" w:firstRow="1" w:lastRow="0" w:firstColumn="1" w:lastColumn="0" w:noHBand="0" w:noVBand="1"/>
    </w:tblPr>
    <w:tblGrid>
      <w:gridCol w:w="5040"/>
      <w:gridCol w:w="5040"/>
    </w:tblGrid>
    <w:tr w:rsidR="007866F3" w14:paraId="7D17461C" w14:textId="77777777">
      <w:trPr>
        <w:jc w:val="center"/>
      </w:trPr>
      <w:tc>
        <w:tcPr>
          <w:tcW w:w="5040" w:type="dxa"/>
          <w:tcBorders>
            <w:top w:val="nil"/>
            <w:left w:val="nil"/>
            <w:bottom w:val="nil"/>
            <w:right w:val="nil"/>
          </w:tcBorders>
          <w:vAlign w:val="center"/>
        </w:tcPr>
        <w:p w14:paraId="28AA2DC9" w14:textId="02F07B8B" w:rsidR="007866F3" w:rsidRDefault="00E10975">
          <w:pPr>
            <w:spacing w:after="0"/>
          </w:pPr>
          <w:r>
            <w:rPr>
              <w:noProof/>
            </w:rPr>
            <w:drawing>
              <wp:inline distT="0" distB="0" distL="0" distR="0" wp14:anchorId="19A728AA" wp14:editId="09D18EB6">
                <wp:extent cx="1948815" cy="1096814"/>
                <wp:effectExtent l="0" t="0" r="0" b="8255"/>
                <wp:docPr id="707157880" name="Imagem 1" descr="ABEN • Associação Brasileira de Energia Nuclear • IEN: 60 anos em prol do  desenvolvimento da tecnologia nu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EN • Associação Brasileira de Energia Nuclear • IEN: 60 anos em prol do  desenvolvimento da tecnologia nucle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1162" cy="1103763"/>
                        </a:xfrm>
                        <a:prstGeom prst="rect">
                          <a:avLst/>
                        </a:prstGeom>
                        <a:noFill/>
                        <a:ln>
                          <a:noFill/>
                        </a:ln>
                      </pic:spPr>
                    </pic:pic>
                  </a:graphicData>
                </a:graphic>
              </wp:inline>
            </w:drawing>
          </w:r>
        </w:p>
      </w:tc>
      <w:tc>
        <w:tcPr>
          <w:tcW w:w="5040" w:type="dxa"/>
          <w:tcBorders>
            <w:top w:val="nil"/>
            <w:left w:val="nil"/>
            <w:bottom w:val="nil"/>
            <w:right w:val="nil"/>
          </w:tcBorders>
          <w:vAlign w:val="center"/>
        </w:tcPr>
        <w:p w14:paraId="23AB48DF" w14:textId="5CA3BFB0" w:rsidR="007866F3" w:rsidRDefault="00E10975">
          <w:pPr>
            <w:spacing w:after="0"/>
            <w:jc w:val="right"/>
          </w:pPr>
          <w:r>
            <w:rPr>
              <w:noProof/>
            </w:rPr>
            <w:drawing>
              <wp:inline distT="0" distB="0" distL="0" distR="0" wp14:anchorId="48D62F1A" wp14:editId="7FB5BB04">
                <wp:extent cx="856508" cy="942975"/>
                <wp:effectExtent l="0" t="0" r="1270" b="0"/>
                <wp:docPr id="1113454625" name="Imagem 2" descr="logomarca-uerj - UERJ - Universidade do Estado do Rio de Jane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marca-uerj - UERJ - Universidade do Estado do Rio de Janeir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7373" cy="954937"/>
                        </a:xfrm>
                        <a:prstGeom prst="rect">
                          <a:avLst/>
                        </a:prstGeom>
                        <a:noFill/>
                        <a:ln>
                          <a:noFill/>
                        </a:ln>
                      </pic:spPr>
                    </pic:pic>
                  </a:graphicData>
                </a:graphic>
              </wp:inline>
            </w:drawing>
          </w:r>
        </w:p>
      </w:tc>
    </w:tr>
  </w:tbl>
  <w:p w14:paraId="00E99BBC" w14:textId="77777777" w:rsidR="007866F3" w:rsidRDefault="007866F3">
    <w:pPr>
      <w:pBdr>
        <w:bottom w:val="single" w:sz="8" w:space="2" w:color="7A7A7A"/>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807551265">
    <w:abstractNumId w:val="8"/>
  </w:num>
  <w:num w:numId="2" w16cid:durableId="1378357953">
    <w:abstractNumId w:val="6"/>
  </w:num>
  <w:num w:numId="3" w16cid:durableId="1989356638">
    <w:abstractNumId w:val="5"/>
  </w:num>
  <w:num w:numId="4" w16cid:durableId="460999800">
    <w:abstractNumId w:val="4"/>
  </w:num>
  <w:num w:numId="5" w16cid:durableId="1923683591">
    <w:abstractNumId w:val="7"/>
  </w:num>
  <w:num w:numId="6" w16cid:durableId="732773188">
    <w:abstractNumId w:val="3"/>
  </w:num>
  <w:num w:numId="7" w16cid:durableId="386226492">
    <w:abstractNumId w:val="2"/>
  </w:num>
  <w:num w:numId="8" w16cid:durableId="375397707">
    <w:abstractNumId w:val="1"/>
  </w:num>
  <w:num w:numId="9" w16cid:durableId="816384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866F3"/>
    <w:rsid w:val="00AA1D8D"/>
    <w:rsid w:val="00B47730"/>
    <w:rsid w:val="00CB0664"/>
    <w:rsid w:val="00D970A8"/>
    <w:rsid w:val="00E10975"/>
    <w:rsid w:val="00FC2C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E81724"/>
  <w14:defaultImageDpi w14:val="300"/>
  <w15:docId w15:val="{CF59B2DC-8FE1-4BEB-BD6C-B503C1FC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eastAsia="Times New Roman" w:hAnsi="Times New Roman"/>
      <w:color w:val="141414"/>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1562</Words>
  <Characters>8441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Reviewers — ERPC-D-26-00129R1</dc:title>
  <dc:subject>Adverse Event Reporting for Radiopharmaceuticals in Brazil — Revision R1</dc:subject>
  <dc:creator>Ralph Santos-Oliveira</dc:creator>
  <cp:keywords/>
  <dc:description>generated by python-docx</dc:description>
  <cp:lastModifiedBy>Ralph Santos Oliveira</cp:lastModifiedBy>
  <cp:revision>2</cp:revision>
  <dcterms:created xsi:type="dcterms:W3CDTF">2026-10-09T14:18:00Z</dcterms:created>
  <dcterms:modified xsi:type="dcterms:W3CDTF">2026-10-09T14:18:00Z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2026-10-09T14:18:55Z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3703db13-ad6b-4abf-ab7f-f316ef8ddb08</vt:lpwstr>
  </property>
  <property fmtid="{D5CDD505-2E9C-101B-9397-08002B2CF9AE}" pid="7" name="MSIP_Label_defa4170-0d19-0005-0004-bc88714345d2_ActionId">
    <vt:lpwstr>f8419a60-a4a9-4a10-9e3e-3ca99a1b18e7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