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stTable6Colorful-Accent31"/>
        <w:tblpPr w:leftFromText="180" w:rightFromText="180" w:vertAnchor="page" w:horzAnchor="margin" w:tblpY="1591"/>
        <w:bidiVisual/>
        <w:tblW w:w="9781" w:type="dxa"/>
        <w:tblBorders>
          <w:top w:val="none" w:sz="0" w:space="0" w:color="auto"/>
          <w:bottom w:val="none" w:sz="0" w:space="0" w:color="auto"/>
        </w:tblBorders>
        <w:tblLayout w:type="fixed"/>
        <w:tblLook w:val="04A0"/>
      </w:tblPr>
      <w:tblGrid>
        <w:gridCol w:w="992"/>
        <w:gridCol w:w="2015"/>
        <w:gridCol w:w="1793"/>
        <w:gridCol w:w="1494"/>
        <w:gridCol w:w="935"/>
        <w:gridCol w:w="2552"/>
      </w:tblGrid>
      <w:tr w:rsidR="0029582B" w:rsidRPr="007223CD" w:rsidTr="00A707A2">
        <w:trPr>
          <w:cnfStyle w:val="100000000000"/>
          <w:trHeight w:val="421"/>
        </w:trPr>
        <w:tc>
          <w:tcPr>
            <w:cnfStyle w:val="001000000000"/>
            <w:tcW w:w="9781" w:type="dxa"/>
            <w:gridSpan w:val="6"/>
            <w:tcBorders>
              <w:bottom w:val="single" w:sz="12" w:space="0" w:color="auto"/>
            </w:tcBorders>
            <w:shd w:val="clear" w:color="auto" w:fill="auto"/>
          </w:tcPr>
          <w:p w:rsidR="00A707A2" w:rsidRPr="00A707A2" w:rsidRDefault="00A707A2" w:rsidP="0029582B">
            <w:pPr>
              <w:contextualSpacing/>
              <w:jc w:val="right"/>
              <w:rPr>
                <w:rFonts w:asciiTheme="majorBidi" w:hAnsiTheme="majorBidi" w:cstheme="majorBidi"/>
                <w:b w:val="0"/>
                <w:bCs w:val="0"/>
                <w:color w:val="auto"/>
                <w:sz w:val="18"/>
                <w:szCs w:val="18"/>
              </w:rPr>
            </w:pPr>
          </w:p>
          <w:p w:rsidR="0029582B" w:rsidRPr="003870B3" w:rsidRDefault="003870B3" w:rsidP="009272FB">
            <w:pPr>
              <w:contextualSpacing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18"/>
                <w:szCs w:val="18"/>
              </w:rPr>
              <w:t xml:space="preserve"> </w:t>
            </w:r>
            <w:r w:rsidR="00BE5D7D">
              <w:rPr>
                <w:rFonts w:asciiTheme="majorBidi" w:hAnsiTheme="majorBidi" w:cstheme="majorBidi"/>
                <w:color w:val="auto"/>
                <w:sz w:val="18"/>
                <w:szCs w:val="18"/>
              </w:rPr>
              <w:t>Table S</w:t>
            </w:r>
            <w:r w:rsidR="009272FB">
              <w:rPr>
                <w:rFonts w:asciiTheme="majorBidi" w:hAnsiTheme="majorBidi" w:cstheme="majorBidi"/>
                <w:color w:val="auto"/>
                <w:sz w:val="18"/>
                <w:szCs w:val="18"/>
              </w:rPr>
              <w:t>3</w:t>
            </w:r>
            <w:r w:rsidR="00BE5D7D">
              <w:rPr>
                <w:rFonts w:asciiTheme="majorBidi" w:hAnsiTheme="majorBidi" w:cstheme="majorBidi"/>
                <w:color w:val="auto"/>
                <w:sz w:val="18"/>
                <w:szCs w:val="18"/>
              </w:rPr>
              <w:t xml:space="preserve"> </w:t>
            </w:r>
            <w:r w:rsidR="0029582B" w:rsidRPr="00BE5D7D">
              <w:rPr>
                <w:rFonts w:asciiTheme="majorBidi" w:hAnsiTheme="majorBidi" w:cstheme="majorBidi"/>
                <w:b w:val="0"/>
                <w:bCs w:val="0"/>
                <w:color w:val="auto"/>
                <w:sz w:val="18"/>
                <w:szCs w:val="18"/>
              </w:rPr>
              <w:t>Girls and women of childbearing age group methods of included data</w:t>
            </w:r>
          </w:p>
        </w:tc>
      </w:tr>
      <w:tr w:rsidR="0029582B" w:rsidRPr="007223CD" w:rsidTr="00A707A2">
        <w:trPr>
          <w:cnfStyle w:val="000000100000"/>
          <w:trHeight w:val="273"/>
        </w:trPr>
        <w:tc>
          <w:tcPr>
            <w:cnfStyle w:val="001000000000"/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center"/>
              <w:rPr>
                <w:b w:val="0"/>
                <w:bCs w:val="0"/>
                <w:sz w:val="16"/>
                <w:szCs w:val="16"/>
                <w:rtl/>
              </w:rPr>
            </w:pPr>
            <w:r w:rsidRPr="00A707A2">
              <w:rPr>
                <w:b w:val="0"/>
                <w:bCs w:val="0"/>
                <w:color w:val="auto"/>
                <w:sz w:val="16"/>
                <w:szCs w:val="16"/>
              </w:rPr>
              <w:t xml:space="preserve">       </w:t>
            </w:r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sz w:val="16"/>
                <w:szCs w:val="16"/>
                <w:rtl/>
              </w:rPr>
            </w:pPr>
            <w:r w:rsidRPr="00A707A2">
              <w:rPr>
                <w:color w:val="auto"/>
                <w:sz w:val="16"/>
                <w:szCs w:val="16"/>
              </w:rPr>
              <w:t xml:space="preserve">Kit/Manual                                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color w:val="auto"/>
                <w:sz w:val="16"/>
                <w:szCs w:val="16"/>
              </w:rPr>
            </w:pPr>
            <w:r w:rsidRPr="00A707A2">
              <w:rPr>
                <w:color w:val="auto"/>
                <w:sz w:val="16"/>
                <w:szCs w:val="16"/>
              </w:rPr>
              <w:t>Cut off value</w:t>
            </w:r>
          </w:p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sz w:val="16"/>
                <w:szCs w:val="16"/>
              </w:rPr>
            </w:pPr>
            <w:r w:rsidRPr="00A707A2">
              <w:rPr>
                <w:color w:val="auto"/>
                <w:sz w:val="16"/>
                <w:szCs w:val="16"/>
              </w:rPr>
              <w:t>(IgM titer)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707A2">
              <w:rPr>
                <w:color w:val="auto"/>
                <w:sz w:val="16"/>
                <w:szCs w:val="16"/>
              </w:rPr>
              <w:t>Cut off value</w:t>
            </w:r>
          </w:p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sz w:val="16"/>
                <w:szCs w:val="16"/>
              </w:rPr>
            </w:pPr>
            <w:r w:rsidRPr="00A707A2">
              <w:rPr>
                <w:color w:val="auto"/>
                <w:sz w:val="16"/>
                <w:szCs w:val="16"/>
              </w:rPr>
              <w:t>(IgG titer</w:t>
            </w:r>
            <w:r w:rsidRPr="00A707A2">
              <w:rPr>
                <w:sz w:val="16"/>
                <w:szCs w:val="16"/>
              </w:rPr>
              <w:t>)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center"/>
              <w:cnfStyle w:val="000000100000"/>
              <w:rPr>
                <w:sz w:val="16"/>
                <w:szCs w:val="16"/>
              </w:rPr>
            </w:pPr>
            <w:r w:rsidRPr="00A707A2">
              <w:rPr>
                <w:color w:val="auto"/>
                <w:sz w:val="16"/>
                <w:szCs w:val="16"/>
              </w:rPr>
              <w:t xml:space="preserve"> Method  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9582B" w:rsidRPr="00A707A2" w:rsidRDefault="0029582B" w:rsidP="0029582B">
            <w:pPr>
              <w:ind w:left="-288" w:right="-288"/>
              <w:contextualSpacing/>
              <w:jc w:val="right"/>
              <w:cnfStyle w:val="000000100000"/>
              <w:rPr>
                <w:sz w:val="16"/>
                <w:szCs w:val="16"/>
              </w:rPr>
            </w:pPr>
            <w:r w:rsidRPr="00A707A2">
              <w:rPr>
                <w:color w:val="auto"/>
                <w:sz w:val="16"/>
                <w:szCs w:val="16"/>
              </w:rPr>
              <w:t xml:space="preserve">               Authors  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tcBorders>
              <w:top w:val="single" w:sz="12" w:space="0" w:color="auto"/>
            </w:tcBorders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tcBorders>
              <w:top w:val="single" w:sz="12" w:space="0" w:color="auto"/>
            </w:tcBorders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Alphabiol Tech</w:t>
            </w:r>
          </w:p>
        </w:tc>
        <w:tc>
          <w:tcPr>
            <w:tcW w:w="1793" w:type="dxa"/>
            <w:tcBorders>
              <w:top w:val="single" w:sz="12" w:space="0" w:color="auto"/>
            </w:tcBorders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12.5  IU/ml</w:t>
            </w:r>
          </w:p>
        </w:tc>
        <w:tc>
          <w:tcPr>
            <w:tcW w:w="1494" w:type="dxa"/>
            <w:tcBorders>
              <w:top w:val="single" w:sz="12" w:space="0" w:color="auto"/>
            </w:tcBorders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12.5  IU/ml</w:t>
            </w:r>
          </w:p>
        </w:tc>
        <w:tc>
          <w:tcPr>
            <w:tcW w:w="935" w:type="dxa"/>
            <w:tcBorders>
              <w:top w:val="single" w:sz="12" w:space="0" w:color="auto"/>
            </w:tcBorders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Kamyabi et al., </w:t>
            </w:r>
            <w:r w:rsidR="0029582B" w:rsidRPr="00AD07B5">
              <w:rPr>
                <w:color w:val="auto"/>
                <w:sz w:val="16"/>
                <w:szCs w:val="16"/>
              </w:rPr>
              <w:t>1999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1:50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Ajami et al., </w:t>
            </w:r>
            <w:r w:rsidR="0029582B" w:rsidRPr="00AD07B5">
              <w:rPr>
                <w:color w:val="auto"/>
                <w:sz w:val="16"/>
                <w:szCs w:val="16"/>
              </w:rPr>
              <w:t>2001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Mostafavizadeh et al., </w:t>
            </w:r>
            <w:r w:rsidR="0029582B" w:rsidRPr="00AD07B5">
              <w:rPr>
                <w:color w:val="auto"/>
                <w:sz w:val="16"/>
                <w:szCs w:val="16"/>
              </w:rPr>
              <w:t>2002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NovumDiagnostica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Taravati et al., </w:t>
            </w:r>
            <w:r w:rsidR="0029582B" w:rsidRPr="00AD07B5">
              <w:rPr>
                <w:color w:val="auto"/>
                <w:sz w:val="16"/>
                <w:szCs w:val="16"/>
              </w:rPr>
              <w:t>2002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Rabiee et al., </w:t>
            </w:r>
            <w:r w:rsidR="0029582B" w:rsidRPr="00AD07B5">
              <w:rPr>
                <w:color w:val="auto"/>
                <w:sz w:val="16"/>
                <w:szCs w:val="16"/>
              </w:rPr>
              <w:t>2003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1:100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Mahmoudi et al., </w:t>
            </w:r>
            <w:r w:rsidR="0029582B" w:rsidRPr="00AD07B5">
              <w:rPr>
                <w:color w:val="auto"/>
                <w:sz w:val="16"/>
                <w:szCs w:val="16"/>
              </w:rPr>
              <w:t>2005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RADIM, 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≥ 30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Hatam et al., </w:t>
            </w:r>
            <w:r w:rsidR="0029582B" w:rsidRPr="00AD07B5">
              <w:rPr>
                <w:color w:val="auto"/>
                <w:sz w:val="16"/>
                <w:szCs w:val="16"/>
              </w:rPr>
              <w:t>2005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  <w:r w:rsidRPr="00AD07B5">
              <w:rPr>
                <w:color w:val="auto"/>
                <w:sz w:val="16"/>
                <w:szCs w:val="16"/>
              </w:rPr>
              <w:t>`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Fallah et al., </w:t>
            </w:r>
            <w:r w:rsidR="0029582B" w:rsidRPr="00AD07B5">
              <w:rPr>
                <w:color w:val="auto"/>
                <w:sz w:val="16"/>
                <w:szCs w:val="16"/>
              </w:rPr>
              <w:t>2005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Diaplus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20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Rafiei</w:t>
            </w:r>
            <w:r w:rsidR="00C43FA5">
              <w:rPr>
                <w:color w:val="auto"/>
                <w:sz w:val="16"/>
                <w:szCs w:val="16"/>
              </w:rPr>
              <w:t xml:space="preserve"> et al., </w:t>
            </w:r>
            <w:r w:rsidRPr="00AD07B5">
              <w:rPr>
                <w:color w:val="auto"/>
                <w:sz w:val="16"/>
                <w:szCs w:val="16"/>
              </w:rPr>
              <w:t>2005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12.5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Daryani et al., </w:t>
            </w:r>
            <w:r w:rsidR="0029582B" w:rsidRPr="00AD07B5">
              <w:rPr>
                <w:color w:val="auto"/>
                <w:sz w:val="16"/>
                <w:szCs w:val="16"/>
              </w:rPr>
              <w:t>2006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Kit                                          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&gt;1.1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rFonts w:ascii="Arial" w:hAnsi="Arial"/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&gt;1.1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Saeedi et al., </w:t>
            </w:r>
            <w:r w:rsidR="0029582B" w:rsidRPr="00AD07B5">
              <w:rPr>
                <w:color w:val="auto"/>
                <w:sz w:val="16"/>
                <w:szCs w:val="16"/>
              </w:rPr>
              <w:t>2007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RADIM, 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30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30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Yousefi</w:t>
            </w:r>
            <w:r w:rsidR="00C43FA5">
              <w:rPr>
                <w:color w:val="auto"/>
                <w:sz w:val="16"/>
                <w:szCs w:val="16"/>
              </w:rPr>
              <w:t xml:space="preserve"> et al., </w:t>
            </w:r>
            <w:r w:rsidRPr="00AD07B5">
              <w:rPr>
                <w:color w:val="auto"/>
                <w:sz w:val="16"/>
                <w:szCs w:val="16"/>
              </w:rPr>
              <w:t>2007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  <w:rtl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Chamani et al., </w:t>
            </w:r>
            <w:r w:rsidR="0029582B" w:rsidRPr="00AD07B5">
              <w:rPr>
                <w:color w:val="auto"/>
                <w:sz w:val="16"/>
                <w:szCs w:val="16"/>
              </w:rPr>
              <w:t>2007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Biokit, Spain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Mohammadi et al., </w:t>
            </w:r>
            <w:r w:rsidR="0029582B" w:rsidRPr="00AD07B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Trinity Biotech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Hajghani et al., </w:t>
            </w:r>
            <w:r w:rsidR="0029582B" w:rsidRPr="00AD07B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ADALTIS, 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20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20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Ali Mohammadi et al., </w:t>
            </w:r>
            <w:r w:rsidR="0029582B" w:rsidRPr="00AD07B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ZiaeiKajbaf</w:t>
            </w:r>
            <w:r w:rsidR="00C43FA5">
              <w:rPr>
                <w:color w:val="auto"/>
                <w:sz w:val="16"/>
                <w:szCs w:val="16"/>
              </w:rPr>
              <w:t xml:space="preserve"> et al., </w:t>
            </w:r>
            <w:r w:rsidRPr="00AD07B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Diaplus, USA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20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Fallahi et al., </w:t>
            </w:r>
            <w:r w:rsidR="0029582B" w:rsidRPr="00AD07B5">
              <w:rPr>
                <w:color w:val="auto"/>
                <w:sz w:val="16"/>
                <w:szCs w:val="16"/>
              </w:rPr>
              <w:t>2009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Arbabi et al., </w:t>
            </w:r>
            <w:r w:rsidR="0029582B" w:rsidRPr="00AD07B5">
              <w:rPr>
                <w:color w:val="auto"/>
                <w:sz w:val="16"/>
                <w:szCs w:val="16"/>
              </w:rPr>
              <w:t>2009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Jahani Hashemi et al., </w:t>
            </w:r>
            <w:r w:rsidR="0029582B" w:rsidRPr="00AD07B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Euro Immune, Germany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Fouladvand et al., </w:t>
            </w:r>
            <w:r w:rsidR="0029582B" w:rsidRPr="00AD07B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Euro Immune, Germany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Fouladvand et al., </w:t>
            </w:r>
            <w:r w:rsidR="0029582B" w:rsidRPr="00AD07B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Euro Immune, Germany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Fouladvand et al., </w:t>
            </w:r>
            <w:r w:rsidR="0029582B" w:rsidRPr="00AD07B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DiaSorin, USA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12.5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Khazaie et al., </w:t>
            </w:r>
            <w:r w:rsidR="0029582B" w:rsidRPr="00AD07B5">
              <w:rPr>
                <w:color w:val="auto"/>
                <w:sz w:val="16"/>
                <w:szCs w:val="16"/>
              </w:rPr>
              <w:t>2011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ADALTIS, USA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20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Namayee et al., </w:t>
            </w:r>
            <w:r w:rsidR="0029582B" w:rsidRPr="00AD07B5">
              <w:rPr>
                <w:color w:val="auto"/>
                <w:sz w:val="16"/>
                <w:szCs w:val="16"/>
              </w:rPr>
              <w:t>2011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Viro Immune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Heydari et al., </w:t>
            </w:r>
            <w:r w:rsidR="0029582B" w:rsidRPr="00AD07B5">
              <w:rPr>
                <w:color w:val="auto"/>
                <w:sz w:val="16"/>
                <w:szCs w:val="16"/>
              </w:rPr>
              <w:t>2011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DioPro,Italy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center"/>
              <w:cnfStyle w:val="000000000000"/>
              <w:rPr>
                <w:color w:val="auto"/>
                <w:sz w:val="16"/>
                <w:szCs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Mostafavi et al., </w:t>
            </w:r>
            <w:r w:rsidR="0029582B" w:rsidRPr="00AD07B5">
              <w:rPr>
                <w:color w:val="auto"/>
                <w:sz w:val="16"/>
                <w:szCs w:val="16"/>
              </w:rPr>
              <w:t>2012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Khazaei et al., </w:t>
            </w:r>
            <w:r w:rsidR="0029582B" w:rsidRPr="00AD07B5">
              <w:rPr>
                <w:color w:val="auto"/>
                <w:sz w:val="16"/>
                <w:szCs w:val="16"/>
              </w:rPr>
              <w:t>2012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Maraghi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1:100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Rajaii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Trinity Biotech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Ali Asghari,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Euro Immune, Germany 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Ghadamgahi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>BarariSawadko</w:t>
            </w:r>
            <w:bookmarkStart w:id="0" w:name="_GoBack"/>
            <w:bookmarkEnd w:id="0"/>
            <w:r>
              <w:rPr>
                <w:color w:val="auto"/>
                <w:sz w:val="16"/>
                <w:szCs w:val="16"/>
              </w:rPr>
              <w:t xml:space="preserve">hi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cnfStyle w:val="000000100000"/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Dia Pro, 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 xml:space="preserve">Davami et al., </w:t>
            </w:r>
            <w:r w:rsidR="0029582B" w:rsidRPr="00AD07B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29582B" w:rsidRPr="007223CD" w:rsidTr="00A707A2">
        <w:trPr>
          <w:trHeight w:val="18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Dia Pro, Italy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50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ManouchehriNaeini et al., </w:t>
            </w:r>
            <w:r w:rsidR="0029582B" w:rsidRPr="00AD07B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29582B" w:rsidRPr="007223CD" w:rsidTr="00A707A2">
        <w:trPr>
          <w:cnfStyle w:val="000000100000"/>
          <w:trHeight w:val="177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1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Kamran et al., </w:t>
            </w:r>
            <w:r w:rsidR="0029582B" w:rsidRPr="00AD07B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29582B" w:rsidRPr="007223CD" w:rsidTr="00A93439">
        <w:trPr>
          <w:trHeight w:val="150"/>
        </w:trPr>
        <w:tc>
          <w:tcPr>
            <w:cnfStyle w:val="001000000000"/>
            <w:tcW w:w="992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auto"/>
          </w:tcPr>
          <w:p w:rsidR="0029582B" w:rsidRPr="007223CD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7223CD">
              <w:rPr>
                <w:color w:val="auto"/>
                <w:sz w:val="16"/>
                <w:szCs w:val="16"/>
              </w:rPr>
              <w:t>Kit</w:t>
            </w:r>
          </w:p>
        </w:tc>
        <w:tc>
          <w:tcPr>
            <w:tcW w:w="1793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494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rFonts w:ascii="Arial" w:hAnsi="Arial"/>
                <w:color w:val="auto"/>
                <w:sz w:val="16"/>
                <w:szCs w:val="16"/>
              </w:rPr>
            </w:pPr>
            <w:r w:rsidRPr="00AD07B5">
              <w:rPr>
                <w:rFonts w:ascii="Arial" w:hAnsi="Arial"/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35" w:type="dxa"/>
            <w:shd w:val="clear" w:color="auto" w:fill="auto"/>
          </w:tcPr>
          <w:p w:rsidR="0029582B" w:rsidRPr="00AD07B5" w:rsidRDefault="0029582B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shd w:val="clear" w:color="auto" w:fill="auto"/>
          </w:tcPr>
          <w:p w:rsidR="0029582B" w:rsidRPr="00AD07B5" w:rsidRDefault="00C43FA5" w:rsidP="0029582B">
            <w:pPr>
              <w:contextualSpacing/>
              <w:jc w:val="right"/>
              <w:cnfStyle w:val="000000000000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Fallah et al., </w:t>
            </w:r>
            <w:r w:rsidR="0029582B" w:rsidRPr="00AD07B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A93439" w:rsidRPr="007223CD" w:rsidTr="00A707A2">
        <w:trPr>
          <w:cnfStyle w:val="000000100000"/>
          <w:trHeight w:val="150"/>
        </w:trPr>
        <w:tc>
          <w:tcPr>
            <w:cnfStyle w:val="001000000000"/>
            <w:tcW w:w="992" w:type="dxa"/>
            <w:tcBorders>
              <w:bottom w:val="single" w:sz="12" w:space="0" w:color="auto"/>
            </w:tcBorders>
            <w:shd w:val="clear" w:color="auto" w:fill="auto"/>
          </w:tcPr>
          <w:p w:rsidR="00A93439" w:rsidRPr="00AD07B5" w:rsidRDefault="00A93439" w:rsidP="0029582B">
            <w:pPr>
              <w:contextualSpacing/>
              <w:jc w:val="righ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2015" w:type="dxa"/>
            <w:tcBorders>
              <w:bottom w:val="single" w:sz="12" w:space="0" w:color="auto"/>
            </w:tcBorders>
            <w:shd w:val="clear" w:color="auto" w:fill="auto"/>
          </w:tcPr>
          <w:p w:rsidR="00A93439" w:rsidRPr="007223CD" w:rsidRDefault="00A93439" w:rsidP="0029582B">
            <w:pPr>
              <w:contextualSpacing/>
              <w:jc w:val="right"/>
              <w:cnfStyle w:val="000000100000"/>
              <w:rPr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793" w:type="dxa"/>
            <w:tcBorders>
              <w:bottom w:val="single" w:sz="12" w:space="0" w:color="auto"/>
            </w:tcBorders>
            <w:shd w:val="clear" w:color="auto" w:fill="auto"/>
          </w:tcPr>
          <w:p w:rsidR="00A93439" w:rsidRPr="00AD07B5" w:rsidRDefault="00A93439" w:rsidP="0029582B">
            <w:pPr>
              <w:contextualSpacing/>
              <w:jc w:val="right"/>
              <w:cnfStyle w:val="00000010000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94" w:type="dxa"/>
            <w:tcBorders>
              <w:bottom w:val="single" w:sz="12" w:space="0" w:color="auto"/>
            </w:tcBorders>
            <w:shd w:val="clear" w:color="auto" w:fill="auto"/>
          </w:tcPr>
          <w:p w:rsidR="00A93439" w:rsidRPr="00AD07B5" w:rsidRDefault="00A93439" w:rsidP="0029582B">
            <w:pPr>
              <w:contextualSpacing/>
              <w:jc w:val="right"/>
              <w:cnfStyle w:val="000000100000"/>
              <w:rPr>
                <w:rFonts w:ascii="Arial" w:hAnsi="Arial"/>
                <w:sz w:val="16"/>
                <w:szCs w:val="16"/>
                <w:rtl/>
              </w:rPr>
            </w:pPr>
          </w:p>
        </w:tc>
        <w:tc>
          <w:tcPr>
            <w:tcW w:w="935" w:type="dxa"/>
            <w:tcBorders>
              <w:bottom w:val="single" w:sz="12" w:space="0" w:color="auto"/>
            </w:tcBorders>
            <w:shd w:val="clear" w:color="auto" w:fill="auto"/>
          </w:tcPr>
          <w:p w:rsidR="00A93439" w:rsidRPr="00AD07B5" w:rsidRDefault="00A93439" w:rsidP="0029582B">
            <w:pPr>
              <w:contextualSpacing/>
              <w:jc w:val="right"/>
              <w:cnfStyle w:val="000000100000"/>
              <w:rPr>
                <w:sz w:val="16"/>
                <w:szCs w:val="16"/>
              </w:rPr>
            </w:pPr>
            <w:r w:rsidRPr="00AD07B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</w:tcPr>
          <w:p w:rsidR="00A93439" w:rsidRDefault="00A93439" w:rsidP="0029582B">
            <w:pPr>
              <w:contextualSpacing/>
              <w:jc w:val="right"/>
              <w:cnfStyle w:val="000000100000"/>
              <w:rPr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Mohammadi et al., 2015</w:t>
            </w:r>
          </w:p>
        </w:tc>
      </w:tr>
    </w:tbl>
    <w:p w:rsidR="00FE2308" w:rsidRDefault="00FE2308"/>
    <w:sectPr w:rsidR="00FE2308" w:rsidSect="008758F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docVars>
    <w:docVar w:name="Total_Editing_Time" w:val="48"/>
  </w:docVars>
  <w:rsids>
    <w:rsidRoot w:val="0029582B"/>
    <w:rsid w:val="00017326"/>
    <w:rsid w:val="001E3592"/>
    <w:rsid w:val="0029582B"/>
    <w:rsid w:val="003870B3"/>
    <w:rsid w:val="006A3EAA"/>
    <w:rsid w:val="00740D09"/>
    <w:rsid w:val="007B4169"/>
    <w:rsid w:val="008758F7"/>
    <w:rsid w:val="009272FB"/>
    <w:rsid w:val="00A707A2"/>
    <w:rsid w:val="00A93439"/>
    <w:rsid w:val="00BE5D7D"/>
    <w:rsid w:val="00C43FA5"/>
    <w:rsid w:val="00E05344"/>
    <w:rsid w:val="00E912C8"/>
    <w:rsid w:val="00FE2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2B"/>
    <w:pPr>
      <w:bidi/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-Accent31">
    <w:name w:val="List Table 6 Colorful - Accent 31"/>
    <w:basedOn w:val="TableNormal"/>
    <w:uiPriority w:val="51"/>
    <w:rsid w:val="0029582B"/>
    <w:pPr>
      <w:spacing w:after="0" w:line="240" w:lineRule="auto"/>
    </w:pPr>
    <w:rPr>
      <w:rFonts w:ascii="Calibri" w:eastAsia="Calibri" w:hAnsi="Calibri" w:cs="Arial"/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441</Words>
  <Characters>1860</Characters>
  <Application>Microsoft Office Word</Application>
  <DocSecurity>0</DocSecurity>
  <Lines>310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Mizani</dc:creator>
  <cp:keywords/>
  <dc:description/>
  <cp:lastModifiedBy>CABRENICA</cp:lastModifiedBy>
  <cp:revision>9</cp:revision>
  <dcterms:created xsi:type="dcterms:W3CDTF">2016-09-03T13:06:00Z</dcterms:created>
  <dcterms:modified xsi:type="dcterms:W3CDTF">2017-04-03T16:45:00Z</dcterms:modified>
</cp:coreProperties>
</file>