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64B" w:rsidRPr="00971826" w:rsidRDefault="002B264B" w:rsidP="002B264B">
      <w:pPr>
        <w:spacing w:after="0"/>
        <w:jc w:val="left"/>
        <w:rPr>
          <w:b/>
          <w:szCs w:val="24"/>
        </w:rPr>
      </w:pPr>
      <w:r w:rsidRPr="00971826">
        <w:rPr>
          <w:b/>
          <w:szCs w:val="24"/>
          <w:u w:val="single"/>
        </w:rPr>
        <w:t>Supplement table</w:t>
      </w:r>
    </w:p>
    <w:p w:rsidR="002B264B" w:rsidRDefault="002B264B" w:rsidP="002B264B">
      <w:pPr>
        <w:spacing w:after="0" w:line="240" w:lineRule="auto"/>
        <w:jc w:val="left"/>
        <w:rPr>
          <w:b/>
          <w:szCs w:val="24"/>
        </w:rPr>
      </w:pPr>
      <w:r w:rsidRPr="00971826">
        <w:rPr>
          <w:b/>
          <w:szCs w:val="24"/>
        </w:rPr>
        <w:t>Key characteristics of adolescents whose adherence level was good (&gt;95%) but failed to achieve viral suppression</w:t>
      </w:r>
      <w:r>
        <w:rPr>
          <w:b/>
          <w:szCs w:val="24"/>
        </w:rPr>
        <w:t xml:space="preserve"> (n=49)</w:t>
      </w:r>
    </w:p>
    <w:p w:rsidR="002B264B" w:rsidRDefault="002B264B" w:rsidP="002B264B">
      <w:pPr>
        <w:spacing w:after="0" w:line="240" w:lineRule="auto"/>
        <w:jc w:val="left"/>
        <w:rPr>
          <w:b/>
          <w:szCs w:val="24"/>
        </w:rPr>
      </w:pPr>
    </w:p>
    <w:tbl>
      <w:tblPr>
        <w:tblW w:w="7380" w:type="dxa"/>
        <w:tblLayout w:type="fixed"/>
        <w:tblLook w:val="04A0" w:firstRow="1" w:lastRow="0" w:firstColumn="1" w:lastColumn="0" w:noHBand="0" w:noVBand="1"/>
      </w:tblPr>
      <w:tblGrid>
        <w:gridCol w:w="2340"/>
        <w:gridCol w:w="2160"/>
        <w:gridCol w:w="1440"/>
        <w:gridCol w:w="1440"/>
      </w:tblGrid>
      <w:tr w:rsidR="002B264B" w:rsidRPr="006A0862" w:rsidTr="00FC059B">
        <w:trPr>
          <w:trHeight w:val="290"/>
        </w:trPr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b/>
                <w:color w:val="000000"/>
                <w:szCs w:val="24"/>
              </w:rPr>
            </w:pPr>
            <w:r w:rsidRPr="006A0862">
              <w:rPr>
                <w:rFonts w:eastAsia="Times New Roman"/>
                <w:b/>
                <w:color w:val="000000"/>
                <w:szCs w:val="24"/>
              </w:rPr>
              <w:t>Characteristic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b/>
                <w:color w:val="000000"/>
                <w:szCs w:val="24"/>
              </w:rPr>
            </w:pPr>
            <w:r w:rsidRPr="006A0862">
              <w:rPr>
                <w:rFonts w:eastAsia="Times New Roman"/>
                <w:b/>
                <w:color w:val="000000"/>
                <w:szCs w:val="2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b/>
                <w:color w:val="000000"/>
                <w:szCs w:val="24"/>
              </w:rPr>
            </w:pPr>
            <w:r w:rsidRPr="006A0862">
              <w:rPr>
                <w:rFonts w:eastAsia="Times New Roman"/>
                <w:b/>
                <w:color w:val="000000"/>
                <w:szCs w:val="24"/>
              </w:rPr>
              <w:t xml:space="preserve">        n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b/>
                <w:color w:val="000000"/>
                <w:szCs w:val="24"/>
              </w:rPr>
            </w:pPr>
            <w:r w:rsidRPr="006A0862">
              <w:rPr>
                <w:rFonts w:eastAsia="Times New Roman"/>
                <w:b/>
                <w:color w:val="000000"/>
                <w:szCs w:val="24"/>
              </w:rPr>
              <w:t xml:space="preserve">         %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Sex/Gender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63.3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36.7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10-14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69.4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15-19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30.6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Years on ART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0-2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10.2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3-5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32.7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More than 5 years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57.1</w:t>
            </w:r>
          </w:p>
        </w:tc>
      </w:tr>
      <w:tr w:rsidR="002B264B" w:rsidRPr="006A0862" w:rsidTr="00FC059B">
        <w:trPr>
          <w:trHeight w:val="423"/>
        </w:trPr>
        <w:tc>
          <w:tcPr>
            <w:tcW w:w="7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Treatment interruption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14.3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85.7</w:t>
            </w:r>
          </w:p>
        </w:tc>
      </w:tr>
      <w:tr w:rsidR="002B264B" w:rsidRPr="006A0862" w:rsidTr="00FC059B">
        <w:trPr>
          <w:trHeight w:val="414"/>
        </w:trPr>
        <w:tc>
          <w:tcPr>
            <w:tcW w:w="7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CD4 count at Initiation (cells/mL)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More than 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12.2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200-499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20.4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less than 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36.7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missing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30.6</w:t>
            </w:r>
          </w:p>
        </w:tc>
      </w:tr>
      <w:tr w:rsidR="002B264B" w:rsidRPr="006A0862" w:rsidTr="00FC059B">
        <w:trPr>
          <w:trHeight w:val="378"/>
        </w:trPr>
        <w:tc>
          <w:tcPr>
            <w:tcW w:w="7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History of treatment Failure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Yes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28.6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No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71.4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Regimen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AZT+3TC+NVP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57.1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AZT+3TC+EFV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40.8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ABC+3TC+EFV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  2.1</w:t>
            </w:r>
          </w:p>
        </w:tc>
      </w:tr>
      <w:tr w:rsidR="002B264B" w:rsidRPr="006A0862" w:rsidTr="00FC059B">
        <w:trPr>
          <w:trHeight w:val="290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Nutritional Status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Normal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91.8</w:t>
            </w:r>
          </w:p>
        </w:tc>
      </w:tr>
      <w:tr w:rsidR="002B264B" w:rsidRPr="006A0862" w:rsidTr="00FC059B">
        <w:trPr>
          <w:trHeight w:val="57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Severe/Moderately malnourished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 8.2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Clinical Stage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81.6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II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 2.0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III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16.4</w:t>
            </w:r>
          </w:p>
        </w:tc>
      </w:tr>
      <w:tr w:rsidR="002B264B" w:rsidRPr="006A0862" w:rsidTr="00FC059B">
        <w:trPr>
          <w:trHeight w:val="290"/>
        </w:trPr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left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>IV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64B" w:rsidRPr="006A0862" w:rsidRDefault="002B264B" w:rsidP="00FC059B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 w:rsidRPr="006A0862">
              <w:rPr>
                <w:rFonts w:eastAsia="Times New Roman"/>
                <w:color w:val="000000"/>
                <w:szCs w:val="24"/>
              </w:rPr>
              <w:t xml:space="preserve">     0</w:t>
            </w:r>
          </w:p>
        </w:tc>
      </w:tr>
    </w:tbl>
    <w:p w:rsidR="002B264B" w:rsidRPr="006A0862" w:rsidRDefault="002B264B" w:rsidP="002B264B">
      <w:pPr>
        <w:spacing w:after="0" w:line="240" w:lineRule="auto"/>
        <w:rPr>
          <w:szCs w:val="24"/>
        </w:rPr>
      </w:pPr>
      <w:r w:rsidRPr="00971826">
        <w:rPr>
          <w:szCs w:val="24"/>
        </w:rPr>
        <w:t xml:space="preserve">     </w:t>
      </w:r>
      <w:r w:rsidRPr="006A0862">
        <w:rPr>
          <w:szCs w:val="24"/>
        </w:rPr>
        <w:t>Notes: Total sample is 49 adolescents. All other adolescents except 7 who experienced treatment interruption had an adherence of 100%.</w:t>
      </w:r>
    </w:p>
    <w:p w:rsidR="00641659" w:rsidRPr="002B264B" w:rsidRDefault="002B264B" w:rsidP="002B264B">
      <w:pPr>
        <w:spacing w:after="0" w:line="240" w:lineRule="auto"/>
        <w:rPr>
          <w:szCs w:val="24"/>
        </w:rPr>
      </w:pPr>
      <w:r w:rsidRPr="00971826">
        <w:rPr>
          <w:b/>
          <w:szCs w:val="24"/>
        </w:rPr>
        <w:t xml:space="preserve">       </w:t>
      </w:r>
      <w:bookmarkStart w:id="0" w:name="_GoBack"/>
      <w:bookmarkEnd w:id="0"/>
    </w:p>
    <w:sectPr w:rsidR="00641659" w:rsidRPr="002B2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4B"/>
    <w:rsid w:val="00282FA0"/>
    <w:rsid w:val="002B264B"/>
    <w:rsid w:val="005A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2D745"/>
  <w15:chartTrackingRefBased/>
  <w15:docId w15:val="{FD35D399-4672-4F1B-BF26-E5A2BE12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64B"/>
    <w:pPr>
      <w:spacing w:line="480" w:lineRule="auto"/>
      <w:jc w:val="both"/>
    </w:pPr>
    <w:rPr>
      <w:rFonts w:ascii="Times New Roman" w:eastAsiaTheme="minorEastAsia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</dc:creator>
  <cp:keywords/>
  <dc:description/>
  <cp:lastModifiedBy>Jules</cp:lastModifiedBy>
  <cp:revision>1</cp:revision>
  <dcterms:created xsi:type="dcterms:W3CDTF">2018-11-27T00:28:00Z</dcterms:created>
  <dcterms:modified xsi:type="dcterms:W3CDTF">2018-11-27T00:29:00Z</dcterms:modified>
</cp:coreProperties>
</file>