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C2" w:rsidRPr="00242B0C" w:rsidRDefault="001611C2" w:rsidP="00242B0C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242B0C">
        <w:rPr>
          <w:rFonts w:ascii="Times New Roman" w:hAnsi="Times New Roman"/>
          <w:b/>
          <w:sz w:val="24"/>
          <w:szCs w:val="24"/>
        </w:rPr>
        <w:t>Methods</w:t>
      </w:r>
    </w:p>
    <w:p w:rsidR="001611C2" w:rsidRPr="00A43D65" w:rsidRDefault="001611C2" w:rsidP="00A43D65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242B0C">
        <w:rPr>
          <w:rFonts w:ascii="Times New Roman" w:hAnsi="Times New Roman"/>
          <w:b/>
          <w:sz w:val="24"/>
          <w:szCs w:val="24"/>
        </w:rPr>
        <w:t>Macrophage Differentiation</w:t>
      </w:r>
      <w:r w:rsidRPr="00242B0C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242B0C">
        <w:rPr>
          <w:rFonts w:ascii="Times New Roman" w:hAnsi="Times New Roman"/>
          <w:sz w:val="24"/>
          <w:szCs w:val="24"/>
        </w:rPr>
        <w:t>ATCC</w:t>
      </w:r>
      <w:r w:rsidRPr="00242B0C">
        <w:rPr>
          <w:rFonts w:ascii="Times New Roman" w:hAnsi="Times New Roman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sz w:val="24"/>
          <w:szCs w:val="24"/>
        </w:rPr>
        <w:t xml:space="preserve"> U937 CRL-1593.2</w:t>
      </w:r>
      <w:r w:rsidRPr="00242B0C">
        <w:rPr>
          <w:rFonts w:ascii="Times New Roman" w:hAnsi="Times New Roman"/>
          <w:sz w:val="24"/>
          <w:szCs w:val="24"/>
          <w:vertAlign w:val="superscript"/>
        </w:rPr>
        <w:t>TM</w:t>
      </w:r>
      <w:r w:rsidRPr="00242B0C">
        <w:rPr>
          <w:rFonts w:ascii="Times New Roman" w:hAnsi="Times New Roman"/>
          <w:sz w:val="24"/>
          <w:szCs w:val="24"/>
        </w:rPr>
        <w:t xml:space="preserve"> suspension cells stored in liquid nitrogen were thawed and cultured in RPMI 1640 media (Thermo Fisher Scientific, Carlsbad, CA) supplemented with 10% (v/v) heat-inactivated FBS (Thermo Fisher Scientific, Carlsbad, CA) and 1x penicillin/streptomycin (Thermo Fisher Scientific, Carlsbad, CA) at 37°C and 5% CO</w:t>
      </w:r>
      <w:r w:rsidRPr="00242B0C">
        <w:rPr>
          <w:rFonts w:ascii="Times New Roman" w:hAnsi="Times New Roman"/>
          <w:sz w:val="24"/>
          <w:szCs w:val="24"/>
          <w:vertAlign w:val="subscript"/>
        </w:rPr>
        <w:t>2</w:t>
      </w:r>
      <w:r w:rsidRPr="00242B0C">
        <w:rPr>
          <w:rFonts w:ascii="Times New Roman" w:hAnsi="Times New Roman"/>
          <w:sz w:val="24"/>
          <w:szCs w:val="24"/>
        </w:rPr>
        <w:t>. Cells were maintained at a concentration between 1x10</w:t>
      </w:r>
      <w:r w:rsidRPr="00242B0C">
        <w:rPr>
          <w:rFonts w:ascii="Times New Roman" w:hAnsi="Times New Roman"/>
          <w:sz w:val="24"/>
          <w:szCs w:val="24"/>
          <w:vertAlign w:val="superscript"/>
        </w:rPr>
        <w:t>5</w:t>
      </w:r>
      <w:r w:rsidRPr="00242B0C">
        <w:rPr>
          <w:rFonts w:ascii="Times New Roman" w:hAnsi="Times New Roman"/>
          <w:sz w:val="24"/>
          <w:szCs w:val="24"/>
        </w:rPr>
        <w:t xml:space="preserve"> and 2x10</w:t>
      </w:r>
      <w:r w:rsidRPr="00242B0C">
        <w:rPr>
          <w:rFonts w:ascii="Times New Roman" w:hAnsi="Times New Roman"/>
          <w:sz w:val="24"/>
          <w:szCs w:val="24"/>
          <w:vertAlign w:val="superscript"/>
        </w:rPr>
        <w:t>6</w:t>
      </w:r>
      <w:r w:rsidRPr="00242B0C">
        <w:rPr>
          <w:rFonts w:ascii="Times New Roman" w:hAnsi="Times New Roman"/>
          <w:sz w:val="24"/>
          <w:szCs w:val="24"/>
        </w:rPr>
        <w:t xml:space="preserve"> cells/mL and assessed using the trypan blue exclusion test. U937 monocytes were differentiated into macrophages by resuspending 5x10</w:t>
      </w:r>
      <w:r w:rsidRPr="00242B0C">
        <w:rPr>
          <w:rFonts w:ascii="Times New Roman" w:hAnsi="Times New Roman"/>
          <w:sz w:val="24"/>
          <w:szCs w:val="24"/>
          <w:vertAlign w:val="superscript"/>
        </w:rPr>
        <w:t>5</w:t>
      </w:r>
      <w:r w:rsidRPr="00242B0C">
        <w:rPr>
          <w:rFonts w:ascii="Times New Roman" w:hAnsi="Times New Roman"/>
          <w:sz w:val="24"/>
          <w:szCs w:val="24"/>
        </w:rPr>
        <w:t xml:space="preserve"> cells/ml of monocytes in RPMI-1640 supplemented with 50 ng/mL phorbol myristate acetate (PMA). One mL of monocytes were plated on removable glass cover slips onto 24-well plates and allowed to differentiate for 72 hours. Differentiated cells were identified by the presence of pseudopodia and adherence to the plate surface, while non-adherent undifferentiated monocytes were was</w:t>
      </w:r>
      <w:r>
        <w:rPr>
          <w:rFonts w:ascii="Times New Roman" w:hAnsi="Times New Roman"/>
          <w:sz w:val="24"/>
          <w:szCs w:val="24"/>
        </w:rPr>
        <w:t>hed away with RPMI 1640 media [1-4</w:t>
      </w:r>
      <w:r w:rsidRPr="00242B0C">
        <w:rPr>
          <w:rFonts w:ascii="Times New Roman" w:hAnsi="Times New Roman"/>
          <w:sz w:val="24"/>
          <w:szCs w:val="24"/>
        </w:rPr>
        <w:t xml:space="preserve">]. Differentiated cells were released from the cover slip using 0.05% Trypsin-EDTA (Life Technologies,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242B0C">
              <w:rPr>
                <w:rFonts w:ascii="Times New Roman" w:hAnsi="Times New Roman"/>
                <w:sz w:val="24"/>
                <w:szCs w:val="24"/>
              </w:rPr>
              <w:t>Carlsbad</w:t>
            </w:r>
          </w:smartTag>
          <w:r w:rsidRPr="00242B0C">
            <w:rPr>
              <w:rFonts w:ascii="Times New Roman" w:hAnsi="Times New Roman"/>
              <w:sz w:val="24"/>
              <w:szCs w:val="24"/>
            </w:rPr>
            <w:t xml:space="preserve">, </w:t>
          </w:r>
          <w:smartTag w:uri="urn:schemas-microsoft-com:office:smarttags" w:element="State">
            <w:r w:rsidRPr="00242B0C">
              <w:rPr>
                <w:rFonts w:ascii="Times New Roman" w:hAnsi="Times New Roman"/>
                <w:sz w:val="24"/>
                <w:szCs w:val="24"/>
              </w:rPr>
              <w:t>CA</w:t>
            </w:r>
          </w:smartTag>
          <w:r w:rsidRPr="00242B0C">
            <w:rPr>
              <w:rFonts w:ascii="Times New Roman" w:hAnsi="Times New Roman"/>
              <w:sz w:val="24"/>
              <w:szCs w:val="24"/>
            </w:rPr>
            <w:t xml:space="preserve">, </w:t>
          </w:r>
          <w:smartTag w:uri="urn:schemas-microsoft-com:office:smarttags" w:element="country-region">
            <w:r w:rsidRPr="00242B0C">
              <w:rPr>
                <w:rFonts w:ascii="Times New Roman" w:hAnsi="Times New Roman"/>
                <w:sz w:val="24"/>
                <w:szCs w:val="24"/>
              </w:rPr>
              <w:t>USA</w:t>
            </w:r>
          </w:smartTag>
        </w:smartTag>
      </w:smartTag>
      <w:r w:rsidRPr="00242B0C">
        <w:rPr>
          <w:rFonts w:ascii="Times New Roman" w:hAnsi="Times New Roman"/>
          <w:sz w:val="24"/>
          <w:szCs w:val="24"/>
        </w:rPr>
        <w:t xml:space="preserve">) and a cell count was performed. </w:t>
      </w:r>
    </w:p>
    <w:p w:rsidR="001611C2" w:rsidRPr="00242B0C" w:rsidRDefault="001611C2" w:rsidP="00242B0C">
      <w:pPr>
        <w:spacing w:line="480" w:lineRule="auto"/>
        <w:rPr>
          <w:rFonts w:ascii="Times New Roman" w:hAnsi="Times New Roman"/>
          <w:sz w:val="24"/>
          <w:szCs w:val="24"/>
        </w:rPr>
      </w:pPr>
      <w:r w:rsidRPr="00242B0C">
        <w:rPr>
          <w:rFonts w:ascii="Times New Roman" w:hAnsi="Times New Roman"/>
          <w:b/>
          <w:i/>
          <w:sz w:val="24"/>
          <w:szCs w:val="24"/>
          <w:lang w:val="en-US"/>
        </w:rPr>
        <w:t>Leishmania</w:t>
      </w:r>
      <w:r w:rsidRPr="00242B0C">
        <w:rPr>
          <w:rFonts w:ascii="Times New Roman" w:hAnsi="Times New Roman"/>
          <w:b/>
          <w:sz w:val="24"/>
          <w:szCs w:val="24"/>
          <w:lang w:val="en-US"/>
        </w:rPr>
        <w:t xml:space="preserve"> species molecular identification</w:t>
      </w:r>
      <w:r w:rsidRPr="00242B0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42B0C">
        <w:rPr>
          <w:rFonts w:ascii="Times New Roman" w:hAnsi="Times New Roman"/>
          <w:sz w:val="24"/>
          <w:szCs w:val="24"/>
        </w:rPr>
        <w:t xml:space="preserve">DNA was extracted using QIAamp DNA Mini Kit Blood (Qiagen,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242B0C">
              <w:rPr>
                <w:rFonts w:ascii="Times New Roman" w:hAnsi="Times New Roman"/>
                <w:sz w:val="24"/>
                <w:szCs w:val="24"/>
              </w:rPr>
              <w:t>Germantown</w:t>
            </w:r>
          </w:smartTag>
          <w:r w:rsidRPr="00242B0C">
            <w:rPr>
              <w:rFonts w:ascii="Times New Roman" w:hAnsi="Times New Roman"/>
              <w:sz w:val="24"/>
              <w:szCs w:val="24"/>
            </w:rPr>
            <w:t xml:space="preserve">, </w:t>
          </w:r>
          <w:smartTag w:uri="urn:schemas-microsoft-com:office:smarttags" w:element="State">
            <w:r w:rsidRPr="00242B0C">
              <w:rPr>
                <w:rFonts w:ascii="Times New Roman" w:hAnsi="Times New Roman"/>
                <w:sz w:val="24"/>
                <w:szCs w:val="24"/>
              </w:rPr>
              <w:t>MA</w:t>
            </w:r>
          </w:smartTag>
          <w:r w:rsidRPr="00242B0C">
            <w:rPr>
              <w:rFonts w:ascii="Times New Roman" w:hAnsi="Times New Roman"/>
              <w:sz w:val="24"/>
              <w:szCs w:val="24"/>
            </w:rPr>
            <w:t xml:space="preserve">, </w:t>
          </w:r>
          <w:smartTag w:uri="urn:schemas-microsoft-com:office:smarttags" w:element="country-region">
            <w:r w:rsidRPr="00242B0C">
              <w:rPr>
                <w:rFonts w:ascii="Times New Roman" w:hAnsi="Times New Roman"/>
                <w:sz w:val="24"/>
                <w:szCs w:val="24"/>
              </w:rPr>
              <w:t>USA</w:t>
            </w:r>
          </w:smartTag>
        </w:smartTag>
      </w:smartTag>
      <w:r w:rsidRPr="00242B0C">
        <w:rPr>
          <w:rFonts w:ascii="Times New Roman" w:hAnsi="Times New Roman"/>
          <w:sz w:val="24"/>
          <w:szCs w:val="24"/>
        </w:rPr>
        <w:t xml:space="preserve">). </w:t>
      </w:r>
      <w:r w:rsidRPr="00242B0C">
        <w:rPr>
          <w:rFonts w:ascii="Times New Roman" w:hAnsi="Times New Roman"/>
          <w:i/>
          <w:sz w:val="24"/>
          <w:szCs w:val="24"/>
        </w:rPr>
        <w:t>Leishmania</w:t>
      </w:r>
      <w:r w:rsidRPr="00242B0C">
        <w:rPr>
          <w:rFonts w:ascii="Times New Roman" w:hAnsi="Times New Roman"/>
          <w:sz w:val="24"/>
          <w:szCs w:val="24"/>
        </w:rPr>
        <w:t xml:space="preserve"> genus 18S real time PCR was perfo</w:t>
      </w:r>
      <w:r>
        <w:rPr>
          <w:rFonts w:ascii="Times New Roman" w:hAnsi="Times New Roman"/>
          <w:sz w:val="24"/>
          <w:szCs w:val="24"/>
        </w:rPr>
        <w:t>rmed as previously described [5</w:t>
      </w:r>
      <w:r w:rsidRPr="00242B0C">
        <w:rPr>
          <w:rFonts w:ascii="Times New Roman" w:hAnsi="Times New Roman"/>
          <w:sz w:val="24"/>
          <w:szCs w:val="24"/>
        </w:rPr>
        <w:t>].  Species identification included analysis of the internal transcribed spacer 1 (</w:t>
      </w:r>
      <w:r w:rsidRPr="00242B0C">
        <w:rPr>
          <w:rFonts w:ascii="Times New Roman" w:hAnsi="Times New Roman"/>
          <w:i/>
          <w:sz w:val="24"/>
          <w:szCs w:val="24"/>
        </w:rPr>
        <w:t>ITS1</w:t>
      </w:r>
      <w:r w:rsidRPr="00242B0C">
        <w:rPr>
          <w:rFonts w:ascii="Times New Roman" w:hAnsi="Times New Roman"/>
          <w:sz w:val="24"/>
          <w:szCs w:val="24"/>
        </w:rPr>
        <w:t xml:space="preserve">), </w:t>
      </w:r>
      <w:r w:rsidRPr="00242B0C">
        <w:rPr>
          <w:rFonts w:ascii="Times New Roman" w:hAnsi="Times New Roman"/>
          <w:i/>
          <w:sz w:val="24"/>
          <w:szCs w:val="24"/>
        </w:rPr>
        <w:t>ITS2</w:t>
      </w:r>
      <w:r w:rsidRPr="00242B0C">
        <w:rPr>
          <w:rFonts w:ascii="Times New Roman" w:hAnsi="Times New Roman"/>
          <w:sz w:val="24"/>
          <w:szCs w:val="24"/>
        </w:rPr>
        <w:t xml:space="preserve">, </w:t>
      </w:r>
      <w:r w:rsidRPr="00242B0C">
        <w:rPr>
          <w:rFonts w:ascii="Times New Roman" w:hAnsi="Times New Roman"/>
          <w:i/>
          <w:sz w:val="24"/>
          <w:szCs w:val="24"/>
        </w:rPr>
        <w:t>cpb</w:t>
      </w:r>
      <w:r w:rsidRPr="00242B0C">
        <w:rPr>
          <w:rFonts w:ascii="Times New Roman" w:hAnsi="Times New Roman"/>
          <w:sz w:val="24"/>
          <w:szCs w:val="24"/>
        </w:rPr>
        <w:t xml:space="preserve">, </w:t>
      </w:r>
      <w:r w:rsidRPr="00242B0C">
        <w:rPr>
          <w:rFonts w:ascii="Times New Roman" w:hAnsi="Times New Roman"/>
          <w:i/>
          <w:sz w:val="24"/>
          <w:szCs w:val="24"/>
        </w:rPr>
        <w:t>hsp70</w:t>
      </w:r>
      <w:r w:rsidRPr="00242B0C">
        <w:rPr>
          <w:rFonts w:ascii="Times New Roman" w:hAnsi="Times New Roman"/>
          <w:sz w:val="24"/>
          <w:szCs w:val="24"/>
        </w:rPr>
        <w:t xml:space="preserve">, and </w:t>
      </w:r>
      <w:r w:rsidRPr="00242B0C">
        <w:rPr>
          <w:rFonts w:ascii="Times New Roman" w:hAnsi="Times New Roman"/>
          <w:i/>
          <w:sz w:val="24"/>
          <w:szCs w:val="24"/>
        </w:rPr>
        <w:t>mpi</w:t>
      </w:r>
      <w:r w:rsidRPr="00242B0C">
        <w:rPr>
          <w:rFonts w:ascii="Times New Roman" w:hAnsi="Times New Roman"/>
          <w:sz w:val="24"/>
          <w:szCs w:val="24"/>
        </w:rPr>
        <w:t xml:space="preserve"> targets by PCR, restriction fragment length polymorphism (RFLP) analysis, </w:t>
      </w:r>
      <w:r>
        <w:rPr>
          <w:rFonts w:ascii="Times New Roman" w:hAnsi="Times New Roman"/>
          <w:sz w:val="24"/>
          <w:szCs w:val="24"/>
        </w:rPr>
        <w:t>and Sanger sequencing [6-7</w:t>
      </w:r>
      <w:r w:rsidRPr="00242B0C">
        <w:rPr>
          <w:rFonts w:ascii="Times New Roman" w:hAnsi="Times New Roman"/>
          <w:sz w:val="24"/>
          <w:szCs w:val="24"/>
        </w:rPr>
        <w:t xml:space="preserve">]. PCR-RFLP analysis of the </w:t>
      </w:r>
      <w:r w:rsidRPr="00242B0C">
        <w:rPr>
          <w:rFonts w:ascii="Times New Roman" w:hAnsi="Times New Roman"/>
          <w:i/>
          <w:sz w:val="24"/>
          <w:szCs w:val="24"/>
        </w:rPr>
        <w:t>ITS1</w:t>
      </w:r>
      <w:r w:rsidRPr="00242B0C">
        <w:rPr>
          <w:rFonts w:ascii="Times New Roman" w:hAnsi="Times New Roman"/>
          <w:sz w:val="24"/>
          <w:szCs w:val="24"/>
        </w:rPr>
        <w:t xml:space="preserve"> region can only differentiate </w:t>
      </w:r>
      <w:r w:rsidRPr="00242B0C">
        <w:rPr>
          <w:rFonts w:ascii="Times New Roman" w:hAnsi="Times New Roman"/>
          <w:i/>
          <w:sz w:val="24"/>
          <w:szCs w:val="24"/>
        </w:rPr>
        <w:t>L. (V.) braziliensis</w:t>
      </w:r>
      <w:r w:rsidRPr="00242B0C">
        <w:rPr>
          <w:rFonts w:ascii="Times New Roman" w:hAnsi="Times New Roman"/>
          <w:sz w:val="24"/>
          <w:szCs w:val="24"/>
        </w:rPr>
        <w:t xml:space="preserve"> from the other species within the </w:t>
      </w:r>
      <w:r w:rsidRPr="00242B0C">
        <w:rPr>
          <w:rFonts w:ascii="Times New Roman" w:hAnsi="Times New Roman"/>
          <w:i/>
          <w:sz w:val="24"/>
          <w:szCs w:val="24"/>
        </w:rPr>
        <w:t>Viannia</w:t>
      </w:r>
      <w:r w:rsidRPr="00242B0C">
        <w:rPr>
          <w:rFonts w:ascii="Times New Roman" w:hAnsi="Times New Roman"/>
          <w:sz w:val="24"/>
          <w:szCs w:val="24"/>
        </w:rPr>
        <w:t xml:space="preserve"> subgenus (</w:t>
      </w:r>
      <w:r w:rsidRPr="00242B0C">
        <w:rPr>
          <w:rFonts w:ascii="Times New Roman" w:hAnsi="Times New Roman"/>
          <w:i/>
          <w:sz w:val="24"/>
          <w:szCs w:val="24"/>
        </w:rPr>
        <w:t>L. (V.) guyanensis, L. (V.) peruviana, L. (V.) panamensis, L. (V.) lainsoni</w:t>
      </w:r>
      <w:r w:rsidRPr="00242B0C">
        <w:rPr>
          <w:rFonts w:ascii="Times New Roman" w:hAnsi="Times New Roman"/>
          <w:sz w:val="24"/>
          <w:szCs w:val="24"/>
        </w:rPr>
        <w:t xml:space="preserve">). Thus, PCR-RFLP and sequencing analysis of the </w:t>
      </w:r>
      <w:r w:rsidRPr="00242B0C">
        <w:rPr>
          <w:rFonts w:ascii="Times New Roman" w:hAnsi="Times New Roman"/>
          <w:i/>
          <w:sz w:val="24"/>
          <w:szCs w:val="24"/>
        </w:rPr>
        <w:t>cpb</w:t>
      </w:r>
      <w:r w:rsidRPr="00242B0C">
        <w:rPr>
          <w:rFonts w:ascii="Times New Roman" w:hAnsi="Times New Roman"/>
          <w:sz w:val="24"/>
          <w:szCs w:val="24"/>
        </w:rPr>
        <w:t xml:space="preserve">, </w:t>
      </w:r>
      <w:r w:rsidRPr="00242B0C">
        <w:rPr>
          <w:rFonts w:ascii="Times New Roman" w:hAnsi="Times New Roman"/>
          <w:i/>
          <w:sz w:val="24"/>
          <w:szCs w:val="24"/>
        </w:rPr>
        <w:t>hsp70</w:t>
      </w:r>
      <w:r w:rsidRPr="00242B0C">
        <w:rPr>
          <w:rFonts w:ascii="Times New Roman" w:hAnsi="Times New Roman"/>
          <w:sz w:val="24"/>
          <w:szCs w:val="24"/>
        </w:rPr>
        <w:t xml:space="preserve">, </w:t>
      </w:r>
      <w:r w:rsidRPr="00242B0C">
        <w:rPr>
          <w:rFonts w:ascii="Times New Roman" w:hAnsi="Times New Roman"/>
          <w:i/>
          <w:sz w:val="24"/>
          <w:szCs w:val="24"/>
        </w:rPr>
        <w:t>mpi</w:t>
      </w:r>
      <w:r w:rsidRPr="00242B0C">
        <w:rPr>
          <w:rFonts w:ascii="Times New Roman" w:hAnsi="Times New Roman"/>
          <w:sz w:val="24"/>
          <w:szCs w:val="24"/>
        </w:rPr>
        <w:t xml:space="preserve"> and </w:t>
      </w:r>
      <w:r w:rsidRPr="00242B0C">
        <w:rPr>
          <w:rFonts w:ascii="Times New Roman" w:hAnsi="Times New Roman"/>
          <w:i/>
          <w:sz w:val="24"/>
          <w:szCs w:val="24"/>
        </w:rPr>
        <w:t>ITS2</w:t>
      </w:r>
      <w:r w:rsidRPr="00242B0C">
        <w:rPr>
          <w:rFonts w:ascii="Times New Roman" w:hAnsi="Times New Roman"/>
          <w:sz w:val="24"/>
          <w:szCs w:val="24"/>
        </w:rPr>
        <w:t xml:space="preserve"> regions was required to differentiate species within the </w:t>
      </w:r>
      <w:r w:rsidRPr="00242B0C">
        <w:rPr>
          <w:rFonts w:ascii="Times New Roman" w:hAnsi="Times New Roman"/>
          <w:i/>
          <w:sz w:val="24"/>
          <w:szCs w:val="24"/>
        </w:rPr>
        <w:t>Leishmania Viannia</w:t>
      </w:r>
      <w:r w:rsidRPr="00242B0C">
        <w:rPr>
          <w:rFonts w:ascii="Times New Roman" w:hAnsi="Times New Roman"/>
          <w:sz w:val="24"/>
          <w:szCs w:val="24"/>
        </w:rPr>
        <w:t xml:space="preserve"> sub-genus complex, and to provide a </w:t>
      </w:r>
      <w:r w:rsidRPr="00242B0C">
        <w:rPr>
          <w:rFonts w:ascii="Times New Roman" w:hAnsi="Times New Roman"/>
          <w:sz w:val="24"/>
          <w:szCs w:val="24"/>
        </w:rPr>
        <w:lastRenderedPageBreak/>
        <w:t xml:space="preserve">confirmation of the species identified in the initial </w:t>
      </w:r>
      <w:r w:rsidRPr="00242B0C">
        <w:rPr>
          <w:rFonts w:ascii="Times New Roman" w:hAnsi="Times New Roman"/>
          <w:i/>
          <w:sz w:val="24"/>
          <w:szCs w:val="24"/>
        </w:rPr>
        <w:t>ITS1</w:t>
      </w:r>
      <w:r w:rsidRPr="00242B0C">
        <w:rPr>
          <w:rFonts w:ascii="Times New Roman" w:hAnsi="Times New Roman"/>
          <w:sz w:val="24"/>
          <w:szCs w:val="24"/>
        </w:rPr>
        <w:t xml:space="preserve"> assay. Purified PCR product was used for Sanger sequencing as per Big Dye protocol (Life Technnologies, </w:t>
      </w:r>
      <w:smartTag w:uri="urn:schemas-microsoft-com:office:smarttags" w:element="country-region">
        <w:smartTag w:uri="urn:schemas-microsoft-com:office:smarttags" w:element="City">
          <w:r w:rsidRPr="00242B0C">
            <w:rPr>
              <w:rFonts w:ascii="Times New Roman" w:hAnsi="Times New Roman"/>
              <w:sz w:val="24"/>
              <w:szCs w:val="24"/>
            </w:rPr>
            <w:t>Carlsbad</w:t>
          </w:r>
        </w:smartTag>
        <w:r w:rsidRPr="00242B0C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42B0C">
            <w:rPr>
              <w:rFonts w:ascii="Times New Roman" w:hAnsi="Times New Roman"/>
              <w:sz w:val="24"/>
              <w:szCs w:val="24"/>
            </w:rPr>
            <w:t>CA</w:t>
          </w:r>
        </w:smartTag>
        <w:r w:rsidRPr="00242B0C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42B0C">
            <w:rPr>
              <w:rFonts w:ascii="Times New Roman" w:hAnsi="Times New Roman"/>
              <w:sz w:val="24"/>
              <w:szCs w:val="24"/>
            </w:rPr>
            <w:t>USA</w:t>
          </w:r>
        </w:smartTag>
      </w:smartTag>
      <w:r w:rsidRPr="00242B0C">
        <w:rPr>
          <w:rFonts w:ascii="Times New Roman" w:hAnsi="Times New Roman"/>
          <w:sz w:val="24"/>
          <w:szCs w:val="24"/>
        </w:rPr>
        <w:t xml:space="preserve">). Sequence products were purified and analyzed using the Applied Biosystems 3130xl Genetic Analyzer. Data were standardized using the Sequencing Analyzer program and the </w:t>
      </w:r>
      <w:r>
        <w:rPr>
          <w:rFonts w:ascii="Times New Roman" w:hAnsi="Times New Roman"/>
          <w:sz w:val="24"/>
          <w:szCs w:val="24"/>
        </w:rPr>
        <w:t>Basic Local Alignment Search Tool (</w:t>
      </w:r>
      <w:r w:rsidRPr="00242B0C">
        <w:rPr>
          <w:rFonts w:ascii="Times New Roman" w:hAnsi="Times New Roman"/>
          <w:sz w:val="24"/>
          <w:szCs w:val="24"/>
        </w:rPr>
        <w:t>BLAST</w:t>
      </w:r>
      <w:r>
        <w:rPr>
          <w:rFonts w:ascii="Times New Roman" w:hAnsi="Times New Roman"/>
          <w:sz w:val="24"/>
          <w:szCs w:val="24"/>
        </w:rPr>
        <w:t>)</w:t>
      </w:r>
      <w:r w:rsidRPr="00242B0C">
        <w:rPr>
          <w:rFonts w:ascii="Times New Roman" w:hAnsi="Times New Roman"/>
          <w:sz w:val="24"/>
          <w:szCs w:val="24"/>
        </w:rPr>
        <w:t xml:space="preserve"> search engine was used to analyze sequences. </w:t>
      </w:r>
    </w:p>
    <w:p w:rsidR="001611C2" w:rsidRDefault="001611C2" w:rsidP="00242B0C">
      <w:pPr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242B0C">
        <w:rPr>
          <w:rFonts w:ascii="Times New Roman" w:hAnsi="Times New Roman"/>
          <w:b/>
          <w:sz w:val="24"/>
          <w:szCs w:val="24"/>
        </w:rPr>
        <w:t xml:space="preserve">Detection and Quantification of VF </w:t>
      </w:r>
      <w:r>
        <w:rPr>
          <w:rFonts w:ascii="Times New Roman" w:hAnsi="Times New Roman"/>
          <w:b/>
          <w:sz w:val="24"/>
          <w:szCs w:val="24"/>
        </w:rPr>
        <w:t xml:space="preserve">RNA </w:t>
      </w:r>
      <w:r w:rsidRPr="00242B0C">
        <w:rPr>
          <w:rFonts w:ascii="Times New Roman" w:hAnsi="Times New Roman"/>
          <w:b/>
          <w:sz w:val="24"/>
          <w:szCs w:val="24"/>
        </w:rPr>
        <w:t>Transcript Expression by qPCR.</w:t>
      </w:r>
      <w:r w:rsidRPr="00242B0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Primers were validated against Taqman</w:t>
      </w:r>
      <w:r w:rsidRPr="00242B0C">
        <w:rPr>
          <w:rFonts w:ascii="Times New Roman" w:hAnsi="Times New Roman"/>
          <w:color w:val="222222"/>
          <w:sz w:val="24"/>
          <w:szCs w:val="24"/>
          <w:shd w:val="clear" w:color="auto" w:fill="FFFFFF"/>
          <w:vertAlign w:val="superscript"/>
        </w:rPr>
        <w:t xml:space="preserve">TM </w:t>
      </w:r>
      <w:r w:rsidRPr="00242B0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Control Genomic DNA (male) (Thermofisher Scieintific, </w:t>
      </w:r>
      <w:smartTag w:uri="urn:schemas-microsoft-com:office:smarttags" w:element="country-region">
        <w:smartTag w:uri="urn:schemas-microsoft-com:office:smarttags" w:element="country-region">
          <w:r w:rsidRPr="00242B0C">
            <w:rPr>
              <w:rFonts w:ascii="Times New Roman" w:hAnsi="Times New Roman"/>
              <w:color w:val="222222"/>
              <w:sz w:val="24"/>
              <w:szCs w:val="24"/>
              <w:shd w:val="clear" w:color="auto" w:fill="FFFFFF"/>
            </w:rPr>
            <w:t>Carlsbad</w:t>
          </w:r>
        </w:smartTag>
        <w:r w:rsidRPr="00242B0C">
          <w:rPr>
            <w:rFonts w:ascii="Times New Roman" w:hAnsi="Times New Roman"/>
            <w:color w:val="222222"/>
            <w:sz w:val="24"/>
            <w:szCs w:val="24"/>
            <w:shd w:val="clear" w:color="auto" w:fill="FFFFFF"/>
          </w:rPr>
          <w:t xml:space="preserve">, </w:t>
        </w:r>
        <w:smartTag w:uri="urn:schemas-microsoft-com:office:smarttags" w:element="country-region">
          <w:r w:rsidRPr="00242B0C">
            <w:rPr>
              <w:rFonts w:ascii="Times New Roman" w:hAnsi="Times New Roman"/>
              <w:color w:val="222222"/>
              <w:sz w:val="24"/>
              <w:szCs w:val="24"/>
              <w:shd w:val="clear" w:color="auto" w:fill="FFFFFF"/>
            </w:rPr>
            <w:t>CA</w:t>
          </w:r>
        </w:smartTag>
        <w:r w:rsidRPr="00242B0C">
          <w:rPr>
            <w:rFonts w:ascii="Times New Roman" w:hAnsi="Times New Roman"/>
            <w:color w:val="222222"/>
            <w:sz w:val="24"/>
            <w:szCs w:val="24"/>
            <w:shd w:val="clear" w:color="auto" w:fill="FFFFFF"/>
          </w:rPr>
          <w:t xml:space="preserve">, </w:t>
        </w:r>
        <w:smartTag w:uri="urn:schemas-microsoft-com:office:smarttags" w:element="country-region">
          <w:r w:rsidRPr="00242B0C">
            <w:rPr>
              <w:rFonts w:ascii="Times New Roman" w:hAnsi="Times New Roman"/>
              <w:color w:val="222222"/>
              <w:sz w:val="24"/>
              <w:szCs w:val="24"/>
              <w:shd w:val="clear" w:color="auto" w:fill="FFFFFF"/>
            </w:rPr>
            <w:t>USA</w:t>
          </w:r>
        </w:smartTag>
      </w:smartTag>
      <w:r w:rsidRPr="00242B0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) to ensure no cross-reactivity.  In addition, primers were validated against the following ATCC® strains to ensure detection: 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>L. (V.) braziliensis</w:t>
      </w:r>
      <w:r w:rsidRPr="00242B0C">
        <w:rPr>
          <w:rFonts w:ascii="Times New Roman" w:hAnsi="Times New Roman"/>
          <w:sz w:val="24"/>
          <w:szCs w:val="24"/>
          <w:lang w:val="en-US"/>
        </w:rPr>
        <w:t xml:space="preserve"> ATCC® 50135™ (MHOM/BR/75/M2903),</w:t>
      </w:r>
      <w:r w:rsidRPr="00242B0C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L. (V.) guyanensis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50126</w:t>
      </w:r>
      <w:r w:rsidRPr="00242B0C">
        <w:rPr>
          <w:rFonts w:ascii="Times New Roman" w:hAnsi="Times New Roman"/>
          <w:color w:val="000000"/>
          <w:sz w:val="24"/>
          <w:szCs w:val="24"/>
        </w:rPr>
        <w:t>™ (MHOM/BR/75/M4147),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42B0C">
        <w:rPr>
          <w:rFonts w:ascii="Times New Roman" w:hAnsi="Times New Roman"/>
          <w:i/>
          <w:color w:val="000000"/>
          <w:sz w:val="24"/>
          <w:szCs w:val="24"/>
        </w:rPr>
        <w:t xml:space="preserve">L. (V.) panamensis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50158</w:t>
      </w:r>
      <w:r w:rsidRPr="00242B0C">
        <w:rPr>
          <w:rFonts w:ascii="Times New Roman" w:hAnsi="Times New Roman"/>
          <w:color w:val="000000"/>
          <w:sz w:val="24"/>
          <w:szCs w:val="24"/>
        </w:rPr>
        <w:t xml:space="preserve">™ (MHOM/PA/71/LS94), 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L. amazonensis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50159</w:t>
      </w:r>
      <w:r w:rsidRPr="00242B0C">
        <w:rPr>
          <w:rFonts w:ascii="Times New Roman" w:hAnsi="Times New Roman"/>
          <w:color w:val="000000"/>
          <w:sz w:val="24"/>
          <w:szCs w:val="24"/>
        </w:rPr>
        <w:t>™ (IFLA/BR/67/PH8)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, L. chagasi </w:t>
      </w:r>
      <w:r w:rsidRPr="00242B0C">
        <w:rPr>
          <w:rFonts w:ascii="Times New Roman" w:hAnsi="Times New Roman"/>
          <w:sz w:val="24"/>
          <w:szCs w:val="24"/>
          <w:lang w:val="en-US"/>
        </w:rPr>
        <w:t>Cunha and Chagas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50133</w:t>
      </w:r>
      <w:r w:rsidRPr="00242B0C">
        <w:rPr>
          <w:rFonts w:ascii="Times New Roman" w:hAnsi="Times New Roman"/>
          <w:color w:val="000000"/>
          <w:sz w:val="24"/>
          <w:szCs w:val="24"/>
        </w:rPr>
        <w:t>™ (MHOM/BR/74/PP75)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, L. donovani </w:t>
      </w:r>
      <w:r w:rsidRPr="00242B0C">
        <w:rPr>
          <w:rFonts w:ascii="Times New Roman" w:hAnsi="Times New Roman"/>
          <w:sz w:val="24"/>
          <w:szCs w:val="24"/>
          <w:lang w:val="en-US"/>
        </w:rPr>
        <w:t xml:space="preserve">(Laveran and Mesnil) Ross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50212</w:t>
      </w:r>
      <w:r w:rsidRPr="00242B0C">
        <w:rPr>
          <w:rFonts w:ascii="Times New Roman" w:hAnsi="Times New Roman"/>
          <w:color w:val="000000"/>
          <w:sz w:val="24"/>
          <w:szCs w:val="24"/>
        </w:rPr>
        <w:t>™ (MHOM/IN/80/DD8)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>, L. infantum</w:t>
      </w:r>
      <w:r w:rsidRPr="00242B0C">
        <w:rPr>
          <w:rFonts w:ascii="Times New Roman" w:hAnsi="Times New Roman"/>
          <w:color w:val="000000"/>
          <w:sz w:val="24"/>
          <w:szCs w:val="24"/>
        </w:rPr>
        <w:t xml:space="preserve"> Nicolle 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50134</w:t>
      </w:r>
      <w:r w:rsidRPr="00242B0C">
        <w:rPr>
          <w:rFonts w:ascii="Times New Roman" w:hAnsi="Times New Roman"/>
          <w:color w:val="000000"/>
          <w:sz w:val="24"/>
          <w:szCs w:val="24"/>
        </w:rPr>
        <w:t>™ (MHOM/TN/80/IPT-1)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, L. major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50122</w:t>
      </w:r>
      <w:r w:rsidRPr="00242B0C">
        <w:rPr>
          <w:rFonts w:ascii="Times New Roman" w:hAnsi="Times New Roman"/>
          <w:color w:val="000000"/>
          <w:sz w:val="24"/>
          <w:szCs w:val="24"/>
        </w:rPr>
        <w:t>™ (MHOM/IL/67/JERICHO II)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, L. mexicana </w:t>
      </w:r>
      <w:r w:rsidRPr="00242B0C">
        <w:rPr>
          <w:rFonts w:ascii="Times New Roman" w:hAnsi="Times New Roman"/>
          <w:sz w:val="24"/>
          <w:szCs w:val="24"/>
          <w:lang w:val="en-US"/>
        </w:rPr>
        <w:t xml:space="preserve">(Biagi) Garnham </w:t>
      </w:r>
      <w:r w:rsidRPr="00242B0C">
        <w:rPr>
          <w:rFonts w:ascii="Times New Roman" w:hAnsi="Times New Roman"/>
          <w:color w:val="000000"/>
          <w:sz w:val="24"/>
          <w:szCs w:val="24"/>
        </w:rPr>
        <w:t>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50157</w:t>
      </w:r>
      <w:r w:rsidRPr="00242B0C">
        <w:rPr>
          <w:rFonts w:ascii="Times New Roman" w:hAnsi="Times New Roman"/>
          <w:color w:val="000000"/>
          <w:sz w:val="24"/>
          <w:szCs w:val="24"/>
        </w:rPr>
        <w:t xml:space="preserve">™ (MHOM/BZ/82/BEL21) </w:t>
      </w:r>
      <w:r w:rsidRPr="00242B0C">
        <w:rPr>
          <w:rFonts w:ascii="Times New Roman" w:hAnsi="Times New Roman"/>
          <w:sz w:val="24"/>
          <w:szCs w:val="24"/>
          <w:lang w:val="en-US"/>
        </w:rPr>
        <w:t>and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 xml:space="preserve"> L. tropica</w:t>
      </w:r>
      <w:r w:rsidRPr="00242B0C">
        <w:rPr>
          <w:rFonts w:ascii="Times New Roman" w:hAnsi="Times New Roman"/>
          <w:color w:val="000000"/>
          <w:sz w:val="24"/>
          <w:szCs w:val="24"/>
        </w:rPr>
        <w:t xml:space="preserve"> (Wright) Luhe ATCC</w:t>
      </w:r>
      <w:r w:rsidRPr="00242B0C">
        <w:rPr>
          <w:rFonts w:ascii="Times New Roman" w:hAnsi="Times New Roman"/>
          <w:color w:val="000000"/>
          <w:sz w:val="24"/>
          <w:szCs w:val="24"/>
          <w:vertAlign w:val="superscript"/>
        </w:rPr>
        <w:t>®</w:t>
      </w:r>
      <w:r w:rsidRPr="00242B0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50129</w:t>
      </w:r>
      <w:r w:rsidRPr="00242B0C">
        <w:rPr>
          <w:rFonts w:ascii="Times New Roman" w:hAnsi="Times New Roman"/>
          <w:color w:val="000000"/>
          <w:sz w:val="24"/>
          <w:szCs w:val="24"/>
        </w:rPr>
        <w:t>™ (MHOM/SU/74/K27)</w:t>
      </w:r>
      <w:r w:rsidRPr="00242B0C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1611C2" w:rsidRDefault="001611C2" w:rsidP="00242B0C">
      <w:pPr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242B0C">
        <w:rPr>
          <w:rFonts w:ascii="Times New Roman" w:hAnsi="Times New Roman"/>
          <w:b/>
          <w:sz w:val="24"/>
          <w:szCs w:val="24"/>
        </w:rPr>
        <w:t>Results</w:t>
      </w:r>
    </w:p>
    <w:p w:rsidR="001611C2" w:rsidRDefault="001611C2" w:rsidP="00242B0C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VF RNA Transcript Expression by LRV1 Status</w:t>
      </w:r>
    </w:p>
    <w:p w:rsidR="001611C2" w:rsidRDefault="001611C2" w:rsidP="00242B0C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At 24- hours of macrophage infectivity, VF transcript expression of LRV1 positive and LRV1 negative isolates were not significantly different for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(p=0.33),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mpi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(p&gt;0.99)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hsp70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(p=0.67) [Figure S2]. The following targets could not be evaluated at 24-hours due to transcript levels below detection: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gp63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hsp23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hsp100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Similarly, no significant differences were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observed at 48- hours post-macrophage infection for pooled VF transcript analysis (p=0.63) 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(p=0.49)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mpi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(p&gt;0.99) [Figure S2]. The following targets could not be evaluated at 48- hours due to transcript levels below detection: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gp63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hsp23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hsp70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hsp100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611C2" w:rsidRDefault="001611C2" w:rsidP="00242B0C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VF RNA Transcript Expression by Species</w:t>
      </w:r>
    </w:p>
    <w:p w:rsidR="001611C2" w:rsidRPr="00B67135" w:rsidRDefault="001611C2" w:rsidP="00B67135">
      <w:p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Apparent increased transcript expression of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hsp100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 isolates of 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L. (V.) panamensis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was noted, however this was not statistically significant (p=0.14) [Figure S3]. Pooled VF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transcript expression was analyzed at 24- and 48- hours after macrophage infection for 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L. (V.) panamensis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isolates verses other (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L. (V.) guyanensis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and 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L. (V.) braziliensis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[Figure S2]. Pooled VF transcript expression of 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L. (V.) panamensis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isolates at 24- hours was significantly lower (1.31x10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6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fold) in comparison to the other isolates (p=0.04) [Figure S4]. No difference in </w:t>
      </w:r>
      <w:r w:rsidRPr="00811E08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transcript expression at 24- hours post-macrophage infection was observed (p=0.33). Similarly, there was no difference in pooled VF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transcript expression at 48- hours post-macrophage infection (p&gt;0.99) [Figure S4].</w:t>
      </w:r>
    </w:p>
    <w:p w:rsidR="001611C2" w:rsidRDefault="001611C2" w:rsidP="00242B0C">
      <w:pPr>
        <w:shd w:val="clear" w:color="auto" w:fill="FFFFFF"/>
        <w:spacing w:after="0" w:line="48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VF RNA Transcript Expression by Source of Cultured Isolate</w:t>
      </w:r>
    </w:p>
    <w:p w:rsidR="001611C2" w:rsidRDefault="001611C2" w:rsidP="00242B0C">
      <w:p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Pooled VF transcript expression of ATCC and clinical strains could only be evaluated at 24- hours where a trend towards lower levels of overall VF transcript expression in clinical isolates (1.15-fold change) was observed</w:t>
      </w:r>
      <w:r w:rsidDel="0070684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(p=0.07) [Figure S6]. At 48- hours post-macrophage infection, VF transcript expression was not significantly different between ATCC and clinical isolates for the following: pooled VF transcript (p=0.57),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cpb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(p=0.25), and </w:t>
      </w:r>
      <w:r w:rsidRPr="00664B57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mpi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(p=0.67) [Figure S6]. </w:t>
      </w:r>
    </w:p>
    <w:p w:rsidR="001611C2" w:rsidRDefault="001611C2" w:rsidP="00244C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611C2" w:rsidRDefault="001611C2" w:rsidP="005E6036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List of Abbreviations</w:t>
      </w:r>
    </w:p>
    <w:p w:rsidR="001611C2" w:rsidRDefault="001611C2" w:rsidP="000A17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phorbol myristate acetate (PMA)</w:t>
      </w:r>
    </w:p>
    <w:p w:rsidR="001611C2" w:rsidRDefault="001611C2" w:rsidP="000A17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internal transcribed spacer 1 (ITS1)</w:t>
      </w:r>
    </w:p>
    <w:p w:rsidR="001611C2" w:rsidRDefault="001611C2" w:rsidP="000A1776">
      <w:pPr>
        <w:spacing w:line="480" w:lineRule="auto"/>
        <w:rPr>
          <w:rFonts w:ascii="Times New Roman" w:hAnsi="Times New Roman"/>
          <w:sz w:val="24"/>
          <w:szCs w:val="24"/>
        </w:rPr>
      </w:pPr>
      <w:r w:rsidRPr="00242B0C">
        <w:rPr>
          <w:rFonts w:ascii="Times New Roman" w:hAnsi="Times New Roman"/>
          <w:sz w:val="24"/>
          <w:szCs w:val="24"/>
        </w:rPr>
        <w:t>restriction fragment length polymorphism (RFLP)</w:t>
      </w:r>
    </w:p>
    <w:p w:rsidR="001611C2" w:rsidRPr="00390B1D" w:rsidRDefault="001611C2" w:rsidP="000A17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Basic Local Alignment Search Tool (</w:t>
      </w:r>
      <w:r w:rsidRPr="00242B0C">
        <w:rPr>
          <w:rFonts w:ascii="Times New Roman" w:hAnsi="Times New Roman"/>
          <w:sz w:val="24"/>
          <w:szCs w:val="24"/>
        </w:rPr>
        <w:t>BLAST</w:t>
      </w:r>
      <w:r>
        <w:rPr>
          <w:rFonts w:ascii="Times New Roman" w:hAnsi="Times New Roman"/>
          <w:sz w:val="24"/>
          <w:szCs w:val="24"/>
        </w:rPr>
        <w:t>)</w:t>
      </w:r>
    </w:p>
    <w:p w:rsidR="001611C2" w:rsidRDefault="001611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611C2" w:rsidRDefault="001611C2" w:rsidP="005E603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</w:t>
      </w:r>
    </w:p>
    <w:p w:rsidR="001611C2" w:rsidRPr="00D178DF" w:rsidRDefault="001611C2" w:rsidP="0042378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178DF">
        <w:rPr>
          <w:rFonts w:ascii="Times New Roman" w:hAnsi="Times New Roman"/>
          <w:sz w:val="24"/>
          <w:szCs w:val="24"/>
        </w:rPr>
        <w:t xml:space="preserve">Sintiprungrat K, Singhto N, Sinchaikul S, Chen ST, Thongboonkerd </w:t>
      </w:r>
      <w:r>
        <w:rPr>
          <w:rFonts w:ascii="Times New Roman" w:hAnsi="Times New Roman"/>
          <w:sz w:val="24"/>
          <w:szCs w:val="24"/>
        </w:rPr>
        <w:t xml:space="preserve">(V.) </w:t>
      </w:r>
      <w:r w:rsidRPr="00D178DF">
        <w:rPr>
          <w:rFonts w:ascii="Times New Roman" w:hAnsi="Times New Roman"/>
          <w:sz w:val="24"/>
          <w:szCs w:val="24"/>
        </w:rPr>
        <w:t xml:space="preserve">Alterations in cellular proteome and secretome upon differentiation from monocyte to macrophage by treatment with phorbol myristate acetate: Insights into biological processes. J Proteomics </w:t>
      </w:r>
      <w:r>
        <w:rPr>
          <w:rFonts w:ascii="Times New Roman" w:hAnsi="Times New Roman"/>
          <w:sz w:val="24"/>
          <w:szCs w:val="24"/>
        </w:rPr>
        <w:t>2010;</w:t>
      </w:r>
      <w:r w:rsidRPr="00D178DF">
        <w:rPr>
          <w:rFonts w:ascii="Times New Roman" w:hAnsi="Times New Roman"/>
          <w:sz w:val="24"/>
          <w:szCs w:val="24"/>
        </w:rPr>
        <w:t>73(3):602-18.</w:t>
      </w:r>
    </w:p>
    <w:p w:rsidR="001611C2" w:rsidRPr="00D178DF" w:rsidRDefault="001611C2" w:rsidP="0042378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178DF">
        <w:rPr>
          <w:rFonts w:ascii="Times New Roman" w:hAnsi="Times New Roman"/>
          <w:sz w:val="24"/>
          <w:szCs w:val="24"/>
        </w:rPr>
        <w:t>Hsiao CHC, Ueno N, Shao JQ, Schroeder KR, Moore KC, Donelson JE, Wilson ME.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 xml:space="preserve">The effects of macrophage source on the mechanism of phagocytosis and intracellular survival of </w:t>
      </w:r>
      <w:r w:rsidRPr="003A3DC2">
        <w:rPr>
          <w:rFonts w:ascii="Times New Roman" w:hAnsi="Times New Roman"/>
          <w:i/>
          <w:sz w:val="24"/>
          <w:szCs w:val="24"/>
        </w:rPr>
        <w:t>Leishmania</w:t>
      </w:r>
      <w:r w:rsidRPr="00D178DF">
        <w:rPr>
          <w:rFonts w:ascii="Times New Roman" w:hAnsi="Times New Roman"/>
          <w:sz w:val="24"/>
          <w:szCs w:val="24"/>
        </w:rPr>
        <w:t xml:space="preserve">. Microbes Infect </w:t>
      </w:r>
      <w:r>
        <w:rPr>
          <w:rFonts w:ascii="Times New Roman" w:hAnsi="Times New Roman"/>
          <w:sz w:val="24"/>
          <w:szCs w:val="24"/>
        </w:rPr>
        <w:t xml:space="preserve">2011; </w:t>
      </w:r>
      <w:r w:rsidRPr="00D178DF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>(12-13):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>1033-44.</w:t>
      </w:r>
    </w:p>
    <w:p w:rsidR="001611C2" w:rsidRDefault="001611C2" w:rsidP="0042378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178DF">
        <w:rPr>
          <w:rFonts w:ascii="Times New Roman" w:hAnsi="Times New Roman"/>
          <w:sz w:val="24"/>
          <w:szCs w:val="24"/>
        </w:rPr>
        <w:t>Verhoeckx KC, Bijlsma S, de Groene EM, Witkamp RF, van der Greef J, Rodenburg RJ.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 xml:space="preserve">A combination of proteomimcs, principal component analysis and transcriptomics is a powerful tool for the identification of biomarkers for macrophage maturation in the U937 cell line. Proteomics </w:t>
      </w:r>
      <w:r>
        <w:rPr>
          <w:rFonts w:ascii="Times New Roman" w:hAnsi="Times New Roman"/>
          <w:sz w:val="24"/>
          <w:szCs w:val="24"/>
        </w:rPr>
        <w:t xml:space="preserve">2004; </w:t>
      </w:r>
      <w:r w:rsidRPr="00D178DF">
        <w:rPr>
          <w:rFonts w:ascii="Times New Roman" w:hAnsi="Times New Roman"/>
          <w:sz w:val="24"/>
          <w:szCs w:val="24"/>
        </w:rPr>
        <w:t>4(4):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>1014-28.</w:t>
      </w:r>
    </w:p>
    <w:p w:rsidR="001611C2" w:rsidRPr="00D178DF" w:rsidRDefault="001611C2" w:rsidP="0042378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9F1A06">
        <w:rPr>
          <w:rFonts w:ascii="Times New Roman" w:hAnsi="Times New Roman"/>
          <w:sz w:val="24"/>
          <w:szCs w:val="24"/>
          <w:lang w:val="pt-BR"/>
        </w:rPr>
        <w:t xml:space="preserve">Kariyawasam R, Grewal J, Lau R, Purssell A, Valencia BM, Llanos-Cuentas A, Boggild AK. </w:t>
      </w:r>
      <w:r>
        <w:rPr>
          <w:rFonts w:ascii="Times New Roman" w:hAnsi="Times New Roman"/>
          <w:sz w:val="24"/>
          <w:szCs w:val="24"/>
        </w:rPr>
        <w:t>Influence of Leishmania RNA Virus 1 on Proinflammatory Biomarker Expression in a Human Macrophage Model of American Tegumentary Leishmaniasis. J Infect Dis 2017; 216 (7): 877-866.</w:t>
      </w:r>
    </w:p>
    <w:p w:rsidR="001611C2" w:rsidRPr="00D178DF" w:rsidRDefault="001611C2" w:rsidP="0042378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178DF">
        <w:rPr>
          <w:rFonts w:ascii="Times New Roman" w:hAnsi="Times New Roman"/>
          <w:sz w:val="24"/>
          <w:szCs w:val="24"/>
        </w:rPr>
        <w:t xml:space="preserve">Wortmann G, Sweeney C, Houng HS, Aronson N, Stiteler J, Jackson J, Ockenhouse C.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bCs/>
          <w:sz w:val="24"/>
          <w:szCs w:val="24"/>
        </w:rPr>
        <w:t xml:space="preserve">Rapid diagnosis of leishmaniasis by fluorogenic polymerase chain reaction. </w:t>
      </w:r>
      <w:r w:rsidRPr="00D178DF">
        <w:rPr>
          <w:rFonts w:ascii="Times New Roman" w:hAnsi="Times New Roman"/>
          <w:iCs/>
          <w:sz w:val="24"/>
          <w:szCs w:val="24"/>
        </w:rPr>
        <w:t xml:space="preserve">Am J Trop Med Hyg </w:t>
      </w:r>
      <w:r>
        <w:rPr>
          <w:rFonts w:ascii="Times New Roman" w:hAnsi="Times New Roman"/>
          <w:sz w:val="24"/>
          <w:szCs w:val="24"/>
        </w:rPr>
        <w:t>2001;</w:t>
      </w:r>
      <w:r w:rsidRPr="00D178DF">
        <w:rPr>
          <w:rFonts w:ascii="Times New Roman" w:hAnsi="Times New Roman"/>
          <w:sz w:val="24"/>
          <w:szCs w:val="24"/>
        </w:rPr>
        <w:t>65(5):583–7.</w:t>
      </w:r>
    </w:p>
    <w:p w:rsidR="001611C2" w:rsidRPr="00D178DF" w:rsidRDefault="001611C2" w:rsidP="0042378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178DF">
        <w:rPr>
          <w:rFonts w:ascii="Times New Roman" w:hAnsi="Times New Roman"/>
          <w:sz w:val="24"/>
          <w:szCs w:val="24"/>
        </w:rPr>
        <w:t>Schonian G, Nasereddin A, Dinse N, Schweynoch C, Schallig HD, Presber W, Jaffe CL.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bCs/>
          <w:sz w:val="24"/>
          <w:szCs w:val="24"/>
        </w:rPr>
        <w:t xml:space="preserve">PCR diagnosis and characterization of </w:t>
      </w:r>
      <w:r w:rsidRPr="003A3DC2">
        <w:rPr>
          <w:rFonts w:ascii="Times New Roman" w:hAnsi="Times New Roman"/>
          <w:bCs/>
          <w:i/>
          <w:sz w:val="24"/>
          <w:szCs w:val="24"/>
        </w:rPr>
        <w:t>Leishmania</w:t>
      </w:r>
      <w:r w:rsidRPr="00D178DF">
        <w:rPr>
          <w:rFonts w:ascii="Times New Roman" w:hAnsi="Times New Roman"/>
          <w:bCs/>
          <w:sz w:val="24"/>
          <w:szCs w:val="24"/>
        </w:rPr>
        <w:t xml:space="preserve"> in local and imported clinical samples. </w:t>
      </w:r>
      <w:r w:rsidRPr="00D178DF">
        <w:rPr>
          <w:rFonts w:ascii="Times New Roman" w:hAnsi="Times New Roman"/>
          <w:sz w:val="24"/>
          <w:szCs w:val="24"/>
        </w:rPr>
        <w:t xml:space="preserve">Diagn Microbiol Infect Dis </w:t>
      </w:r>
      <w:r>
        <w:rPr>
          <w:rFonts w:ascii="Times New Roman" w:hAnsi="Times New Roman"/>
          <w:sz w:val="24"/>
          <w:szCs w:val="24"/>
        </w:rPr>
        <w:t xml:space="preserve">2003; </w:t>
      </w:r>
      <w:r w:rsidRPr="00D178DF">
        <w:rPr>
          <w:rFonts w:ascii="Times New Roman" w:hAnsi="Times New Roman"/>
          <w:sz w:val="24"/>
          <w:szCs w:val="24"/>
        </w:rPr>
        <w:t>47: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>349-58.</w:t>
      </w:r>
    </w:p>
    <w:p w:rsidR="001611C2" w:rsidRDefault="001611C2" w:rsidP="009F1A06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664B57">
        <w:rPr>
          <w:rFonts w:ascii="Times New Roman" w:hAnsi="Times New Roman"/>
          <w:sz w:val="24"/>
          <w:szCs w:val="24"/>
          <w:lang w:val="pt-BR"/>
        </w:rPr>
        <w:lastRenderedPageBreak/>
        <w:t xml:space="preserve">de Almeida ME, </w:t>
      </w:r>
      <w:hyperlink r:id="rId8" w:history="1">
        <w:r w:rsidRPr="009F1A0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Steurer FJ</w:t>
        </w:r>
      </w:hyperlink>
      <w:r w:rsidRPr="009F1A06">
        <w:rPr>
          <w:rFonts w:ascii="Times New Roman" w:hAnsi="Times New Roman"/>
          <w:sz w:val="24"/>
          <w:szCs w:val="24"/>
          <w:lang w:val="pt-BR"/>
        </w:rPr>
        <w:t xml:space="preserve">, </w:t>
      </w:r>
      <w:hyperlink r:id="rId9" w:history="1">
        <w:r w:rsidRPr="009F1A0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Koru O</w:t>
        </w:r>
      </w:hyperlink>
      <w:r w:rsidRPr="009F1A06">
        <w:rPr>
          <w:rFonts w:ascii="Times New Roman" w:hAnsi="Times New Roman"/>
          <w:sz w:val="24"/>
          <w:szCs w:val="24"/>
          <w:lang w:val="pt-BR"/>
        </w:rPr>
        <w:t xml:space="preserve">, </w:t>
      </w:r>
      <w:hyperlink r:id="rId10" w:history="1">
        <w:r w:rsidRPr="009F1A0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Herwaldt BL</w:t>
        </w:r>
      </w:hyperlink>
      <w:r w:rsidRPr="009F1A06">
        <w:rPr>
          <w:rFonts w:ascii="Times New Roman" w:hAnsi="Times New Roman"/>
          <w:sz w:val="24"/>
          <w:szCs w:val="24"/>
          <w:lang w:val="pt-BR"/>
        </w:rPr>
        <w:t xml:space="preserve">, </w:t>
      </w:r>
      <w:hyperlink r:id="rId11" w:history="1">
        <w:r w:rsidRPr="009F1A0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Pieniazek NJ</w:t>
        </w:r>
      </w:hyperlink>
      <w:r w:rsidRPr="009F1A06">
        <w:rPr>
          <w:rFonts w:ascii="Times New Roman" w:hAnsi="Times New Roman"/>
          <w:sz w:val="24"/>
          <w:szCs w:val="24"/>
          <w:lang w:val="pt-BR"/>
        </w:rPr>
        <w:t xml:space="preserve">, </w:t>
      </w:r>
      <w:hyperlink r:id="rId12" w:history="1">
        <w:r w:rsidRPr="009F1A0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da Silva AJ</w:t>
        </w:r>
      </w:hyperlink>
      <w:r w:rsidRPr="00664B57"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D178DF">
        <w:rPr>
          <w:rFonts w:ascii="Times New Roman" w:hAnsi="Times New Roman"/>
          <w:bCs/>
          <w:sz w:val="24"/>
          <w:szCs w:val="24"/>
        </w:rPr>
        <w:t xml:space="preserve">Identification of </w:t>
      </w:r>
      <w:r w:rsidRPr="003A3DC2">
        <w:rPr>
          <w:rFonts w:ascii="Times New Roman" w:hAnsi="Times New Roman"/>
          <w:bCs/>
          <w:i/>
          <w:sz w:val="24"/>
          <w:szCs w:val="24"/>
        </w:rPr>
        <w:t>Leishmania</w:t>
      </w:r>
      <w:r w:rsidRPr="00D178DF">
        <w:rPr>
          <w:rFonts w:ascii="Times New Roman" w:hAnsi="Times New Roman"/>
          <w:bCs/>
          <w:sz w:val="24"/>
          <w:szCs w:val="24"/>
        </w:rPr>
        <w:t xml:space="preserve"> spp. by molecular amplification and DNA sequencing analysis of a fragment of rRNA internal transcribed spacer 2. </w:t>
      </w:r>
      <w:r w:rsidRPr="00D178DF">
        <w:rPr>
          <w:rFonts w:ascii="Times New Roman" w:hAnsi="Times New Roman"/>
          <w:sz w:val="24"/>
          <w:szCs w:val="24"/>
        </w:rPr>
        <w:t>J Clin Micro</w:t>
      </w:r>
      <w:r>
        <w:rPr>
          <w:rFonts w:ascii="Times New Roman" w:hAnsi="Times New Roman"/>
          <w:sz w:val="24"/>
          <w:szCs w:val="24"/>
        </w:rPr>
        <w:t>biol</w:t>
      </w:r>
      <w:r w:rsidRPr="00D178DF">
        <w:rPr>
          <w:rFonts w:ascii="Times New Roman" w:hAnsi="Times New Roman"/>
          <w:sz w:val="24"/>
          <w:szCs w:val="24"/>
        </w:rPr>
        <w:t xml:space="preserve"> </w:t>
      </w:r>
      <w:r w:rsidRPr="005A7460">
        <w:rPr>
          <w:rFonts w:ascii="Times New Roman" w:hAnsi="Times New Roman"/>
          <w:sz w:val="24"/>
          <w:szCs w:val="24"/>
          <w:lang w:val="pt-BR"/>
        </w:rPr>
        <w:t>2011</w:t>
      </w:r>
      <w:r>
        <w:rPr>
          <w:rFonts w:ascii="Times New Roman" w:hAnsi="Times New Roman"/>
          <w:sz w:val="24"/>
          <w:szCs w:val="24"/>
          <w:lang w:val="pt-BR"/>
        </w:rPr>
        <w:t xml:space="preserve">; </w:t>
      </w:r>
      <w:r w:rsidRPr="00D178DF">
        <w:rPr>
          <w:rFonts w:ascii="Times New Roman" w:hAnsi="Times New Roman"/>
          <w:sz w:val="24"/>
          <w:szCs w:val="24"/>
        </w:rPr>
        <w:t>49(9):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8DF">
        <w:rPr>
          <w:rFonts w:ascii="Times New Roman" w:hAnsi="Times New Roman"/>
          <w:sz w:val="24"/>
          <w:szCs w:val="24"/>
        </w:rPr>
        <w:t>3143-9.</w:t>
      </w:r>
    </w:p>
    <w:sectPr w:rsidR="001611C2" w:rsidSect="00C039EF">
      <w:footerReference w:type="even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AD1" w:rsidRDefault="00CF6AD1">
      <w:r>
        <w:separator/>
      </w:r>
    </w:p>
  </w:endnote>
  <w:endnote w:type="continuationSeparator" w:id="0">
    <w:p w:rsidR="00CF6AD1" w:rsidRDefault="00CF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C2" w:rsidRDefault="001611C2" w:rsidP="007878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11C2" w:rsidRDefault="001611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C2" w:rsidRDefault="001611C2" w:rsidP="007878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6591">
      <w:rPr>
        <w:rStyle w:val="PageNumber"/>
        <w:noProof/>
      </w:rPr>
      <w:t>1</w:t>
    </w:r>
    <w:r>
      <w:rPr>
        <w:rStyle w:val="PageNumber"/>
      </w:rPr>
      <w:fldChar w:fldCharType="end"/>
    </w:r>
  </w:p>
  <w:p w:rsidR="001611C2" w:rsidRDefault="001611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AD1" w:rsidRDefault="00CF6AD1">
      <w:r>
        <w:separator/>
      </w:r>
    </w:p>
  </w:footnote>
  <w:footnote w:type="continuationSeparator" w:id="0">
    <w:p w:rsidR="00CF6AD1" w:rsidRDefault="00CF6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17895"/>
    <w:multiLevelType w:val="hybridMultilevel"/>
    <w:tmpl w:val="9462187E"/>
    <w:lvl w:ilvl="0" w:tplc="10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0"/>
  </w:docVars>
  <w:rsids>
    <w:rsidRoot w:val="00242B0C"/>
    <w:rsid w:val="00072CC3"/>
    <w:rsid w:val="000A1776"/>
    <w:rsid w:val="001611C2"/>
    <w:rsid w:val="00176591"/>
    <w:rsid w:val="00242B0C"/>
    <w:rsid w:val="00244C5C"/>
    <w:rsid w:val="00257FCA"/>
    <w:rsid w:val="002E4BC1"/>
    <w:rsid w:val="00390B1D"/>
    <w:rsid w:val="003A3DC2"/>
    <w:rsid w:val="003D1E73"/>
    <w:rsid w:val="00423782"/>
    <w:rsid w:val="004A2FFD"/>
    <w:rsid w:val="005A7460"/>
    <w:rsid w:val="005B3343"/>
    <w:rsid w:val="005E6036"/>
    <w:rsid w:val="00664B57"/>
    <w:rsid w:val="0070684F"/>
    <w:rsid w:val="0078783D"/>
    <w:rsid w:val="00811E08"/>
    <w:rsid w:val="008219C0"/>
    <w:rsid w:val="00835FCE"/>
    <w:rsid w:val="00863D20"/>
    <w:rsid w:val="00897456"/>
    <w:rsid w:val="008A51FF"/>
    <w:rsid w:val="009147CD"/>
    <w:rsid w:val="0099181D"/>
    <w:rsid w:val="009B7330"/>
    <w:rsid w:val="009F1A06"/>
    <w:rsid w:val="00A02185"/>
    <w:rsid w:val="00A43D65"/>
    <w:rsid w:val="00AF795F"/>
    <w:rsid w:val="00B67135"/>
    <w:rsid w:val="00BA7947"/>
    <w:rsid w:val="00C039EF"/>
    <w:rsid w:val="00C80D3D"/>
    <w:rsid w:val="00CF6AD1"/>
    <w:rsid w:val="00D178DF"/>
    <w:rsid w:val="00D5732F"/>
    <w:rsid w:val="00E212A3"/>
    <w:rsid w:val="00E416A0"/>
    <w:rsid w:val="00F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EF"/>
    <w:pPr>
      <w:spacing w:after="160"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3782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rsid w:val="00423782"/>
    <w:rPr>
      <w:rFonts w:cs="Times New Roman"/>
      <w:color w:val="0563C1"/>
      <w:u w:val="single"/>
    </w:rPr>
  </w:style>
  <w:style w:type="paragraph" w:styleId="Footer">
    <w:name w:val="footer"/>
    <w:basedOn w:val="Normal"/>
    <w:link w:val="FooterChar"/>
    <w:uiPriority w:val="99"/>
    <w:rsid w:val="009F1A0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BA7947"/>
    <w:rPr>
      <w:rFonts w:cs="Times New Roman"/>
      <w:lang w:eastAsia="en-US"/>
    </w:rPr>
  </w:style>
  <w:style w:type="character" w:styleId="PageNumber">
    <w:name w:val="page number"/>
    <w:uiPriority w:val="99"/>
    <w:rsid w:val="009F1A0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A1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0A177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Steurer%20FJ%5BAuthor%5D&amp;cauthor=true&amp;cauthor_uid=21752983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?term=da%20Silva%20AJ%5BAuthor%5D&amp;cauthor=true&amp;cauthor_uid=2175298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?term=Pieniazek%20NJ%5BAuthor%5D&amp;cauthor=true&amp;cauthor_uid=2175298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cbi.nlm.nih.gov/pubmed?term=Herwaldt%20BL%5BAuthor%5D&amp;cauthor=true&amp;cauthor_uid=217529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?term=Koru%20O%5BAuthor%5D&amp;cauthor=true&amp;cauthor_uid=2175298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1173</Words>
  <Characters>6654</Characters>
  <Application>Microsoft Office Word</Application>
  <DocSecurity>0</DocSecurity>
  <Lines>110</Lines>
  <Paragraphs>31</Paragraphs>
  <ScaleCrop>false</ScaleCrop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Methods</dc:title>
  <dc:subject/>
  <dc:creator>Ruwandi Kariyawasam</dc:creator>
  <cp:keywords/>
  <dc:description/>
  <cp:lastModifiedBy>MLAPINIG</cp:lastModifiedBy>
  <cp:revision>4</cp:revision>
  <dcterms:created xsi:type="dcterms:W3CDTF">2019-02-22T17:41:00Z</dcterms:created>
  <dcterms:modified xsi:type="dcterms:W3CDTF">2019-03-28T15:31:00Z</dcterms:modified>
</cp:coreProperties>
</file>