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34190D25" w:rsidR="002D3DC1" w:rsidRPr="008F2F94" w:rsidRDefault="008F2F94" w:rsidP="008C08D0">
      <w:pPr>
        <w:spacing w:after="0" w:line="480" w:lineRule="auto"/>
        <w:rPr>
          <w:b/>
          <w:color w:val="000000"/>
          <w:sz w:val="28"/>
          <w:szCs w:val="28"/>
        </w:rPr>
      </w:pPr>
      <w:r>
        <w:rPr>
          <w:b/>
          <w:color w:val="000000"/>
          <w:sz w:val="28"/>
          <w:szCs w:val="28"/>
        </w:rPr>
        <w:t xml:space="preserve">Additional File 2: </w:t>
      </w:r>
      <w:r w:rsidRPr="008F2F94">
        <w:rPr>
          <w:b/>
          <w:color w:val="000000"/>
          <w:sz w:val="28"/>
          <w:szCs w:val="28"/>
        </w:rPr>
        <w:t xml:space="preserve">Supplemental </w:t>
      </w:r>
      <w:r w:rsidR="00062FCF" w:rsidRPr="008F2F94">
        <w:rPr>
          <w:b/>
          <w:color w:val="000000"/>
          <w:sz w:val="28"/>
          <w:szCs w:val="28"/>
        </w:rPr>
        <w:t>Methods</w:t>
      </w:r>
    </w:p>
    <w:p w14:paraId="00000002" w14:textId="77777777" w:rsidR="002D3DC1" w:rsidRDefault="002D3DC1" w:rsidP="008C08D0">
      <w:pPr>
        <w:spacing w:after="0" w:line="480" w:lineRule="auto"/>
        <w:rPr>
          <w:b/>
          <w:color w:val="000000"/>
        </w:rPr>
      </w:pPr>
    </w:p>
    <w:p w14:paraId="00000003" w14:textId="77777777" w:rsidR="002D3DC1" w:rsidRDefault="00062FCF" w:rsidP="008C08D0">
      <w:pPr>
        <w:spacing w:after="0" w:line="480" w:lineRule="auto"/>
        <w:rPr>
          <w:b/>
        </w:rPr>
      </w:pPr>
      <w:r>
        <w:rPr>
          <w:b/>
          <w:color w:val="000000"/>
        </w:rPr>
        <w:t>Sample Collection</w:t>
      </w:r>
    </w:p>
    <w:p w14:paraId="00000004" w14:textId="77777777" w:rsidR="002D3DC1" w:rsidRDefault="002D3DC1" w:rsidP="008C08D0">
      <w:pPr>
        <w:spacing w:after="0" w:line="480" w:lineRule="auto"/>
        <w:rPr>
          <w:b/>
        </w:rPr>
      </w:pPr>
    </w:p>
    <w:p w14:paraId="00000005" w14:textId="77777777" w:rsidR="002D3DC1" w:rsidRDefault="00062FCF" w:rsidP="008C08D0">
      <w:pPr>
        <w:spacing w:after="0" w:line="480" w:lineRule="auto"/>
        <w:rPr>
          <w:b/>
          <w:i/>
          <w:color w:val="000000"/>
        </w:rPr>
      </w:pPr>
      <w:r>
        <w:rPr>
          <w:b/>
          <w:i/>
        </w:rPr>
        <w:t>In Field Sample Collection</w:t>
      </w:r>
    </w:p>
    <w:p w14:paraId="00000006" w14:textId="77777777" w:rsidR="002D3DC1" w:rsidRDefault="002D3DC1" w:rsidP="008C08D0">
      <w:pPr>
        <w:spacing w:after="0" w:line="480" w:lineRule="auto"/>
        <w:rPr>
          <w:b/>
          <w:color w:val="000000"/>
        </w:rPr>
      </w:pPr>
    </w:p>
    <w:p w14:paraId="00000008" w14:textId="721082C2" w:rsidR="002D3DC1" w:rsidRDefault="00062FCF" w:rsidP="008C08D0">
      <w:pPr>
        <w:spacing w:line="480" w:lineRule="auto"/>
      </w:pPr>
      <w:r>
        <w:t>Sampling to collect cells and particulate matter in source water was conducted with a tandem pair of 12 cm x 3.5 cm-diameter point-of-use 0.1 micron hollow fiber membrane filters (Sawyer Products, Inc.). The tandem unit was assembled by attaching two filters together with tubing; the first filter in the tandem pair was labeled “Filter A” and the second filter in the tandem pair was labeled “Filter B”. Field kits containing pre-labeled and pre-assembled tandem filter units, detailed instructions, and accessories to perform systematic sampling were assembled at Hope Colleg</w:t>
      </w:r>
      <w:r w:rsidR="008440BA">
        <w:t>e</w:t>
      </w:r>
      <w:r>
        <w:t xml:space="preserve"> and delivered to the field collection sites in the Dominican Republic (Supplemental Figure 1). Clean 18.9 L (5 gallon) plastic buckets were fitted with filters and tubing. Buckets were rinsed with source water then filled with 16 L of source water which was allowed to gravity drain through the filter. After a bucket was drained, the tandem filter unit was detached and 4, 50 mL volumes of air were pushed through the sample with a syringe to flush out residual water. Each tandem filter unit was then capped at both ends, placed in a zip-sealed plastic bag and shipped back to Hope College. Each field kit contained materials for the collection of three biological replicates at each source water location. An image of a tandem filter setup in the field is shown in Supplemental Figure </w:t>
      </w:r>
      <w:r w:rsidR="005B2BCA">
        <w:t>1</w:t>
      </w:r>
      <w:r>
        <w:t>.</w:t>
      </w:r>
    </w:p>
    <w:p w14:paraId="1815C974" w14:textId="046B09A0" w:rsidR="005B2BCA" w:rsidRDefault="005B2BCA" w:rsidP="008C08D0">
      <w:pPr>
        <w:spacing w:line="480" w:lineRule="auto"/>
      </w:pPr>
      <w:r>
        <w:rPr>
          <w:noProof/>
          <w:lang w:val="en-PH" w:eastAsia="en-PH"/>
        </w:rPr>
        <w:lastRenderedPageBreak/>
        <w:drawing>
          <wp:inline distT="0" distB="0" distL="0" distR="0" wp14:anchorId="6CA2B828" wp14:editId="132B96E2">
            <wp:extent cx="1954099" cy="2983832"/>
            <wp:effectExtent l="0" t="0" r="1905" b="1270"/>
            <wp:docPr id="1" name="Picture 1" descr="A picture containing indoor, photo, sitting,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photo, sitting, differen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2366" cy="3011726"/>
                    </a:xfrm>
                    <a:prstGeom prst="rect">
                      <a:avLst/>
                    </a:prstGeom>
                  </pic:spPr>
                </pic:pic>
              </a:graphicData>
            </a:graphic>
          </wp:inline>
        </w:drawing>
      </w:r>
      <w:r>
        <w:rPr>
          <w:noProof/>
          <w:lang w:val="en-PH" w:eastAsia="en-PH"/>
        </w:rPr>
        <w:drawing>
          <wp:inline distT="0" distB="0" distL="0" distR="0" wp14:anchorId="0E4CB85B" wp14:editId="744BE1FF">
            <wp:extent cx="2209800" cy="2946400"/>
            <wp:effectExtent l="0" t="0" r="0" b="0"/>
            <wp:docPr id="2" name="Picture 2" descr="A picture containing outdoor, sitting, table,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outdoor, sitting, table, stand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43861" cy="2991815"/>
                    </a:xfrm>
                    <a:prstGeom prst="rect">
                      <a:avLst/>
                    </a:prstGeom>
                  </pic:spPr>
                </pic:pic>
              </a:graphicData>
            </a:graphic>
          </wp:inline>
        </w:drawing>
      </w:r>
    </w:p>
    <w:p w14:paraId="3133C4FA" w14:textId="310E15E7" w:rsidR="005B2BCA" w:rsidRPr="005B2BCA" w:rsidRDefault="005B2BCA" w:rsidP="008C08D0">
      <w:pPr>
        <w:spacing w:line="480" w:lineRule="auto"/>
        <w:rPr>
          <w:sz w:val="20"/>
          <w:szCs w:val="20"/>
        </w:rPr>
      </w:pPr>
      <w:r w:rsidRPr="005B2BCA">
        <w:rPr>
          <w:sz w:val="20"/>
          <w:szCs w:val="20"/>
        </w:rPr>
        <w:t>Figure S1. Kit components and field setup of tandem filter sampling of drinking water sources.</w:t>
      </w:r>
    </w:p>
    <w:p w14:paraId="1E60A948" w14:textId="77777777" w:rsidR="005B2BCA" w:rsidRDefault="005B2BCA" w:rsidP="008C08D0">
      <w:pPr>
        <w:spacing w:after="0" w:line="480" w:lineRule="auto"/>
        <w:rPr>
          <w:b/>
        </w:rPr>
      </w:pPr>
    </w:p>
    <w:p w14:paraId="0000000B" w14:textId="195CF646" w:rsidR="002D3DC1" w:rsidRDefault="00062FCF" w:rsidP="008C08D0">
      <w:pPr>
        <w:spacing w:after="0" w:line="480" w:lineRule="auto"/>
        <w:rPr>
          <w:b/>
        </w:rPr>
      </w:pPr>
      <w:r>
        <w:rPr>
          <w:b/>
        </w:rPr>
        <w:t>Sample Processing</w:t>
      </w:r>
    </w:p>
    <w:p w14:paraId="0000000C" w14:textId="77777777" w:rsidR="002D3DC1" w:rsidRDefault="002D3DC1" w:rsidP="008C08D0">
      <w:pPr>
        <w:spacing w:after="0" w:line="480" w:lineRule="auto"/>
      </w:pPr>
    </w:p>
    <w:p w14:paraId="0000000D" w14:textId="77777777" w:rsidR="002D3DC1" w:rsidRDefault="00062FCF" w:rsidP="008C08D0">
      <w:pPr>
        <w:spacing w:after="0" w:line="480" w:lineRule="auto"/>
        <w:rPr>
          <w:b/>
          <w:i/>
        </w:rPr>
      </w:pPr>
      <w:r>
        <w:rPr>
          <w:b/>
          <w:i/>
        </w:rPr>
        <w:t>Collection of Particulates and Bacteria from Filters</w:t>
      </w:r>
    </w:p>
    <w:p w14:paraId="0000000E" w14:textId="77777777" w:rsidR="002D3DC1" w:rsidRDefault="002D3DC1" w:rsidP="008C08D0">
      <w:pPr>
        <w:spacing w:after="0" w:line="480" w:lineRule="auto"/>
        <w:rPr>
          <w:b/>
        </w:rPr>
      </w:pPr>
    </w:p>
    <w:p w14:paraId="0000000F" w14:textId="74D353DC" w:rsidR="002D3DC1" w:rsidRDefault="00062FCF" w:rsidP="008C08D0">
      <w:pPr>
        <w:spacing w:line="480" w:lineRule="auto"/>
      </w:pPr>
      <w:r>
        <w:t xml:space="preserve">An apparatus (Supplemental Figure </w:t>
      </w:r>
      <w:r w:rsidR="005B2BCA">
        <w:t>2</w:t>
      </w:r>
      <w:r>
        <w:t>) was designed and constructed to backflush filters returned from the field in order to collect the source water particulates and bacterial cells captured on the filter. The apparatus was sterilized using a 70% ethanol solution each day prior to use and at the filter attachment point prior to attaching each filter. The air intake was fitted with a HEPA filter to prevent airborne contamination.</w:t>
      </w:r>
    </w:p>
    <w:p w14:paraId="00000011" w14:textId="25F8BC77" w:rsidR="002D3DC1" w:rsidRPr="005B2BCA" w:rsidRDefault="00062FCF" w:rsidP="008C08D0">
      <w:pPr>
        <w:spacing w:line="480" w:lineRule="auto"/>
      </w:pPr>
      <w:r>
        <w:t>A</w:t>
      </w:r>
      <w:r>
        <w:rPr>
          <w:color w:val="000000"/>
        </w:rPr>
        <w:t xml:space="preserve"> filter was attached to the apparatus in a reverse orientation to filtering in the field.</w:t>
      </w:r>
      <w:r>
        <w:t xml:space="preserve"> </w:t>
      </w:r>
      <w:r>
        <w:rPr>
          <w:color w:val="000000"/>
        </w:rPr>
        <w:t xml:space="preserve">A slug of autoclaved 18MΩ water was flushed through the filter with 103 kPa air, and the </w:t>
      </w:r>
      <w:r>
        <w:t xml:space="preserve">sample </w:t>
      </w:r>
      <w:r>
        <w:rPr>
          <w:color w:val="000000"/>
        </w:rPr>
        <w:t xml:space="preserve">containing removed particulates and bacteria was collected </w:t>
      </w:r>
      <w:r>
        <w:t xml:space="preserve">into a sterile 250 mL centrifuge </w:t>
      </w:r>
      <w:r>
        <w:lastRenderedPageBreak/>
        <w:t>bottle</w:t>
      </w:r>
      <w:r>
        <w:rPr>
          <w:color w:val="000000"/>
        </w:rPr>
        <w:t>. Numerous trials with known amounts of material loaded onto filters determined that using two sequential slugs of 125 mL of water, at 103kPa air pressure, provided the highest systematic yield of filtered material (95 ± 5%).</w:t>
      </w:r>
      <w:r>
        <w:t xml:space="preserve"> </w:t>
      </w:r>
    </w:p>
    <w:p w14:paraId="00000012" w14:textId="77777777" w:rsidR="002D3DC1" w:rsidRDefault="00062FCF" w:rsidP="008C08D0">
      <w:pPr>
        <w:spacing w:after="0" w:line="480" w:lineRule="auto"/>
      </w:pPr>
      <w:r>
        <w:t xml:space="preserve">Backflushed samples were centrifuged at 10,000 x G for 20 minutes to pellet cells and particulates. The supernatant was removed via vacuum aspiration and the pellet was resuspended in 30 mL of 18 MΩ water. A 200 </w:t>
      </w:r>
      <w:proofErr w:type="spellStart"/>
      <w:r>
        <w:t>μL</w:t>
      </w:r>
      <w:proofErr w:type="spellEnd"/>
      <w:r>
        <w:t xml:space="preserve"> aliquot of the homogenized pellet resuspension was pipetted directly into </w:t>
      </w:r>
      <w:proofErr w:type="spellStart"/>
      <w:r>
        <w:t>Qiagen</w:t>
      </w:r>
      <w:proofErr w:type="spellEnd"/>
      <w:r>
        <w:t xml:space="preserve"> </w:t>
      </w:r>
      <w:proofErr w:type="spellStart"/>
      <w:r>
        <w:t>DNeasy</w:t>
      </w:r>
      <w:proofErr w:type="spellEnd"/>
      <w:r>
        <w:t xml:space="preserve"> </w:t>
      </w:r>
      <w:proofErr w:type="spellStart"/>
      <w:r>
        <w:t>PowerViral</w:t>
      </w:r>
      <w:proofErr w:type="spellEnd"/>
      <w:r>
        <w:t xml:space="preserve"> lysis tubes and stored at -80C until DNA isolation was performed. The remaining pellet resuspension was used for particulate analysis.</w:t>
      </w:r>
    </w:p>
    <w:p w14:paraId="00000013" w14:textId="77777777" w:rsidR="002D3DC1" w:rsidRDefault="002D3DC1" w:rsidP="008C08D0">
      <w:pPr>
        <w:spacing w:after="0" w:line="480" w:lineRule="auto"/>
      </w:pPr>
    </w:p>
    <w:p w14:paraId="00000014" w14:textId="77777777" w:rsidR="002D3DC1" w:rsidRDefault="00062FCF" w:rsidP="008C08D0">
      <w:pPr>
        <w:spacing w:after="0" w:line="480" w:lineRule="auto"/>
      </w:pPr>
      <w:r>
        <w:t xml:space="preserve">For each day that backflushing was performed, controls were produced to assess the bacterial community associated with 1) the water used for backflushing (MQ Control, 200 </w:t>
      </w:r>
      <w:proofErr w:type="spellStart"/>
      <w:r>
        <w:t>μl</w:t>
      </w:r>
      <w:proofErr w:type="spellEnd"/>
      <w:r>
        <w:t xml:space="preserve"> directly into a DNA extraction tube; Blank Pellet, 250 mL centrifuged as above) and 2) unused filter devices (Control Pellet; 250 mL backflushed through a brand new filter).</w:t>
      </w:r>
    </w:p>
    <w:p w14:paraId="00000015" w14:textId="77777777" w:rsidR="002D3DC1" w:rsidRDefault="002D3DC1" w:rsidP="008C08D0">
      <w:pPr>
        <w:spacing w:after="0" w:line="480" w:lineRule="auto"/>
      </w:pPr>
    </w:p>
    <w:p w14:paraId="407EBA2D" w14:textId="14BB5B06" w:rsidR="005B2BCA" w:rsidRDefault="003875FF" w:rsidP="008C08D0">
      <w:pPr>
        <w:spacing w:after="0" w:line="480" w:lineRule="auto"/>
        <w:jc w:val="center"/>
      </w:pPr>
      <w:r>
        <w:rPr>
          <w:noProof/>
          <w:lang w:val="en-PH" w:eastAsia="en-PH"/>
        </w:rPr>
        <w:lastRenderedPageBreak/>
        <w:drawing>
          <wp:inline distT="0" distB="0" distL="0" distR="0" wp14:anchorId="7CB4A2E6" wp14:editId="5C976A50">
            <wp:extent cx="2743200" cy="355004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0247" cy="3610927"/>
                    </a:xfrm>
                    <a:prstGeom prst="rect">
                      <a:avLst/>
                    </a:prstGeom>
                  </pic:spPr>
                </pic:pic>
              </a:graphicData>
            </a:graphic>
          </wp:inline>
        </w:drawing>
      </w:r>
    </w:p>
    <w:p w14:paraId="00000018" w14:textId="79B19783" w:rsidR="002D3DC1" w:rsidRPr="003875FF" w:rsidRDefault="005B2BCA" w:rsidP="008C08D0">
      <w:pPr>
        <w:spacing w:line="480" w:lineRule="auto"/>
        <w:rPr>
          <w:sz w:val="20"/>
          <w:szCs w:val="20"/>
        </w:rPr>
      </w:pPr>
      <w:r w:rsidRPr="003875FF">
        <w:rPr>
          <w:sz w:val="20"/>
          <w:szCs w:val="20"/>
        </w:rPr>
        <w:t>Figure S2</w:t>
      </w:r>
      <w:r w:rsidR="00062FCF" w:rsidRPr="003875FF">
        <w:rPr>
          <w:sz w:val="20"/>
          <w:szCs w:val="20"/>
        </w:rPr>
        <w:t xml:space="preserve">. Schematic illustrating the laboratory back flushing </w:t>
      </w:r>
      <w:r w:rsidRPr="003875FF">
        <w:rPr>
          <w:sz w:val="20"/>
          <w:szCs w:val="20"/>
        </w:rPr>
        <w:t>apparatus</w:t>
      </w:r>
      <w:r w:rsidR="00062FCF" w:rsidRPr="003875FF">
        <w:rPr>
          <w:sz w:val="20"/>
          <w:szCs w:val="20"/>
        </w:rPr>
        <w:t xml:space="preserve"> to retrieve the suspended load particulates </w:t>
      </w:r>
      <w:r w:rsidRPr="003875FF">
        <w:rPr>
          <w:sz w:val="20"/>
          <w:szCs w:val="20"/>
        </w:rPr>
        <w:t xml:space="preserve">and cells </w:t>
      </w:r>
      <w:r w:rsidR="00062FCF" w:rsidRPr="003875FF">
        <w:rPr>
          <w:sz w:val="20"/>
          <w:szCs w:val="20"/>
        </w:rPr>
        <w:t>captured by the filter at the drinking water source.</w:t>
      </w:r>
    </w:p>
    <w:p w14:paraId="00000019" w14:textId="77777777" w:rsidR="002D3DC1" w:rsidRDefault="002D3DC1" w:rsidP="008C08D0">
      <w:pPr>
        <w:spacing w:after="0" w:line="480" w:lineRule="auto"/>
        <w:rPr>
          <w:i/>
          <w:color w:val="000000"/>
        </w:rPr>
      </w:pPr>
    </w:p>
    <w:p w14:paraId="0000001A" w14:textId="77777777" w:rsidR="002D3DC1" w:rsidRDefault="00062FCF" w:rsidP="008C08D0">
      <w:pPr>
        <w:spacing w:after="0" w:line="480" w:lineRule="auto"/>
        <w:rPr>
          <w:b/>
          <w:i/>
          <w:color w:val="000000"/>
        </w:rPr>
      </w:pPr>
      <w:r>
        <w:rPr>
          <w:b/>
          <w:i/>
          <w:color w:val="000000"/>
        </w:rPr>
        <w:t>Metal Retrieval</w:t>
      </w:r>
    </w:p>
    <w:p w14:paraId="0000001B" w14:textId="77777777" w:rsidR="002D3DC1" w:rsidRDefault="002D3DC1" w:rsidP="008C08D0">
      <w:pPr>
        <w:spacing w:after="0" w:line="480" w:lineRule="auto"/>
        <w:rPr>
          <w:color w:val="000000"/>
        </w:rPr>
      </w:pPr>
    </w:p>
    <w:p w14:paraId="0000001C" w14:textId="77777777" w:rsidR="002D3DC1" w:rsidRDefault="00062FCF" w:rsidP="008C08D0">
      <w:pPr>
        <w:spacing w:after="0" w:line="480" w:lineRule="auto"/>
        <w:rPr>
          <w:color w:val="000000"/>
        </w:rPr>
      </w:pPr>
      <w:r>
        <w:rPr>
          <w:color w:val="000000"/>
        </w:rPr>
        <w:t xml:space="preserve">Returned field foams were processed through an acid-wash procedure to recover </w:t>
      </w:r>
      <w:r>
        <w:t>adsorbed</w:t>
      </w:r>
      <w:r>
        <w:rPr>
          <w:color w:val="000000"/>
        </w:rPr>
        <w:t xml:space="preserve"> metals.</w:t>
      </w:r>
      <w:r>
        <w:t xml:space="preserve"> </w:t>
      </w:r>
      <w:r>
        <w:rPr>
          <w:color w:val="000000"/>
        </w:rPr>
        <w:t xml:space="preserve">Foam blocks were first dried at 100 </w:t>
      </w:r>
      <w:proofErr w:type="spellStart"/>
      <w:r>
        <w:rPr>
          <w:color w:val="000000"/>
          <w:vertAlign w:val="superscript"/>
        </w:rPr>
        <w:t>o</w:t>
      </w:r>
      <w:r>
        <w:rPr>
          <w:color w:val="000000"/>
        </w:rPr>
        <w:t>C</w:t>
      </w:r>
      <w:proofErr w:type="spellEnd"/>
      <w:r>
        <w:rPr>
          <w:color w:val="000000"/>
        </w:rPr>
        <w:t xml:space="preserve"> for 24 hours then weighed.</w:t>
      </w:r>
      <w:r>
        <w:t xml:space="preserve"> </w:t>
      </w:r>
      <w:r>
        <w:rPr>
          <w:color w:val="000000"/>
        </w:rPr>
        <w:t>Blocks were cut into two pieces and placed in a desiccator.</w:t>
      </w:r>
      <w:r>
        <w:t xml:space="preserve"> </w:t>
      </w:r>
      <w:r>
        <w:rPr>
          <w:color w:val="000000"/>
        </w:rPr>
        <w:t xml:space="preserve">Prior to rinsing, one half-block piece was reweighed and placed in an acid-washed 50 mL syringe equipped with a 0.45 </w:t>
      </w:r>
      <w:proofErr w:type="spellStart"/>
      <w:r>
        <w:rPr>
          <w:color w:val="000000"/>
        </w:rPr>
        <w:t>μm</w:t>
      </w:r>
      <w:proofErr w:type="spellEnd"/>
      <w:r>
        <w:rPr>
          <w:color w:val="000000"/>
        </w:rPr>
        <w:t xml:space="preserve"> syringe tip filter.</w:t>
      </w:r>
      <w:r>
        <w:t xml:space="preserve"> </w:t>
      </w:r>
      <w:r>
        <w:rPr>
          <w:color w:val="000000"/>
        </w:rPr>
        <w:t>30 mL of 3% trace-metal grade nitric acid (pH~0.7) was</w:t>
      </w:r>
      <w:r>
        <w:t xml:space="preserve"> </w:t>
      </w:r>
      <w:r>
        <w:rPr>
          <w:color w:val="000000"/>
        </w:rPr>
        <w:t xml:space="preserve">added to the open syringe holding the foam, and </w:t>
      </w:r>
      <w:r>
        <w:t>a</w:t>
      </w:r>
      <w:r>
        <w:rPr>
          <w:color w:val="000000"/>
        </w:rPr>
        <w:t xml:space="preserve"> plunger was</w:t>
      </w:r>
      <w:r>
        <w:t xml:space="preserve"> </w:t>
      </w:r>
      <w:r>
        <w:rPr>
          <w:color w:val="000000"/>
        </w:rPr>
        <w:t>inserted.</w:t>
      </w:r>
      <w:r>
        <w:t xml:space="preserve"> </w:t>
      </w:r>
      <w:r>
        <w:rPr>
          <w:color w:val="000000"/>
        </w:rPr>
        <w:t>After 5 minutes the plunger was depressed and the acid was filter-pressed through the foam block into a</w:t>
      </w:r>
      <w:r>
        <w:t xml:space="preserve"> 50 mL</w:t>
      </w:r>
      <w:r>
        <w:rPr>
          <w:color w:val="000000"/>
        </w:rPr>
        <w:t xml:space="preserve"> metal-free conical tube.</w:t>
      </w:r>
      <w:r>
        <w:t xml:space="preserve"> </w:t>
      </w:r>
      <w:proofErr w:type="spellStart"/>
      <w:r>
        <w:t>R</w:t>
      </w:r>
      <w:r>
        <w:rPr>
          <w:color w:val="000000"/>
        </w:rPr>
        <w:t>insates</w:t>
      </w:r>
      <w:proofErr w:type="spellEnd"/>
      <w:r>
        <w:rPr>
          <w:color w:val="000000"/>
        </w:rPr>
        <w:t xml:space="preserve"> were analyzed immediately or refrigerated until analysis. Because the foam blocks employed for sequestering </w:t>
      </w:r>
      <w:r>
        <w:rPr>
          <w:color w:val="000000"/>
        </w:rPr>
        <w:lastRenderedPageBreak/>
        <w:t xml:space="preserve">metals contained some of the target analyte metals as part of the chelating formulation, </w:t>
      </w:r>
      <w:proofErr w:type="spellStart"/>
      <w:r>
        <w:rPr>
          <w:color w:val="000000"/>
        </w:rPr>
        <w:t>rinsates</w:t>
      </w:r>
      <w:proofErr w:type="spellEnd"/>
      <w:r>
        <w:rPr>
          <w:color w:val="000000"/>
        </w:rPr>
        <w:t xml:space="preserve"> from background control foams were analyzed</w:t>
      </w:r>
      <w:r>
        <w:t xml:space="preserve"> as well as c</w:t>
      </w:r>
      <w:r>
        <w:rPr>
          <w:color w:val="000000"/>
        </w:rPr>
        <w:t>ontrols of field</w:t>
      </w:r>
      <w:r>
        <w:t xml:space="preserve">, storage, and processing equipment. </w:t>
      </w:r>
    </w:p>
    <w:p w14:paraId="0000001D" w14:textId="77777777" w:rsidR="002D3DC1" w:rsidRDefault="002D3DC1" w:rsidP="008C08D0">
      <w:pPr>
        <w:spacing w:after="0" w:line="480" w:lineRule="auto"/>
      </w:pPr>
    </w:p>
    <w:p w14:paraId="0000001E" w14:textId="77777777" w:rsidR="002D3DC1" w:rsidRDefault="00062FCF" w:rsidP="008C08D0">
      <w:pPr>
        <w:spacing w:after="0" w:line="480" w:lineRule="auto"/>
        <w:rPr>
          <w:b/>
          <w:i/>
        </w:rPr>
      </w:pPr>
      <w:r>
        <w:rPr>
          <w:b/>
          <w:i/>
        </w:rPr>
        <w:t>Amplicon Sequencing of 16S rRNA V4 Region</w:t>
      </w:r>
    </w:p>
    <w:p w14:paraId="0000001F" w14:textId="77777777" w:rsidR="002D3DC1" w:rsidRDefault="002D3DC1" w:rsidP="008C08D0">
      <w:pPr>
        <w:spacing w:after="0" w:line="480" w:lineRule="auto"/>
      </w:pPr>
    </w:p>
    <w:p w14:paraId="00000020" w14:textId="3B60C412" w:rsidR="002D3DC1" w:rsidRDefault="00062FCF" w:rsidP="008C08D0">
      <w:pPr>
        <w:spacing w:after="0" w:line="480" w:lineRule="auto"/>
        <w:rPr>
          <w:color w:val="FF0000"/>
        </w:rPr>
      </w:pPr>
      <w:r>
        <w:t xml:space="preserve">DNA was extracted from backflushed material derived from filters using </w:t>
      </w:r>
      <w:proofErr w:type="spellStart"/>
      <w:r>
        <w:t>DNeasy</w:t>
      </w:r>
      <w:proofErr w:type="spellEnd"/>
      <w:r>
        <w:t xml:space="preserve"> </w:t>
      </w:r>
      <w:proofErr w:type="spellStart"/>
      <w:r>
        <w:t>PowerViral</w:t>
      </w:r>
      <w:proofErr w:type="spellEnd"/>
      <w:r>
        <w:t xml:space="preserve"> kits (</w:t>
      </w:r>
      <w:proofErr w:type="spellStart"/>
      <w:r>
        <w:t>MoBio</w:t>
      </w:r>
      <w:proofErr w:type="spellEnd"/>
      <w:r>
        <w:t xml:space="preserve"> Laboratories, Inc., CA, a Qiagen company) per the manufacturer’s protocol. DNA samples were prepared for Illumina sequencing by following the </w:t>
      </w:r>
      <w:proofErr w:type="spellStart"/>
      <w:r>
        <w:t>MiSeq</w:t>
      </w:r>
      <w:proofErr w:type="spellEnd"/>
      <w:r>
        <w:t xml:space="preserve"> Wet Lab SOP</w:t>
      </w:r>
      <w:r w:rsidR="00C7218C">
        <w:t xml:space="preserve"> </w:t>
      </w:r>
      <w:r w:rsidR="00C7218C">
        <w:fldChar w:fldCharType="begin"/>
      </w:r>
      <w:r w:rsidR="00C7218C">
        <w:instrText xml:space="preserve"> ADDIN ZOTERO_ITEM CSL_CITATION {"citationID":"xEaUsoq9","properties":{"formattedCitation":"[1]","plainCitation":"[1]","noteIndex":0},"citationItems":[{"id":11084,"uris":["http://zotero.org/groups/2210804/items/YLIJBKH6"],"uri":["http://zotero.org/groups/2210804/items/YLIJBKH6"],"itemData":{"id":11084,"type":"book","abstract":"Contribute to SchlossLab/MiSeq_WetLab_SOP development by creating an account on GitHub.","note":"original-date: 2015-03-09T20:03:21Z","publisher":"SchlossLab","source":"GitHub","title":"SchlossLab/MiSeq_WetLab_SOP","URL":"https://github.com/SchlossLab/MiSeq_WetLab_SOP","accessed":{"date-parts":[["2020",10,21]]},"issued":{"date-parts":[["2020",6,20]]}}}],"schema":"https://github.com/citation-style-language/schema/raw/master/csl-citation.json"} </w:instrText>
      </w:r>
      <w:r w:rsidR="00C7218C">
        <w:fldChar w:fldCharType="separate"/>
      </w:r>
      <w:r w:rsidR="00C7218C">
        <w:rPr>
          <w:noProof/>
        </w:rPr>
        <w:t>[1]</w:t>
      </w:r>
      <w:r w:rsidR="00C7218C">
        <w:fldChar w:fldCharType="end"/>
      </w:r>
      <w:r w:rsidR="008440BA">
        <w:t>, described in brief below; details of quality control measures can be found in the SOP</w:t>
      </w:r>
      <w:r>
        <w:t>. Libraries for 94 DNA samples and two controls (a negative control and a positive, mock community control (</w:t>
      </w:r>
      <w:proofErr w:type="spellStart"/>
      <w:r>
        <w:t>ZymoBIOMICS</w:t>
      </w:r>
      <w:proofErr w:type="spellEnd"/>
      <w:r>
        <w:t xml:space="preserve"> Microbial Community Standard, </w:t>
      </w:r>
      <w:proofErr w:type="spellStart"/>
      <w:r>
        <w:t>Zymo</w:t>
      </w:r>
      <w:proofErr w:type="spellEnd"/>
      <w:r>
        <w:t xml:space="preserve"> Research, Irvine, CA) were processed in a 96 well plate; libraries for four, 96 well plates were combined for a single sequencing run. High throughput library preparation was performed with an </w:t>
      </w:r>
      <w:proofErr w:type="spellStart"/>
      <w:r>
        <w:t>EpMotion</w:t>
      </w:r>
      <w:proofErr w:type="spellEnd"/>
      <w:r>
        <w:t xml:space="preserve"> 5075 automated liquid handling device (Eppendorf North America, Enfield, CT). Amplification of the V4 region of the bacterial 16S rRNA gene was performed using universal primers (515F, 5’-GTGCCAGCMGCCGCGGTAA-3’ and 907R 5’-CCGTCAATTCMTTTRAGTTT-3’; modified to include unique index pairs and adapters for Illumina sequencing) and </w:t>
      </w:r>
      <w:proofErr w:type="spellStart"/>
      <w:r>
        <w:t>Accuprime</w:t>
      </w:r>
      <w:proofErr w:type="spellEnd"/>
      <w:r>
        <w:t xml:space="preserve"> </w:t>
      </w:r>
      <w:proofErr w:type="spellStart"/>
      <w:r>
        <w:t>Pfx</w:t>
      </w:r>
      <w:proofErr w:type="spellEnd"/>
      <w:r>
        <w:t xml:space="preserve"> </w:t>
      </w:r>
      <w:proofErr w:type="spellStart"/>
      <w:r>
        <w:t>Supermix</w:t>
      </w:r>
      <w:proofErr w:type="spellEnd"/>
      <w:r>
        <w:t xml:space="preserve"> under the following conditions: 95 ˚C for 2 min; 30 cycles of 9 ˚C for 20 s, 55 ˚C for 15 s and 72 ˚C for 5 min; final elongation at 72 ˚C for 10 min. Amplicon size was checked on a 1% agarose gel and confirmed with High Sensitivity D1000 </w:t>
      </w:r>
      <w:proofErr w:type="spellStart"/>
      <w:r>
        <w:t>ScreenTape</w:t>
      </w:r>
      <w:proofErr w:type="spellEnd"/>
      <w:r>
        <w:t xml:space="preserve"> on the Agilent 2200 </w:t>
      </w:r>
      <w:proofErr w:type="spellStart"/>
      <w:r>
        <w:t>Tapestation</w:t>
      </w:r>
      <w:proofErr w:type="spellEnd"/>
      <w:r>
        <w:t xml:space="preserve"> system (Agilent Technologies Inc., CA). Amplicons were then purified using calibrated </w:t>
      </w:r>
      <w:proofErr w:type="spellStart"/>
      <w:r>
        <w:t>Ampure</w:t>
      </w:r>
      <w:proofErr w:type="spellEnd"/>
      <w:r>
        <w:t xml:space="preserve"> XP beads (Beckman Coulter; Brea, CA) and normalized with a </w:t>
      </w:r>
      <w:proofErr w:type="spellStart"/>
      <w:r>
        <w:t>SequelPrep</w:t>
      </w:r>
      <w:proofErr w:type="spellEnd"/>
      <w:r>
        <w:t xml:space="preserve"> </w:t>
      </w:r>
      <w:r>
        <w:lastRenderedPageBreak/>
        <w:t xml:space="preserve">kit (Invitrogen Corporation, CA). Normalized samples from a single 96 well plate were pooled into a single 1.5 mL tube. The pooled DNA was quantified using a Qubit dsDNA high sensitivity assay kit (Thermo Fisher Scientific Inc.; Waltham, MA). Four, pooled PCR amplicon libraries (equivalent of four, 96 well plates) were combined in equimolar concentrations into a single library. This combined library was sequenced using an Illumina </w:t>
      </w:r>
      <w:proofErr w:type="spellStart"/>
      <w:r>
        <w:t>MiSeq</w:t>
      </w:r>
      <w:proofErr w:type="spellEnd"/>
      <w:r>
        <w:t xml:space="preserve"> (500 </w:t>
      </w:r>
      <w:proofErr w:type="gramStart"/>
      <w:r>
        <w:t>cycle</w:t>
      </w:r>
      <w:proofErr w:type="gramEnd"/>
      <w:r>
        <w:t xml:space="preserve">, 2 x 250bp paired-end v2 chemistry, Illumina, Inc., San Diego, CA) according to the manufacturer instructions. </w:t>
      </w:r>
    </w:p>
    <w:p w14:paraId="00000021" w14:textId="77777777" w:rsidR="002D3DC1" w:rsidRDefault="002D3DC1" w:rsidP="008C08D0">
      <w:pPr>
        <w:spacing w:after="0" w:line="480" w:lineRule="auto"/>
      </w:pPr>
    </w:p>
    <w:p w14:paraId="00000022" w14:textId="77777777" w:rsidR="002D3DC1" w:rsidRDefault="00062FCF" w:rsidP="008C08D0">
      <w:pPr>
        <w:spacing w:after="0" w:line="480" w:lineRule="auto"/>
        <w:rPr>
          <w:b/>
          <w:color w:val="000000"/>
        </w:rPr>
      </w:pPr>
      <w:r>
        <w:rPr>
          <w:b/>
          <w:color w:val="000000"/>
        </w:rPr>
        <w:t>Analysis</w:t>
      </w:r>
    </w:p>
    <w:p w14:paraId="00000023" w14:textId="77777777" w:rsidR="002D3DC1" w:rsidRDefault="002D3DC1" w:rsidP="008C08D0">
      <w:pPr>
        <w:spacing w:after="0" w:line="480" w:lineRule="auto"/>
        <w:rPr>
          <w:i/>
          <w:color w:val="000000"/>
        </w:rPr>
      </w:pPr>
    </w:p>
    <w:p w14:paraId="00000024" w14:textId="77777777" w:rsidR="002D3DC1" w:rsidRDefault="00062FCF" w:rsidP="008C08D0">
      <w:pPr>
        <w:spacing w:after="0" w:line="480" w:lineRule="auto"/>
        <w:rPr>
          <w:i/>
        </w:rPr>
      </w:pPr>
      <w:r>
        <w:rPr>
          <w:i/>
          <w:color w:val="000000"/>
        </w:rPr>
        <w:t>Particulates-(Suspended Load)</w:t>
      </w:r>
    </w:p>
    <w:p w14:paraId="00000025" w14:textId="77777777" w:rsidR="002D3DC1" w:rsidRDefault="002D3DC1" w:rsidP="008C08D0">
      <w:pPr>
        <w:spacing w:after="0" w:line="480" w:lineRule="auto"/>
        <w:rPr>
          <w:i/>
        </w:rPr>
      </w:pPr>
    </w:p>
    <w:p w14:paraId="00000026" w14:textId="02F84B5D" w:rsidR="002D3DC1" w:rsidRPr="00DB5690" w:rsidRDefault="00062FCF" w:rsidP="008C08D0">
      <w:pPr>
        <w:pStyle w:val="Bibliography"/>
        <w:spacing w:line="480" w:lineRule="auto"/>
      </w:pPr>
      <w:r>
        <w:t xml:space="preserve">The suspended load present in source waters was estimated by resuspending backflush samples and immediately analyzing using a </w:t>
      </w:r>
      <w:proofErr w:type="spellStart"/>
      <w:r>
        <w:t>Microlab</w:t>
      </w:r>
      <w:proofErr w:type="spellEnd"/>
      <w:r>
        <w:rPr>
          <w:vertAlign w:val="superscript"/>
        </w:rPr>
        <w:t>®</w:t>
      </w:r>
      <w:r>
        <w:t xml:space="preserve"> FX522 spectrophotometry system. Attenuation (transmittance and absorbance) and scattering were measured at multiple wavelengths (refer to</w:t>
      </w:r>
      <w:r w:rsidR="00DB5690">
        <w:t xml:space="preserve"> </w:t>
      </w:r>
      <w:r w:rsidR="00DB5690">
        <w:fldChar w:fldCharType="begin"/>
      </w:r>
      <w:r w:rsidR="00C7218C">
        <w:instrText xml:space="preserve"> ADDIN ZOTERO_ITEM CSL_CITATION {"citationID":"LSPyNhvr","properties":{"formattedCitation":"[2]","plainCitation":"[2]","noteIndex":0},"citationItems":[{"id":11063,"uris":["http://zotero.org/groups/2210804/items/8K9S59PE"],"uri":["http://zotero.org/groups/2210804/items/8K9S59PE"],"itemData":{"id":11063,"type":"article-journal","title":"Application of point-of-use water filters and polyurethane foams as a global reconnaissance method to characterize particulates and heavy metals in untreated drinking water sources","author":[{"family":"Peterson","given":"Jonathan W"},{"family":"Fry","given":"Benjamin"},{"family":"Wade","given":"Daniel"},{"family":"Fishman","given":"Ford"},{"family":"Stid","given":"Jacob"},{"family":"Tarp","given":"Cleveland"},{"family":"Wade","given":"Randall"},{"family":"Brokus","given":"Sarah"},{"family":"Pikaart","given":"Michael"},{"family":"Krueger","given":"Brent"},{"family":"Best","given":"Aaron A"}],"issued":{"literal":"In Review"}}}],"schema":"https://github.com/citation-style-language/schema/raw/master/csl-citation.json"} </w:instrText>
      </w:r>
      <w:r w:rsidR="00DB5690">
        <w:fldChar w:fldCharType="separate"/>
      </w:r>
      <w:r w:rsidR="00C7218C">
        <w:rPr>
          <w:noProof/>
        </w:rPr>
        <w:t>[2]</w:t>
      </w:r>
      <w:r w:rsidR="00DB5690">
        <w:fldChar w:fldCharType="end"/>
      </w:r>
      <w:r>
        <w:t xml:space="preserve"> for more detail). Particulate concentrations were estimated by comparison to standard curves of known suspended load that were developed by using individual common rock-forming minerals. These standard curves were considered representative of major types of geologic terrains, based on the assumption that the suspended load in any location is systematically reflective of the eroding substrate</w:t>
      </w:r>
      <w:r w:rsidR="0078621C">
        <w:t xml:space="preserve"> </w:t>
      </w:r>
      <w:r w:rsidR="0078621C">
        <w:fldChar w:fldCharType="begin"/>
      </w:r>
      <w:r w:rsidR="00C7218C">
        <w:instrText xml:space="preserve"> ADDIN ZOTERO_ITEM CSL_CITATION {"citationID":"nMhny11f","properties":{"formattedCitation":"[3\\uc0\\u8211{}6]","plainCitation":"[3–6]","noteIndex":0},"citationItems":[{"id":11064,"uris":["http://zotero.org/groups/2210804/items/EFTICF9J"],"uri":["http://zotero.org/groups/2210804/items/EFTICF9J"],"itemData":{"id":11064,"type":"article-journal","abstract":"The daily variability of river suspended sediment concentration (Cs) and related yield (Y) is studied at 60 global stations. The data set covers natural conditions (e.g. pre-reservoir data), ranging from the humid tropics to subarctic and arid regions, located in all types of relief (yearly runoff q* from 0.1 to 55 l s−1 km−2). Basin area ranges from 64 km2 to 3.2 million km2. Survey lengths range from 1 to 20 years with a median of 3 years. Median values (Cs50, q50, Y50) and discharge-weighted averages for Cs* and Y* range from 5 to 29000 mg l−1 and 10 to 5000 kg km−2 day−1, respectively. A set of indicators of variability are proposed for sediment concentration, water and sediment discharges including mean to median ratios (Cs*/Cs50, Y*/Y50), the percentage of sediment flux discharged in 2% of time (Ms2), the percentage of time necessary to carry half of the sediment flux (Ts50), and quantiles of Cs, q and Y distributions corresponding to the discharge-weighted averages. Since most of the sediment flux is discharged in less than 25% of the time, “truncated rating curves” metrics are proposed between the Cs vs. q relationship for periods of high flux. Temporal variability decreases with increasing basin size, lake abundance, and is higher for basins influenced by glaciermelt and snowmelt. The least variable sediment flux regimes are noted for the Mississippi at its mouth, the Rhone Lacustre, the St. Lawrence and the Somme, a medium-sized French phreatic river. The most variable flux regimes were for small- to medium-sized basins (i.e. &lt;1000 to 10000 km2) such as steep Andean Bolivian basins, Thai basins, the Eel (CA) and Walla Walla (OR) rivers. A proposed global scale typology is based on six classes key variability indicators.","collection-title":"The supply of flux of sediment along hydrological pathways: Anthropogenic influences at the global scale","container-title":"Global and Planetary Change","DOI":"10.1016/S0921-8181(03)00018-3","ISSN":"0921-8181","issue":"1","journalAbbreviation":"Global and Planetary Change","language":"en","page":"65-93","source":"ScienceDirect","title":"Global variability of daily total suspended solids and their fluxes in rivers","volume":"39","author":[{"family":"Meybeck","given":"M"},{"family":"Laroche","given":"L"},{"family":"Dürr","given":"H. H"},{"family":"Syvitski","given":"J. P. M"}],"issued":{"date-parts":[["2003",10,1]]}}},{"id":11066,"uris":["http://zotero.org/groups/2210804/items/ZKSH7Y5E"],"uri":["http://zotero.org/groups/2210804/items/ZKSH7Y5E"],"itemData":{"id":11066,"type":"article-journal","abstract":"Sediments carried in suspension represent a fundamental part of fluvial transport. Nonetheless, largely because of technical problems, they have been hitherto widely neglected in provenance studies. In order to determine with maximum possible precision the mineralogy of suspended load collected in vertical profiles from water surface to channel bottom of Rivers Ganga and Brahmaputra, we combined Raman spectroscopy with traditional heavy-mineral and X-ray diffraction analyses, carried out separately on low-density and dense fractions of all significant size classes in each sample (multiple-window approach). Suspended load resulted to be a ternary mixture of dominant silt enriched in phyllosilicates, subordinate clay largely derived from weathered floodplains, and sand mainly produced by physical erosion and mechanical grinding during transport in Himalayan streams. Sediment concentration and grain size increase steadily with water depth. Whereas absolute concentration of clay associated with Fe-oxyhydroxides and organic matter is almost depth-invariant, regular mineralogical and consequently chemical changes from shallow to deep load result from marked increase of faster-settling, coarser, denser, or more spherical grains toward the bed. Such steady intersample compositional variability can be modeled as a mixture of clay, silt and sand modes with distinct mineralogical and chemical composition. With classical formulas describing sediment transport by turbulent diffusion, absolute and relative concentrations can be predicted at any depth for each textural mode and each detrital component. Based on assumptions on average chemistry of detrital minerals and empirical formulas to calculate their settling velocities, the suspension-sorting model successfully reproduces mineralogy and chemistry of suspended load at different depths. Principal outputs include assessment of contributions by each detrital mineral to the chemical budget, and calibration of dense minerals too rare to be precisely estimated by optical or Raman analysis but crucial in both detrital-geochronology and settling-equivalence studies. Hydrodynamic conditions during monsoonal discharge could also be evaluated. Understanding compositional variability of suspended load is a fundamental pre-requisite to correctly interpret mineralogical and geochemical data in provenance analysis of modern and ancient sedimentary deposits, to accurately assess weathering processes, sediment fluxes and erosion patterns, and to unambiguously evaluate the effects of anthropogenic modifications on the natural environment.","container-title":"Earth and Planetary Science Letters","DOI":"10.1016/j.epsl.2010.11.043","ISSN":"0012-821X","issue":"1","journalAbbreviation":"Earth and Planetary Science Letters","language":"en","page":"107-120","source":"ScienceDirect","title":"Mineralogical and chemical variability of fluvial sediments 2. Suspended-load silt (Ganga–Brahmaputra, Bangladesh)","volume":"302","author":[{"family":"Garzanti","given":"Eduardo"},{"family":"Andó","given":"Sergio"},{"family":"France-Lanord","given":"Christian"},{"family":"Censi","given":"Paolo"},{"family":"Vignola","given":"Pietro"},{"family":"Galy","given":"Valier"},{"family":"Lupker","given":"Maarten"}],"issued":{"date-parts":[["2011",2,1]]}}},{"id":11069,"uris":["http://zotero.org/groups/2210804/items/X2QAMXYL"],"uri":["http://zotero.org/groups/2210804/items/X2QAMXYL"],"itemData":{"id":11069,"type":"article-journal","abstract":"Elevated arsenic (As) concentrations in groundwater and rocks have been found in crystalline and sedimentary aquifers from New England to Pennsylvania, USA. The arsenic geochemistry and water–rock interactions of the Northern Appalachian Mountains and the Newark Basin have been researched at length, however, little is known about arsenic in the Gettysburg Basin. Both the Newark and Gettysburg Basins were formed during the breakup of Pangea, sediment deposition occurred during the Triassic and lithologies are of similar depositional environment. We compile and review the work done in the Newark Basin and collect new samples in the Gettysburg Basin for comparison. The Gettysburg Basin has 18%–39% of rock samples with arsenic concentrations greater than the crustal average of 2mg/kg, while the Newark Basin has 73% to 95% of rock samples above the crustal average. The strongest controls on arsenic in rocks of the Gettysburg Basin are the relationship between arsenic and iron and silicon concentrations while the strongest controls in the Newark Basin are the relationship between arsenic and iron and organic carbon concentrations. The groundwater arsenic concentrations follow similarly with 8–39% of water samples from the Gettysburg Basin above 10μg/L and 24–54% of water samples from the Newark Basin above 10μg/L. The strongest controls on arsenic in water of the Gettysburg Basin are pH, alkalinity and silicon, while the strongest controls in the Newark Basin are pH and alkalinity.","container-title":"Science of The Total Environment","DOI":"10.1016/j.scitotenv.2014.02.013","ISSN":"0048-9697","journalAbbreviation":"Science of The Total Environment","language":"en","page":"1340-1349","source":"ScienceDirect","title":"The occurrence and dominant controls on arsenic in the Newark and Gettysburg Basins","volume":"505","author":[{"family":"Blake","given":"Johanna M."},{"family":"Peters","given":"Stephen C."}],"issued":{"date-parts":[["2015",2,1]]}}},{"id":11071,"uris":["http://zotero.org/groups/2210804/items/5J5WJRFN"],"uri":["http://zotero.org/groups/2210804/items/5J5WJRFN"],"itemData":{"id":11071,"type":"article-journal","abstract":"Suspended particles in rivers can act as carriers of potentially bioavailable metal species and are thus an emerging area of interest in river system monitoring. The delineation of bulk metals concentrations in river water into dissolved and particulate components is also important for risk assessment. Linear relationships between bulk metal concentrations in water (CW,tot) and total suspended solids (TSS) in water can be used to easily evaluate dissolved (CW, intercept) and particle-bound metal fluxes (CSUS, slope) in streams (CW,tot = CW + CSUS TSS). In this study, we apply this principle to catchments in Iran (Haraz) and Germany (Ammer, Goldersbach, and Steinlach) that show differences in geology, geochemistry, land use and hydrological characteristics. For each catchment, particle-bound and dissolved concentrations for a suite of metals in water were calculated based on linear regressions of total suspended solids and total metal concentrations. Results were replicable across sampling campaigns in different years and seasons (between 2013 and 2016) and could be reproduced in a laboratory sedimentation experiment. CSUS values generally showed little variability in different catchments and agree well with soil background values for some metals (e.g. lead and nickel) while other metals (e.g. copper) indicate anthropogenic influences. CW was elevated in the Haraz (Iran) catchment, indicating higher bioavailability and potential human and ecological health concerns (where higher values of CSUS/CW are considered as a risk indicator).","container-title":"PLOS ONE","DOI":"10.1371/journal.pone.0191314","ISSN":"1932-6203","issue":"1","journalAbbreviation":"PLOS ONE","language":"en","note":"publisher: Public Library of Science","page":"e0191314","source":"PLoS Journals","title":"Bulk metal concentrations versus total suspended solids in rivers: Time-invariant &amp; catchment-specific relationships","title-short":"Bulk metal concentrations versus total suspended solids in rivers","volume":"13","author":[{"family":"Nasrabadi","given":"Touraj"},{"family":"Ruegner","given":"Hermann"},{"family":"Schwientek","given":"Marc"},{"family":"Bennett","given":"Jeremy"},{"family":"Valipour","given":"Shahin Fazel"},{"family":"Grathwohl","given":"Peter"}],"issued":{"date-parts":[["2018",1,17]]}}}],"schema":"https://github.com/citation-style-language/schema/raw/master/csl-citation.json"} </w:instrText>
      </w:r>
      <w:r w:rsidR="0078621C">
        <w:fldChar w:fldCharType="separate"/>
      </w:r>
      <w:r w:rsidR="00C7218C" w:rsidRPr="00C7218C">
        <w:t>[3–6]</w:t>
      </w:r>
      <w:r w:rsidR="0078621C">
        <w:fldChar w:fldCharType="end"/>
      </w:r>
      <w:r>
        <w:t>.</w:t>
      </w:r>
      <w:r w:rsidR="00CD7BE1">
        <w:t xml:space="preserve"> </w:t>
      </w:r>
      <w:r>
        <w:t>Many of these minerals were identified in the particulate material recovered upon back-flushing. Mineralogy was determined and/or estimated by powder X-ray diffraction (PXRD) techniques (</w:t>
      </w:r>
      <w:proofErr w:type="spellStart"/>
      <w:r>
        <w:t>Rigaku</w:t>
      </w:r>
      <w:proofErr w:type="spellEnd"/>
      <w:r>
        <w:t xml:space="preserve">® </w:t>
      </w:r>
      <w:proofErr w:type="spellStart"/>
      <w:r>
        <w:t>MiniFlex</w:t>
      </w:r>
      <w:proofErr w:type="spellEnd"/>
      <w:r>
        <w:t xml:space="preserve">+) and SEM-EDS </w:t>
      </w:r>
      <w:r>
        <w:lastRenderedPageBreak/>
        <w:t xml:space="preserve">(Hitachi® TM-3000) analysis. SEM-EDS was also used to identify elemental content of particulates. </w:t>
      </w:r>
    </w:p>
    <w:p w14:paraId="00000027" w14:textId="77777777" w:rsidR="002D3DC1" w:rsidRDefault="00062FCF" w:rsidP="008C08D0">
      <w:pPr>
        <w:spacing w:after="0" w:line="480" w:lineRule="auto"/>
        <w:rPr>
          <w:i/>
          <w:color w:val="000000"/>
        </w:rPr>
      </w:pPr>
      <w:r>
        <w:rPr>
          <w:i/>
          <w:color w:val="000000"/>
        </w:rPr>
        <w:t xml:space="preserve">Metals in </w:t>
      </w:r>
      <w:proofErr w:type="spellStart"/>
      <w:r>
        <w:rPr>
          <w:i/>
          <w:color w:val="000000"/>
        </w:rPr>
        <w:t>Rinsates</w:t>
      </w:r>
      <w:proofErr w:type="spellEnd"/>
      <w:r>
        <w:rPr>
          <w:i/>
          <w:color w:val="000000"/>
        </w:rPr>
        <w:t>-(Dissolved Metals)</w:t>
      </w:r>
    </w:p>
    <w:p w14:paraId="00000028" w14:textId="77777777" w:rsidR="002D3DC1" w:rsidRDefault="00062FCF" w:rsidP="008C08D0">
      <w:pPr>
        <w:spacing w:after="0" w:line="480" w:lineRule="auto"/>
        <w:rPr>
          <w:color w:val="000000"/>
        </w:rPr>
      </w:pPr>
      <w:r>
        <w:t xml:space="preserve"> </w:t>
      </w:r>
    </w:p>
    <w:p w14:paraId="00000029" w14:textId="4DCA1FA0" w:rsidR="002D3DC1" w:rsidRDefault="00062FCF" w:rsidP="008C08D0">
      <w:pPr>
        <w:spacing w:after="0" w:line="480" w:lineRule="auto"/>
      </w:pPr>
      <w:proofErr w:type="spellStart"/>
      <w:r>
        <w:t>Rinsates</w:t>
      </w:r>
      <w:proofErr w:type="spellEnd"/>
      <w:r>
        <w:t xml:space="preserve"> were analyzed by ICP-OES techniques with a PerkinElmer® </w:t>
      </w:r>
      <w:proofErr w:type="spellStart"/>
      <w:r>
        <w:t>Avio</w:t>
      </w:r>
      <w:proofErr w:type="spellEnd"/>
      <w:r>
        <w:t xml:space="preserve"> 200 instrument.</w:t>
      </w:r>
      <w:r w:rsidR="00CD7BE1">
        <w:t xml:space="preserve"> </w:t>
      </w:r>
      <w:r>
        <w:t xml:space="preserve">Quality assurance (QA) and quality control (QC) checks were consistent with a modified EPA Method 200.7 protocol, as summarized in methods provided by Perkin Elmer </w:t>
      </w:r>
      <w:r w:rsidR="00DB5690">
        <w:fldChar w:fldCharType="begin"/>
      </w:r>
      <w:r w:rsidR="00C7218C">
        <w:instrText xml:space="preserve"> ADDIN ZOTERO_ITEM CSL_CITATION {"citationID":"fSxZBPx2","properties":{"formattedCitation":"[7]","plainCitation":"[7]","noteIndex":0},"citationItems":[{"id":11075,"uris":["http://zotero.org/groups/2210804/items/8D9IJQM3"],"uri":["http://zotero.org/groups/2210804/items/8D9IJQM3"],"itemData":{"id":11075,"type":"article","language":"en","publisher":"Perkin Elmer, Inc.","source":"Zotero","title":"Application Note: ICP-Optical Emission Spectroscopy","URL":"https://www.perkinelmer.com/lab-solutions/resources/docs/APP_MetalsinWastewater.pdf","author":[{"family":"Sarojam","given":"Praveen"}],"issued":{"date-parts":[["2010"]]}}}],"schema":"https://github.com/citation-style-language/schema/raw/master/csl-citation.json"} </w:instrText>
      </w:r>
      <w:r w:rsidR="00DB5690">
        <w:fldChar w:fldCharType="separate"/>
      </w:r>
      <w:r w:rsidR="00C7218C">
        <w:rPr>
          <w:noProof/>
        </w:rPr>
        <w:t>[7]</w:t>
      </w:r>
      <w:r w:rsidR="00DB5690">
        <w:fldChar w:fldCharType="end"/>
      </w:r>
      <w:r>
        <w:t>. Analytes in the study include As, Se, Zn, Pb, Cd, Ni, Fe, Mn, Cr, Mg, Cu, Ce, Sb, and Ba. Additional information on detection wavelengths, ICP parameters and QA/QC for this study can be accessed in Peterson et al, 2020. Raw data were processed through a statistical comparison routine and reverse protocol algorithm to estimate metal concentrations in field drinking water sources. Several working assumptions were made for results obtained from metal retrieval and analysis procedures and element retention and recovery testing</w:t>
      </w:r>
      <w:r w:rsidR="0078621C">
        <w:t xml:space="preserve"> </w:t>
      </w:r>
      <w:r w:rsidR="0078621C">
        <w:fldChar w:fldCharType="begin"/>
      </w:r>
      <w:r w:rsidR="00C7218C">
        <w:instrText xml:space="preserve"> ADDIN ZOTERO_ITEM CSL_CITATION {"citationID":"SakE6e1k","properties":{"formattedCitation":"[2]","plainCitation":"[2]","noteIndex":0},"citationItems":[{"id":11063,"uris":["http://zotero.org/groups/2210804/items/8K9S59PE"],"uri":["http://zotero.org/groups/2210804/items/8K9S59PE"],"itemData":{"id":11063,"type":"article-journal","title":"Application of point-of-use water filters and polyurethane foams as a global reconnaissance method to characterize particulates and heavy metals in untreated drinking water sources","author":[{"family":"Peterson","given":"Jonathan W"},{"family":"Fry","given":"Benjamin"},{"family":"Wade","given":"Daniel"},{"family":"Fishman","given":"Ford"},{"family":"Stid","given":"Jacob"},{"family":"Tarp","given":"Cleveland"},{"family":"Wade","given":"Randall"},{"family":"Brokus","given":"Sarah"},{"family":"Pikaart","given":"Michael"},{"family":"Krueger","given":"Brent"},{"family":"Best","given":"Aaron A"}],"issued":{"literal":"In Review"}}}],"schema":"https://github.com/citation-style-language/schema/raw/master/csl-citation.json"} </w:instrText>
      </w:r>
      <w:r w:rsidR="0078621C">
        <w:fldChar w:fldCharType="separate"/>
      </w:r>
      <w:r w:rsidR="00C7218C">
        <w:rPr>
          <w:noProof/>
        </w:rPr>
        <w:t>[2]</w:t>
      </w:r>
      <w:r w:rsidR="0078621C">
        <w:fldChar w:fldCharType="end"/>
      </w:r>
      <w:r>
        <w:t>.</w:t>
      </w:r>
    </w:p>
    <w:p w14:paraId="0000002A" w14:textId="77777777" w:rsidR="002D3DC1" w:rsidRDefault="002D3DC1" w:rsidP="008C08D0">
      <w:pPr>
        <w:spacing w:after="0" w:line="480" w:lineRule="auto"/>
        <w:rPr>
          <w:shd w:val="clear" w:color="auto" w:fill="F4CCCC"/>
        </w:rPr>
      </w:pPr>
    </w:p>
    <w:p w14:paraId="0000002B" w14:textId="77777777" w:rsidR="002D3DC1" w:rsidRDefault="00062FCF" w:rsidP="008C08D0">
      <w:pPr>
        <w:spacing w:after="0" w:line="480" w:lineRule="auto"/>
      </w:pPr>
      <w:r>
        <w:t>Single-element foam retention/recovery testing was performed to evaluate the relative validity of the working assumptions employed to estimate the heavy metal content in field source waters.</w:t>
      </w:r>
    </w:p>
    <w:p w14:paraId="0000002C" w14:textId="12809ACA" w:rsidR="002D3DC1" w:rsidRDefault="00062FCF" w:rsidP="008C08D0">
      <w:pPr>
        <w:spacing w:after="0" w:line="480" w:lineRule="auto"/>
      </w:pPr>
      <w:bookmarkStart w:id="0" w:name="_30j0zll" w:colFirst="0" w:colLast="0"/>
      <w:bookmarkEnd w:id="0"/>
      <w:r>
        <w:t>Results from retention tests indicated a trend from higher recovery at low input solution concentrations to lower recoveries at high input solution concentrations.</w:t>
      </w:r>
      <w:r w:rsidR="00CD7BE1">
        <w:t xml:space="preserve"> </w:t>
      </w:r>
      <w:r>
        <w:t>They also showed different recoveries for different elements.</w:t>
      </w:r>
      <w:r w:rsidR="00CD7BE1">
        <w:t xml:space="preserve"> </w:t>
      </w:r>
      <w:r>
        <w:t>For example, within the 20-200 ppb range of input concentrations, the average recovery from all foams for Cu was: Cu = 241% (±210%).</w:t>
      </w:r>
      <w:r w:rsidR="00CD7BE1">
        <w:t xml:space="preserve"> </w:t>
      </w:r>
      <w:r>
        <w:t>Cu is a high concentration background element within the polyurethane foams. These results substantiate the understanding that, except for Cu, metal concentrations determined in this study should be considered minimum levels.</w:t>
      </w:r>
      <w:r w:rsidR="00CD7BE1">
        <w:t xml:space="preserve"> </w:t>
      </w:r>
      <w:r>
        <w:t xml:space="preserve">However, there are some cautionary considerations </w:t>
      </w:r>
      <w:bookmarkStart w:id="1" w:name="_GoBack"/>
      <w:bookmarkEnd w:id="1"/>
      <w:r>
        <w:lastRenderedPageBreak/>
        <w:t>regarding the foam retention data.</w:t>
      </w:r>
      <w:r w:rsidR="00CD7BE1">
        <w:t xml:space="preserve"> </w:t>
      </w:r>
      <w:r>
        <w:t>These are: 1) The tests were for single-metal solutions, the behavior of which may not reflect the processes active when multiple elements are present in solution with subsequent competition for adsorption sites on the foam; and, 2)The aqueous matrix of the test solutions (RO water) is not representative of the complex multi-constituent matrix of natural field waters.</w:t>
      </w:r>
    </w:p>
    <w:p w14:paraId="0000002D" w14:textId="77777777" w:rsidR="002D3DC1" w:rsidRDefault="00062FCF" w:rsidP="008C08D0">
      <w:pPr>
        <w:spacing w:after="0" w:line="480" w:lineRule="auto"/>
      </w:pPr>
      <w:r>
        <w:t xml:space="preserve"> </w:t>
      </w:r>
    </w:p>
    <w:p w14:paraId="0000002E" w14:textId="58CCC444" w:rsidR="002D3DC1" w:rsidRDefault="00062FCF" w:rsidP="008C08D0">
      <w:pPr>
        <w:spacing w:after="0" w:line="480" w:lineRule="auto"/>
      </w:pPr>
      <w:r>
        <w:t xml:space="preserve">As another check on the working assumptions, field tests on local lake water (Holland, MI, USA) were performed in which direct analysis of water was compared to analysis of </w:t>
      </w:r>
      <w:proofErr w:type="spellStart"/>
      <w:r>
        <w:t>rinsates</w:t>
      </w:r>
      <w:proofErr w:type="spellEnd"/>
      <w:r>
        <w:t xml:space="preserve"> from lake samples subjected to the field foam collection and rinsing protocol.</w:t>
      </w:r>
      <w:r w:rsidR="00CD7BE1">
        <w:t xml:space="preserve"> </w:t>
      </w:r>
      <w:proofErr w:type="spellStart"/>
      <w:r>
        <w:t>Rinsates</w:t>
      </w:r>
      <w:proofErr w:type="spellEnd"/>
      <w:r>
        <w:t xml:space="preserve"> of foam-sequestered lake samples were significantly distinguishable from average background foam concentrations for As, Cd, Ni, Cr, Mg, Cu, Ce, Ba, and Se.</w:t>
      </w:r>
      <w:r w:rsidR="00CD7BE1">
        <w:t xml:space="preserve"> </w:t>
      </w:r>
      <w:r>
        <w:t xml:space="preserve">However, only the concentrations of Mg, Ce, and Cu were significantly distinguishable when comparing direct lake samples with lake water </w:t>
      </w:r>
      <w:proofErr w:type="spellStart"/>
      <w:r>
        <w:t>rinsates</w:t>
      </w:r>
      <w:proofErr w:type="spellEnd"/>
      <w:r>
        <w:t xml:space="preserve"> after average background foam concentrations were subtracted.</w:t>
      </w:r>
      <w:r w:rsidR="00CD7BE1">
        <w:t xml:space="preserve"> </w:t>
      </w:r>
      <w:r>
        <w:t>Mg concentrations were the only values above the LOQ.</w:t>
      </w:r>
      <w:r w:rsidR="00CD7BE1">
        <w:t xml:space="preserve"> </w:t>
      </w:r>
      <w:r>
        <w:t>This experiment indicated that foam retention from actual field samples could only be calculated from sources with high enough concentration levels to distinguish from background, and further supports that field concentrations of most metals estimated in the current study should be considered minimum values.</w:t>
      </w:r>
    </w:p>
    <w:p w14:paraId="0000002F" w14:textId="77777777" w:rsidR="002D3DC1" w:rsidRDefault="002D3DC1" w:rsidP="008C08D0">
      <w:pPr>
        <w:spacing w:after="0" w:line="480" w:lineRule="auto"/>
      </w:pPr>
    </w:p>
    <w:p w14:paraId="00000030" w14:textId="77777777" w:rsidR="002D3DC1" w:rsidRDefault="00062FCF" w:rsidP="008C08D0">
      <w:pPr>
        <w:spacing w:line="480" w:lineRule="auto"/>
        <w:rPr>
          <w:i/>
          <w:highlight w:val="white"/>
        </w:rPr>
      </w:pPr>
      <w:r>
        <w:rPr>
          <w:i/>
          <w:highlight w:val="white"/>
        </w:rPr>
        <w:t>16S rRNA Communities</w:t>
      </w:r>
    </w:p>
    <w:p w14:paraId="00000031" w14:textId="448F46AD" w:rsidR="002D3DC1" w:rsidRDefault="00062FCF" w:rsidP="008C08D0">
      <w:pPr>
        <w:spacing w:line="480" w:lineRule="auto"/>
        <w:rPr>
          <w:highlight w:val="white"/>
        </w:rPr>
      </w:pPr>
      <w:r>
        <w:rPr>
          <w:highlight w:val="white"/>
        </w:rPr>
        <w:t xml:space="preserve">Sequencing data from Illumina </w:t>
      </w:r>
      <w:proofErr w:type="spellStart"/>
      <w:r>
        <w:rPr>
          <w:highlight w:val="white"/>
        </w:rPr>
        <w:t>MiSeq</w:t>
      </w:r>
      <w:proofErr w:type="spellEnd"/>
      <w:r>
        <w:rPr>
          <w:highlight w:val="white"/>
        </w:rPr>
        <w:t xml:space="preserve"> runs were </w:t>
      </w:r>
      <w:proofErr w:type="spellStart"/>
      <w:r>
        <w:rPr>
          <w:highlight w:val="white"/>
        </w:rPr>
        <w:t>demultiplexed</w:t>
      </w:r>
      <w:proofErr w:type="spellEnd"/>
      <w:r>
        <w:rPr>
          <w:highlight w:val="white"/>
        </w:rPr>
        <w:t xml:space="preserve"> using the </w:t>
      </w:r>
      <w:proofErr w:type="spellStart"/>
      <w:r>
        <w:rPr>
          <w:highlight w:val="white"/>
        </w:rPr>
        <w:t>MiSeq</w:t>
      </w:r>
      <w:proofErr w:type="spellEnd"/>
      <w:r>
        <w:rPr>
          <w:highlight w:val="white"/>
        </w:rPr>
        <w:t xml:space="preserve"> Reporter Generate FASTQ workflow, producing forward and reverse read files in FASTQ format for each filter in a kit used to sample a drinking water source. Reads files from multiple sequencing runs were processed together</w:t>
      </w:r>
      <w:r w:rsidR="005304A7">
        <w:rPr>
          <w:highlight w:val="white"/>
        </w:rPr>
        <w:t xml:space="preserve"> and evaluated for standard quality control metrics</w:t>
      </w:r>
      <w:r>
        <w:rPr>
          <w:highlight w:val="white"/>
        </w:rPr>
        <w:t xml:space="preserve"> according to the </w:t>
      </w:r>
      <w:proofErr w:type="spellStart"/>
      <w:r>
        <w:rPr>
          <w:highlight w:val="white"/>
        </w:rPr>
        <w:lastRenderedPageBreak/>
        <w:t>MiSeq</w:t>
      </w:r>
      <w:proofErr w:type="spellEnd"/>
      <w:r>
        <w:rPr>
          <w:highlight w:val="white"/>
        </w:rPr>
        <w:t xml:space="preserve"> SOP </w:t>
      </w:r>
      <w:r w:rsidR="00DB5690">
        <w:rPr>
          <w:highlight w:val="white"/>
        </w:rPr>
        <w:fldChar w:fldCharType="begin"/>
      </w:r>
      <w:r w:rsidR="00C7218C">
        <w:rPr>
          <w:highlight w:val="white"/>
        </w:rPr>
        <w:instrText xml:space="preserve"> ADDIN ZOTERO_ITEM CSL_CITATION {"citationID":"6yNjFPnG","properties":{"formattedCitation":"[8, 9]","plainCitation":"[8, 9]","noteIndex":0},"citationItems":[{"id":10999,"uris":["http://zotero.org/groups/2210804/items/PQEMM3MZ"],"uri":["http://zotero.org/groups/2210804/items/PQEMM3MZ"],"itemData":{"id":10999,"type":"article-journal","container-title":"Applied and Environmental Microbiology","DOI":"10.1128/AEM.01043-13","ISSN":"0099-2240","issue":"17","page":"5112–5120","title":"Development of a Dual-Index Sequencing Strategy and Curation Pipeline for Analyzing Amplicon Sequence Data on the MiSeq Illumina Sequencing Platform","volume":"79","author":[{"family":"Kozich","given":"J. J."},{"family":"Westcott","given":"S. L."},{"family":"Baxter","given":"N. T."},{"family":"Highlander","given":"S. K."},{"family":"Schloss","given":"P. D."}],"issued":{"date-parts":[["2013"]]}}},{"id":11058,"uris":["http://zotero.org/groups/2210804/items/IW6HQJNH"],"uri":["http://zotero.org/groups/2210804/items/IW6HQJNH"],"itemData":{"id":11058,"type":"webpage","container-title":"MiSeq SOP","title":"MiSeq SOP","URL":"https://mothur.org/wiki/miseq_sop/","author":[{"literal":"Patrick D. Schloss"}],"accessed":{"date-parts":[["2020",10,13]]}}}],"schema":"https://github.com/citation-style-language/schema/raw/master/csl-citation.json"} </w:instrText>
      </w:r>
      <w:r w:rsidR="00DB5690">
        <w:rPr>
          <w:highlight w:val="white"/>
        </w:rPr>
        <w:fldChar w:fldCharType="separate"/>
      </w:r>
      <w:r w:rsidR="00C7218C">
        <w:rPr>
          <w:noProof/>
          <w:highlight w:val="white"/>
        </w:rPr>
        <w:t>[8, 9]</w:t>
      </w:r>
      <w:r w:rsidR="00DB5690">
        <w:rPr>
          <w:highlight w:val="white"/>
        </w:rPr>
        <w:fldChar w:fldCharType="end"/>
      </w:r>
      <w:r>
        <w:rPr>
          <w:highlight w:val="white"/>
        </w:rPr>
        <w:t xml:space="preserve"> using </w:t>
      </w:r>
      <w:proofErr w:type="spellStart"/>
      <w:r>
        <w:rPr>
          <w:highlight w:val="white"/>
        </w:rPr>
        <w:t>mothur</w:t>
      </w:r>
      <w:proofErr w:type="spellEnd"/>
      <w:r>
        <w:rPr>
          <w:highlight w:val="white"/>
        </w:rPr>
        <w:t xml:space="preserve"> v.1.44.0 </w:t>
      </w:r>
      <w:r w:rsidR="00DB5690">
        <w:rPr>
          <w:highlight w:val="white"/>
        </w:rPr>
        <w:fldChar w:fldCharType="begin"/>
      </w:r>
      <w:r w:rsidR="00C7218C">
        <w:rPr>
          <w:highlight w:val="white"/>
        </w:rPr>
        <w:instrText xml:space="preserve"> ADDIN ZOTERO_ITEM CSL_CITATION {"citationID":"6Fk75rh9","properties":{"formattedCitation":"[10]","plainCitation":"[10]","noteIndex":0},"citationItems":[{"id":11076,"uris":["http://zotero.org/groups/2210804/items/SFGDXJ58"],"uri":["http://zotero.org/groups/2210804/items/SFGDXJ58"],"itemData":{"id":11076,"type":"article-journal","abstract":"mothur aims to be a comprehensive software package that allows users to use a single piece of software to analyze community sequence data. It builds upon previous tools to provide a flexible and powerful software package for analyzing sequencing data. As a case study, we used mothur to trim, screen, and align sequences; calculate distances; assign sequences to operational taxonomic units; and describe the α and β diversity of eight marine samples previously characterized by pyrosequencing of 16S rRNA gene fragments. This analysis of more than 222,000 sequences was completed in less than 2 h with a laptop computer.","container-title":"Applied and Environmental Microbiology","DOI":"10.1128/AEM.01541-09","ISSN":"0099-2240, 1098-5336","issue":"23","journalAbbreviation":"Appl. Environ. Microbiol.","language":"en","note":"publisher: American Society for Microbiology\nsection: METHODS\nPMID: 19801464","page":"7537-7541","source":"aem.asm.org","title":"Introducing mothur: Open-Source, Platform-Independent, Community-Supported Software for Describing and Comparing Microbial Communities","title-short":"Introducing mothur","volume":"75","author":[{"family":"Schloss","given":"Patrick D."},{"family":"Westcott","given":"Sarah L."},{"family":"Ryabin","given":"Thomas"},{"family":"Hall","given":"Justine R."},{"family":"Hartmann","given":"Martin"},{"family":"Hollister","given":"Emily B."},{"family":"Lesniewski","given":"Ryan A."},{"family":"Oakley","given":"Brian B."},{"family":"Parks","given":"Donovan H."},{"family":"Robinson","given":"Courtney J."},{"family":"Sahl","given":"Jason W."},{"family":"Stres","given":"Blaz"},{"family":"Thallinger","given":"Gerhard G."},{"family":"Horn","given":"David J. Van"},{"family":"Weber","given":"Carolyn F."}],"issued":{"date-parts":[["2009",12,1]]}}}],"schema":"https://github.com/citation-style-language/schema/raw/master/csl-citation.json"} </w:instrText>
      </w:r>
      <w:r w:rsidR="00DB5690">
        <w:rPr>
          <w:highlight w:val="white"/>
        </w:rPr>
        <w:fldChar w:fldCharType="separate"/>
      </w:r>
      <w:r w:rsidR="00C7218C">
        <w:rPr>
          <w:noProof/>
          <w:highlight w:val="white"/>
        </w:rPr>
        <w:t>[10]</w:t>
      </w:r>
      <w:r w:rsidR="00DB5690">
        <w:rPr>
          <w:highlight w:val="white"/>
        </w:rPr>
        <w:fldChar w:fldCharType="end"/>
      </w:r>
      <w:r>
        <w:rPr>
          <w:highlight w:val="white"/>
        </w:rPr>
        <w:t xml:space="preserve"> </w:t>
      </w:r>
      <w:r w:rsidR="00DB5690">
        <w:rPr>
          <w:highlight w:val="white"/>
        </w:rPr>
        <w:t>via</w:t>
      </w:r>
      <w:r>
        <w:rPr>
          <w:highlight w:val="white"/>
        </w:rPr>
        <w:t xml:space="preserve"> a batch script of </w:t>
      </w:r>
      <w:proofErr w:type="spellStart"/>
      <w:r>
        <w:rPr>
          <w:highlight w:val="white"/>
        </w:rPr>
        <w:t>mothur</w:t>
      </w:r>
      <w:proofErr w:type="spellEnd"/>
      <w:r>
        <w:rPr>
          <w:highlight w:val="white"/>
        </w:rPr>
        <w:t xml:space="preserve"> commands to produce a set of high quality operational taxonomic units (OTUs) at a similarity cutoff of 97%. Reads were aligned and taxonomy assigned using the Silva Release 132 alignment and database</w:t>
      </w:r>
      <w:r w:rsidR="00DB5690">
        <w:rPr>
          <w:highlight w:val="white"/>
        </w:rPr>
        <w:t xml:space="preserve"> </w:t>
      </w:r>
      <w:r w:rsidR="00DB5690">
        <w:rPr>
          <w:highlight w:val="white"/>
        </w:rPr>
        <w:fldChar w:fldCharType="begin"/>
      </w:r>
      <w:r w:rsidR="00C7218C">
        <w:rPr>
          <w:highlight w:val="white"/>
        </w:rPr>
        <w:instrText xml:space="preserve"> ADDIN ZOTERO_ITEM CSL_CITATION {"citationID":"pTTLGNFS","properties":{"formattedCitation":"[11]","plainCitation":"[11]","noteIndex":0},"citationItems":[{"id":11059,"uris":["http://zotero.org/groups/2210804/items/BPWTJTF7"],"uri":["http://zotero.org/groups/2210804/items/BPWTJTF7"],"itemData":{"id":11059,"type":"article-journal","abstract":"Abstract.  SILVA (from Latin silva, forest, http://www.arb-silva.de) is a comprehensive web resource for up to date, quality-controlled databases of aligned rib","container-title":"Nucleic Acids Research","DOI":"10.1093/nar/gks1219","ISSN":"0305-1048","issue":"D1","journalAbbreviation":"Nucleic Acids Res","language":"en","note":"publisher: Oxford Academic","page":"D590-D596","source":"academic.oup.com","title":"The SILVA ribosomal RNA gene database project: improved data processing and web-based tools","title-short":"The SILVA ribosomal RNA gene database project","volume":"41","author":[{"family":"Quast","given":"Christian"},{"family":"Pruesse","given":"Elmar"},{"family":"Yilmaz","given":"Pelin"},{"family":"Gerken","given":"Jan"},{"family":"Schweer","given":"Timmy"},{"family":"Yarza","given":"Pablo"},{"family":"Peplies","given":"Jörg"},{"family":"Glöckner","given":"Frank Oliver"}],"issued":{"date-parts":[["2013",1,1]]}}}],"schema":"https://github.com/citation-style-language/schema/raw/master/csl-citation.json"} </w:instrText>
      </w:r>
      <w:r w:rsidR="00DB5690">
        <w:rPr>
          <w:highlight w:val="white"/>
        </w:rPr>
        <w:fldChar w:fldCharType="separate"/>
      </w:r>
      <w:r w:rsidR="00C7218C">
        <w:rPr>
          <w:noProof/>
          <w:highlight w:val="white"/>
        </w:rPr>
        <w:t>[11]</w:t>
      </w:r>
      <w:r w:rsidR="00DB5690">
        <w:rPr>
          <w:highlight w:val="white"/>
        </w:rPr>
        <w:fldChar w:fldCharType="end"/>
      </w:r>
      <w:r>
        <w:rPr>
          <w:highlight w:val="white"/>
        </w:rPr>
        <w:t xml:space="preserve">. Chimeras were removed from the OTUs using </w:t>
      </w:r>
      <w:proofErr w:type="spellStart"/>
      <w:r>
        <w:rPr>
          <w:highlight w:val="white"/>
        </w:rPr>
        <w:t>vsearch</w:t>
      </w:r>
      <w:proofErr w:type="spellEnd"/>
      <w:r w:rsidR="00DF6478">
        <w:rPr>
          <w:highlight w:val="white"/>
        </w:rPr>
        <w:t xml:space="preserve"> v2.13.3 </w:t>
      </w:r>
      <w:r w:rsidR="00DF6478">
        <w:rPr>
          <w:highlight w:val="white"/>
        </w:rPr>
        <w:fldChar w:fldCharType="begin"/>
      </w:r>
      <w:r w:rsidR="00C7218C">
        <w:rPr>
          <w:highlight w:val="white"/>
        </w:rPr>
        <w:instrText xml:space="preserve"> ADDIN ZOTERO_ITEM CSL_CITATION {"citationID":"tBdm8WAp","properties":{"formattedCitation":"[12]","plainCitation":"[12]","noteIndex":0},"citationItems":[{"id":11080,"uris":["http://zotero.org/groups/2210804/items/YUXPI9QE"],"uri":["http://zotero.org/groups/2210804/items/YUXPI9QE"],"itemData":{"id":11080,"type":"article-journal","abstract":"Background VSEARCH is an open source and free of charge multithreaded 64-bit tool for processing and preparing metagenomics, genomics and population genomics nucleotide sequence data. It is designed as an alternative to the widely used USEARCH tool (Edgar, 2010) for which the source code is not publicly available, algorithm details are only rudimentarily described, and only a memory-confined 32-bit version is freely available for academic use. Methods When searching nucleotide sequences, VSEARCH uses a fast heuristic based on words shared by the query and target sequences in order to quickly identify similar sequences, a similar strategy is probably used in USEARCH. VSEARCH then performs optimal global sequence alignment of the query against potential target sequences, using full dynamic programming instead of the seed-and-extend heuristic used by USEARCH. Pairwise alignments are computed in parallel using vectorisation and multiple threads. Results VSEARCH includes most commands for analysing nucleotide sequences available in USEARCH version 7 and several of those available in USEARCH version 8, including searching (exact or based on global alignment), clustering by similarity (using length pre-sorting, abundance pre-sorting or a user-defined order), chimera detection (reference-based or de novo), dereplication (full length or prefix), pairwise alignment, reverse complementation, sorting, and subsampling. VSEARCH also includes commands for FASTQ file processing, i.e., format detection, filtering, read quality statistics, and merging of paired reads. Furthermore, VSEARCH extends functionality with several new commands and improvements, including shuffling, rereplication, masking of low-complexity sequences with the well-known DUST algorithm, a choice among different similarity definitions, and FASTQ file format conversion. VSEARCH is here shown to be more accurate than USEARCH when performing searching, clustering, chimera detection and subsampling, while on a par with USEARCH for paired-ends read merging. VSEARCH is slower than USEARCH when performing clustering and chimera detection, but significantly faster when performing paired-end reads merging and dereplication. VSEARCH is available at https://github.com/torognes/vsearch under either the BSD 2-clause license or the GNU General Public License version 3.0. Discussion VSEARCH has been shown to be a fast, accurate and full-fledged alternative to USEARCH. A free and open-source versatile tool for sequence analysis is now available to the metagenomics community.","container-title":"PeerJ","DOI":"10.7717/peerj.2584","ISSN":"2167-8359","journalAbbreviation":"PeerJ","language":"en","note":"publisher: PeerJ Inc.","page":"e2584","source":"peerj.com","title":"VSEARCH: a versatile open source tool for metagenomics","title-short":"VSEARCH","volume":"4","author":[{"family":"Rognes","given":"Torbjørn"},{"family":"Flouri","given":"Tomáš"},{"family":"Nichols","given":"Ben"},{"family":"Quince","given":"Christopher"},{"family":"Mahé","given":"Frédéric"}],"issued":{"date-parts":[["2016",10,18]]}}}],"schema":"https://github.com/citation-style-language/schema/raw/master/csl-citation.json"} </w:instrText>
      </w:r>
      <w:r w:rsidR="00DF6478">
        <w:rPr>
          <w:highlight w:val="white"/>
        </w:rPr>
        <w:fldChar w:fldCharType="separate"/>
      </w:r>
      <w:r w:rsidR="00C7218C">
        <w:rPr>
          <w:noProof/>
          <w:highlight w:val="white"/>
        </w:rPr>
        <w:t>[12]</w:t>
      </w:r>
      <w:r w:rsidR="00DF6478">
        <w:rPr>
          <w:highlight w:val="white"/>
        </w:rPr>
        <w:fldChar w:fldCharType="end"/>
      </w:r>
      <w:r>
        <w:rPr>
          <w:highlight w:val="white"/>
        </w:rPr>
        <w:t>. After processing, the data set included 7,312,060 sequences, representing 88,319 unique sequences (OTUs).</w:t>
      </w:r>
    </w:p>
    <w:p w14:paraId="00000032" w14:textId="7F22110C" w:rsidR="002D3DC1" w:rsidRDefault="00062FCF" w:rsidP="008C08D0">
      <w:pPr>
        <w:spacing w:line="480" w:lineRule="auto"/>
        <w:rPr>
          <w:highlight w:val="white"/>
        </w:rPr>
      </w:pPr>
      <w:r>
        <w:rPr>
          <w:highlight w:val="white"/>
        </w:rPr>
        <w:t xml:space="preserve">The data set was analyzed using the </w:t>
      </w:r>
      <w:r>
        <w:rPr>
          <w:i/>
          <w:highlight w:val="white"/>
        </w:rPr>
        <w:t xml:space="preserve">R </w:t>
      </w:r>
      <w:r>
        <w:rPr>
          <w:highlight w:val="white"/>
        </w:rPr>
        <w:t xml:space="preserve">packages, </w:t>
      </w:r>
      <w:proofErr w:type="spellStart"/>
      <w:r>
        <w:rPr>
          <w:highlight w:val="white"/>
        </w:rPr>
        <w:t>Phyloseq</w:t>
      </w:r>
      <w:proofErr w:type="spellEnd"/>
      <w:r>
        <w:rPr>
          <w:highlight w:val="white"/>
        </w:rPr>
        <w:t xml:space="preserve"> </w:t>
      </w:r>
      <w:r w:rsidR="00DF6478">
        <w:rPr>
          <w:highlight w:val="white"/>
        </w:rPr>
        <w:fldChar w:fldCharType="begin"/>
      </w:r>
      <w:r w:rsidR="00C7218C">
        <w:rPr>
          <w:highlight w:val="white"/>
        </w:rPr>
        <w:instrText xml:space="preserve"> ADDIN ZOTERO_ITEM CSL_CITATION {"citationID":"ijFhGbjB","properties":{"formattedCitation":"[13]","plainCitation":"[13]","noteIndex":0},"citationItems":[{"id":11002,"uris":["http://zotero.org/groups/2210804/items/XJ35GV4I"],"uri":["http://zotero.org/groups/2210804/items/XJ35GV4I"],"itemData":{"id":11002,"type":"article-journal","abstract":"Background: Abstract The analysis of microbial communities through DNA sequencing brings many challenges: the integration of different types of data with methods from ecology, genetics, phylogenetics, multivariate statistics, visualization and testing. With the increased breadth of experimental designs now being pursued, project-specific statistical analyses are often needed, and these analyses are often difficult (or impossible) for peer researchers to independently reproduce. The vast majority of the requisite tools for performing these analyses reproducibly are already implemented in R and its extensions (packages), but with limited support for high throughput microbiome census data. Results: Here we describe a software project, phyloseq, dedicated to the object-oriented representation and analysis of microbiome census data in R. It supports importing data from a variety of common formats, as well as many analysis techniques. These include calibration, filtering, subsetting, agglomeration, multi-table comparisons, diversity analysis, parallelized Fast UniFrac, ordination methods, and production of publication-quality graphics; all in a manner that is easy to document, share, and modify. We show how to apply functions from other R packages to phyloseq-represented data, illustrating the availability of a large number of open source analysis techniques. We discuss the use of phyloseq with tools for reproducible research, a practice common in other fields but still rare in the analysis of highly parallel microbiome census data. We have made available all of the materials necessary to completely reproduce the analysis and figures included in this Conclusions: article, an example of best practices for reproducible research. The phyloseq project for R is a new open-source software package, freely available on the web from both GitHub and Bioconductor.","container-title":"PLoS ONE","DOI":"10.1371/journal.pone.0061217","ISSN":"19326203","issue":"4","note":"PMID: 23630581","title":"Phyloseq: An R Package for Reproducible Interactive Analysis and Graphics of Microbiome Census Data","volume":"8","author":[{"family":"McMurdie","given":"Paul J."},{"family":"Holmes","given":"Susan"}],"issued":{"date-parts":[["2013"]]}}}],"schema":"https://github.com/citation-style-language/schema/raw/master/csl-citation.json"} </w:instrText>
      </w:r>
      <w:r w:rsidR="00DF6478">
        <w:rPr>
          <w:highlight w:val="white"/>
        </w:rPr>
        <w:fldChar w:fldCharType="separate"/>
      </w:r>
      <w:r w:rsidR="00C7218C">
        <w:rPr>
          <w:noProof/>
          <w:highlight w:val="white"/>
        </w:rPr>
        <w:t>[13]</w:t>
      </w:r>
      <w:r w:rsidR="00DF6478">
        <w:rPr>
          <w:highlight w:val="white"/>
        </w:rPr>
        <w:fldChar w:fldCharType="end"/>
      </w:r>
      <w:r>
        <w:rPr>
          <w:highlight w:val="white"/>
        </w:rPr>
        <w:t xml:space="preserve"> and vegan</w:t>
      </w:r>
      <w:r w:rsidR="00DF6478">
        <w:rPr>
          <w:highlight w:val="white"/>
        </w:rPr>
        <w:fldChar w:fldCharType="begin"/>
      </w:r>
      <w:r w:rsidR="00C7218C">
        <w:rPr>
          <w:highlight w:val="white"/>
        </w:rPr>
        <w:instrText xml:space="preserve"> ADDIN ZOTERO_ITEM CSL_CITATION {"citationID":"5kiXMgGK","properties":{"formattedCitation":"[14]","plainCitation":"[14]","noteIndex":0},"citationItems":[{"id":11030,"uris":["http://zotero.org/groups/2210804/items/KXR68DS6"],"uri":["http://zotero.org/groups/2210804/items/KXR68DS6"],"itemData":{"id":11030,"type":"book","genre":"R","note":"type: R package version 2.5-4.","title":"vegan: Community Ecology Package version 2.5-4","URL":"https://CRAN.R-project.org/package=vegan","version":"2.5-4","author":[{"family":"Jari Oksanen","given":"F.Guillaume Blanchet"},{"family":"Friendly","given":"Michael"},{"family":"Kindt","given":"Roeland"},{"family":"Legendre","given":"Pierre"},{"family":"McGlinn","given":"Dan"},{"family":"Minchin","given":"Peter R."},{"family":"O'Hara","given":"R.B."},{"family":"Simpson","given":"Gavin L."},{"family":"Peter Solymos","given":"M.Henry H.Stevens"},{"family":"Szoecs","given":"Eduard"},{"family":"Wagner","given":"Helene"}],"issued":{"date-parts":[["2019"]]}}}],"schema":"https://github.com/citation-style-language/schema/raw/master/csl-citation.json"} </w:instrText>
      </w:r>
      <w:r w:rsidR="00DF6478">
        <w:rPr>
          <w:highlight w:val="white"/>
        </w:rPr>
        <w:fldChar w:fldCharType="separate"/>
      </w:r>
      <w:r w:rsidR="00C7218C">
        <w:rPr>
          <w:noProof/>
          <w:highlight w:val="white"/>
        </w:rPr>
        <w:t>[14]</w:t>
      </w:r>
      <w:r w:rsidR="00DF6478">
        <w:rPr>
          <w:highlight w:val="white"/>
        </w:rPr>
        <w:fldChar w:fldCharType="end"/>
      </w:r>
      <w:r>
        <w:rPr>
          <w:highlight w:val="white"/>
        </w:rPr>
        <w:t xml:space="preserve">. A </w:t>
      </w:r>
      <w:proofErr w:type="spellStart"/>
      <w:r>
        <w:rPr>
          <w:highlight w:val="white"/>
        </w:rPr>
        <w:t>phyloseq</w:t>
      </w:r>
      <w:proofErr w:type="spellEnd"/>
      <w:r>
        <w:rPr>
          <w:highlight w:val="white"/>
        </w:rPr>
        <w:t xml:space="preserve"> data object was generated from the </w:t>
      </w:r>
      <w:proofErr w:type="spellStart"/>
      <w:r>
        <w:rPr>
          <w:highlight w:val="white"/>
        </w:rPr>
        <w:t>mothur</w:t>
      </w:r>
      <w:proofErr w:type="spellEnd"/>
      <w:r>
        <w:rPr>
          <w:highlight w:val="white"/>
        </w:rPr>
        <w:t xml:space="preserve"> “shared” and “taxonomy” files and a metadata file describing characteristics of each sample. Each sequencing reaction is represented by a row in the metadata spreadsheet, with each row representing backflushed material from a single filter. Beta diversity analyses were performed by calculating Bray-Curtis pairwise distances followed by NMDS ordination (</w:t>
      </w:r>
      <w:r>
        <w:rPr>
          <w:i/>
          <w:highlight w:val="white"/>
        </w:rPr>
        <w:t>k</w:t>
      </w:r>
      <w:r>
        <w:rPr>
          <w:highlight w:val="white"/>
        </w:rPr>
        <w:t xml:space="preserve"> ranging from 2 to 15, 200 iterations). The quality of sequencing reactions from each filter in each kit was initially evaluated by looking at the degree of clustering of filters from a kit in NMDS ordinations alongside control sequencing reactions associated with the date a kit was processed (backflush controls) and the library preparation plate the filters were processed on (plate controls). It was expected that the three Filter A replicates from a kit (water source) should cluster in the ordination and be separated from Filter B replicates of the same (and other) kit(s). The number of reads from a sequencing reaction were also used to evaluate the quality of the sequencing reactions. All sequencing reactions with fewer than 5000 reads were eliminated from further analysis. Five kits were eliminated from further analysis of bacterial communities (kits 221, 234, 241, 245, 247) after quality control evaluations were completed. PERMANOVA </w:t>
      </w:r>
      <w:r w:rsidR="00DF6478">
        <w:rPr>
          <w:highlight w:val="white"/>
        </w:rPr>
        <w:fldChar w:fldCharType="begin"/>
      </w:r>
      <w:r w:rsidR="00C7218C">
        <w:rPr>
          <w:highlight w:val="white"/>
        </w:rPr>
        <w:instrText xml:space="preserve"> ADDIN ZOTERO_ITEM CSL_CITATION {"citationID":"JASYvuaE","properties":{"formattedCitation":"[15]","plainCitation":"[15]","noteIndex":0},"citationItems":[{"id":11036,"uris":["http://zotero.org/groups/2210804/items/L4PRHSWC"],"uri":["http://zotero.org/groups/2210804/items/L4PRHSWC"],"itemData":{"id":11036,"type":"chapter","abstract":"Permutational multivariate analysis of variance (PERMANOVA) is a geometric partitioning of variation across a multivariate data cloud, defined explicitly in the space of a chosen dissimilarity measure, in response to one or more factors in an analysis of variance design. Statistical inferences are made in a distribution-free setting using permutational algorithms. The PERMANOVA framework is readily extended to accommodate random effects, hierarchical models, mixed models, quantitative covariates, repeated measures, unbalanced and/or asymmetrical designs, and, most recently, heterogeneous dispersions among groups. Plots to accompany PERMANOVA models include ordinations of either fitted or residualized distance matrices, including multivariate analogues to main effects and interaction plots, to visualize results.","container-title":"Wiley StatsRef: Statistics Reference Online","ISBN":"978-1-118-44511-2","language":"en","note":"_eprint: https://onlinelibrary.wiley.com/doi/pdf/10.1002/9781118445112.stat07841\nDOI: 10.1002/9781118445112.stat07841","page":"1-15","publisher":"American Cancer Society","source":"Wiley Online Library","title":"Permutational Multivariate Analysis of Variance (PERMANOVA)","URL":"https://onlinelibrary.wiley.com/doi/abs/10.1002/9781118445112.stat07841","author":[{"family":"Anderson","given":"Marti J."}],"accessed":{"date-parts":[["2020",10,1]]},"issued":{"date-parts":[["2017"]]}}}],"schema":"https://github.com/citation-style-language/schema/raw/master/csl-citation.json"} </w:instrText>
      </w:r>
      <w:r w:rsidR="00DF6478">
        <w:rPr>
          <w:highlight w:val="white"/>
        </w:rPr>
        <w:fldChar w:fldCharType="separate"/>
      </w:r>
      <w:r w:rsidR="00C7218C">
        <w:rPr>
          <w:noProof/>
          <w:highlight w:val="white"/>
        </w:rPr>
        <w:t>[15]</w:t>
      </w:r>
      <w:r w:rsidR="00DF6478">
        <w:rPr>
          <w:highlight w:val="white"/>
        </w:rPr>
        <w:fldChar w:fldCharType="end"/>
      </w:r>
      <w:r>
        <w:rPr>
          <w:highlight w:val="white"/>
        </w:rPr>
        <w:t xml:space="preserve"> and </w:t>
      </w:r>
      <w:proofErr w:type="spellStart"/>
      <w:r>
        <w:rPr>
          <w:highlight w:val="white"/>
        </w:rPr>
        <w:t>betadisper</w:t>
      </w:r>
      <w:proofErr w:type="spellEnd"/>
      <w:r>
        <w:rPr>
          <w:highlight w:val="white"/>
        </w:rPr>
        <w:t xml:space="preserve"> were performed on pairwise sample groupings based on these metadata categories: </w:t>
      </w:r>
      <w:proofErr w:type="spellStart"/>
      <w:r>
        <w:rPr>
          <w:highlight w:val="white"/>
        </w:rPr>
        <w:t>tandem_filter</w:t>
      </w:r>
      <w:proofErr w:type="spellEnd"/>
      <w:r>
        <w:rPr>
          <w:highlight w:val="white"/>
        </w:rPr>
        <w:t xml:space="preserve">, filter, kit, </w:t>
      </w:r>
      <w:proofErr w:type="spellStart"/>
      <w:r>
        <w:rPr>
          <w:highlight w:val="white"/>
        </w:rPr>
        <w:t>water_type</w:t>
      </w:r>
      <w:proofErr w:type="spellEnd"/>
      <w:r>
        <w:rPr>
          <w:highlight w:val="white"/>
        </w:rPr>
        <w:t xml:space="preserve">, and all subcategories of </w:t>
      </w:r>
      <w:proofErr w:type="spellStart"/>
      <w:r>
        <w:rPr>
          <w:highlight w:val="white"/>
        </w:rPr>
        <w:t>water_type</w:t>
      </w:r>
      <w:proofErr w:type="spellEnd"/>
      <w:r>
        <w:rPr>
          <w:highlight w:val="white"/>
        </w:rPr>
        <w:t>.</w:t>
      </w:r>
    </w:p>
    <w:p w14:paraId="00000033" w14:textId="3A7188D9" w:rsidR="002D3DC1" w:rsidRDefault="00062FCF" w:rsidP="008C08D0">
      <w:pPr>
        <w:spacing w:line="480" w:lineRule="auto"/>
        <w:rPr>
          <w:highlight w:val="white"/>
        </w:rPr>
      </w:pPr>
      <w:r>
        <w:rPr>
          <w:highlight w:val="white"/>
        </w:rPr>
        <w:lastRenderedPageBreak/>
        <w:t xml:space="preserve">In order to determine the presence/absence of 18 bacterial genera in backflush material from each filter, relative abundances of each OTU in a sample were calculated and OTUs were filtered to remove those below 0.1%. Each genus was considered present in a drinking water sample if the following criteria were met: 1) present in at least one Filter A replicate, 2) absent in all associated Filter B replicates, and 3) absent in all associated backflush controls and the negative plate control. Results for each water source (kit) are shown </w:t>
      </w:r>
      <w:r w:rsidR="00F152DC">
        <w:rPr>
          <w:highlight w:val="white"/>
        </w:rPr>
        <w:t xml:space="preserve">in </w:t>
      </w:r>
      <w:r>
        <w:rPr>
          <w:highlight w:val="white"/>
        </w:rPr>
        <w:t>Additional File 1.</w:t>
      </w:r>
    </w:p>
    <w:p w14:paraId="00000035" w14:textId="2A602701" w:rsidR="002D3DC1" w:rsidRDefault="00062FCF" w:rsidP="008C08D0">
      <w:pPr>
        <w:spacing w:line="480" w:lineRule="auto"/>
      </w:pPr>
      <w:r>
        <w:rPr>
          <w:b/>
          <w:highlight w:val="white"/>
        </w:rPr>
        <w:t>References</w:t>
      </w:r>
    </w:p>
    <w:p w14:paraId="3B971A9A" w14:textId="77777777" w:rsidR="00C7218C" w:rsidRPr="00C7218C" w:rsidRDefault="00DF6478" w:rsidP="008C08D0">
      <w:pPr>
        <w:pStyle w:val="Bibliography"/>
        <w:spacing w:line="480" w:lineRule="auto"/>
      </w:pPr>
      <w:r>
        <w:rPr>
          <w:b/>
        </w:rPr>
        <w:fldChar w:fldCharType="begin"/>
      </w:r>
      <w:r>
        <w:rPr>
          <w:b/>
        </w:rPr>
        <w:instrText xml:space="preserve"> ADDIN ZOTERO_BIBL {"uncited":[],"omitted":[],"custom":[]} CSL_BIBLIOGRAPHY </w:instrText>
      </w:r>
      <w:r>
        <w:rPr>
          <w:b/>
        </w:rPr>
        <w:fldChar w:fldCharType="separate"/>
      </w:r>
      <w:r w:rsidR="00C7218C" w:rsidRPr="00C7218C">
        <w:t>1. SchlossLab/MiSeq_WetLab_SOP. SchlossLab; 2020. https://github.com/SchlossLab/MiSeq_WetLab_SOP. Accessed 21 Oct 2020.</w:t>
      </w:r>
    </w:p>
    <w:p w14:paraId="2EE4609C" w14:textId="77777777" w:rsidR="00C7218C" w:rsidRPr="00C7218C" w:rsidRDefault="00C7218C" w:rsidP="008C08D0">
      <w:pPr>
        <w:pStyle w:val="Bibliography"/>
        <w:spacing w:line="480" w:lineRule="auto"/>
      </w:pPr>
      <w:r w:rsidRPr="00C7218C">
        <w:t>2. Peterson JW, Fry B, Wade D, Fishman F, Stid J, Tarp C, et al. Application of point-of-use water filters and polyurethane foams as a global reconnaissance method to characterize particulates and heavy metals in untreated drinking water sources. In Review.</w:t>
      </w:r>
    </w:p>
    <w:p w14:paraId="0A5B1246" w14:textId="77777777" w:rsidR="00C7218C" w:rsidRPr="00C7218C" w:rsidRDefault="00C7218C" w:rsidP="008C08D0">
      <w:pPr>
        <w:pStyle w:val="Bibliography"/>
        <w:spacing w:line="480" w:lineRule="auto"/>
      </w:pPr>
      <w:r w:rsidRPr="00C7218C">
        <w:t>3. Meybeck M, Laroche L, Dürr HH, Syvitski JPM. Global variability of daily total suspended solids and their fluxes in rivers. Glob Planet Change. 2003;39:65–93.</w:t>
      </w:r>
    </w:p>
    <w:p w14:paraId="62D8B37C" w14:textId="77777777" w:rsidR="00C7218C" w:rsidRPr="00C7218C" w:rsidRDefault="00C7218C" w:rsidP="008C08D0">
      <w:pPr>
        <w:pStyle w:val="Bibliography"/>
        <w:spacing w:line="480" w:lineRule="auto"/>
      </w:pPr>
      <w:r w:rsidRPr="00C7218C">
        <w:t>4. Garzanti E, Andó S, France-Lanord C, Censi P, Vignola P, Galy V, et al. Mineralogical and chemical variability of fluvial sediments 2. Suspended-load silt (Ganga–Brahmaputra, Bangladesh). Earth Planet Sci Lett. 2011;302:107–20.</w:t>
      </w:r>
    </w:p>
    <w:p w14:paraId="2E6A94C2" w14:textId="77777777" w:rsidR="00C7218C" w:rsidRPr="00C7218C" w:rsidRDefault="00C7218C" w:rsidP="008C08D0">
      <w:pPr>
        <w:pStyle w:val="Bibliography"/>
        <w:spacing w:line="480" w:lineRule="auto"/>
      </w:pPr>
      <w:r w:rsidRPr="00C7218C">
        <w:t>5. Blake JM, Peters SC. The occurrence and dominant controls on arsenic in the Newark and Gettysburg Basins. Sci Total Environ. 2015;505:1340–9.</w:t>
      </w:r>
    </w:p>
    <w:p w14:paraId="49D9A1DB" w14:textId="77777777" w:rsidR="00C7218C" w:rsidRPr="00C7218C" w:rsidRDefault="00C7218C" w:rsidP="008C08D0">
      <w:pPr>
        <w:pStyle w:val="Bibliography"/>
        <w:spacing w:line="480" w:lineRule="auto"/>
      </w:pPr>
      <w:r w:rsidRPr="00C7218C">
        <w:lastRenderedPageBreak/>
        <w:t>6. Nasrabadi T, Ruegner H, Schwientek M, Bennett J, Valipour SF, Grathwohl P. Bulk metal concentrations versus total suspended solids in rivers: Time-invariant &amp; catchment-specific relationships. PLOS ONE. 2018;13:e0191314.</w:t>
      </w:r>
    </w:p>
    <w:p w14:paraId="3D231E0F" w14:textId="77777777" w:rsidR="00C7218C" w:rsidRPr="00C7218C" w:rsidRDefault="00C7218C" w:rsidP="008C08D0">
      <w:pPr>
        <w:pStyle w:val="Bibliography"/>
        <w:spacing w:line="480" w:lineRule="auto"/>
      </w:pPr>
      <w:r w:rsidRPr="00C7218C">
        <w:t>7. Sarojam P. Application Note: ICP-Optical Emission Spectroscopy. 2010. https://www.perkinelmer.com/lab-solutions/resources/docs/APP_MetalsinWastewater.pdf.</w:t>
      </w:r>
    </w:p>
    <w:p w14:paraId="0744F494" w14:textId="77777777" w:rsidR="00C7218C" w:rsidRPr="00C7218C" w:rsidRDefault="00C7218C" w:rsidP="008C08D0">
      <w:pPr>
        <w:pStyle w:val="Bibliography"/>
        <w:spacing w:line="480" w:lineRule="auto"/>
      </w:pPr>
      <w:r w:rsidRPr="00C7218C">
        <w:t>8. Kozich JJ, Westcott SL, Baxter NT, Highlander SK, Schloss PD. Development of a Dual-Index Sequencing Strategy and Curation Pipeline for Analyzing Amplicon Sequence Data on the MiSeq Illumina Sequencing Platform. Appl Environ Microbiol. 2013;79:5112–5120.</w:t>
      </w:r>
    </w:p>
    <w:p w14:paraId="7B677E0C" w14:textId="77777777" w:rsidR="00C7218C" w:rsidRPr="00C7218C" w:rsidRDefault="00C7218C" w:rsidP="008C08D0">
      <w:pPr>
        <w:pStyle w:val="Bibliography"/>
        <w:spacing w:line="480" w:lineRule="auto"/>
      </w:pPr>
      <w:r w:rsidRPr="00C7218C">
        <w:t>9. Patrick D. Schloss. MiSeq SOP. MiSeq SOP. https://mothur.org/wiki/miseq_sop/. Accessed 13 Oct 2020.</w:t>
      </w:r>
    </w:p>
    <w:p w14:paraId="4C5B799C" w14:textId="77777777" w:rsidR="00C7218C" w:rsidRPr="00C7218C" w:rsidRDefault="00C7218C" w:rsidP="008C08D0">
      <w:pPr>
        <w:pStyle w:val="Bibliography"/>
        <w:spacing w:line="480" w:lineRule="auto"/>
      </w:pPr>
      <w:r w:rsidRPr="00C7218C">
        <w:t>10. Schloss PD, Westcott SL, Ryabin T, Hall JR, Hartmann M, Hollister EB, et al. Introducing mothur: Open-Source, Platform-Independent, Community-Supported Software for Describing and Comparing Microbial Communities. Appl Environ Microbiol. 2009;75:7537–41.</w:t>
      </w:r>
    </w:p>
    <w:p w14:paraId="6C553B33" w14:textId="77777777" w:rsidR="00C7218C" w:rsidRPr="00C7218C" w:rsidRDefault="00C7218C" w:rsidP="008C08D0">
      <w:pPr>
        <w:pStyle w:val="Bibliography"/>
        <w:spacing w:line="480" w:lineRule="auto"/>
      </w:pPr>
      <w:r w:rsidRPr="00C7218C">
        <w:t>11. Quast C, Pruesse E, Yilmaz P, Gerken J, Schweer T, Yarza P, et al. The SILVA ribosomal RNA gene database project: improved data processing and web-based tools. Nucleic Acids Res. 2013;41:D590–6.</w:t>
      </w:r>
    </w:p>
    <w:p w14:paraId="1CCCF217" w14:textId="77777777" w:rsidR="00C7218C" w:rsidRPr="00C7218C" w:rsidRDefault="00C7218C" w:rsidP="008C08D0">
      <w:pPr>
        <w:pStyle w:val="Bibliography"/>
        <w:spacing w:line="480" w:lineRule="auto"/>
      </w:pPr>
      <w:r w:rsidRPr="00C7218C">
        <w:t>12. Rognes T, Flouri T, Nichols B, Quince C, Mahé F. VSEARCH: a versatile open source tool for metagenomics. PeerJ. 2016;4:e2584.</w:t>
      </w:r>
    </w:p>
    <w:p w14:paraId="7D7018D2" w14:textId="77777777" w:rsidR="00C7218C" w:rsidRPr="00C7218C" w:rsidRDefault="00C7218C" w:rsidP="008C08D0">
      <w:pPr>
        <w:pStyle w:val="Bibliography"/>
        <w:spacing w:line="480" w:lineRule="auto"/>
      </w:pPr>
      <w:r w:rsidRPr="00C7218C">
        <w:t>13. McMurdie PJ, Holmes S. Phyloseq: An R Package for Reproducible Interactive Analysis and Graphics of Microbiome Census Data. PLoS ONE. 2013;8.</w:t>
      </w:r>
    </w:p>
    <w:p w14:paraId="50752088" w14:textId="77777777" w:rsidR="00C7218C" w:rsidRPr="00C7218C" w:rsidRDefault="00C7218C" w:rsidP="008C08D0">
      <w:pPr>
        <w:pStyle w:val="Bibliography"/>
        <w:spacing w:line="480" w:lineRule="auto"/>
      </w:pPr>
      <w:r w:rsidRPr="00C7218C">
        <w:lastRenderedPageBreak/>
        <w:t>14. Jari Oksanen FGB, Friendly M, Kindt R, Legendre P, McGlinn D, Minchin PR, et al. vegan: Community Ecology Package version 2.5-4. 2019. https://CRAN.R-project.org/package=vegan.</w:t>
      </w:r>
    </w:p>
    <w:p w14:paraId="386DDF24" w14:textId="77777777" w:rsidR="00C7218C" w:rsidRPr="00C7218C" w:rsidRDefault="00C7218C" w:rsidP="008C08D0">
      <w:pPr>
        <w:pStyle w:val="Bibliography"/>
        <w:spacing w:line="480" w:lineRule="auto"/>
      </w:pPr>
      <w:r w:rsidRPr="00C7218C">
        <w:t>15. Anderson MJ. Permutational Multivariate Analysis of Variance (PERMANOVA). In: Wiley StatsRef: Statistics Reference Online. American Cancer Society; 2017. p. 1–15. doi:10.1002/9781118445112.stat07841.</w:t>
      </w:r>
    </w:p>
    <w:p w14:paraId="0000003F" w14:textId="7441B6A6" w:rsidR="002D3DC1" w:rsidRPr="00DF6478" w:rsidRDefault="00DF6478" w:rsidP="008C08D0">
      <w:pPr>
        <w:spacing w:after="0" w:line="480" w:lineRule="auto"/>
        <w:rPr>
          <w:b/>
        </w:rPr>
      </w:pPr>
      <w:r>
        <w:rPr>
          <w:b/>
        </w:rPr>
        <w:fldChar w:fldCharType="end"/>
      </w:r>
    </w:p>
    <w:sectPr w:rsidR="002D3DC1" w:rsidRPr="00DF6478" w:rsidSect="004D7F82">
      <w:footerReference w:type="default" r:id="rId11"/>
      <w:pgSz w:w="12240" w:h="15840"/>
      <w:pgMar w:top="1440" w:right="1440" w:bottom="1440" w:left="1440" w:header="720" w:footer="720" w:gutter="0"/>
      <w:lnNumType w:countBy="1" w:restart="continuous"/>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27C2EA" w14:textId="77777777" w:rsidR="00D61347" w:rsidRDefault="00D61347">
      <w:pPr>
        <w:spacing w:after="0" w:line="240" w:lineRule="auto"/>
      </w:pPr>
      <w:r>
        <w:separator/>
      </w:r>
    </w:p>
  </w:endnote>
  <w:endnote w:type="continuationSeparator" w:id="0">
    <w:p w14:paraId="6CE5D6FD" w14:textId="77777777" w:rsidR="00D61347" w:rsidRDefault="00D61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0" w14:textId="77777777" w:rsidR="002D3DC1" w:rsidRDefault="002D3DC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131DD0" w14:textId="77777777" w:rsidR="00D61347" w:rsidRDefault="00D61347">
      <w:pPr>
        <w:spacing w:after="0" w:line="240" w:lineRule="auto"/>
      </w:pPr>
      <w:r>
        <w:separator/>
      </w:r>
    </w:p>
  </w:footnote>
  <w:footnote w:type="continuationSeparator" w:id="0">
    <w:p w14:paraId="49AA526F" w14:textId="77777777" w:rsidR="00D61347" w:rsidRDefault="00D613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2A110B"/>
    <w:multiLevelType w:val="multilevel"/>
    <w:tmpl w:val="0A64F1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aron Best">
    <w15:presenceInfo w15:providerId="AD" w15:userId="S::best@hope.edu::b1c8ec0f-0ba4-4bcb-8fe4-b49fe13873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DC1"/>
    <w:rsid w:val="00062FCF"/>
    <w:rsid w:val="002D3DC1"/>
    <w:rsid w:val="003875FF"/>
    <w:rsid w:val="0045593C"/>
    <w:rsid w:val="004D7F82"/>
    <w:rsid w:val="005304A7"/>
    <w:rsid w:val="005B2BCA"/>
    <w:rsid w:val="00625CB5"/>
    <w:rsid w:val="0078621C"/>
    <w:rsid w:val="008440BA"/>
    <w:rsid w:val="008C08D0"/>
    <w:rsid w:val="008F2F94"/>
    <w:rsid w:val="00C7218C"/>
    <w:rsid w:val="00CD7BE1"/>
    <w:rsid w:val="00D61347"/>
    <w:rsid w:val="00DB5690"/>
    <w:rsid w:val="00DF6478"/>
    <w:rsid w:val="00F15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81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B2BCA"/>
    <w:pPr>
      <w:spacing w:after="0" w:line="240" w:lineRule="auto"/>
    </w:pPr>
    <w:rPr>
      <w:sz w:val="18"/>
      <w:szCs w:val="18"/>
    </w:rPr>
  </w:style>
  <w:style w:type="character" w:customStyle="1" w:styleId="BalloonTextChar">
    <w:name w:val="Balloon Text Char"/>
    <w:basedOn w:val="DefaultParagraphFont"/>
    <w:link w:val="BalloonText"/>
    <w:uiPriority w:val="99"/>
    <w:semiHidden/>
    <w:rsid w:val="005B2BCA"/>
    <w:rPr>
      <w:sz w:val="18"/>
      <w:szCs w:val="18"/>
    </w:rPr>
  </w:style>
  <w:style w:type="paragraph" w:styleId="Bibliography">
    <w:name w:val="Bibliography"/>
    <w:basedOn w:val="Normal"/>
    <w:next w:val="Normal"/>
    <w:uiPriority w:val="37"/>
    <w:unhideWhenUsed/>
    <w:rsid w:val="00DB5690"/>
    <w:pPr>
      <w:spacing w:after="240" w:line="240" w:lineRule="auto"/>
    </w:pPr>
  </w:style>
  <w:style w:type="character" w:styleId="LineNumber">
    <w:name w:val="line number"/>
    <w:basedOn w:val="DefaultParagraphFont"/>
    <w:uiPriority w:val="99"/>
    <w:semiHidden/>
    <w:unhideWhenUsed/>
    <w:rsid w:val="004D7F82"/>
  </w:style>
  <w:style w:type="paragraph" w:styleId="CommentSubject">
    <w:name w:val="annotation subject"/>
    <w:basedOn w:val="CommentText"/>
    <w:next w:val="CommentText"/>
    <w:link w:val="CommentSubjectChar"/>
    <w:uiPriority w:val="99"/>
    <w:semiHidden/>
    <w:unhideWhenUsed/>
    <w:rsid w:val="008440BA"/>
    <w:rPr>
      <w:b/>
      <w:bCs/>
    </w:rPr>
  </w:style>
  <w:style w:type="character" w:customStyle="1" w:styleId="CommentSubjectChar">
    <w:name w:val="Comment Subject Char"/>
    <w:basedOn w:val="CommentTextChar"/>
    <w:link w:val="CommentSubject"/>
    <w:uiPriority w:val="99"/>
    <w:semiHidden/>
    <w:rsid w:val="008440B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B2BCA"/>
    <w:pPr>
      <w:spacing w:after="0" w:line="240" w:lineRule="auto"/>
    </w:pPr>
    <w:rPr>
      <w:sz w:val="18"/>
      <w:szCs w:val="18"/>
    </w:rPr>
  </w:style>
  <w:style w:type="character" w:customStyle="1" w:styleId="BalloonTextChar">
    <w:name w:val="Balloon Text Char"/>
    <w:basedOn w:val="DefaultParagraphFont"/>
    <w:link w:val="BalloonText"/>
    <w:uiPriority w:val="99"/>
    <w:semiHidden/>
    <w:rsid w:val="005B2BCA"/>
    <w:rPr>
      <w:sz w:val="18"/>
      <w:szCs w:val="18"/>
    </w:rPr>
  </w:style>
  <w:style w:type="paragraph" w:styleId="Bibliography">
    <w:name w:val="Bibliography"/>
    <w:basedOn w:val="Normal"/>
    <w:next w:val="Normal"/>
    <w:uiPriority w:val="37"/>
    <w:unhideWhenUsed/>
    <w:rsid w:val="00DB5690"/>
    <w:pPr>
      <w:spacing w:after="240" w:line="240" w:lineRule="auto"/>
    </w:pPr>
  </w:style>
  <w:style w:type="character" w:styleId="LineNumber">
    <w:name w:val="line number"/>
    <w:basedOn w:val="DefaultParagraphFont"/>
    <w:uiPriority w:val="99"/>
    <w:semiHidden/>
    <w:unhideWhenUsed/>
    <w:rsid w:val="004D7F82"/>
  </w:style>
  <w:style w:type="paragraph" w:styleId="CommentSubject">
    <w:name w:val="annotation subject"/>
    <w:basedOn w:val="CommentText"/>
    <w:next w:val="CommentText"/>
    <w:link w:val="CommentSubjectChar"/>
    <w:uiPriority w:val="99"/>
    <w:semiHidden/>
    <w:unhideWhenUsed/>
    <w:rsid w:val="008440BA"/>
    <w:rPr>
      <w:b/>
      <w:bCs/>
    </w:rPr>
  </w:style>
  <w:style w:type="character" w:customStyle="1" w:styleId="CommentSubjectChar">
    <w:name w:val="Comment Subject Char"/>
    <w:basedOn w:val="CommentTextChar"/>
    <w:link w:val="CommentSubject"/>
    <w:uiPriority w:val="99"/>
    <w:semiHidden/>
    <w:rsid w:val="008440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6769</Words>
  <Characters>38587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Limguis, Gladys</cp:lastModifiedBy>
  <cp:revision>3</cp:revision>
  <dcterms:created xsi:type="dcterms:W3CDTF">2020-12-10T22:39:00Z</dcterms:created>
  <dcterms:modified xsi:type="dcterms:W3CDTF">2021-01-02T10:40:00Z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zotero-version="5.0.92"&gt;&lt;session id="RHE6kCBg"/&gt;&lt;style id="http://www.zotero.org/styles/bmc-microbiology" hasBibliography="1" bibliographyStyleHasBeenSet="1"/&gt;&lt;prefs&gt;&lt;pref name="fieldType" value="Field"/&gt;&lt;pref name="automaticJournal</vt:lpwstr>
  </property>
  <property fmtid="{D5CDD505-2E9C-101B-9397-08002B2CF9AE}" pid="3" name="ZOTERO_PREF_2">
    <vt:lpwstr>Abbreviations" value="true"/&gt;&lt;/prefs&gt;&lt;/data&gt;</vt:lpwstr>
  </property>
</Properties>
</file>