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A66F6" w:rsidRPr="000230FB" w:rsidRDefault="006A66F6" w:rsidP="00B64B29">
      <w:pPr>
        <w:spacing w:line="360" w:lineRule="auto"/>
        <w:jc w:val="center"/>
        <w:rPr>
          <w:b/>
          <w:bCs/>
          <w:color w:val="000000" w:themeColor="text1"/>
        </w:rPr>
      </w:pPr>
      <w:bookmarkStart w:id="0" w:name="OLE_LINK28"/>
      <w:bookmarkStart w:id="1" w:name="OLE_LINK29"/>
      <w:r>
        <w:rPr>
          <w:b/>
          <w:bCs/>
          <w:color w:val="000000" w:themeColor="text1"/>
        </w:rPr>
        <w:t xml:space="preserve">Anaemia prevalence and risk </w:t>
      </w:r>
      <w:r w:rsidRPr="00026903">
        <w:rPr>
          <w:b/>
          <w:bCs/>
          <w:color w:val="000000" w:themeColor="text1"/>
        </w:rPr>
        <w:t>factors among</w:t>
      </w:r>
      <w:r>
        <w:rPr>
          <w:b/>
          <w:bCs/>
          <w:color w:val="000000" w:themeColor="text1"/>
        </w:rPr>
        <w:t xml:space="preserve"> </w:t>
      </w:r>
      <w:r>
        <w:rPr>
          <w:b/>
          <w:bCs/>
          <w:color w:val="000000"/>
        </w:rPr>
        <w:t>nonpregnant and pregnant</w:t>
      </w:r>
      <w:r w:rsidRPr="00026903">
        <w:rPr>
          <w:b/>
          <w:bCs/>
          <w:color w:val="000000" w:themeColor="text1"/>
        </w:rPr>
        <w:t xml:space="preserve"> </w:t>
      </w:r>
      <w:r>
        <w:rPr>
          <w:b/>
          <w:bCs/>
          <w:color w:val="000000"/>
        </w:rPr>
        <w:t>women of reproductive</w:t>
      </w:r>
      <w:r w:rsidRPr="00026903">
        <w:rPr>
          <w:b/>
          <w:bCs/>
          <w:color w:val="000000" w:themeColor="text1"/>
        </w:rPr>
        <w:t xml:space="preserve"> age in Ghana:</w:t>
      </w:r>
      <w:r>
        <w:rPr>
          <w:b/>
          <w:bCs/>
          <w:color w:val="000000" w:themeColor="text1"/>
        </w:rPr>
        <w:t xml:space="preserve"> </w:t>
      </w:r>
      <w:r w:rsidRPr="00026903">
        <w:rPr>
          <w:b/>
          <w:bCs/>
          <w:color w:val="000000" w:themeColor="text1"/>
        </w:rPr>
        <w:t xml:space="preserve">An analysis of </w:t>
      </w:r>
      <w:r>
        <w:rPr>
          <w:b/>
          <w:bCs/>
          <w:color w:val="000000" w:themeColor="text1"/>
        </w:rPr>
        <w:t xml:space="preserve">the </w:t>
      </w:r>
      <w:r w:rsidRPr="00026903">
        <w:rPr>
          <w:b/>
          <w:bCs/>
          <w:color w:val="000000" w:themeColor="text1"/>
        </w:rPr>
        <w:t xml:space="preserve">Ghana </w:t>
      </w:r>
      <w:r>
        <w:rPr>
          <w:b/>
          <w:bCs/>
          <w:color w:val="000000"/>
        </w:rPr>
        <w:t>Demographic</w:t>
      </w:r>
      <w:r w:rsidRPr="00026903">
        <w:rPr>
          <w:b/>
          <w:bCs/>
          <w:color w:val="000000" w:themeColor="text1"/>
        </w:rPr>
        <w:t xml:space="preserve"> and </w:t>
      </w:r>
      <w:r>
        <w:rPr>
          <w:b/>
          <w:bCs/>
          <w:color w:val="000000"/>
        </w:rPr>
        <w:t>Health Survey Data</w:t>
      </w:r>
    </w:p>
    <w:p w:rsidR="006A66F6" w:rsidRPr="00256C7C" w:rsidRDefault="006A66F6" w:rsidP="006A66F6">
      <w:pPr>
        <w:pStyle w:val="NormalWeb"/>
        <w:shd w:val="clear" w:color="auto" w:fill="FFFFFF"/>
        <w:rPr>
          <w:rFonts w:eastAsia="TimesNewRomanPSMT"/>
          <w:vertAlign w:val="superscript"/>
        </w:rPr>
      </w:pPr>
      <w:bookmarkStart w:id="2" w:name="OLE_LINK6"/>
      <w:r w:rsidRPr="00256C7C">
        <w:rPr>
          <w:rFonts w:eastAsia="TimesNewRomanPSMT"/>
          <w:b/>
          <w:bCs/>
        </w:rPr>
        <w:t>Agulu Gilbert Gangtaba</w:t>
      </w:r>
      <w:bookmarkEnd w:id="2"/>
      <w:r>
        <w:t>,</w:t>
      </w:r>
      <w:r w:rsidRPr="00256C7C">
        <w:rPr>
          <w:rFonts w:eastAsia="TimesNewRomanPSMT"/>
          <w:b/>
          <w:bCs/>
        </w:rPr>
        <w:t xml:space="preserve"> Noud</w:t>
      </w:r>
      <w:r w:rsidRPr="00256C7C">
        <w:rPr>
          <w:b/>
          <w:bCs/>
          <w:color w:val="222222"/>
          <w:shd w:val="clear" w:color="auto" w:fill="FFFFFF"/>
        </w:rPr>
        <w:t>éhouénou</w:t>
      </w:r>
      <w:r w:rsidRPr="00256C7C">
        <w:rPr>
          <w:rFonts w:eastAsia="TimesNewRomanPSMT"/>
        </w:rPr>
        <w:t xml:space="preserve"> </w:t>
      </w:r>
      <w:r w:rsidRPr="00256C7C">
        <w:rPr>
          <w:b/>
          <w:bCs/>
          <w:color w:val="222222"/>
          <w:shd w:val="clear" w:color="auto" w:fill="FFFFFF"/>
        </w:rPr>
        <w:t>Crédo</w:t>
      </w:r>
      <w:r w:rsidRPr="00256C7C">
        <w:rPr>
          <w:rFonts w:eastAsia="TimesNewRomanPSMT"/>
        </w:rPr>
        <w:t xml:space="preserve"> </w:t>
      </w:r>
      <w:r w:rsidRPr="00256C7C">
        <w:rPr>
          <w:rFonts w:eastAsia="TimesNewRomanPSMT"/>
          <w:b/>
          <w:bCs/>
        </w:rPr>
        <w:t>Adelphe Ahissou, Yasuhiko Kamiya, Frank Baiden, Mitsuaki Matsui</w:t>
      </w:r>
    </w:p>
    <w:p w:rsidR="00B131E3" w:rsidRPr="00BC5A52" w:rsidRDefault="006A66F6" w:rsidP="00B131E3">
      <w:pPr>
        <w:pStyle w:val="Heading1"/>
        <w:spacing w:after="24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Supplementary </w:t>
      </w:r>
      <w:r w:rsidR="000E2A0B">
        <w:rPr>
          <w:rFonts w:ascii="Times New Roman" w:hAnsi="Times New Roman" w:cs="Times New Roman"/>
          <w:b/>
          <w:bCs/>
          <w:color w:val="000000" w:themeColor="text1"/>
          <w:sz w:val="24"/>
          <w:szCs w:val="24"/>
        </w:rPr>
        <w:t xml:space="preserve">Material </w:t>
      </w:r>
      <w:r>
        <w:rPr>
          <w:rFonts w:ascii="Times New Roman" w:hAnsi="Times New Roman" w:cs="Times New Roman"/>
          <w:b/>
          <w:bCs/>
          <w:color w:val="000000" w:themeColor="text1"/>
          <w:sz w:val="24"/>
          <w:szCs w:val="24"/>
        </w:rPr>
        <w:t xml:space="preserve">File </w:t>
      </w:r>
    </w:p>
    <w:p w:rsidR="00B131E3" w:rsidRPr="000E2A0B" w:rsidRDefault="000216F8" w:rsidP="00B131E3">
      <w:pPr>
        <w:pStyle w:val="Footer"/>
        <w:keepNext/>
        <w:jc w:val="both"/>
        <w:rPr>
          <w:color w:val="000000" w:themeColor="text1"/>
        </w:rPr>
      </w:pPr>
      <w:r w:rsidRPr="000E2A0B">
        <w:rPr>
          <w:b/>
          <w:bCs/>
          <w:color w:val="000000" w:themeColor="text1"/>
        </w:rPr>
        <w:t xml:space="preserve">Supplementary </w:t>
      </w:r>
      <w:r w:rsidR="00B131E3" w:rsidRPr="000E2A0B">
        <w:rPr>
          <w:b/>
          <w:bCs/>
          <w:color w:val="000000" w:themeColor="text1"/>
        </w:rPr>
        <w:t xml:space="preserve">Table </w:t>
      </w:r>
      <w:r w:rsidR="006A66F6" w:rsidRPr="000E2A0B">
        <w:rPr>
          <w:b/>
          <w:bCs/>
          <w:color w:val="000000" w:themeColor="text1"/>
        </w:rPr>
        <w:t>S</w:t>
      </w:r>
      <w:r w:rsidR="00B131E3" w:rsidRPr="000E2A0B">
        <w:rPr>
          <w:b/>
          <w:bCs/>
          <w:color w:val="000000" w:themeColor="text1"/>
        </w:rPr>
        <w:t>1</w:t>
      </w:r>
      <w:r w:rsidR="00B64B29" w:rsidRPr="000E2A0B">
        <w:rPr>
          <w:b/>
          <w:bCs/>
          <w:color w:val="000000" w:themeColor="text1"/>
        </w:rPr>
        <w:t>.</w:t>
      </w:r>
      <w:r w:rsidR="00B131E3" w:rsidRPr="000E2A0B">
        <w:rPr>
          <w:color w:val="000000" w:themeColor="text1"/>
        </w:rPr>
        <w:t xml:space="preserve"> </w:t>
      </w:r>
      <w:r w:rsidR="00B131E3" w:rsidRPr="000E2A0B">
        <w:rPr>
          <w:b/>
          <w:bCs/>
          <w:color w:val="000000"/>
        </w:rPr>
        <w:t>List</w:t>
      </w:r>
      <w:r w:rsidR="00B131E3" w:rsidRPr="000E2A0B">
        <w:rPr>
          <w:b/>
          <w:bCs/>
          <w:color w:val="000000" w:themeColor="text1"/>
        </w:rPr>
        <w:t xml:space="preserve"> of exposure variables included in the study</w:t>
      </w:r>
    </w:p>
    <w:p w:rsidR="00B131E3" w:rsidRPr="00581CBC" w:rsidRDefault="00B131E3" w:rsidP="00B131E3">
      <w:pPr>
        <w:pStyle w:val="Footer"/>
        <w:keepNext/>
        <w:rPr>
          <w:color w:val="000000" w:themeColor="text1"/>
          <w:sz w:val="22"/>
          <w:szCs w:val="22"/>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701"/>
        <w:gridCol w:w="1985"/>
        <w:gridCol w:w="1134"/>
        <w:gridCol w:w="5670"/>
      </w:tblGrid>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jc w:val="both"/>
              <w:rPr>
                <w:b/>
                <w:bCs/>
              </w:rPr>
            </w:pPr>
            <w:r w:rsidRPr="00EC12FF">
              <w:rPr>
                <w:b/>
                <w:bCs/>
              </w:rPr>
              <w:t>Variable</w:t>
            </w:r>
          </w:p>
        </w:tc>
        <w:tc>
          <w:tcPr>
            <w:tcW w:w="1985" w:type="dxa"/>
            <w:shd w:val="clear" w:color="auto" w:fill="FFFFFF" w:themeFill="background1"/>
          </w:tcPr>
          <w:p w:rsidR="00B131E3" w:rsidRPr="00EC12FF" w:rsidRDefault="00B131E3" w:rsidP="009A1DDE">
            <w:pPr>
              <w:autoSpaceDE w:val="0"/>
              <w:autoSpaceDN w:val="0"/>
              <w:adjustRightInd w:val="0"/>
              <w:spacing w:line="480" w:lineRule="auto"/>
              <w:jc w:val="both"/>
              <w:rPr>
                <w:b/>
                <w:bCs/>
              </w:rPr>
            </w:pPr>
            <w:r w:rsidRPr="00EC12FF">
              <w:rPr>
                <w:b/>
                <w:bCs/>
              </w:rPr>
              <w:t>Category/Code</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rPr>
                <w:b/>
                <w:bCs/>
              </w:rPr>
            </w:pPr>
            <w:r w:rsidRPr="00EC12FF">
              <w:rPr>
                <w:b/>
                <w:bCs/>
              </w:rPr>
              <w:t>Scale</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jc w:val="both"/>
              <w:rPr>
                <w:b/>
                <w:bCs/>
              </w:rPr>
            </w:pPr>
            <w:r w:rsidRPr="00EC12FF">
              <w:rPr>
                <w:b/>
                <w:bCs/>
              </w:rPr>
              <w:t>Definition/Description</w:t>
            </w:r>
          </w:p>
        </w:tc>
      </w:tr>
      <w:tr w:rsidR="00B131E3" w:rsidRPr="00EC12FF" w:rsidTr="009A1DDE">
        <w:tc>
          <w:tcPr>
            <w:tcW w:w="10490" w:type="dxa"/>
            <w:gridSpan w:val="4"/>
            <w:shd w:val="clear" w:color="auto" w:fill="FFFFFF" w:themeFill="background1"/>
          </w:tcPr>
          <w:p w:rsidR="00B131E3" w:rsidRPr="00EC12FF" w:rsidRDefault="00B131E3" w:rsidP="009A1DDE">
            <w:pPr>
              <w:autoSpaceDE w:val="0"/>
              <w:autoSpaceDN w:val="0"/>
              <w:adjustRightInd w:val="0"/>
              <w:spacing w:line="480" w:lineRule="auto"/>
              <w:jc w:val="both"/>
              <w:rPr>
                <w:b/>
                <w:bCs/>
              </w:rPr>
            </w:pPr>
            <w:r w:rsidRPr="00EC12FF">
              <w:rPr>
                <w:b/>
                <w:bCs/>
              </w:rPr>
              <w:t>Household/Community level variables</w:t>
            </w:r>
          </w:p>
        </w:tc>
      </w:tr>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rPr>
                <w:color w:val="0D0D0D"/>
                <w:shd w:val="clear" w:color="auto" w:fill="FFFFFF" w:themeFill="background1"/>
              </w:rPr>
              <w:t>Geographic</w:t>
            </w:r>
            <w:r w:rsidRPr="00EC12FF">
              <w:rPr>
                <w:shd w:val="clear" w:color="auto" w:fill="FFFFFF" w:themeFill="background1"/>
              </w:rPr>
              <w:t xml:space="preserve"> </w:t>
            </w:r>
            <w:r w:rsidRPr="00EC12FF">
              <w:t>Zone</w:t>
            </w:r>
          </w:p>
        </w:tc>
        <w:tc>
          <w:tcPr>
            <w:tcW w:w="1985" w:type="dxa"/>
            <w:shd w:val="clear" w:color="auto" w:fill="FFFFFF" w:themeFill="background1"/>
          </w:tcPr>
          <w:p w:rsidR="00B131E3" w:rsidRPr="00EC12FF" w:rsidRDefault="00B131E3" w:rsidP="009A1DDE">
            <w:pPr>
              <w:spacing w:line="480" w:lineRule="auto"/>
            </w:pPr>
            <w:r w:rsidRPr="00EC12FF">
              <w:t>Southern=1</w:t>
            </w:r>
          </w:p>
          <w:p w:rsidR="00B131E3" w:rsidRPr="00EC12FF" w:rsidRDefault="00B131E3" w:rsidP="009A1DDE">
            <w:pPr>
              <w:spacing w:line="480" w:lineRule="auto"/>
            </w:pPr>
            <w:r w:rsidRPr="00EC12FF">
              <w:t>Middle=2</w:t>
            </w:r>
          </w:p>
          <w:p w:rsidR="00B131E3" w:rsidRPr="00EC12FF" w:rsidRDefault="00B131E3" w:rsidP="009A1DDE">
            <w:pPr>
              <w:spacing w:line="480" w:lineRule="auto"/>
            </w:pPr>
            <w:r w:rsidRPr="00EC12FF">
              <w:t>Northern=3</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Nominal</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 xml:space="preserve">The </w:t>
            </w:r>
            <w:r w:rsidRPr="00EC12FF">
              <w:rPr>
                <w:color w:val="0D0D0D"/>
                <w:shd w:val="clear" w:color="auto" w:fill="FFFFFF" w:themeFill="background1"/>
              </w:rPr>
              <w:t>geographic</w:t>
            </w:r>
            <w:r w:rsidRPr="00EC12FF">
              <w:rPr>
                <w:shd w:val="clear" w:color="auto" w:fill="FFFFFF" w:themeFill="background1"/>
              </w:rPr>
              <w:t xml:space="preserve"> zone</w:t>
            </w:r>
            <w:r w:rsidRPr="00EC12FF">
              <w:t xml:space="preserve"> women hail from during data collection. Ghana has 16 administrative regions. In this study, the regions have been categorized into three strata (Southern, Middle and Northern).</w:t>
            </w:r>
          </w:p>
        </w:tc>
      </w:tr>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pPr>
            <w:r w:rsidRPr="00EC12FF">
              <w:t>Place of residence</w:t>
            </w:r>
          </w:p>
        </w:tc>
        <w:tc>
          <w:tcPr>
            <w:tcW w:w="1985"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Urban=1</w:t>
            </w:r>
          </w:p>
          <w:p w:rsidR="00B131E3" w:rsidRPr="00EC12FF" w:rsidRDefault="00B131E3" w:rsidP="009A1DDE">
            <w:pPr>
              <w:autoSpaceDE w:val="0"/>
              <w:autoSpaceDN w:val="0"/>
              <w:adjustRightInd w:val="0"/>
              <w:spacing w:line="480" w:lineRule="auto"/>
              <w:jc w:val="both"/>
            </w:pPr>
            <w:r w:rsidRPr="00EC12FF">
              <w:t>Rural=2</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Binary</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pPr>
            <w:r w:rsidRPr="00EC12FF">
              <w:t>Dwelling place of women, the night before the data collection.</w:t>
            </w:r>
          </w:p>
        </w:tc>
      </w:tr>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pPr>
            <w:r w:rsidRPr="00EC12FF">
              <w:t>Sex of Household Head</w:t>
            </w:r>
          </w:p>
        </w:tc>
        <w:tc>
          <w:tcPr>
            <w:tcW w:w="1985"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Female=0</w:t>
            </w:r>
          </w:p>
          <w:p w:rsidR="00B131E3" w:rsidRPr="00EC12FF" w:rsidRDefault="00B131E3" w:rsidP="009A1DDE">
            <w:pPr>
              <w:autoSpaceDE w:val="0"/>
              <w:autoSpaceDN w:val="0"/>
              <w:adjustRightInd w:val="0"/>
              <w:spacing w:line="480" w:lineRule="auto"/>
              <w:jc w:val="both"/>
            </w:pPr>
            <w:r w:rsidRPr="00EC12FF">
              <w:t>Male=1</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Binary</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Household head is described as a leader who makes decision in the household.</w:t>
            </w:r>
          </w:p>
        </w:tc>
      </w:tr>
      <w:tr w:rsidR="00B131E3" w:rsidRPr="00EC12FF" w:rsidTr="009A1DDE">
        <w:trPr>
          <w:trHeight w:val="647"/>
        </w:trPr>
        <w:tc>
          <w:tcPr>
            <w:tcW w:w="1701" w:type="dxa"/>
            <w:shd w:val="clear" w:color="auto" w:fill="FFFFFF" w:themeFill="background1"/>
          </w:tcPr>
          <w:p w:rsidR="00B131E3" w:rsidRPr="00EC12FF" w:rsidRDefault="00B131E3" w:rsidP="009A1DDE">
            <w:pPr>
              <w:autoSpaceDE w:val="0"/>
              <w:autoSpaceDN w:val="0"/>
              <w:adjustRightInd w:val="0"/>
              <w:spacing w:line="480" w:lineRule="auto"/>
            </w:pPr>
            <w:r w:rsidRPr="00EC12FF">
              <w:t>Partner occupational level</w:t>
            </w:r>
          </w:p>
        </w:tc>
        <w:tc>
          <w:tcPr>
            <w:tcW w:w="1985"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Not employed=0</w:t>
            </w:r>
          </w:p>
          <w:p w:rsidR="00B131E3" w:rsidRPr="00EC12FF" w:rsidRDefault="00B131E3" w:rsidP="009A1DDE">
            <w:pPr>
              <w:autoSpaceDE w:val="0"/>
              <w:autoSpaceDN w:val="0"/>
              <w:adjustRightInd w:val="0"/>
              <w:spacing w:line="480" w:lineRule="auto"/>
              <w:jc w:val="both"/>
            </w:pPr>
            <w:r w:rsidRPr="00EC12FF">
              <w:t>employed=1</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Binary</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The employment status of the woman’s partner</w:t>
            </w:r>
          </w:p>
        </w:tc>
      </w:tr>
      <w:tr w:rsidR="00B131E3" w:rsidRPr="00EC12FF" w:rsidTr="009A1DDE">
        <w:trPr>
          <w:trHeight w:val="1149"/>
        </w:trPr>
        <w:tc>
          <w:tcPr>
            <w:tcW w:w="1701"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Wealth index</w:t>
            </w:r>
          </w:p>
        </w:tc>
        <w:tc>
          <w:tcPr>
            <w:tcW w:w="1985"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Poorest=1</w:t>
            </w:r>
          </w:p>
          <w:p w:rsidR="00B131E3" w:rsidRPr="00EC12FF" w:rsidRDefault="00B131E3" w:rsidP="009A1DDE">
            <w:pPr>
              <w:autoSpaceDE w:val="0"/>
              <w:autoSpaceDN w:val="0"/>
              <w:adjustRightInd w:val="0"/>
              <w:spacing w:line="480" w:lineRule="auto"/>
              <w:jc w:val="both"/>
            </w:pPr>
            <w:r w:rsidRPr="00EC12FF">
              <w:t>Poorer=2</w:t>
            </w:r>
          </w:p>
          <w:p w:rsidR="00B131E3" w:rsidRPr="00EC12FF" w:rsidRDefault="00B131E3" w:rsidP="009A1DDE">
            <w:pPr>
              <w:autoSpaceDE w:val="0"/>
              <w:autoSpaceDN w:val="0"/>
              <w:adjustRightInd w:val="0"/>
              <w:spacing w:line="480" w:lineRule="auto"/>
              <w:jc w:val="both"/>
            </w:pPr>
            <w:r w:rsidRPr="00EC12FF">
              <w:t>Middle=3</w:t>
            </w:r>
          </w:p>
          <w:p w:rsidR="00B131E3" w:rsidRPr="00EC12FF" w:rsidRDefault="00B131E3" w:rsidP="009A1DDE">
            <w:pPr>
              <w:autoSpaceDE w:val="0"/>
              <w:autoSpaceDN w:val="0"/>
              <w:adjustRightInd w:val="0"/>
              <w:spacing w:line="480" w:lineRule="auto"/>
              <w:jc w:val="both"/>
            </w:pPr>
            <w:r w:rsidRPr="00EC12FF">
              <w:t>Richer=4</w:t>
            </w:r>
          </w:p>
          <w:p w:rsidR="00B131E3" w:rsidRPr="00EC12FF" w:rsidRDefault="00B131E3" w:rsidP="009A1DDE">
            <w:pPr>
              <w:autoSpaceDE w:val="0"/>
              <w:autoSpaceDN w:val="0"/>
              <w:adjustRightInd w:val="0"/>
              <w:spacing w:line="480" w:lineRule="auto"/>
              <w:jc w:val="both"/>
            </w:pPr>
            <w:r w:rsidRPr="00EC12FF">
              <w:lastRenderedPageBreak/>
              <w:t>Richest=5</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lastRenderedPageBreak/>
              <w:t>Ordinal</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 xml:space="preserve">A score is allotted to households based on the number of goods they possess </w:t>
            </w:r>
            <w:r w:rsidRPr="00EC12FF">
              <w:rPr>
                <w:shd w:val="clear" w:color="auto" w:fill="FFFFFF" w:themeFill="background1"/>
              </w:rPr>
              <w:t>[</w:t>
            </w:r>
            <w:r w:rsidRPr="00EC12FF">
              <w:rPr>
                <w:color w:val="000000" w:themeColor="text1"/>
                <w:shd w:val="clear" w:color="auto" w:fill="FFFFFF" w:themeFill="background1"/>
                <w:vertAlign w:val="superscript"/>
              </w:rPr>
              <w:fldChar w:fldCharType="begin" w:fldLock="1"/>
            </w:r>
            <w:r w:rsidRPr="00EC12FF">
              <w:rPr>
                <w:color w:val="000000" w:themeColor="text1"/>
                <w:shd w:val="clear" w:color="auto" w:fill="FFFFFF" w:themeFill="background1"/>
                <w:vertAlign w:val="superscript"/>
              </w:rPr>
              <w:instrText>ADDIN CSL_CITATION {"citationItems":[{"id":"ITEM-1","itemData":{"abstract":"The Demographic and Health Survey (DHS) is a population-based survey designed to monitor progress on health service utilisation and management to inform decision makers. Since 1988, DHS surveys have been conducted in Ghana, led by the Ghana Statistical Service, in collaboration with the Ministry of Health/Ghana Health Service (MoH/GHS) and other stakeholders. Funds for the survey were received from the United States Agency for International Development (USAID), the Government of Ghana, and other partners. Prior to the 2022 Ghana Demographic and Health Survey (GDHS), six rounds of the DHS—in 1988, 1993, 1998, 2003, 2008, and 2014—were successfully completed, making this round the seventh in the series. These surveys provide information on mortality, morbidity, nutritional status, disease prevalence, service utilisation, and health seeking practices at both regional and national levels. The GDHS is an important source of information for measuring the outcomes and impact of health programmes and for developing annual and sectoral plans. The 2022 GDHS provides national estimates of demographic and health indicators that are comparable to data collected in Ghana’s six previous DHS surveys and to similar surveys in other developing countries. Data collected in the 2022 GDHS add to the large and growing international database of population-based indicators for Ghana. The 2022 GDHS collected data from a nationally representative sample of approximately 18,540 households from all 16 regions. The survey interviewed 17,933 households, 15,014 women of reproductive age (15 to 49), and 7,044 men age 15 to 59. In addition, 4,935 children age 0–5 were measured for anthropometry, and children age 6–59 months were tested for malaria using the Malaria Rapid Diagnostic Test (RDT) and microscopy. The 2022 GDHS Key Indicators Report provides summary results from the survey and presents trends in the indicators using the previous rounds. Some of the statistics presented include total fertility rates, teenage pregnancy, current use of contraception, unmet need for family planning, childhood mortality rates, vaccination rates, nutritional status of children, minimum dietary diversity of children, anaemia among women and children, household possession of insecticide-treated nets, prevalence of malaria in children, and knowledge of HIV prevention methods. These statistics are disaggregated by region, type of locality, and by selected demographic characteristics including sex, age…","author":[{"dropping-particle":"","family":"Ghana Statistical Service (GSS) Ghana Health Service (GHS) and ICF","given":"","non-dropping-particle":"","parse-names":false,"suffix":""}],"container-title":"Accra, Ghana, and Rockville, Maryland, USA: GSS and ICF.","id":"ITEM-1","issued":{"date-parts":[["2023"]]},"page":"5-24","title":"Ghana Demographic and Health Survey 2022: Key Indicattors Report.","type":"article-journal"},"uris":["http://www.mendeley.com/documents/?uuid=c4cd5d3f-0357-4c1d-b9ef-9cf9c644e44c"]}],"mendeley":{"formattedCitation":"(27)","manualFormatting":"19","plainTextFormattedCitation":"(27)","previouslyFormattedCitation":"(27)"},"properties":{"noteIndex":0},"schema":"https://github.com/citation-style-language/schema/raw/master/csl-citation.json"}</w:instrText>
            </w:r>
            <w:r w:rsidRPr="00EC12FF">
              <w:rPr>
                <w:color w:val="000000" w:themeColor="text1"/>
                <w:shd w:val="clear" w:color="auto" w:fill="FFFFFF" w:themeFill="background1"/>
                <w:vertAlign w:val="superscript"/>
              </w:rPr>
              <w:fldChar w:fldCharType="separate"/>
            </w:r>
            <w:r w:rsidRPr="00EC12FF">
              <w:rPr>
                <w:color w:val="000000" w:themeColor="text1"/>
                <w:shd w:val="clear" w:color="auto" w:fill="FFFFFF" w:themeFill="background1"/>
              </w:rPr>
              <w:t>27</w:t>
            </w:r>
            <w:r w:rsidRPr="00EC12FF">
              <w:rPr>
                <w:color w:val="000000" w:themeColor="text1"/>
                <w:shd w:val="clear" w:color="auto" w:fill="FFFFFF" w:themeFill="background1"/>
                <w:vertAlign w:val="superscript"/>
              </w:rPr>
              <w:fldChar w:fldCharType="end"/>
            </w:r>
            <w:r w:rsidRPr="00EC12FF">
              <w:rPr>
                <w:color w:val="000000" w:themeColor="text1"/>
                <w:shd w:val="clear" w:color="auto" w:fill="FFFFFF" w:themeFill="background1"/>
              </w:rPr>
              <w:t>, 51, 53, 67</w:t>
            </w:r>
            <w:r w:rsidRPr="00EC12FF">
              <w:rPr>
                <w:shd w:val="clear" w:color="auto" w:fill="FFFFFF" w:themeFill="background1"/>
              </w:rPr>
              <w:t xml:space="preserve">]. </w:t>
            </w:r>
            <w:r w:rsidRPr="00EC12FF">
              <w:rPr>
                <w:color w:val="000000" w:themeColor="text1"/>
              </w:rPr>
              <w:t xml:space="preserve">This was calculated using the principal components analysis. Details on </w:t>
            </w:r>
            <w:r w:rsidRPr="00EC12FF">
              <w:rPr>
                <w:color w:val="000000" w:themeColor="text1"/>
              </w:rPr>
              <w:lastRenderedPageBreak/>
              <w:t>wealth index information can be found in the GDHS report.</w:t>
            </w:r>
          </w:p>
        </w:tc>
      </w:tr>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pPr>
            <w:r w:rsidRPr="00EC12FF">
              <w:lastRenderedPageBreak/>
              <w:t>Source of drinking water</w:t>
            </w:r>
          </w:p>
        </w:tc>
        <w:tc>
          <w:tcPr>
            <w:tcW w:w="1985"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Unimproved=1</w:t>
            </w:r>
          </w:p>
          <w:p w:rsidR="00B131E3" w:rsidRPr="00EC12FF" w:rsidRDefault="00B131E3" w:rsidP="009A1DDE">
            <w:pPr>
              <w:autoSpaceDE w:val="0"/>
              <w:autoSpaceDN w:val="0"/>
              <w:adjustRightInd w:val="0"/>
              <w:spacing w:line="480" w:lineRule="auto"/>
              <w:jc w:val="both"/>
            </w:pPr>
            <w:r w:rsidRPr="00EC12FF">
              <w:t>Improved=2</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pPr>
            <w:r w:rsidRPr="00EC12FF">
              <w:t>Binary</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rPr>
                <w:color w:val="000000" w:themeColor="text1"/>
              </w:rPr>
            </w:pPr>
            <w:r w:rsidRPr="00EC12FF">
              <w:t xml:space="preserve">A household was said to have an improved drinking water source when it had: piped water, public taps, standpipes, tube wells, boreholes, protected dug wells and springs, rainwater, water delivered via tanker, bottled, and sachet water </w:t>
            </w:r>
            <w:r w:rsidRPr="00EC12FF">
              <w:rPr>
                <w:shd w:val="clear" w:color="auto" w:fill="FFFFFF" w:themeFill="background1"/>
              </w:rPr>
              <w:t>[</w:t>
            </w:r>
            <w:r w:rsidRPr="00EC12FF">
              <w:rPr>
                <w:color w:val="000000" w:themeColor="text1"/>
                <w:vertAlign w:val="superscript"/>
              </w:rPr>
              <w:fldChar w:fldCharType="begin" w:fldLock="1"/>
            </w:r>
            <w:r w:rsidRPr="00EC12FF">
              <w:rPr>
                <w:color w:val="000000" w:themeColor="text1"/>
                <w:vertAlign w:val="superscript"/>
              </w:rPr>
              <w:instrText>ADDIN CSL_CITATION {"citationItems":[{"id":"ITEM-1","itemData":{"abstract":"The Demographic and Health Survey (DHS) is a population-based survey designed to monitor progress on health service utilisation and management to inform decision makers. Since 1988, DHS surveys have been conducted in Ghana, led by the Ghana Statistical Service, in collaboration with the Ministry of Health/Ghana Health Service (MoH/GHS) and other stakeholders. Funds for the survey were received from the United States Agency for International Development (USAID), the Government of Ghana, and other partners. Prior to the 2022 Ghana Demographic and Health Survey (GDHS), six rounds of the DHS—in 1988, 1993, 1998, 2003, 2008, and 2014—were successfully completed, making this round the seventh in the series. These surveys provide information on mortality, morbidity, nutritional status, disease prevalence, service utilisation, and health seeking practices at both regional and national levels. The GDHS is an important source of information for measuring the outcomes and impact of health programmes and for developing annual and sectoral plans. The 2022 GDHS provides national estimates of demographic and health indicators that are comparable to data collected in Ghana’s six previous DHS surveys and to similar surveys in other developing countries. Data collected in the 2022 GDHS add to the large and growing international database of population-based indicators for Ghana. The 2022 GDHS collected data from a nationally representative sample of approximately 18,540 households from all 16 regions. The survey interviewed 17,933 households, 15,014 women of reproductive age (15 to 49), and 7,044 men age 15 to 59. In addition, 4,935 children age 0–5 were measured for anthropometry, and children age 6–59 months were tested for malaria using the Malaria Rapid Diagnostic Test (RDT) and microscopy. The 2022 GDHS Key Indicators Report provides summary results from the survey and presents trends in the indicators using the previous rounds. Some of the statistics presented include total fertility rates, teenage pregnancy, current use of contraception, unmet need for family planning, childhood mortality rates, vaccination rates, nutritional status of children, minimum dietary diversity of children, anaemia among women and children, household possession of insecticide-treated nets, prevalence of malaria in children, and knowledge of HIV prevention methods. These statistics are disaggregated by region, type of locality, and by selected demographic characteristics including sex, age…","author":[{"dropping-particle":"","family":"Ghana Statistical Service (GSS) Ghana Health Service (GHS) and ICF","given":"","non-dropping-particle":"","parse-names":false,"suffix":""}],"container-title":"Accra, Ghana, and Rockville, Maryland, USA: GSS and ICF.","id":"ITEM-1","issued":{"date-parts":[["2023"]]},"page":"5-24","title":"Ghana Demographic and Health Survey 2022: Key Indicattors Report.","type":"article-journal"},"uris":["http://www.mendeley.com/documents/?uuid=c4cd5d3f-0357-4c1d-b9ef-9cf9c644e44c"]}],"mendeley":{"formattedCitation":"(27)","manualFormatting":"19","plainTextFormattedCitation":"(27)","previouslyFormattedCitation":"(27)"},"properties":{"noteIndex":0},"schema":"https://github.com/citation-style-language/schema/raw/master/csl-citation.json"}</w:instrText>
            </w:r>
            <w:r w:rsidRPr="00EC12FF">
              <w:rPr>
                <w:color w:val="000000" w:themeColor="text1"/>
                <w:vertAlign w:val="superscript"/>
              </w:rPr>
              <w:fldChar w:fldCharType="separate"/>
            </w:r>
            <w:r w:rsidRPr="00EC12FF">
              <w:rPr>
                <w:color w:val="000000" w:themeColor="text1"/>
              </w:rPr>
              <w:t>27</w:t>
            </w:r>
            <w:r w:rsidRPr="00EC12FF">
              <w:rPr>
                <w:color w:val="000000" w:themeColor="text1"/>
                <w:vertAlign w:val="superscript"/>
              </w:rPr>
              <w:fldChar w:fldCharType="end"/>
            </w:r>
            <w:r w:rsidRPr="00EC12FF">
              <w:rPr>
                <w:color w:val="000000" w:themeColor="text1"/>
              </w:rPr>
              <w:t>, 51, 53, 67</w:t>
            </w:r>
            <w:r w:rsidRPr="00EC12FF">
              <w:rPr>
                <w:shd w:val="clear" w:color="auto" w:fill="FFFFFF" w:themeFill="background1"/>
              </w:rPr>
              <w:t>].</w:t>
            </w:r>
          </w:p>
        </w:tc>
      </w:tr>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Sanitation facility</w:t>
            </w:r>
          </w:p>
          <w:p w:rsidR="00B131E3" w:rsidRPr="00EC12FF" w:rsidRDefault="00B131E3" w:rsidP="009A1DDE">
            <w:pPr>
              <w:autoSpaceDE w:val="0"/>
              <w:autoSpaceDN w:val="0"/>
              <w:adjustRightInd w:val="0"/>
              <w:spacing w:line="480" w:lineRule="auto"/>
              <w:jc w:val="both"/>
            </w:pPr>
          </w:p>
        </w:tc>
        <w:tc>
          <w:tcPr>
            <w:tcW w:w="1985"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Unimproved=1</w:t>
            </w:r>
          </w:p>
          <w:p w:rsidR="00B131E3" w:rsidRPr="00EC12FF" w:rsidRDefault="00B131E3" w:rsidP="009A1DDE">
            <w:pPr>
              <w:autoSpaceDE w:val="0"/>
              <w:autoSpaceDN w:val="0"/>
              <w:adjustRightInd w:val="0"/>
              <w:spacing w:line="480" w:lineRule="auto"/>
              <w:jc w:val="both"/>
            </w:pPr>
            <w:r w:rsidRPr="00EC12FF">
              <w:t>Improved=2</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pPr>
            <w:r w:rsidRPr="00EC12FF">
              <w:t>Binary</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pPr>
            <w:r w:rsidRPr="00EC12FF">
              <w:t xml:space="preserve">An improved sanitation facility was said to be achieved when a household possesses; flush/pour toilets that flush water and waste to a piped sewer system, septic tank, pit latrine, or unknown destination, ventilated improves, latrines, pit latrines with slabs, and composting toilets </w:t>
            </w:r>
            <w:r w:rsidRPr="00EC12FF">
              <w:rPr>
                <w:shd w:val="clear" w:color="auto" w:fill="FFFFFF" w:themeFill="background1"/>
              </w:rPr>
              <w:t>[</w:t>
            </w:r>
            <w:r w:rsidRPr="00EC12FF">
              <w:rPr>
                <w:color w:val="000000" w:themeColor="text1"/>
                <w:vertAlign w:val="superscript"/>
              </w:rPr>
              <w:fldChar w:fldCharType="begin" w:fldLock="1"/>
            </w:r>
            <w:r w:rsidRPr="00EC12FF">
              <w:rPr>
                <w:color w:val="000000" w:themeColor="text1"/>
                <w:vertAlign w:val="superscript"/>
              </w:rPr>
              <w:instrText>ADDIN CSL_CITATION {"citationItems":[{"id":"ITEM-1","itemData":{"abstract":"The Demographic and Health Survey (DHS) is a population-based survey designed to monitor progress on health service utilisation and management to inform decision makers. Since 1988, DHS surveys have been conducted in Ghana, led by the Ghana Statistical Service, in collaboration with the Ministry of Health/Ghana Health Service (MoH/GHS) and other stakeholders. Funds for the survey were received from the United States Agency for International Development (USAID), the Government of Ghana, and other partners. Prior to the 2022 Ghana Demographic and Health Survey (GDHS), six rounds of the DHS—in 1988, 1993, 1998, 2003, 2008, and 2014—were successfully completed, making this round the seventh in the series. These surveys provide information on mortality, morbidity, nutritional status, disease prevalence, service utilisation, and health seeking practices at both regional and national levels. The GDHS is an important source of information for measuring the outcomes and impact of health programmes and for developing annual and sectoral plans. The 2022 GDHS provides national estimates of demographic and health indicators that are comparable to data collected in Ghana’s six previous DHS surveys and to similar surveys in other developing countries. Data collected in the 2022 GDHS add to the large and growing international database of population-based indicators for Ghana. The 2022 GDHS collected data from a nationally representative sample of approximately 18,540 households from all 16 regions. The survey interviewed 17,933 households, 15,014 women of reproductive age (15 to 49), and 7,044 men age 15 to 59. In addition, 4,935 children age 0–5 were measured for anthropometry, and children age 6–59 months were tested for malaria using the Malaria Rapid Diagnostic Test (RDT) and microscopy. The 2022 GDHS Key Indicators Report provides summary results from the survey and presents trends in the indicators using the previous rounds. Some of the statistics presented include total fertility rates, teenage pregnancy, current use of contraception, unmet need for family planning, childhood mortality rates, vaccination rates, nutritional status of children, minimum dietary diversity of children, anaemia among women and children, household possession of insecticide-treated nets, prevalence of malaria in children, and knowledge of HIV prevention methods. These statistics are disaggregated by region, type of locality, and by selected demographic characteristics including sex, age…","author":[{"dropping-particle":"","family":"Ghana Statistical Service (GSS) Ghana Health Service (GHS) and ICF","given":"","non-dropping-particle":"","parse-names":false,"suffix":""}],"container-title":"Accra, Ghana, and Rockville, Maryland, USA: GSS and ICF.","id":"ITEM-1","issued":{"date-parts":[["2023"]]},"page":"5-24","title":"Ghana Demographic and Health Survey 2022: Key Indicattors Report.","type":"article-journal"},"uris":["http://www.mendeley.com/documents/?uuid=c4cd5d3f-0357-4c1d-b9ef-9cf9c644e44c"]}],"mendeley":{"formattedCitation":"(27)","manualFormatting":"19","plainTextFormattedCitation":"(27)","previouslyFormattedCitation":"(27)"},"properties":{"noteIndex":0},"schema":"https://github.com/citation-style-language/schema/raw/master/csl-citation.json"}</w:instrText>
            </w:r>
            <w:r w:rsidRPr="00EC12FF">
              <w:rPr>
                <w:color w:val="000000" w:themeColor="text1"/>
                <w:vertAlign w:val="superscript"/>
              </w:rPr>
              <w:fldChar w:fldCharType="separate"/>
            </w:r>
            <w:r w:rsidRPr="00EC12FF">
              <w:rPr>
                <w:color w:val="000000" w:themeColor="text1"/>
              </w:rPr>
              <w:t>27</w:t>
            </w:r>
            <w:r w:rsidRPr="00EC12FF">
              <w:rPr>
                <w:color w:val="000000" w:themeColor="text1"/>
                <w:vertAlign w:val="superscript"/>
              </w:rPr>
              <w:fldChar w:fldCharType="end"/>
            </w:r>
            <w:r w:rsidRPr="00EC12FF">
              <w:rPr>
                <w:color w:val="000000" w:themeColor="text1"/>
              </w:rPr>
              <w:t>, 51, 53, 67</w:t>
            </w:r>
            <w:r w:rsidRPr="00EC12FF">
              <w:rPr>
                <w:shd w:val="clear" w:color="auto" w:fill="FFFFFF" w:themeFill="background1"/>
              </w:rPr>
              <w:t>].</w:t>
            </w:r>
          </w:p>
        </w:tc>
      </w:tr>
      <w:tr w:rsidR="00B131E3" w:rsidRPr="00EC12FF" w:rsidTr="009A1DDE">
        <w:trPr>
          <w:trHeight w:val="197"/>
        </w:trPr>
        <w:tc>
          <w:tcPr>
            <w:tcW w:w="10490" w:type="dxa"/>
            <w:gridSpan w:val="4"/>
            <w:shd w:val="clear" w:color="auto" w:fill="auto"/>
          </w:tcPr>
          <w:p w:rsidR="00B131E3" w:rsidRPr="00EC12FF" w:rsidRDefault="00B131E3" w:rsidP="009A1DDE">
            <w:pPr>
              <w:autoSpaceDE w:val="0"/>
              <w:autoSpaceDN w:val="0"/>
              <w:adjustRightInd w:val="0"/>
              <w:spacing w:line="480" w:lineRule="auto"/>
              <w:jc w:val="both"/>
              <w:rPr>
                <w:b/>
                <w:bCs/>
              </w:rPr>
            </w:pPr>
            <w:r w:rsidRPr="00EC12FF">
              <w:rPr>
                <w:b/>
                <w:bCs/>
              </w:rPr>
              <w:t>Individual level Variables</w:t>
            </w:r>
            <w:r w:rsidRPr="00EC12FF">
              <w:rPr>
                <w:b/>
                <w:bCs/>
                <w:shd w:val="clear" w:color="auto" w:fill="D9D9D9" w:themeFill="background1" w:themeFillShade="D9"/>
              </w:rPr>
              <w:t xml:space="preserve"> </w:t>
            </w:r>
          </w:p>
        </w:tc>
      </w:tr>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Age (years)</w:t>
            </w:r>
          </w:p>
        </w:tc>
        <w:tc>
          <w:tcPr>
            <w:tcW w:w="1985" w:type="dxa"/>
            <w:shd w:val="clear" w:color="auto" w:fill="FFFFFF" w:themeFill="background1"/>
          </w:tcPr>
          <w:p w:rsidR="00B131E3" w:rsidRPr="00EC12FF" w:rsidRDefault="00B131E3" w:rsidP="009A1DDE">
            <w:pPr>
              <w:autoSpaceDE w:val="0"/>
              <w:autoSpaceDN w:val="0"/>
              <w:adjustRightInd w:val="0"/>
              <w:spacing w:line="480" w:lineRule="auto"/>
            </w:pPr>
            <w:r w:rsidRPr="00EC12FF">
              <w:t>15-19=1</w:t>
            </w:r>
          </w:p>
          <w:p w:rsidR="00B131E3" w:rsidRPr="00EC12FF" w:rsidRDefault="00B131E3" w:rsidP="009A1DDE">
            <w:pPr>
              <w:autoSpaceDE w:val="0"/>
              <w:autoSpaceDN w:val="0"/>
              <w:adjustRightInd w:val="0"/>
              <w:spacing w:line="480" w:lineRule="auto"/>
            </w:pPr>
            <w:r w:rsidRPr="00EC12FF">
              <w:t>20-24=2</w:t>
            </w:r>
          </w:p>
          <w:p w:rsidR="00B131E3" w:rsidRPr="00EC12FF" w:rsidRDefault="00B131E3" w:rsidP="009A1DDE">
            <w:pPr>
              <w:autoSpaceDE w:val="0"/>
              <w:autoSpaceDN w:val="0"/>
              <w:adjustRightInd w:val="0"/>
              <w:spacing w:line="480" w:lineRule="auto"/>
            </w:pPr>
            <w:r w:rsidRPr="00EC12FF">
              <w:t>25-29=3</w:t>
            </w:r>
          </w:p>
          <w:p w:rsidR="00B131E3" w:rsidRPr="00EC12FF" w:rsidRDefault="00B131E3" w:rsidP="009A1DDE">
            <w:pPr>
              <w:autoSpaceDE w:val="0"/>
              <w:autoSpaceDN w:val="0"/>
              <w:adjustRightInd w:val="0"/>
              <w:spacing w:line="480" w:lineRule="auto"/>
            </w:pPr>
            <w:r w:rsidRPr="00EC12FF">
              <w:t>30-34=4</w:t>
            </w:r>
          </w:p>
          <w:p w:rsidR="00B131E3" w:rsidRPr="00EC12FF" w:rsidRDefault="00B131E3" w:rsidP="009A1DDE">
            <w:pPr>
              <w:autoSpaceDE w:val="0"/>
              <w:autoSpaceDN w:val="0"/>
              <w:adjustRightInd w:val="0"/>
              <w:spacing w:line="480" w:lineRule="auto"/>
            </w:pPr>
            <w:r w:rsidRPr="00EC12FF">
              <w:t>35-39=5</w:t>
            </w:r>
          </w:p>
          <w:p w:rsidR="00B131E3" w:rsidRPr="00EC12FF" w:rsidRDefault="00B131E3" w:rsidP="009A1DDE">
            <w:pPr>
              <w:autoSpaceDE w:val="0"/>
              <w:autoSpaceDN w:val="0"/>
              <w:adjustRightInd w:val="0"/>
              <w:spacing w:line="480" w:lineRule="auto"/>
            </w:pPr>
            <w:r w:rsidRPr="00EC12FF">
              <w:t>40-44=6</w:t>
            </w:r>
          </w:p>
          <w:p w:rsidR="00B131E3" w:rsidRPr="00EC12FF" w:rsidRDefault="00B131E3" w:rsidP="009A1DDE">
            <w:pPr>
              <w:autoSpaceDE w:val="0"/>
              <w:autoSpaceDN w:val="0"/>
              <w:adjustRightInd w:val="0"/>
              <w:spacing w:line="480" w:lineRule="auto"/>
            </w:pPr>
            <w:r w:rsidRPr="00EC12FF">
              <w:t>45-49=7</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Nominal</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Age in completed years of women during the data collection period.</w:t>
            </w:r>
          </w:p>
          <w:p w:rsidR="00B131E3" w:rsidRPr="00EC12FF" w:rsidRDefault="00B131E3" w:rsidP="009A1DDE">
            <w:pPr>
              <w:autoSpaceDE w:val="0"/>
              <w:autoSpaceDN w:val="0"/>
              <w:adjustRightInd w:val="0"/>
              <w:spacing w:line="480" w:lineRule="auto"/>
              <w:jc w:val="both"/>
            </w:pPr>
          </w:p>
          <w:p w:rsidR="00B131E3" w:rsidRPr="00EC12FF" w:rsidRDefault="00B131E3" w:rsidP="009A1DDE">
            <w:pPr>
              <w:autoSpaceDE w:val="0"/>
              <w:autoSpaceDN w:val="0"/>
              <w:adjustRightInd w:val="0"/>
              <w:spacing w:line="480" w:lineRule="auto"/>
              <w:jc w:val="both"/>
            </w:pPr>
          </w:p>
        </w:tc>
      </w:tr>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Marital status</w:t>
            </w:r>
          </w:p>
        </w:tc>
        <w:tc>
          <w:tcPr>
            <w:tcW w:w="1985"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No=0</w:t>
            </w:r>
          </w:p>
          <w:p w:rsidR="00B131E3" w:rsidRPr="00EC12FF" w:rsidRDefault="00B131E3" w:rsidP="009A1DDE">
            <w:pPr>
              <w:autoSpaceDE w:val="0"/>
              <w:autoSpaceDN w:val="0"/>
              <w:adjustRightInd w:val="0"/>
              <w:spacing w:line="480" w:lineRule="auto"/>
              <w:jc w:val="both"/>
            </w:pPr>
            <w:r w:rsidRPr="00EC12FF">
              <w:t>Yes=1</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Binary</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This variable defines whether a woman was legally married or cohabitating with a partner before the survey.</w:t>
            </w:r>
          </w:p>
        </w:tc>
      </w:tr>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Birth experience</w:t>
            </w:r>
          </w:p>
        </w:tc>
        <w:tc>
          <w:tcPr>
            <w:tcW w:w="1985"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≤24 months=1</w:t>
            </w:r>
          </w:p>
          <w:p w:rsidR="00B131E3" w:rsidRPr="00EC12FF" w:rsidRDefault="00B131E3" w:rsidP="009A1DDE">
            <w:pPr>
              <w:autoSpaceDE w:val="0"/>
              <w:autoSpaceDN w:val="0"/>
              <w:adjustRightInd w:val="0"/>
              <w:spacing w:line="480" w:lineRule="auto"/>
              <w:jc w:val="both"/>
            </w:pPr>
            <w:r w:rsidRPr="00EC12FF">
              <w:t>≥25 months=2</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Binary</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The interval between the last birth experienced by women and the start of the DHS data collection</w:t>
            </w:r>
          </w:p>
        </w:tc>
      </w:tr>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lastRenderedPageBreak/>
              <w:t>Pregnancy Status</w:t>
            </w:r>
          </w:p>
        </w:tc>
        <w:tc>
          <w:tcPr>
            <w:tcW w:w="1985"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Not pregnant=0</w:t>
            </w:r>
          </w:p>
          <w:p w:rsidR="00B131E3" w:rsidRPr="00EC12FF" w:rsidRDefault="00B131E3" w:rsidP="009A1DDE">
            <w:pPr>
              <w:autoSpaceDE w:val="0"/>
              <w:autoSpaceDN w:val="0"/>
              <w:adjustRightInd w:val="0"/>
              <w:spacing w:line="480" w:lineRule="auto"/>
              <w:jc w:val="both"/>
            </w:pPr>
            <w:r w:rsidRPr="00EC12FF">
              <w:t>Pregnant=1</w:t>
            </w:r>
          </w:p>
          <w:p w:rsidR="00B131E3" w:rsidRPr="00EC12FF" w:rsidRDefault="00B131E3" w:rsidP="009A1DDE">
            <w:pPr>
              <w:autoSpaceDE w:val="0"/>
              <w:autoSpaceDN w:val="0"/>
              <w:adjustRightInd w:val="0"/>
              <w:spacing w:line="480" w:lineRule="auto"/>
              <w:jc w:val="both"/>
            </w:pPr>
          </w:p>
        </w:tc>
        <w:tc>
          <w:tcPr>
            <w:tcW w:w="1134"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Binary</w:t>
            </w:r>
          </w:p>
        </w:tc>
        <w:tc>
          <w:tcPr>
            <w:tcW w:w="5670" w:type="dxa"/>
            <w:shd w:val="clear" w:color="auto" w:fill="FFFFFF" w:themeFill="background1"/>
          </w:tcPr>
          <w:p w:rsidR="00B131E3" w:rsidRPr="00EC12FF" w:rsidRDefault="00B131E3" w:rsidP="009A1DDE">
            <w:pPr>
              <w:spacing w:line="480" w:lineRule="auto"/>
              <w:jc w:val="both"/>
            </w:pPr>
            <w:r w:rsidRPr="00EC12FF">
              <w:t>The operational definition of pregnancy in this study is between a period of a confirmed pregnancy test to 40 weeks of gestation.</w:t>
            </w:r>
          </w:p>
        </w:tc>
      </w:tr>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Dietary Diversity</w:t>
            </w:r>
          </w:p>
          <w:p w:rsidR="00B131E3" w:rsidRPr="00EC12FF" w:rsidRDefault="00B131E3" w:rsidP="009A1DDE">
            <w:pPr>
              <w:autoSpaceDE w:val="0"/>
              <w:autoSpaceDN w:val="0"/>
              <w:adjustRightInd w:val="0"/>
              <w:spacing w:line="480" w:lineRule="auto"/>
              <w:jc w:val="both"/>
            </w:pPr>
          </w:p>
        </w:tc>
        <w:tc>
          <w:tcPr>
            <w:tcW w:w="1985" w:type="dxa"/>
            <w:shd w:val="clear" w:color="auto" w:fill="FFFFFF" w:themeFill="background1"/>
          </w:tcPr>
          <w:p w:rsidR="00B131E3" w:rsidRPr="00EC12FF" w:rsidRDefault="00B131E3" w:rsidP="009A1DDE">
            <w:pPr>
              <w:autoSpaceDE w:val="0"/>
              <w:autoSpaceDN w:val="0"/>
              <w:adjustRightInd w:val="0"/>
              <w:spacing w:line="480" w:lineRule="auto"/>
            </w:pPr>
            <w:r w:rsidRPr="00EC12FF">
              <w:t>No=0</w:t>
            </w:r>
          </w:p>
          <w:p w:rsidR="00B131E3" w:rsidRPr="00EC12FF" w:rsidRDefault="00B131E3" w:rsidP="009A1DDE">
            <w:pPr>
              <w:autoSpaceDE w:val="0"/>
              <w:autoSpaceDN w:val="0"/>
              <w:adjustRightInd w:val="0"/>
              <w:spacing w:line="480" w:lineRule="auto"/>
              <w:jc w:val="both"/>
            </w:pPr>
            <w:r w:rsidRPr="00EC12FF">
              <w:t>Yes=1</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Binary</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jc w:val="both"/>
              <w:rPr>
                <w:color w:val="000000" w:themeColor="text1"/>
              </w:rPr>
            </w:pPr>
            <w:r w:rsidRPr="00EC12FF">
              <w:t xml:space="preserve">This indicator was calculated based on ten food groups: grains, white/pale starchy roots, tubers, and plantains; pulses (beans, peas, and lentils); nuts and seeds; dairy (milk and milk products); flesh foods (meat, fish, poultry, and organ meat); eggs; dark green leafy vegetables; vitamin-A rich fruits and vegetables; other vegetables; and other fruits. Women who consumed at least five/10 food groups in the 24 hours before the survey were classified as having minimally adequate dietary diversity </w:t>
            </w:r>
            <w:r w:rsidRPr="00EC12FF">
              <w:rPr>
                <w:shd w:val="clear" w:color="auto" w:fill="FFFFFF" w:themeFill="background1"/>
              </w:rPr>
              <w:t>[</w:t>
            </w:r>
            <w:r w:rsidRPr="00EC12FF">
              <w:rPr>
                <w:color w:val="000000" w:themeColor="text1"/>
                <w:vertAlign w:val="superscript"/>
              </w:rPr>
              <w:fldChar w:fldCharType="begin" w:fldLock="1"/>
            </w:r>
            <w:r w:rsidRPr="00EC12FF">
              <w:rPr>
                <w:color w:val="000000" w:themeColor="text1"/>
                <w:vertAlign w:val="superscript"/>
              </w:rPr>
              <w:instrText>ADDIN CSL_CITATION {"citationItems":[{"id":"ITEM-1","itemData":{"abstract":"The Demographic and Health Survey (DHS) is a population-based survey designed to monitor progress on health service utilisation and management to inform decision makers. Since 1988, DHS surveys have been conducted in Ghana, led by the Ghana Statistical Service, in collaboration with the Ministry of Health/Ghana Health Service (MoH/GHS) and other stakeholders. Funds for the survey were received from the United States Agency for International Development (USAID), the Government of Ghana, and other partners. Prior to the 2022 Ghana Demographic and Health Survey (GDHS), six rounds of the DHS—in 1988, 1993, 1998, 2003, 2008, and 2014—were successfully completed, making this round the seventh in the series. These surveys provide information on mortality, morbidity, nutritional status, disease prevalence, service utilisation, and health seeking practices at both regional and national levels. The GDHS is an important source of information for measuring the outcomes and impact of health programmes and for developing annual and sectoral plans. The 2022 GDHS provides national estimates of demographic and health indicators that are comparable to data collected in Ghana’s six previous DHS surveys and to similar surveys in other developing countries. Data collected in the 2022 GDHS add to the large and growing international database of population-based indicators for Ghana. The 2022 GDHS collected data from a nationally representative sample of approximately 18,540 households from all 16 regions. The survey interviewed 17,933 households, 15,014 women of reproductive age (15 to 49), and 7,044 men age 15 to 59. In addition, 4,935 children age 0–5 were measured for anthropometry, and children age 6–59 months were tested for malaria using the Malaria Rapid Diagnostic Test (RDT) and microscopy. The 2022 GDHS Key Indicators Report provides summary results from the survey and presents trends in the indicators using the previous rounds. Some of the statistics presented include total fertility rates, teenage pregnancy, current use of contraception, unmet need for family planning, childhood mortality rates, vaccination rates, nutritional status of children, minimum dietary diversity of children, anaemia among women and children, household possession of insecticide-treated nets, prevalence of malaria in children, and knowledge of HIV prevention methods. These statistics are disaggregated by region, type of locality, and by selected demographic characteristics including sex, age…","author":[{"dropping-particle":"","family":"Ghana Statistical Service (GSS) Ghana Health Service (GHS) and ICF","given":"","non-dropping-particle":"","parse-names":false,"suffix":""}],"container-title":"Accra, Ghana, and Rockville, Maryland, USA: GSS and ICF.","id":"ITEM-1","issued":{"date-parts":[["2023"]]},"page":"5-24","title":"Ghana Demographic and Health Survey 2022: Key Indicattors Report.","type":"article-journal"},"uris":["http://www.mendeley.com/documents/?uuid=c4cd5d3f-0357-4c1d-b9ef-9cf9c644e44c"]}],"mendeley":{"formattedCitation":"(27)","manualFormatting":"19","plainTextFormattedCitation":"(27)","previouslyFormattedCitation":"(27)"},"properties":{"noteIndex":0},"schema":"https://github.com/citation-style-language/schema/raw/master/csl-citation.json"}</w:instrText>
            </w:r>
            <w:r w:rsidRPr="00EC12FF">
              <w:rPr>
                <w:color w:val="000000" w:themeColor="text1"/>
                <w:vertAlign w:val="superscript"/>
              </w:rPr>
              <w:fldChar w:fldCharType="separate"/>
            </w:r>
            <w:r w:rsidRPr="00EC12FF">
              <w:rPr>
                <w:color w:val="000000" w:themeColor="text1"/>
              </w:rPr>
              <w:t>27</w:t>
            </w:r>
            <w:r w:rsidRPr="00EC12FF">
              <w:rPr>
                <w:color w:val="000000" w:themeColor="text1"/>
                <w:vertAlign w:val="superscript"/>
              </w:rPr>
              <w:fldChar w:fldCharType="end"/>
            </w:r>
            <w:r w:rsidRPr="00EC12FF">
              <w:rPr>
                <w:color w:val="000000" w:themeColor="text1"/>
              </w:rPr>
              <w:t>, 51, 53, 67</w:t>
            </w:r>
            <w:r w:rsidRPr="00EC12FF">
              <w:rPr>
                <w:shd w:val="clear" w:color="auto" w:fill="FFFFFF" w:themeFill="background1"/>
              </w:rPr>
              <w:t>].</w:t>
            </w:r>
          </w:p>
        </w:tc>
      </w:tr>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Education level</w:t>
            </w:r>
          </w:p>
        </w:tc>
        <w:tc>
          <w:tcPr>
            <w:tcW w:w="1985"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No education=0</w:t>
            </w:r>
          </w:p>
          <w:p w:rsidR="00B131E3" w:rsidRPr="00EC12FF" w:rsidRDefault="00B131E3" w:rsidP="009A1DDE">
            <w:pPr>
              <w:autoSpaceDE w:val="0"/>
              <w:autoSpaceDN w:val="0"/>
              <w:adjustRightInd w:val="0"/>
              <w:spacing w:line="480" w:lineRule="auto"/>
              <w:jc w:val="both"/>
            </w:pPr>
            <w:r w:rsidRPr="00EC12FF">
              <w:t>Primary=1</w:t>
            </w:r>
          </w:p>
          <w:p w:rsidR="00B131E3" w:rsidRPr="00EC12FF" w:rsidRDefault="00B131E3" w:rsidP="009A1DDE">
            <w:pPr>
              <w:autoSpaceDE w:val="0"/>
              <w:autoSpaceDN w:val="0"/>
              <w:adjustRightInd w:val="0"/>
              <w:spacing w:line="480" w:lineRule="auto"/>
              <w:jc w:val="both"/>
            </w:pPr>
            <w:r w:rsidRPr="00EC12FF">
              <w:t>Secondary=2</w:t>
            </w:r>
          </w:p>
          <w:p w:rsidR="00B131E3" w:rsidRPr="00EC12FF" w:rsidRDefault="00B131E3" w:rsidP="009A1DDE">
            <w:pPr>
              <w:autoSpaceDE w:val="0"/>
              <w:autoSpaceDN w:val="0"/>
              <w:adjustRightInd w:val="0"/>
              <w:spacing w:line="480" w:lineRule="auto"/>
              <w:jc w:val="both"/>
            </w:pPr>
            <w:r w:rsidRPr="00EC12FF">
              <w:t>Higher=3</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Ordinal</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The level of educational attainment during the survey. In this study, education has been categorized into primary, secondary, higher, or no education.</w:t>
            </w:r>
          </w:p>
          <w:p w:rsidR="00B131E3" w:rsidRPr="00EC12FF" w:rsidRDefault="00B131E3" w:rsidP="009A1DDE">
            <w:pPr>
              <w:autoSpaceDE w:val="0"/>
              <w:autoSpaceDN w:val="0"/>
              <w:adjustRightInd w:val="0"/>
              <w:spacing w:line="480" w:lineRule="auto"/>
              <w:jc w:val="both"/>
            </w:pPr>
          </w:p>
        </w:tc>
      </w:tr>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Religion</w:t>
            </w:r>
          </w:p>
        </w:tc>
        <w:tc>
          <w:tcPr>
            <w:tcW w:w="1985"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Islamic=0</w:t>
            </w:r>
          </w:p>
          <w:p w:rsidR="00B131E3" w:rsidRPr="00EC12FF" w:rsidRDefault="00B131E3" w:rsidP="009A1DDE">
            <w:pPr>
              <w:autoSpaceDE w:val="0"/>
              <w:autoSpaceDN w:val="0"/>
              <w:adjustRightInd w:val="0"/>
              <w:spacing w:line="480" w:lineRule="auto"/>
              <w:jc w:val="both"/>
            </w:pPr>
            <w:r w:rsidRPr="00EC12FF">
              <w:t>Christianity=1</w:t>
            </w:r>
          </w:p>
          <w:p w:rsidR="00B131E3" w:rsidRPr="00EC12FF" w:rsidRDefault="00B131E3" w:rsidP="009A1DDE">
            <w:pPr>
              <w:autoSpaceDE w:val="0"/>
              <w:autoSpaceDN w:val="0"/>
              <w:adjustRightInd w:val="0"/>
              <w:spacing w:line="480" w:lineRule="auto"/>
              <w:jc w:val="both"/>
            </w:pPr>
            <w:r w:rsidRPr="00EC12FF">
              <w:t>Traditionalist=2</w:t>
            </w:r>
          </w:p>
          <w:p w:rsidR="00B131E3" w:rsidRPr="00EC12FF" w:rsidRDefault="00B131E3" w:rsidP="009A1DDE">
            <w:pPr>
              <w:autoSpaceDE w:val="0"/>
              <w:autoSpaceDN w:val="0"/>
              <w:adjustRightInd w:val="0"/>
              <w:spacing w:line="480" w:lineRule="auto"/>
              <w:jc w:val="both"/>
            </w:pPr>
            <w:r w:rsidRPr="00EC12FF">
              <w:t>Others=3</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Binary</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This variable defines the religion women were affiliated to during the data collection.</w:t>
            </w:r>
          </w:p>
        </w:tc>
      </w:tr>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Type of employment</w:t>
            </w:r>
          </w:p>
        </w:tc>
        <w:tc>
          <w:tcPr>
            <w:tcW w:w="1985"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Unemployed=0</w:t>
            </w:r>
          </w:p>
          <w:p w:rsidR="00B131E3" w:rsidRPr="00EC12FF" w:rsidRDefault="00B131E3" w:rsidP="009A1DDE">
            <w:pPr>
              <w:autoSpaceDE w:val="0"/>
              <w:autoSpaceDN w:val="0"/>
              <w:adjustRightInd w:val="0"/>
              <w:spacing w:line="480" w:lineRule="auto"/>
              <w:jc w:val="both"/>
            </w:pPr>
            <w:r w:rsidRPr="00EC12FF">
              <w:t>Government employee=1</w:t>
            </w:r>
          </w:p>
          <w:p w:rsidR="00B131E3" w:rsidRPr="00EC12FF" w:rsidRDefault="00B131E3" w:rsidP="009A1DDE">
            <w:pPr>
              <w:autoSpaceDE w:val="0"/>
              <w:autoSpaceDN w:val="0"/>
              <w:adjustRightInd w:val="0"/>
              <w:spacing w:line="480" w:lineRule="auto"/>
              <w:jc w:val="both"/>
            </w:pPr>
            <w:r w:rsidRPr="00EC12FF">
              <w:t>Self-employed=2</w:t>
            </w:r>
          </w:p>
        </w:tc>
        <w:tc>
          <w:tcPr>
            <w:tcW w:w="1134" w:type="dxa"/>
            <w:shd w:val="clear" w:color="auto" w:fill="FFFFFF" w:themeFill="background1"/>
          </w:tcPr>
          <w:p w:rsidR="00B131E3" w:rsidRPr="00EC12FF" w:rsidRDefault="00B131E3" w:rsidP="009A1DDE">
            <w:pPr>
              <w:spacing w:line="480" w:lineRule="auto"/>
              <w:jc w:val="both"/>
            </w:pPr>
            <w:r w:rsidRPr="00EC12FF">
              <w:t>Nominal</w:t>
            </w:r>
          </w:p>
        </w:tc>
        <w:tc>
          <w:tcPr>
            <w:tcW w:w="5670" w:type="dxa"/>
            <w:shd w:val="clear" w:color="auto" w:fill="FFFFFF" w:themeFill="background1"/>
          </w:tcPr>
          <w:p w:rsidR="00B131E3" w:rsidRPr="00EC12FF" w:rsidRDefault="00B131E3" w:rsidP="009A1DDE">
            <w:pPr>
              <w:spacing w:line="480" w:lineRule="auto"/>
              <w:jc w:val="both"/>
              <w:rPr>
                <w:color w:val="000000" w:themeColor="text1"/>
              </w:rPr>
            </w:pPr>
            <w:r w:rsidRPr="00EC12FF">
              <w:rPr>
                <w:color w:val="000000" w:themeColor="text1"/>
              </w:rPr>
              <w:t>"Type of employment" pertains to the women’s current work situation and whether employed full-time, on contract, part-time, self-employed, governmental, or unemployed.</w:t>
            </w:r>
          </w:p>
          <w:p w:rsidR="00B131E3" w:rsidRPr="00EC12FF" w:rsidRDefault="00B131E3" w:rsidP="009A1DDE">
            <w:pPr>
              <w:spacing w:line="480" w:lineRule="auto"/>
              <w:jc w:val="both"/>
            </w:pPr>
          </w:p>
        </w:tc>
      </w:tr>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lastRenderedPageBreak/>
              <w:t>Parity</w:t>
            </w:r>
          </w:p>
        </w:tc>
        <w:tc>
          <w:tcPr>
            <w:tcW w:w="1985"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Nulliparity=0</w:t>
            </w:r>
          </w:p>
          <w:p w:rsidR="00B131E3" w:rsidRPr="00EC12FF" w:rsidRDefault="00B131E3" w:rsidP="009A1DDE">
            <w:pPr>
              <w:autoSpaceDE w:val="0"/>
              <w:autoSpaceDN w:val="0"/>
              <w:adjustRightInd w:val="0"/>
              <w:spacing w:line="480" w:lineRule="auto"/>
              <w:jc w:val="both"/>
            </w:pPr>
            <w:r w:rsidRPr="00EC12FF">
              <w:t>Primiparity=1</w:t>
            </w:r>
          </w:p>
          <w:p w:rsidR="00B131E3" w:rsidRPr="00EC12FF" w:rsidRDefault="00B131E3" w:rsidP="009A1DDE">
            <w:pPr>
              <w:autoSpaceDE w:val="0"/>
              <w:autoSpaceDN w:val="0"/>
              <w:adjustRightInd w:val="0"/>
              <w:spacing w:line="480" w:lineRule="auto"/>
              <w:jc w:val="both"/>
            </w:pPr>
            <w:r w:rsidRPr="00EC12FF">
              <w:t>Multiparity=2</w:t>
            </w:r>
          </w:p>
          <w:p w:rsidR="00B131E3" w:rsidRPr="00EC12FF" w:rsidRDefault="00B131E3" w:rsidP="009A1DDE">
            <w:pPr>
              <w:autoSpaceDE w:val="0"/>
              <w:autoSpaceDN w:val="0"/>
              <w:adjustRightInd w:val="0"/>
              <w:spacing w:line="480" w:lineRule="auto"/>
              <w:jc w:val="both"/>
            </w:pPr>
            <w:r w:rsidRPr="00EC12FF">
              <w:t>Grand-multiparity=3</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Ordinal</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This variable defines the childbirth experienced by women. Nulliparity refers to those without any childbirth experience. Primiparity refers to those with one child. Multiparity are women who have less than 5 children and grand-multiparity are those with five or more children</w:t>
            </w:r>
          </w:p>
        </w:tc>
      </w:tr>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pPr>
            <w:r w:rsidRPr="00EC12FF">
              <w:t>Self-reported Health Status</w:t>
            </w:r>
          </w:p>
        </w:tc>
        <w:tc>
          <w:tcPr>
            <w:tcW w:w="1985" w:type="dxa"/>
            <w:shd w:val="clear" w:color="auto" w:fill="FFFFFF" w:themeFill="background1"/>
          </w:tcPr>
          <w:p w:rsidR="00B131E3" w:rsidRPr="00EC12FF" w:rsidRDefault="00B131E3" w:rsidP="009A1DDE">
            <w:pPr>
              <w:spacing w:line="480" w:lineRule="auto"/>
            </w:pPr>
            <w:r w:rsidRPr="00EC12FF">
              <w:t>Very bad=1</w:t>
            </w:r>
          </w:p>
          <w:p w:rsidR="00B131E3" w:rsidRPr="00EC12FF" w:rsidRDefault="00B131E3" w:rsidP="009A1DDE">
            <w:pPr>
              <w:spacing w:line="480" w:lineRule="auto"/>
            </w:pPr>
            <w:r w:rsidRPr="00EC12FF">
              <w:t>Bad=2</w:t>
            </w:r>
          </w:p>
          <w:p w:rsidR="00B131E3" w:rsidRPr="00EC12FF" w:rsidRDefault="00B131E3" w:rsidP="009A1DDE">
            <w:pPr>
              <w:spacing w:line="480" w:lineRule="auto"/>
            </w:pPr>
            <w:r w:rsidRPr="00EC12FF">
              <w:t>Moderate=3</w:t>
            </w:r>
          </w:p>
          <w:p w:rsidR="00B131E3" w:rsidRPr="00EC12FF" w:rsidRDefault="00B131E3" w:rsidP="009A1DDE">
            <w:pPr>
              <w:spacing w:line="480" w:lineRule="auto"/>
            </w:pPr>
            <w:r w:rsidRPr="00EC12FF">
              <w:t>Good=4</w:t>
            </w:r>
          </w:p>
          <w:p w:rsidR="00B131E3" w:rsidRPr="00EC12FF" w:rsidRDefault="00B131E3" w:rsidP="009A1DDE">
            <w:pPr>
              <w:spacing w:line="480" w:lineRule="auto"/>
            </w:pPr>
            <w:r w:rsidRPr="00EC12FF">
              <w:t>Very good=5</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Ordinal</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This indicator explains the health state of the women during data collection as verbalized by the women.</w:t>
            </w:r>
          </w:p>
        </w:tc>
      </w:tr>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Literacy rate</w:t>
            </w:r>
          </w:p>
        </w:tc>
        <w:tc>
          <w:tcPr>
            <w:tcW w:w="1985" w:type="dxa"/>
            <w:shd w:val="clear" w:color="auto" w:fill="FFFFFF" w:themeFill="background1"/>
          </w:tcPr>
          <w:p w:rsidR="00B131E3" w:rsidRPr="00EC12FF" w:rsidRDefault="00B131E3" w:rsidP="009A1DDE">
            <w:pPr>
              <w:spacing w:line="480" w:lineRule="auto"/>
            </w:pPr>
            <w:r w:rsidRPr="00EC12FF">
              <w:t>Yes=1</w:t>
            </w:r>
          </w:p>
          <w:p w:rsidR="00B131E3" w:rsidRPr="00EC12FF" w:rsidRDefault="00B131E3" w:rsidP="009A1DDE">
            <w:pPr>
              <w:spacing w:line="480" w:lineRule="auto"/>
            </w:pPr>
            <w:r w:rsidRPr="00EC12FF">
              <w:t>No=0</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Binary</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pPr>
            <w:r w:rsidRPr="00EC12FF">
              <w:t>Literacy rate is defined in this study as the ability of participants to read a sentence.</w:t>
            </w:r>
          </w:p>
        </w:tc>
      </w:tr>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Alcohol use</w:t>
            </w:r>
          </w:p>
        </w:tc>
        <w:tc>
          <w:tcPr>
            <w:tcW w:w="1985"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No=0</w:t>
            </w:r>
          </w:p>
          <w:p w:rsidR="00B131E3" w:rsidRPr="00EC12FF" w:rsidRDefault="00B131E3" w:rsidP="009A1DDE">
            <w:pPr>
              <w:autoSpaceDE w:val="0"/>
              <w:autoSpaceDN w:val="0"/>
              <w:adjustRightInd w:val="0"/>
              <w:spacing w:line="480" w:lineRule="auto"/>
              <w:jc w:val="both"/>
            </w:pPr>
            <w:r w:rsidRPr="00EC12FF">
              <w:t>Yes=1</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Binary</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The use of any form of alcoholic drink, beverage, or liquor at least within one month preceding the 2022 GDHS data collection.</w:t>
            </w:r>
          </w:p>
        </w:tc>
      </w:tr>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pPr>
            <w:r w:rsidRPr="00EC12FF">
              <w:t>Body Mass Index (BMI)</w:t>
            </w:r>
          </w:p>
          <w:p w:rsidR="00B131E3" w:rsidRPr="00EC12FF" w:rsidRDefault="00B131E3" w:rsidP="009A1DDE">
            <w:pPr>
              <w:autoSpaceDE w:val="0"/>
              <w:autoSpaceDN w:val="0"/>
              <w:adjustRightInd w:val="0"/>
              <w:spacing w:line="480" w:lineRule="auto"/>
            </w:pPr>
          </w:p>
        </w:tc>
        <w:tc>
          <w:tcPr>
            <w:tcW w:w="1985"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Underweight=1</w:t>
            </w:r>
          </w:p>
          <w:p w:rsidR="00B131E3" w:rsidRPr="00EC12FF" w:rsidRDefault="00B131E3" w:rsidP="009A1DDE">
            <w:pPr>
              <w:autoSpaceDE w:val="0"/>
              <w:autoSpaceDN w:val="0"/>
              <w:adjustRightInd w:val="0"/>
              <w:spacing w:line="480" w:lineRule="auto"/>
              <w:jc w:val="both"/>
            </w:pPr>
            <w:r w:rsidRPr="00EC12FF">
              <w:t>Normal=2</w:t>
            </w:r>
          </w:p>
          <w:p w:rsidR="00B131E3" w:rsidRPr="00EC12FF" w:rsidRDefault="00B131E3" w:rsidP="009A1DDE">
            <w:pPr>
              <w:autoSpaceDE w:val="0"/>
              <w:autoSpaceDN w:val="0"/>
              <w:adjustRightInd w:val="0"/>
              <w:spacing w:line="480" w:lineRule="auto"/>
              <w:jc w:val="both"/>
            </w:pPr>
            <w:r w:rsidRPr="00EC12FF">
              <w:t>Overweight=3</w:t>
            </w:r>
          </w:p>
          <w:p w:rsidR="00B131E3" w:rsidRPr="00EC12FF" w:rsidRDefault="00B131E3" w:rsidP="009A1DDE">
            <w:pPr>
              <w:autoSpaceDE w:val="0"/>
              <w:autoSpaceDN w:val="0"/>
              <w:adjustRightInd w:val="0"/>
              <w:spacing w:line="480" w:lineRule="auto"/>
              <w:jc w:val="both"/>
            </w:pPr>
            <w:r w:rsidRPr="00EC12FF">
              <w:t>Obese=4</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Ordinal</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pPr>
            <w:r w:rsidRPr="00EC12FF">
              <w:t>BMI was defined as the ratio of weight relative to height squared. With categorizations as:</w:t>
            </w:r>
          </w:p>
          <w:p w:rsidR="00B131E3" w:rsidRPr="00EC12FF" w:rsidRDefault="00B131E3" w:rsidP="009A1DDE">
            <w:pPr>
              <w:autoSpaceDE w:val="0"/>
              <w:autoSpaceDN w:val="0"/>
              <w:adjustRightInd w:val="0"/>
              <w:spacing w:line="480" w:lineRule="auto"/>
            </w:pPr>
            <w:r w:rsidRPr="00EC12FF">
              <w:t xml:space="preserve">Underweight (BMI&lt;18.5); Normal (BMI=18.5-24.9); Overweight(BMI=25.0-29.9) Obese (BMI≥30) </w:t>
            </w:r>
            <w:r w:rsidRPr="00EC12FF">
              <w:rPr>
                <w:shd w:val="clear" w:color="auto" w:fill="FFFFFF" w:themeFill="background1"/>
              </w:rPr>
              <w:t>[</w:t>
            </w:r>
            <w:r w:rsidRPr="00EC12FF">
              <w:rPr>
                <w:color w:val="000000" w:themeColor="text1"/>
                <w:vertAlign w:val="superscript"/>
              </w:rPr>
              <w:fldChar w:fldCharType="begin" w:fldLock="1"/>
            </w:r>
            <w:r w:rsidRPr="00EC12FF">
              <w:rPr>
                <w:color w:val="000000" w:themeColor="text1"/>
                <w:vertAlign w:val="superscript"/>
              </w:rPr>
              <w:instrText>ADDIN CSL_CITATION {"citationItems":[{"id":"ITEM-1","itemData":{"abstract":"The Demographic and Health Survey (DHS) is a population-based survey designed to monitor progress on health service utilisation and management to inform decision makers. Since 1988, DHS surveys have been conducted in Ghana, led by the Ghana Statistical Service, in collaboration with the Ministry of Health/Ghana Health Service (MoH/GHS) and other stakeholders. Funds for the survey were received from the United States Agency for International Development (USAID), the Government of Ghana, and other partners. Prior to the 2022 Ghana Demographic and Health Survey (GDHS), six rounds of the DHS—in 1988, 1993, 1998, 2003, 2008, and 2014—were successfully completed, making this round the seventh in the series. These surveys provide information on mortality, morbidity, nutritional status, disease prevalence, service utilisation, and health seeking practices at both regional and national levels. The GDHS is an important source of information for measuring the outcomes and impact of health programmes and for developing annual and sectoral plans. The 2022 GDHS provides national estimates of demographic and health indicators that are comparable to data collected in Ghana’s six previous DHS surveys and to similar surveys in other developing countries. Data collected in the 2022 GDHS add to the large and growing international database of population-based indicators for Ghana. The 2022 GDHS collected data from a nationally representative sample of approximately 18,540 households from all 16 regions. The survey interviewed 17,933 households, 15,014 women of reproductive age (15 to 49), and 7,044 men age 15 to 59. In addition, 4,935 children age 0–5 were measured for anthropometry, and children age 6–59 months were tested for malaria using the Malaria Rapid Diagnostic Test (RDT) and microscopy. The 2022 GDHS Key Indicators Report provides summary results from the survey and presents trends in the indicators using the previous rounds. Some of the statistics presented include total fertility rates, teenage pregnancy, current use of contraception, unmet need for family planning, childhood mortality rates, vaccination rates, nutritional status of children, minimum dietary diversity of children, anaemia among women and children, household possession of insecticide-treated nets, prevalence of malaria in children, and knowledge of HIV prevention methods. These statistics are disaggregated by region, type of locality, and by selected demographic characteristics including sex, age…","author":[{"dropping-particle":"","family":"Ghana Statistical Service (GSS) Ghana Health Service (GHS) and ICF","given":"","non-dropping-particle":"","parse-names":false,"suffix":""}],"container-title":"Accra, Ghana, and Rockville, Maryland, USA: GSS and ICF.","id":"ITEM-1","issued":{"date-parts":[["2023"]]},"page":"5-24","title":"Ghana Demographic and Health Survey 2022: Key Indicattors Report.","type":"article-journal"},"uris":["http://www.mendeley.com/documents/?uuid=c4cd5d3f-0357-4c1d-b9ef-9cf9c644e44c"]}],"mendeley":{"formattedCitation":"(27)","manualFormatting":"19","plainTextFormattedCitation":"(27)","previouslyFormattedCitation":"(27)"},"properties":{"noteIndex":0},"schema":"https://github.com/citation-style-language/schema/raw/master/csl-citation.json"}</w:instrText>
            </w:r>
            <w:r w:rsidRPr="00EC12FF">
              <w:rPr>
                <w:color w:val="000000" w:themeColor="text1"/>
                <w:vertAlign w:val="superscript"/>
              </w:rPr>
              <w:fldChar w:fldCharType="separate"/>
            </w:r>
            <w:r w:rsidRPr="00EC12FF">
              <w:rPr>
                <w:color w:val="000000" w:themeColor="text1"/>
              </w:rPr>
              <w:t>27</w:t>
            </w:r>
            <w:r w:rsidRPr="00EC12FF">
              <w:rPr>
                <w:color w:val="000000" w:themeColor="text1"/>
                <w:vertAlign w:val="superscript"/>
              </w:rPr>
              <w:fldChar w:fldCharType="end"/>
            </w:r>
            <w:r w:rsidRPr="00EC12FF">
              <w:rPr>
                <w:color w:val="000000" w:themeColor="text1"/>
              </w:rPr>
              <w:t>, 51, 53, 67</w:t>
            </w:r>
            <w:r w:rsidRPr="00EC12FF">
              <w:rPr>
                <w:shd w:val="clear" w:color="auto" w:fill="FFFFFF" w:themeFill="background1"/>
              </w:rPr>
              <w:t>].</w:t>
            </w:r>
          </w:p>
        </w:tc>
      </w:tr>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Usage of ITN</w:t>
            </w:r>
          </w:p>
        </w:tc>
        <w:tc>
          <w:tcPr>
            <w:tcW w:w="1985"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No=0</w:t>
            </w:r>
          </w:p>
          <w:p w:rsidR="00B131E3" w:rsidRPr="00EC12FF" w:rsidRDefault="00B131E3" w:rsidP="009A1DDE">
            <w:pPr>
              <w:autoSpaceDE w:val="0"/>
              <w:autoSpaceDN w:val="0"/>
              <w:adjustRightInd w:val="0"/>
              <w:spacing w:line="480" w:lineRule="auto"/>
              <w:jc w:val="both"/>
            </w:pPr>
            <w:r w:rsidRPr="00EC12FF">
              <w:t>Yes=1</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Binary</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pPr>
            <w:r w:rsidRPr="00EC12FF">
              <w:t>This defines the utilization rate of an Insecticide Treated Net (ITN) during the survey.</w:t>
            </w:r>
          </w:p>
        </w:tc>
      </w:tr>
      <w:tr w:rsidR="00B131E3" w:rsidRPr="00EC12FF" w:rsidTr="009A1DDE">
        <w:tc>
          <w:tcPr>
            <w:tcW w:w="1701" w:type="dxa"/>
            <w:shd w:val="clear" w:color="auto" w:fill="FFFFFF" w:themeFill="background1"/>
          </w:tcPr>
          <w:p w:rsidR="00B131E3" w:rsidRPr="00EC12FF" w:rsidRDefault="00B131E3" w:rsidP="009A1DDE">
            <w:pPr>
              <w:autoSpaceDE w:val="0"/>
              <w:autoSpaceDN w:val="0"/>
              <w:adjustRightInd w:val="0"/>
              <w:spacing w:line="480" w:lineRule="auto"/>
            </w:pPr>
            <w:r w:rsidRPr="00EC12FF">
              <w:lastRenderedPageBreak/>
              <w:t>Health Insurance (HI) coverage</w:t>
            </w:r>
          </w:p>
        </w:tc>
        <w:tc>
          <w:tcPr>
            <w:tcW w:w="1985"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No=0</w:t>
            </w:r>
          </w:p>
          <w:p w:rsidR="00B131E3" w:rsidRPr="00EC12FF" w:rsidRDefault="00B131E3" w:rsidP="009A1DDE">
            <w:pPr>
              <w:autoSpaceDE w:val="0"/>
              <w:autoSpaceDN w:val="0"/>
              <w:adjustRightInd w:val="0"/>
              <w:spacing w:line="480" w:lineRule="auto"/>
              <w:jc w:val="both"/>
            </w:pPr>
            <w:r w:rsidRPr="00EC12FF">
              <w:t>Yes=1</w:t>
            </w:r>
          </w:p>
        </w:tc>
        <w:tc>
          <w:tcPr>
            <w:tcW w:w="1134"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Binary</w:t>
            </w:r>
          </w:p>
        </w:tc>
        <w:tc>
          <w:tcPr>
            <w:tcW w:w="5670" w:type="dxa"/>
            <w:shd w:val="clear" w:color="auto" w:fill="FFFFFF" w:themeFill="background1"/>
          </w:tcPr>
          <w:p w:rsidR="00B131E3" w:rsidRPr="00EC12FF" w:rsidRDefault="00B131E3" w:rsidP="009A1DDE">
            <w:pPr>
              <w:autoSpaceDE w:val="0"/>
              <w:autoSpaceDN w:val="0"/>
              <w:adjustRightInd w:val="0"/>
              <w:spacing w:line="480" w:lineRule="auto"/>
              <w:jc w:val="both"/>
            </w:pPr>
            <w:r w:rsidRPr="00EC12FF">
              <w:t xml:space="preserve">A “yes” response defines women with a valid HI card during the survey. Those without a HI card or lost or expired card were categorized as “No” </w:t>
            </w:r>
            <w:r w:rsidRPr="00EC12FF">
              <w:rPr>
                <w:shd w:val="clear" w:color="auto" w:fill="FFFFFF" w:themeFill="background1"/>
              </w:rPr>
              <w:t>[</w:t>
            </w:r>
            <w:r w:rsidRPr="00EC12FF">
              <w:rPr>
                <w:color w:val="000000" w:themeColor="text1"/>
                <w:vertAlign w:val="superscript"/>
              </w:rPr>
              <w:fldChar w:fldCharType="begin" w:fldLock="1"/>
            </w:r>
            <w:r w:rsidRPr="00EC12FF">
              <w:rPr>
                <w:color w:val="000000" w:themeColor="text1"/>
                <w:vertAlign w:val="superscript"/>
              </w:rPr>
              <w:instrText>ADDIN CSL_CITATION {"citationItems":[{"id":"ITEM-1","itemData":{"abstract":"The Demographic and Health Survey (DHS) is a population-based survey designed to monitor progress on health service utilisation and management to inform decision makers. Since 1988, DHS surveys have been conducted in Ghana, led by the Ghana Statistical Service, in collaboration with the Ministry of Health/Ghana Health Service (MoH/GHS) and other stakeholders. Funds for the survey were received from the United States Agency for International Development (USAID), the Government of Ghana, and other partners. Prior to the 2022 Ghana Demographic and Health Survey (GDHS), six rounds of the DHS—in 1988, 1993, 1998, 2003, 2008, and 2014—were successfully completed, making this round the seventh in the series. These surveys provide information on mortality, morbidity, nutritional status, disease prevalence, service utilisation, and health seeking practices at both regional and national levels. The GDHS is an important source of information for measuring the outcomes and impact of health programmes and for developing annual and sectoral plans. The 2022 GDHS provides national estimates of demographic and health indicators that are comparable to data collected in Ghana’s six previous DHS surveys and to similar surveys in other developing countries. Data collected in the 2022 GDHS add to the large and growing international database of population-based indicators for Ghana. The 2022 GDHS collected data from a nationally representative sample of approximately 18,540 households from all 16 regions. The survey interviewed 17,933 households, 15,014 women of reproductive age (15 to 49), and 7,044 men age 15 to 59. In addition, 4,935 children age 0–5 were measured for anthropometry, and children age 6–59 months were tested for malaria using the Malaria Rapid Diagnostic Test (RDT) and microscopy. The 2022 GDHS Key Indicators Report provides summary results from the survey and presents trends in the indicators using the previous rounds. Some of the statistics presented include total fertility rates, teenage pregnancy, current use of contraception, unmet need for family planning, childhood mortality rates, vaccination rates, nutritional status of children, minimum dietary diversity of children, anaemia among women and children, household possession of insecticide-treated nets, prevalence of malaria in children, and knowledge of HIV prevention methods. These statistics are disaggregated by region, type of locality, and by selected demographic characteristics including sex, age…","author":[{"dropping-particle":"","family":"Ghana Statistical Service (GSS) Ghana Health Service (GHS) and ICF","given":"","non-dropping-particle":"","parse-names":false,"suffix":""}],"container-title":"Accra, Ghana, and Rockville, Maryland, USA: GSS and ICF.","id":"ITEM-1","issued":{"date-parts":[["2023"]]},"page":"5-24","title":"Ghana Demographic and Health Survey 2022: Key Indicattors Report.","type":"article-journal"},"uris":["http://www.mendeley.com/documents/?uuid=c4cd5d3f-0357-4c1d-b9ef-9cf9c644e44c"]}],"mendeley":{"formattedCitation":"(27)","manualFormatting":"19","plainTextFormattedCitation":"(27)","previouslyFormattedCitation":"(27)"},"properties":{"noteIndex":0},"schema":"https://github.com/citation-style-language/schema/raw/master/csl-citation.json"}</w:instrText>
            </w:r>
            <w:r w:rsidRPr="00EC12FF">
              <w:rPr>
                <w:color w:val="000000" w:themeColor="text1"/>
                <w:vertAlign w:val="superscript"/>
              </w:rPr>
              <w:fldChar w:fldCharType="separate"/>
            </w:r>
            <w:r w:rsidRPr="00EC12FF">
              <w:rPr>
                <w:color w:val="000000" w:themeColor="text1"/>
              </w:rPr>
              <w:t>27</w:t>
            </w:r>
            <w:r w:rsidRPr="00EC12FF">
              <w:rPr>
                <w:color w:val="000000" w:themeColor="text1"/>
                <w:vertAlign w:val="superscript"/>
              </w:rPr>
              <w:fldChar w:fldCharType="end"/>
            </w:r>
            <w:r w:rsidRPr="00EC12FF">
              <w:rPr>
                <w:color w:val="000000" w:themeColor="text1"/>
              </w:rPr>
              <w:t>, 51, 53, 67</w:t>
            </w:r>
            <w:r w:rsidRPr="00EC12FF">
              <w:rPr>
                <w:shd w:val="clear" w:color="auto" w:fill="FFFFFF" w:themeFill="background1"/>
              </w:rPr>
              <w:t>].</w:t>
            </w:r>
          </w:p>
        </w:tc>
      </w:tr>
    </w:tbl>
    <w:bookmarkEnd w:id="0"/>
    <w:bookmarkEnd w:id="1"/>
    <w:p w:rsidR="00B131E3" w:rsidRDefault="00B131E3" w:rsidP="00B131E3">
      <w:pPr>
        <w:rPr>
          <w:b/>
          <w:bCs/>
          <w:shd w:val="clear" w:color="auto" w:fill="FFFFFF"/>
        </w:rPr>
      </w:pPr>
      <w:r w:rsidRPr="004C0AA9">
        <w:rPr>
          <w:b/>
          <w:bCs/>
          <w:shd w:val="clear" w:color="auto" w:fill="FFFFFF"/>
        </w:rPr>
        <w:t xml:space="preserve">   </w:t>
      </w:r>
    </w:p>
    <w:p w:rsidR="006A66F6" w:rsidRDefault="006A66F6" w:rsidP="00B131E3">
      <w:pPr>
        <w:rPr>
          <w:b/>
          <w:bCs/>
          <w:shd w:val="clear" w:color="auto" w:fill="FFFFFF"/>
        </w:rPr>
      </w:pPr>
    </w:p>
    <w:p w:rsidR="006A66F6" w:rsidRDefault="006A66F6" w:rsidP="00B131E3">
      <w:pPr>
        <w:rPr>
          <w:b/>
          <w:bCs/>
          <w:shd w:val="clear" w:color="auto" w:fill="FFFFFF"/>
        </w:rPr>
      </w:pPr>
    </w:p>
    <w:p w:rsidR="00B131E3" w:rsidRPr="000216F8" w:rsidRDefault="000216F8" w:rsidP="00B131E3">
      <w:pPr>
        <w:jc w:val="both"/>
        <w:rPr>
          <w:b/>
          <w:bCs/>
          <w:shd w:val="clear" w:color="auto" w:fill="FFFFFF"/>
        </w:rPr>
      </w:pPr>
      <w:r w:rsidRPr="000216F8">
        <w:rPr>
          <w:b/>
          <w:bCs/>
          <w:color w:val="000000" w:themeColor="text1"/>
        </w:rPr>
        <w:t>Supplementary Table S2</w:t>
      </w:r>
      <w:r w:rsidR="00B64B29" w:rsidRPr="000216F8">
        <w:rPr>
          <w:b/>
          <w:bCs/>
          <w:shd w:val="clear" w:color="auto" w:fill="FFFFFF"/>
        </w:rPr>
        <w:t>.</w:t>
      </w:r>
      <w:r w:rsidR="00B131E3" w:rsidRPr="000216F8">
        <w:rPr>
          <w:b/>
          <w:bCs/>
          <w:shd w:val="clear" w:color="auto" w:fill="FFFFFF"/>
        </w:rPr>
        <w:t xml:space="preserve"> Results of variance inflation factor (VIF)   </w:t>
      </w:r>
    </w:p>
    <w:p w:rsidR="00B131E3" w:rsidRPr="004C0AA9" w:rsidRDefault="00B131E3" w:rsidP="00B131E3">
      <w:pPr>
        <w:pStyle w:val="Heading1"/>
        <w:spacing w:before="0"/>
        <w:rPr>
          <w:b/>
          <w:bCs/>
          <w:sz w:val="24"/>
          <w:szCs w:val="24"/>
          <w:shd w:val="clear" w:color="auto" w:fill="FFFFFF"/>
        </w:rPr>
      </w:pPr>
      <w:r w:rsidRPr="004C0AA9">
        <w:rPr>
          <w:b/>
          <w:bCs/>
          <w:sz w:val="24"/>
          <w:szCs w:val="24"/>
          <w:shd w:val="clear" w:color="auto" w:fill="FFFFFF"/>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51"/>
        <w:gridCol w:w="1134"/>
      </w:tblGrid>
      <w:tr w:rsidR="00B131E3" w:rsidTr="009A1DDE">
        <w:trPr>
          <w:trHeight w:val="361"/>
        </w:trPr>
        <w:tc>
          <w:tcPr>
            <w:tcW w:w="1843" w:type="dxa"/>
            <w:tcBorders>
              <w:bottom w:val="single" w:sz="4" w:space="0" w:color="auto"/>
              <w:right w:val="single" w:sz="4" w:space="0" w:color="auto"/>
            </w:tcBorders>
          </w:tcPr>
          <w:p w:rsidR="00B131E3" w:rsidRPr="00022D3A" w:rsidRDefault="00B131E3" w:rsidP="009A1DDE">
            <w:pPr>
              <w:jc w:val="both"/>
              <w:rPr>
                <w:color w:val="0D0D0D"/>
                <w:shd w:val="clear" w:color="auto" w:fill="FFFFFF"/>
              </w:rPr>
            </w:pPr>
            <w:r w:rsidRPr="00022D3A">
              <w:rPr>
                <w:color w:val="0D0D0D"/>
                <w:shd w:val="clear" w:color="auto" w:fill="FFFFFF"/>
              </w:rPr>
              <w:t>Variable</w:t>
            </w:r>
          </w:p>
        </w:tc>
        <w:tc>
          <w:tcPr>
            <w:tcW w:w="851" w:type="dxa"/>
            <w:tcBorders>
              <w:left w:val="single" w:sz="4" w:space="0" w:color="auto"/>
              <w:bottom w:val="single" w:sz="4" w:space="0" w:color="auto"/>
            </w:tcBorders>
          </w:tcPr>
          <w:p w:rsidR="00B131E3" w:rsidRPr="00022D3A" w:rsidRDefault="00B131E3" w:rsidP="009A1DDE">
            <w:pPr>
              <w:jc w:val="both"/>
              <w:rPr>
                <w:color w:val="0D0D0D"/>
                <w:shd w:val="clear" w:color="auto" w:fill="FFFFFF"/>
              </w:rPr>
            </w:pPr>
            <w:r w:rsidRPr="00022D3A">
              <w:rPr>
                <w:color w:val="0D0D0D"/>
                <w:shd w:val="clear" w:color="auto" w:fill="FFFFFF"/>
              </w:rPr>
              <w:t>VIF</w:t>
            </w:r>
          </w:p>
        </w:tc>
        <w:tc>
          <w:tcPr>
            <w:tcW w:w="1134" w:type="dxa"/>
            <w:tcBorders>
              <w:bottom w:val="single" w:sz="4" w:space="0" w:color="auto"/>
            </w:tcBorders>
          </w:tcPr>
          <w:p w:rsidR="00B131E3" w:rsidRPr="00022D3A" w:rsidRDefault="00B131E3" w:rsidP="009A1DDE">
            <w:pPr>
              <w:jc w:val="both"/>
              <w:rPr>
                <w:color w:val="0D0D0D"/>
                <w:shd w:val="clear" w:color="auto" w:fill="FFFFFF"/>
              </w:rPr>
            </w:pPr>
            <w:r w:rsidRPr="00022D3A">
              <w:rPr>
                <w:color w:val="0D0D0D"/>
                <w:shd w:val="clear" w:color="auto" w:fill="FFFFFF"/>
              </w:rPr>
              <w:t>1/VIF</w:t>
            </w:r>
          </w:p>
        </w:tc>
      </w:tr>
      <w:tr w:rsidR="00B131E3" w:rsidTr="009A1DDE">
        <w:trPr>
          <w:trHeight w:val="227"/>
        </w:trPr>
        <w:tc>
          <w:tcPr>
            <w:tcW w:w="1843" w:type="dxa"/>
            <w:tcBorders>
              <w:top w:val="single" w:sz="4" w:space="0" w:color="auto"/>
              <w:right w:val="single" w:sz="4" w:space="0" w:color="auto"/>
            </w:tcBorders>
          </w:tcPr>
          <w:p w:rsidR="00B131E3" w:rsidRPr="00022D3A" w:rsidRDefault="00B131E3" w:rsidP="009A1DDE">
            <w:pPr>
              <w:jc w:val="both"/>
              <w:rPr>
                <w:color w:val="0D0D0D"/>
                <w:shd w:val="clear" w:color="auto" w:fill="FFFFFF"/>
              </w:rPr>
            </w:pPr>
            <w:r w:rsidRPr="00022D3A">
              <w:t xml:space="preserve"> Age </w:t>
            </w:r>
          </w:p>
        </w:tc>
        <w:tc>
          <w:tcPr>
            <w:tcW w:w="851" w:type="dxa"/>
            <w:tcBorders>
              <w:top w:val="single" w:sz="4" w:space="0" w:color="auto"/>
              <w:left w:val="single" w:sz="4" w:space="0" w:color="auto"/>
            </w:tcBorders>
          </w:tcPr>
          <w:p w:rsidR="00B131E3" w:rsidRPr="00022D3A" w:rsidRDefault="00B131E3" w:rsidP="009A1DDE">
            <w:pPr>
              <w:jc w:val="both"/>
              <w:rPr>
                <w:color w:val="0D0D0D"/>
                <w:shd w:val="clear" w:color="auto" w:fill="FFFFFF"/>
              </w:rPr>
            </w:pPr>
          </w:p>
        </w:tc>
        <w:tc>
          <w:tcPr>
            <w:tcW w:w="1134" w:type="dxa"/>
            <w:tcBorders>
              <w:top w:val="single" w:sz="4" w:space="0" w:color="auto"/>
            </w:tcBorders>
          </w:tcPr>
          <w:p w:rsidR="00B131E3" w:rsidRPr="00022D3A" w:rsidRDefault="00B131E3" w:rsidP="009A1DDE">
            <w:pPr>
              <w:jc w:val="both"/>
              <w:rPr>
                <w:color w:val="0D0D0D"/>
                <w:shd w:val="clear" w:color="auto" w:fill="FFFFFF"/>
              </w:rPr>
            </w:pP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1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2.38    </w:t>
            </w:r>
          </w:p>
        </w:tc>
        <w:tc>
          <w:tcPr>
            <w:tcW w:w="1134" w:type="dxa"/>
          </w:tcPr>
          <w:p w:rsidR="00B131E3" w:rsidRPr="00022D3A" w:rsidRDefault="00B131E3" w:rsidP="009A1DDE">
            <w:pPr>
              <w:jc w:val="both"/>
              <w:rPr>
                <w:color w:val="0D0D0D"/>
                <w:shd w:val="clear" w:color="auto" w:fill="FFFFFF"/>
              </w:rPr>
            </w:pPr>
            <w:r w:rsidRPr="00022D3A">
              <w:t>0.420292</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2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1.87    </w:t>
            </w:r>
          </w:p>
        </w:tc>
        <w:tc>
          <w:tcPr>
            <w:tcW w:w="1134" w:type="dxa"/>
          </w:tcPr>
          <w:p w:rsidR="00B131E3" w:rsidRPr="00022D3A" w:rsidRDefault="00B131E3" w:rsidP="009A1DDE">
            <w:pPr>
              <w:jc w:val="both"/>
              <w:rPr>
                <w:color w:val="0D0D0D"/>
                <w:shd w:val="clear" w:color="auto" w:fill="FFFFFF"/>
              </w:rPr>
            </w:pPr>
            <w:r w:rsidRPr="00022D3A">
              <w:t>0.535879</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3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1.65    </w:t>
            </w:r>
          </w:p>
        </w:tc>
        <w:tc>
          <w:tcPr>
            <w:tcW w:w="1134" w:type="dxa"/>
          </w:tcPr>
          <w:p w:rsidR="00B131E3" w:rsidRPr="00022D3A" w:rsidRDefault="00B131E3" w:rsidP="009A1DDE">
            <w:pPr>
              <w:jc w:val="both"/>
              <w:rPr>
                <w:color w:val="0D0D0D"/>
                <w:shd w:val="clear" w:color="auto" w:fill="FFFFFF"/>
              </w:rPr>
            </w:pPr>
            <w:r w:rsidRPr="00022D3A">
              <w:t>0.606994</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4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1.47    </w:t>
            </w:r>
          </w:p>
        </w:tc>
        <w:tc>
          <w:tcPr>
            <w:tcW w:w="1134" w:type="dxa"/>
          </w:tcPr>
          <w:p w:rsidR="00B131E3" w:rsidRPr="00022D3A" w:rsidRDefault="00B131E3" w:rsidP="009A1DDE">
            <w:pPr>
              <w:jc w:val="both"/>
              <w:rPr>
                <w:color w:val="0D0D0D"/>
                <w:shd w:val="clear" w:color="auto" w:fill="FFFFFF"/>
              </w:rPr>
            </w:pPr>
            <w:r w:rsidRPr="00022D3A">
              <w:t>0.681605</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Parity </w:t>
            </w:r>
          </w:p>
        </w:tc>
        <w:tc>
          <w:tcPr>
            <w:tcW w:w="851" w:type="dxa"/>
            <w:tcBorders>
              <w:left w:val="single" w:sz="4" w:space="0" w:color="auto"/>
            </w:tcBorders>
          </w:tcPr>
          <w:p w:rsidR="00B131E3" w:rsidRPr="00022D3A" w:rsidRDefault="00B131E3" w:rsidP="009A1DDE">
            <w:pPr>
              <w:jc w:val="both"/>
              <w:rPr>
                <w:color w:val="0D0D0D"/>
                <w:shd w:val="clear" w:color="auto" w:fill="FFFFFF"/>
              </w:rPr>
            </w:pPr>
          </w:p>
        </w:tc>
        <w:tc>
          <w:tcPr>
            <w:tcW w:w="1134" w:type="dxa"/>
          </w:tcPr>
          <w:p w:rsidR="00B131E3" w:rsidRPr="00022D3A" w:rsidRDefault="00B131E3" w:rsidP="009A1DDE">
            <w:pPr>
              <w:jc w:val="both"/>
              <w:rPr>
                <w:color w:val="0D0D0D"/>
                <w:shd w:val="clear" w:color="auto" w:fill="FFFFFF"/>
              </w:rPr>
            </w:pP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0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1.35    </w:t>
            </w:r>
          </w:p>
        </w:tc>
        <w:tc>
          <w:tcPr>
            <w:tcW w:w="1134" w:type="dxa"/>
          </w:tcPr>
          <w:p w:rsidR="00B131E3" w:rsidRPr="00022D3A" w:rsidRDefault="00B131E3" w:rsidP="009A1DDE">
            <w:pPr>
              <w:jc w:val="both"/>
              <w:rPr>
                <w:color w:val="0D0D0D"/>
                <w:shd w:val="clear" w:color="auto" w:fill="FFFFFF"/>
              </w:rPr>
            </w:pPr>
            <w:r w:rsidRPr="00022D3A">
              <w:t>0.740455</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1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2.39    </w:t>
            </w:r>
          </w:p>
        </w:tc>
        <w:tc>
          <w:tcPr>
            <w:tcW w:w="1134" w:type="dxa"/>
          </w:tcPr>
          <w:p w:rsidR="00B131E3" w:rsidRPr="00022D3A" w:rsidRDefault="00B131E3" w:rsidP="009A1DDE">
            <w:pPr>
              <w:jc w:val="both"/>
              <w:rPr>
                <w:color w:val="0D0D0D"/>
                <w:shd w:val="clear" w:color="auto" w:fill="FFFFFF"/>
              </w:rPr>
            </w:pPr>
            <w:r w:rsidRPr="00022D3A">
              <w:t>0.418220</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rPr>
                <w:color w:val="0D0D0D"/>
                <w:shd w:val="clear" w:color="auto" w:fill="FFFFFF"/>
              </w:rPr>
              <w:t>2</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2.94    </w:t>
            </w:r>
          </w:p>
        </w:tc>
        <w:tc>
          <w:tcPr>
            <w:tcW w:w="1134" w:type="dxa"/>
          </w:tcPr>
          <w:p w:rsidR="00B131E3" w:rsidRPr="00022D3A" w:rsidRDefault="00B131E3" w:rsidP="009A1DDE">
            <w:pPr>
              <w:jc w:val="both"/>
              <w:rPr>
                <w:color w:val="0D0D0D"/>
                <w:shd w:val="clear" w:color="auto" w:fill="FFFFFF"/>
              </w:rPr>
            </w:pPr>
            <w:r w:rsidRPr="00022D3A">
              <w:t>0.340617</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Health status</w:t>
            </w:r>
          </w:p>
        </w:tc>
        <w:tc>
          <w:tcPr>
            <w:tcW w:w="851" w:type="dxa"/>
            <w:tcBorders>
              <w:left w:val="single" w:sz="4" w:space="0" w:color="auto"/>
            </w:tcBorders>
          </w:tcPr>
          <w:p w:rsidR="00B131E3" w:rsidRPr="00022D3A" w:rsidRDefault="00B131E3" w:rsidP="009A1DDE">
            <w:pPr>
              <w:jc w:val="both"/>
              <w:rPr>
                <w:color w:val="0D0D0D"/>
                <w:shd w:val="clear" w:color="auto" w:fill="FFFFFF"/>
              </w:rPr>
            </w:pPr>
          </w:p>
        </w:tc>
        <w:tc>
          <w:tcPr>
            <w:tcW w:w="1134" w:type="dxa"/>
          </w:tcPr>
          <w:p w:rsidR="00B131E3" w:rsidRPr="00022D3A" w:rsidRDefault="00B131E3" w:rsidP="009A1DDE">
            <w:pPr>
              <w:jc w:val="both"/>
              <w:rPr>
                <w:color w:val="0D0D0D"/>
                <w:shd w:val="clear" w:color="auto" w:fill="FFFFFF"/>
              </w:rPr>
            </w:pP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1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1.96    </w:t>
            </w:r>
          </w:p>
        </w:tc>
        <w:tc>
          <w:tcPr>
            <w:tcW w:w="1134" w:type="dxa"/>
          </w:tcPr>
          <w:p w:rsidR="00B131E3" w:rsidRPr="00022D3A" w:rsidRDefault="00B131E3" w:rsidP="009A1DDE">
            <w:pPr>
              <w:jc w:val="both"/>
              <w:rPr>
                <w:color w:val="0D0D0D"/>
                <w:shd w:val="clear" w:color="auto" w:fill="FFFFFF"/>
              </w:rPr>
            </w:pPr>
            <w:r w:rsidRPr="00022D3A">
              <w:t>0.510130</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2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1.98   </w:t>
            </w:r>
          </w:p>
        </w:tc>
        <w:tc>
          <w:tcPr>
            <w:tcW w:w="1134" w:type="dxa"/>
          </w:tcPr>
          <w:p w:rsidR="00B131E3" w:rsidRPr="00022D3A" w:rsidRDefault="00B131E3" w:rsidP="009A1DDE">
            <w:pPr>
              <w:jc w:val="both"/>
              <w:rPr>
                <w:color w:val="0D0D0D"/>
                <w:shd w:val="clear" w:color="auto" w:fill="FFFFFF"/>
              </w:rPr>
            </w:pPr>
            <w:r w:rsidRPr="00022D3A">
              <w:t>0.505683</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3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1.17    </w:t>
            </w:r>
          </w:p>
        </w:tc>
        <w:tc>
          <w:tcPr>
            <w:tcW w:w="1134" w:type="dxa"/>
          </w:tcPr>
          <w:p w:rsidR="00B131E3" w:rsidRPr="00022D3A" w:rsidRDefault="00B131E3" w:rsidP="009A1DDE">
            <w:pPr>
              <w:jc w:val="both"/>
              <w:rPr>
                <w:color w:val="0D0D0D"/>
                <w:shd w:val="clear" w:color="auto" w:fill="FFFFFF"/>
              </w:rPr>
            </w:pPr>
            <w:r w:rsidRPr="00022D3A">
              <w:t>0.855017</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4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1.04 </w:t>
            </w:r>
          </w:p>
        </w:tc>
        <w:tc>
          <w:tcPr>
            <w:tcW w:w="1134" w:type="dxa"/>
          </w:tcPr>
          <w:p w:rsidR="00B131E3" w:rsidRPr="00022D3A" w:rsidRDefault="00B131E3" w:rsidP="009A1DDE">
            <w:pPr>
              <w:jc w:val="both"/>
              <w:rPr>
                <w:color w:val="0D0D0D"/>
                <w:shd w:val="clear" w:color="auto" w:fill="FFFFFF"/>
              </w:rPr>
            </w:pPr>
            <w:r w:rsidRPr="00022D3A">
              <w:t>0.965926</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ITN use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1.16    </w:t>
            </w:r>
          </w:p>
        </w:tc>
        <w:tc>
          <w:tcPr>
            <w:tcW w:w="1134" w:type="dxa"/>
          </w:tcPr>
          <w:p w:rsidR="00B131E3" w:rsidRPr="00022D3A" w:rsidRDefault="00B131E3" w:rsidP="009A1DDE">
            <w:pPr>
              <w:jc w:val="both"/>
              <w:rPr>
                <w:color w:val="0D0D0D"/>
                <w:shd w:val="clear" w:color="auto" w:fill="FFFFFF"/>
              </w:rPr>
            </w:pPr>
            <w:r w:rsidRPr="00022D3A">
              <w:t>0.863020</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Toilet Facility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1.67  </w:t>
            </w:r>
          </w:p>
        </w:tc>
        <w:tc>
          <w:tcPr>
            <w:tcW w:w="1134" w:type="dxa"/>
          </w:tcPr>
          <w:p w:rsidR="00B131E3" w:rsidRPr="00022D3A" w:rsidRDefault="00B131E3" w:rsidP="009A1DDE">
            <w:pPr>
              <w:jc w:val="both"/>
              <w:rPr>
                <w:color w:val="0D0D0D"/>
                <w:shd w:val="clear" w:color="auto" w:fill="FFFFFF"/>
              </w:rPr>
            </w:pPr>
            <w:r w:rsidRPr="00022D3A">
              <w:t>0.597080</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Education</w:t>
            </w:r>
          </w:p>
        </w:tc>
        <w:tc>
          <w:tcPr>
            <w:tcW w:w="851" w:type="dxa"/>
            <w:tcBorders>
              <w:left w:val="single" w:sz="4" w:space="0" w:color="auto"/>
            </w:tcBorders>
          </w:tcPr>
          <w:p w:rsidR="00B131E3" w:rsidRPr="00022D3A" w:rsidRDefault="00B131E3" w:rsidP="009A1DDE">
            <w:pPr>
              <w:jc w:val="both"/>
              <w:rPr>
                <w:color w:val="0D0D0D"/>
                <w:shd w:val="clear" w:color="auto" w:fill="FFFFFF"/>
              </w:rPr>
            </w:pPr>
          </w:p>
        </w:tc>
        <w:tc>
          <w:tcPr>
            <w:tcW w:w="1134" w:type="dxa"/>
          </w:tcPr>
          <w:p w:rsidR="00B131E3" w:rsidRPr="00022D3A" w:rsidRDefault="00B131E3" w:rsidP="009A1DDE">
            <w:pPr>
              <w:jc w:val="both"/>
              <w:rPr>
                <w:color w:val="0D0D0D"/>
                <w:shd w:val="clear" w:color="auto" w:fill="FFFFFF"/>
              </w:rPr>
            </w:pP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0</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7.20    </w:t>
            </w:r>
          </w:p>
        </w:tc>
        <w:tc>
          <w:tcPr>
            <w:tcW w:w="1134" w:type="dxa"/>
          </w:tcPr>
          <w:p w:rsidR="00B131E3" w:rsidRPr="00022D3A" w:rsidRDefault="00B131E3" w:rsidP="009A1DDE">
            <w:pPr>
              <w:jc w:val="both"/>
              <w:rPr>
                <w:color w:val="0D0D0D"/>
                <w:shd w:val="clear" w:color="auto" w:fill="FFFFFF"/>
              </w:rPr>
            </w:pPr>
            <w:r w:rsidRPr="00022D3A">
              <w:t>0.138902</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1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4.35    </w:t>
            </w:r>
          </w:p>
        </w:tc>
        <w:tc>
          <w:tcPr>
            <w:tcW w:w="1134" w:type="dxa"/>
          </w:tcPr>
          <w:p w:rsidR="00B131E3" w:rsidRPr="00022D3A" w:rsidRDefault="00B131E3" w:rsidP="009A1DDE">
            <w:pPr>
              <w:jc w:val="both"/>
              <w:rPr>
                <w:color w:val="0D0D0D"/>
                <w:shd w:val="clear" w:color="auto" w:fill="FFFFFF"/>
              </w:rPr>
            </w:pPr>
            <w:r w:rsidRPr="00022D3A">
              <w:t>0.230010</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2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5.14    </w:t>
            </w:r>
          </w:p>
        </w:tc>
        <w:tc>
          <w:tcPr>
            <w:tcW w:w="1134" w:type="dxa"/>
          </w:tcPr>
          <w:p w:rsidR="00B131E3" w:rsidRPr="00022D3A" w:rsidRDefault="00B131E3" w:rsidP="009A1DDE">
            <w:pPr>
              <w:jc w:val="both"/>
              <w:rPr>
                <w:color w:val="0D0D0D"/>
                <w:shd w:val="clear" w:color="auto" w:fill="FFFFFF"/>
              </w:rPr>
            </w:pPr>
            <w:r w:rsidRPr="00022D3A">
              <w:t>0.194594</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rPr>
                <w:color w:val="0D0D0D"/>
                <w:shd w:val="clear" w:color="auto" w:fill="FFFFFF"/>
              </w:rPr>
              <w:t>BMI</w:t>
            </w:r>
          </w:p>
        </w:tc>
        <w:tc>
          <w:tcPr>
            <w:tcW w:w="851" w:type="dxa"/>
            <w:tcBorders>
              <w:left w:val="single" w:sz="4" w:space="0" w:color="auto"/>
            </w:tcBorders>
          </w:tcPr>
          <w:p w:rsidR="00B131E3" w:rsidRPr="00022D3A" w:rsidRDefault="00B131E3" w:rsidP="009A1DDE">
            <w:pPr>
              <w:jc w:val="both"/>
              <w:rPr>
                <w:color w:val="0D0D0D"/>
                <w:shd w:val="clear" w:color="auto" w:fill="FFFFFF"/>
              </w:rPr>
            </w:pPr>
          </w:p>
        </w:tc>
        <w:tc>
          <w:tcPr>
            <w:tcW w:w="1134" w:type="dxa"/>
          </w:tcPr>
          <w:p w:rsidR="00B131E3" w:rsidRPr="00022D3A" w:rsidRDefault="00B131E3" w:rsidP="009A1DDE">
            <w:pPr>
              <w:jc w:val="both"/>
              <w:rPr>
                <w:color w:val="0D0D0D"/>
                <w:shd w:val="clear" w:color="auto" w:fill="FFFFFF"/>
              </w:rPr>
            </w:pP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rPr>
                <w:color w:val="0D0D0D"/>
                <w:shd w:val="clear" w:color="auto" w:fill="FFFFFF"/>
              </w:rPr>
              <w:t>1</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1.05    </w:t>
            </w:r>
          </w:p>
        </w:tc>
        <w:tc>
          <w:tcPr>
            <w:tcW w:w="1134" w:type="dxa"/>
          </w:tcPr>
          <w:p w:rsidR="00B131E3" w:rsidRPr="00022D3A" w:rsidRDefault="00B131E3" w:rsidP="009A1DDE">
            <w:pPr>
              <w:jc w:val="both"/>
              <w:rPr>
                <w:color w:val="0D0D0D"/>
                <w:shd w:val="clear" w:color="auto" w:fill="FFFFFF"/>
              </w:rPr>
            </w:pPr>
            <w:r w:rsidRPr="00022D3A">
              <w:t>0.948121</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rPr>
                <w:color w:val="0D0D0D"/>
                <w:shd w:val="clear" w:color="auto" w:fill="FFFFFF"/>
              </w:rPr>
              <w:t>2</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1.26    </w:t>
            </w:r>
          </w:p>
        </w:tc>
        <w:tc>
          <w:tcPr>
            <w:tcW w:w="1134" w:type="dxa"/>
          </w:tcPr>
          <w:p w:rsidR="00B131E3" w:rsidRPr="00022D3A" w:rsidRDefault="00B131E3" w:rsidP="009A1DDE">
            <w:pPr>
              <w:jc w:val="both"/>
              <w:rPr>
                <w:color w:val="0D0D0D"/>
                <w:shd w:val="clear" w:color="auto" w:fill="FFFFFF"/>
              </w:rPr>
            </w:pPr>
            <w:r w:rsidRPr="00022D3A">
              <w:t>0.795646</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rPr>
                <w:color w:val="0D0D0D"/>
                <w:shd w:val="clear" w:color="auto" w:fill="FFFFFF"/>
              </w:rPr>
              <w:t>3</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1.40    </w:t>
            </w:r>
          </w:p>
        </w:tc>
        <w:tc>
          <w:tcPr>
            <w:tcW w:w="1134" w:type="dxa"/>
          </w:tcPr>
          <w:p w:rsidR="00B131E3" w:rsidRPr="00022D3A" w:rsidRDefault="00B131E3" w:rsidP="009A1DDE">
            <w:pPr>
              <w:jc w:val="both"/>
              <w:rPr>
                <w:color w:val="0D0D0D"/>
                <w:shd w:val="clear" w:color="auto" w:fill="FFFFFF"/>
              </w:rPr>
            </w:pPr>
            <w:r w:rsidRPr="00022D3A">
              <w:t>0.711884</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Pr>
                <w:color w:val="0D0D0D"/>
                <w:shd w:val="clear" w:color="auto" w:fill="FFFFFF"/>
              </w:rPr>
              <w:t>G</w:t>
            </w:r>
            <w:r w:rsidRPr="00FF1FCC">
              <w:rPr>
                <w:color w:val="0D0D0D"/>
                <w:shd w:val="clear" w:color="auto" w:fill="FFFFFF"/>
              </w:rPr>
              <w:t>eographic</w:t>
            </w:r>
            <w:r>
              <w:rPr>
                <w:color w:val="0D0D0D"/>
                <w:shd w:val="clear" w:color="auto" w:fill="FFFFFF"/>
              </w:rPr>
              <w:t xml:space="preserve"> </w:t>
            </w:r>
            <w:r w:rsidRPr="00022D3A">
              <w:rPr>
                <w:color w:val="0D0D0D"/>
                <w:shd w:val="clear" w:color="auto" w:fill="FFFFFF"/>
              </w:rPr>
              <w:t xml:space="preserve">Zone </w:t>
            </w:r>
          </w:p>
        </w:tc>
        <w:tc>
          <w:tcPr>
            <w:tcW w:w="851" w:type="dxa"/>
            <w:tcBorders>
              <w:left w:val="single" w:sz="4" w:space="0" w:color="auto"/>
            </w:tcBorders>
          </w:tcPr>
          <w:p w:rsidR="00B131E3" w:rsidRPr="00022D3A" w:rsidRDefault="00B131E3" w:rsidP="009A1DDE">
            <w:pPr>
              <w:jc w:val="both"/>
              <w:rPr>
                <w:color w:val="0D0D0D"/>
                <w:shd w:val="clear" w:color="auto" w:fill="FFFFFF"/>
              </w:rPr>
            </w:pPr>
          </w:p>
        </w:tc>
        <w:tc>
          <w:tcPr>
            <w:tcW w:w="1134" w:type="dxa"/>
          </w:tcPr>
          <w:p w:rsidR="00B131E3" w:rsidRPr="00022D3A" w:rsidRDefault="00B131E3" w:rsidP="009A1DDE">
            <w:pPr>
              <w:jc w:val="both"/>
              <w:rPr>
                <w:color w:val="0D0D0D"/>
                <w:shd w:val="clear" w:color="auto" w:fill="FFFFFF"/>
              </w:rPr>
            </w:pP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1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1.97    </w:t>
            </w:r>
          </w:p>
        </w:tc>
        <w:tc>
          <w:tcPr>
            <w:tcW w:w="1134" w:type="dxa"/>
          </w:tcPr>
          <w:p w:rsidR="00B131E3" w:rsidRPr="00022D3A" w:rsidRDefault="00B131E3" w:rsidP="009A1DDE">
            <w:pPr>
              <w:jc w:val="both"/>
              <w:rPr>
                <w:color w:val="0D0D0D"/>
                <w:shd w:val="clear" w:color="auto" w:fill="FFFFFF"/>
              </w:rPr>
            </w:pPr>
            <w:r w:rsidRPr="00022D3A">
              <w:t>0.506795</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2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1.93    </w:t>
            </w:r>
          </w:p>
        </w:tc>
        <w:tc>
          <w:tcPr>
            <w:tcW w:w="1134" w:type="dxa"/>
          </w:tcPr>
          <w:p w:rsidR="00B131E3" w:rsidRPr="00022D3A" w:rsidRDefault="00B131E3" w:rsidP="009A1DDE">
            <w:pPr>
              <w:jc w:val="both"/>
              <w:rPr>
                <w:color w:val="0D0D0D"/>
                <w:shd w:val="clear" w:color="auto" w:fill="FFFFFF"/>
              </w:rPr>
            </w:pPr>
            <w:r w:rsidRPr="00022D3A">
              <w:t>0.519250</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Residence</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1.67    </w:t>
            </w:r>
          </w:p>
        </w:tc>
        <w:tc>
          <w:tcPr>
            <w:tcW w:w="1134" w:type="dxa"/>
          </w:tcPr>
          <w:p w:rsidR="00B131E3" w:rsidRPr="00022D3A" w:rsidRDefault="00B131E3" w:rsidP="009A1DDE">
            <w:pPr>
              <w:jc w:val="both"/>
              <w:rPr>
                <w:color w:val="0D0D0D"/>
                <w:shd w:val="clear" w:color="auto" w:fill="FFFFFF"/>
              </w:rPr>
            </w:pPr>
            <w:r w:rsidRPr="00022D3A">
              <w:t>0.597854</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Household Head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1.05    </w:t>
            </w:r>
          </w:p>
        </w:tc>
        <w:tc>
          <w:tcPr>
            <w:tcW w:w="1134" w:type="dxa"/>
          </w:tcPr>
          <w:p w:rsidR="00B131E3" w:rsidRPr="00022D3A" w:rsidRDefault="00B131E3" w:rsidP="009A1DDE">
            <w:pPr>
              <w:jc w:val="both"/>
              <w:rPr>
                <w:color w:val="0D0D0D"/>
                <w:shd w:val="clear" w:color="auto" w:fill="FFFFFF"/>
              </w:rPr>
            </w:pPr>
            <w:r>
              <w:t>0</w:t>
            </w:r>
            <w:r w:rsidRPr="00022D3A">
              <w:t>.949702</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Wealth quintile</w:t>
            </w:r>
          </w:p>
        </w:tc>
        <w:tc>
          <w:tcPr>
            <w:tcW w:w="851" w:type="dxa"/>
            <w:tcBorders>
              <w:left w:val="single" w:sz="4" w:space="0" w:color="auto"/>
            </w:tcBorders>
          </w:tcPr>
          <w:p w:rsidR="00B131E3" w:rsidRPr="00022D3A" w:rsidRDefault="00B131E3" w:rsidP="009A1DDE">
            <w:pPr>
              <w:jc w:val="both"/>
              <w:rPr>
                <w:color w:val="0D0D0D"/>
                <w:shd w:val="clear" w:color="auto" w:fill="FFFFFF"/>
              </w:rPr>
            </w:pPr>
          </w:p>
        </w:tc>
        <w:tc>
          <w:tcPr>
            <w:tcW w:w="1134" w:type="dxa"/>
          </w:tcPr>
          <w:p w:rsidR="00B131E3" w:rsidRPr="00022D3A" w:rsidRDefault="00B131E3" w:rsidP="009A1DDE">
            <w:pPr>
              <w:jc w:val="both"/>
              <w:rPr>
                <w:color w:val="0D0D0D"/>
                <w:shd w:val="clear" w:color="auto" w:fill="FFFFFF"/>
              </w:rPr>
            </w:pP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rPr>
                <w:color w:val="0D0D0D"/>
                <w:shd w:val="clear" w:color="auto" w:fill="FFFFFF"/>
              </w:rPr>
              <w:t>1</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1.62    </w:t>
            </w:r>
          </w:p>
        </w:tc>
        <w:tc>
          <w:tcPr>
            <w:tcW w:w="1134" w:type="dxa"/>
          </w:tcPr>
          <w:p w:rsidR="00B131E3" w:rsidRPr="00022D3A" w:rsidRDefault="00B131E3" w:rsidP="009A1DDE">
            <w:pPr>
              <w:jc w:val="both"/>
              <w:rPr>
                <w:color w:val="0D0D0D"/>
                <w:shd w:val="clear" w:color="auto" w:fill="FFFFFF"/>
              </w:rPr>
            </w:pPr>
            <w:r w:rsidRPr="00022D3A">
              <w:t>0.616805</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rPr>
                <w:color w:val="0D0D0D"/>
                <w:shd w:val="clear" w:color="auto" w:fill="FFFFFF"/>
              </w:rPr>
              <w:t>2</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2.20    </w:t>
            </w:r>
          </w:p>
        </w:tc>
        <w:tc>
          <w:tcPr>
            <w:tcW w:w="1134" w:type="dxa"/>
          </w:tcPr>
          <w:p w:rsidR="00B131E3" w:rsidRPr="00022D3A" w:rsidRDefault="00B131E3" w:rsidP="009A1DDE">
            <w:pPr>
              <w:jc w:val="both"/>
              <w:rPr>
                <w:color w:val="0D0D0D"/>
                <w:shd w:val="clear" w:color="auto" w:fill="FFFFFF"/>
              </w:rPr>
            </w:pPr>
            <w:r w:rsidRPr="00022D3A">
              <w:t>0.453905</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rPr>
                <w:color w:val="0D0D0D"/>
                <w:shd w:val="clear" w:color="auto" w:fill="FFFFFF"/>
              </w:rPr>
              <w:t>3</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2.69    </w:t>
            </w:r>
          </w:p>
        </w:tc>
        <w:tc>
          <w:tcPr>
            <w:tcW w:w="1134" w:type="dxa"/>
          </w:tcPr>
          <w:p w:rsidR="00B131E3" w:rsidRPr="00022D3A" w:rsidRDefault="00B131E3" w:rsidP="009A1DDE">
            <w:pPr>
              <w:jc w:val="both"/>
              <w:rPr>
                <w:color w:val="0D0D0D"/>
                <w:shd w:val="clear" w:color="auto" w:fill="FFFFFF"/>
              </w:rPr>
            </w:pPr>
            <w:r w:rsidRPr="00022D3A">
              <w:t>0.372174</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4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3.34    </w:t>
            </w:r>
          </w:p>
        </w:tc>
        <w:tc>
          <w:tcPr>
            <w:tcW w:w="1134" w:type="dxa"/>
          </w:tcPr>
          <w:p w:rsidR="00B131E3" w:rsidRPr="00022D3A" w:rsidRDefault="00B131E3" w:rsidP="009A1DDE">
            <w:pPr>
              <w:jc w:val="both"/>
              <w:rPr>
                <w:color w:val="0D0D0D"/>
                <w:shd w:val="clear" w:color="auto" w:fill="FFFFFF"/>
              </w:rPr>
            </w:pPr>
            <w:r w:rsidRPr="00022D3A">
              <w:t>0.299390</w:t>
            </w:r>
          </w:p>
        </w:tc>
      </w:tr>
      <w:tr w:rsidR="00B131E3" w:rsidTr="009A1DDE">
        <w:tc>
          <w:tcPr>
            <w:tcW w:w="1843" w:type="dxa"/>
            <w:tcBorders>
              <w:right w:val="single" w:sz="4" w:space="0" w:color="auto"/>
            </w:tcBorders>
          </w:tcPr>
          <w:p w:rsidR="00B131E3" w:rsidRPr="00022D3A" w:rsidRDefault="00B131E3" w:rsidP="009A1DDE">
            <w:pPr>
              <w:rPr>
                <w:color w:val="0D0D0D"/>
                <w:shd w:val="clear" w:color="auto" w:fill="FFFFFF"/>
              </w:rPr>
            </w:pPr>
            <w:r w:rsidRPr="00022D3A">
              <w:t>Partner occupation</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1.03    </w:t>
            </w:r>
          </w:p>
        </w:tc>
        <w:tc>
          <w:tcPr>
            <w:tcW w:w="1134" w:type="dxa"/>
          </w:tcPr>
          <w:p w:rsidR="00B131E3" w:rsidRPr="00022D3A" w:rsidRDefault="00B131E3" w:rsidP="009A1DDE">
            <w:pPr>
              <w:jc w:val="both"/>
              <w:rPr>
                <w:color w:val="0D0D0D"/>
                <w:shd w:val="clear" w:color="auto" w:fill="FFFFFF"/>
              </w:rPr>
            </w:pPr>
            <w:r w:rsidRPr="00022D3A">
              <w:t>0.970680</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lastRenderedPageBreak/>
              <w:t xml:space="preserve">Alcohol consumption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1.03    </w:t>
            </w:r>
          </w:p>
        </w:tc>
        <w:tc>
          <w:tcPr>
            <w:tcW w:w="1134" w:type="dxa"/>
          </w:tcPr>
          <w:p w:rsidR="00B131E3" w:rsidRPr="00022D3A" w:rsidRDefault="00B131E3" w:rsidP="009A1DDE">
            <w:pPr>
              <w:jc w:val="both"/>
              <w:rPr>
                <w:color w:val="0D0D0D"/>
                <w:shd w:val="clear" w:color="auto" w:fill="FFFFFF"/>
              </w:rPr>
            </w:pPr>
            <w:r w:rsidRPr="00022D3A">
              <w:t>0.970398</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NHI</w:t>
            </w:r>
            <w:r>
              <w:t xml:space="preserve">S </w:t>
            </w:r>
            <w:r w:rsidRPr="00022D3A">
              <w:t>use</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1.05    </w:t>
            </w:r>
          </w:p>
        </w:tc>
        <w:tc>
          <w:tcPr>
            <w:tcW w:w="1134" w:type="dxa"/>
          </w:tcPr>
          <w:p w:rsidR="00B131E3" w:rsidRPr="00022D3A" w:rsidRDefault="00B131E3" w:rsidP="009A1DDE">
            <w:pPr>
              <w:jc w:val="both"/>
              <w:rPr>
                <w:color w:val="0D0D0D"/>
                <w:shd w:val="clear" w:color="auto" w:fill="FFFFFF"/>
              </w:rPr>
            </w:pPr>
            <w:r w:rsidRPr="00022D3A">
              <w:t>0.953696</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t>Woman</w:t>
            </w:r>
            <w:r w:rsidRPr="00022D3A">
              <w:t xml:space="preserve"> occupation</w:t>
            </w:r>
          </w:p>
        </w:tc>
        <w:tc>
          <w:tcPr>
            <w:tcW w:w="851" w:type="dxa"/>
            <w:tcBorders>
              <w:left w:val="single" w:sz="4" w:space="0" w:color="auto"/>
            </w:tcBorders>
          </w:tcPr>
          <w:p w:rsidR="00B131E3" w:rsidRPr="00022D3A" w:rsidRDefault="00B131E3" w:rsidP="009A1DDE">
            <w:pPr>
              <w:jc w:val="both"/>
              <w:rPr>
                <w:color w:val="0D0D0D"/>
                <w:shd w:val="clear" w:color="auto" w:fill="FFFFFF"/>
              </w:rPr>
            </w:pPr>
          </w:p>
        </w:tc>
        <w:tc>
          <w:tcPr>
            <w:tcW w:w="1134" w:type="dxa"/>
          </w:tcPr>
          <w:p w:rsidR="00B131E3" w:rsidRPr="00022D3A" w:rsidRDefault="00B131E3" w:rsidP="009A1DDE">
            <w:pPr>
              <w:jc w:val="both"/>
              <w:rPr>
                <w:color w:val="0D0D0D"/>
                <w:shd w:val="clear" w:color="auto" w:fill="FFFFFF"/>
              </w:rPr>
            </w:pP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0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1.12    </w:t>
            </w:r>
          </w:p>
        </w:tc>
        <w:tc>
          <w:tcPr>
            <w:tcW w:w="1134" w:type="dxa"/>
          </w:tcPr>
          <w:p w:rsidR="00B131E3" w:rsidRPr="00022D3A" w:rsidRDefault="00B131E3" w:rsidP="009A1DDE">
            <w:pPr>
              <w:jc w:val="both"/>
              <w:rPr>
                <w:color w:val="0D0D0D"/>
                <w:shd w:val="clear" w:color="auto" w:fill="FFFFFF"/>
              </w:rPr>
            </w:pPr>
            <w:r w:rsidRPr="00022D3A">
              <w:t>0.891511</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rPr>
                <w:color w:val="0D0D0D"/>
                <w:shd w:val="clear" w:color="auto" w:fill="FFFFFF"/>
              </w:rPr>
              <w:t>1</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1.20    </w:t>
            </w:r>
          </w:p>
        </w:tc>
        <w:tc>
          <w:tcPr>
            <w:tcW w:w="1134" w:type="dxa"/>
          </w:tcPr>
          <w:p w:rsidR="00B131E3" w:rsidRPr="00022D3A" w:rsidRDefault="00B131E3" w:rsidP="009A1DDE">
            <w:pPr>
              <w:jc w:val="both"/>
              <w:rPr>
                <w:color w:val="0D0D0D"/>
                <w:shd w:val="clear" w:color="auto" w:fill="FFFFFF"/>
              </w:rPr>
            </w:pPr>
            <w:r w:rsidRPr="00022D3A">
              <w:t>0.836799</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Literacy</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2.42    </w:t>
            </w:r>
          </w:p>
        </w:tc>
        <w:tc>
          <w:tcPr>
            <w:tcW w:w="1134" w:type="dxa"/>
          </w:tcPr>
          <w:p w:rsidR="00B131E3" w:rsidRPr="00022D3A" w:rsidRDefault="00B131E3" w:rsidP="009A1DDE">
            <w:pPr>
              <w:jc w:val="both"/>
              <w:rPr>
                <w:color w:val="0D0D0D"/>
                <w:shd w:val="clear" w:color="auto" w:fill="FFFFFF"/>
              </w:rPr>
            </w:pPr>
            <w:r w:rsidRPr="00022D3A">
              <w:t>0.413148</w:t>
            </w:r>
          </w:p>
        </w:tc>
      </w:tr>
      <w:tr w:rsidR="00B131E3" w:rsidTr="009A1DDE">
        <w:tc>
          <w:tcPr>
            <w:tcW w:w="1843" w:type="dxa"/>
            <w:tcBorders>
              <w:right w:val="single" w:sz="4" w:space="0" w:color="auto"/>
            </w:tcBorders>
          </w:tcPr>
          <w:p w:rsidR="00B131E3" w:rsidRPr="00022D3A" w:rsidRDefault="00B131E3" w:rsidP="009A1DDE">
            <w:pPr>
              <w:jc w:val="both"/>
              <w:rPr>
                <w:color w:val="0D0D0D"/>
                <w:shd w:val="clear" w:color="auto" w:fill="FFFFFF"/>
              </w:rPr>
            </w:pPr>
            <w:r w:rsidRPr="00022D3A">
              <w:t xml:space="preserve">Water source     </w:t>
            </w:r>
          </w:p>
        </w:tc>
        <w:tc>
          <w:tcPr>
            <w:tcW w:w="851" w:type="dxa"/>
            <w:tcBorders>
              <w:left w:val="single" w:sz="4" w:space="0" w:color="auto"/>
            </w:tcBorders>
          </w:tcPr>
          <w:p w:rsidR="00B131E3" w:rsidRPr="00022D3A" w:rsidRDefault="00B131E3" w:rsidP="009A1DDE">
            <w:pPr>
              <w:jc w:val="both"/>
              <w:rPr>
                <w:color w:val="0D0D0D"/>
                <w:shd w:val="clear" w:color="auto" w:fill="FFFFFF"/>
              </w:rPr>
            </w:pPr>
            <w:r w:rsidRPr="00022D3A">
              <w:t xml:space="preserve">1.26    </w:t>
            </w:r>
          </w:p>
        </w:tc>
        <w:tc>
          <w:tcPr>
            <w:tcW w:w="1134" w:type="dxa"/>
          </w:tcPr>
          <w:p w:rsidR="00B131E3" w:rsidRPr="00022D3A" w:rsidRDefault="00B131E3" w:rsidP="009A1DDE">
            <w:pPr>
              <w:jc w:val="both"/>
              <w:rPr>
                <w:color w:val="0D0D0D"/>
                <w:shd w:val="clear" w:color="auto" w:fill="FFFFFF"/>
              </w:rPr>
            </w:pPr>
            <w:r w:rsidRPr="00022D3A">
              <w:t>0.795683</w:t>
            </w:r>
          </w:p>
        </w:tc>
      </w:tr>
      <w:tr w:rsidR="00B131E3" w:rsidTr="009A1DDE">
        <w:tc>
          <w:tcPr>
            <w:tcW w:w="1843" w:type="dxa"/>
            <w:tcBorders>
              <w:bottom w:val="single" w:sz="4" w:space="0" w:color="auto"/>
              <w:right w:val="single" w:sz="4" w:space="0" w:color="auto"/>
            </w:tcBorders>
          </w:tcPr>
          <w:p w:rsidR="00B131E3" w:rsidRPr="00022D3A" w:rsidRDefault="00B131E3" w:rsidP="009A1DDE">
            <w:pPr>
              <w:jc w:val="both"/>
              <w:rPr>
                <w:color w:val="0D0D0D"/>
                <w:shd w:val="clear" w:color="auto" w:fill="FFFFFF"/>
              </w:rPr>
            </w:pPr>
            <w:r w:rsidRPr="00022D3A">
              <w:t xml:space="preserve">MDD </w:t>
            </w:r>
          </w:p>
        </w:tc>
        <w:tc>
          <w:tcPr>
            <w:tcW w:w="851" w:type="dxa"/>
            <w:tcBorders>
              <w:left w:val="single" w:sz="4" w:space="0" w:color="auto"/>
              <w:bottom w:val="single" w:sz="4" w:space="0" w:color="auto"/>
            </w:tcBorders>
          </w:tcPr>
          <w:p w:rsidR="00B131E3" w:rsidRPr="00022D3A" w:rsidRDefault="00B131E3" w:rsidP="009A1DDE">
            <w:pPr>
              <w:jc w:val="both"/>
              <w:rPr>
                <w:color w:val="0D0D0D"/>
                <w:shd w:val="clear" w:color="auto" w:fill="FFFFFF"/>
              </w:rPr>
            </w:pPr>
            <w:r w:rsidRPr="00022D3A">
              <w:t xml:space="preserve">1.06    </w:t>
            </w:r>
          </w:p>
        </w:tc>
        <w:tc>
          <w:tcPr>
            <w:tcW w:w="1134" w:type="dxa"/>
            <w:tcBorders>
              <w:bottom w:val="single" w:sz="4" w:space="0" w:color="auto"/>
            </w:tcBorders>
          </w:tcPr>
          <w:p w:rsidR="00B131E3" w:rsidRPr="00022D3A" w:rsidRDefault="00B131E3" w:rsidP="009A1DDE">
            <w:pPr>
              <w:jc w:val="both"/>
              <w:rPr>
                <w:color w:val="0D0D0D"/>
                <w:shd w:val="clear" w:color="auto" w:fill="FFFFFF"/>
              </w:rPr>
            </w:pPr>
            <w:r w:rsidRPr="00022D3A">
              <w:t>0.943296</w:t>
            </w:r>
          </w:p>
        </w:tc>
      </w:tr>
      <w:tr w:rsidR="00B131E3" w:rsidTr="009A1DDE">
        <w:tc>
          <w:tcPr>
            <w:tcW w:w="1843" w:type="dxa"/>
            <w:tcBorders>
              <w:top w:val="single" w:sz="4" w:space="0" w:color="auto"/>
              <w:right w:val="single" w:sz="4" w:space="0" w:color="auto"/>
            </w:tcBorders>
          </w:tcPr>
          <w:p w:rsidR="00B131E3" w:rsidRPr="00022D3A" w:rsidRDefault="00B131E3" w:rsidP="009A1DDE">
            <w:pPr>
              <w:rPr>
                <w:color w:val="0D0D0D"/>
                <w:shd w:val="clear" w:color="auto" w:fill="FFFFFF"/>
              </w:rPr>
            </w:pPr>
            <w:r w:rsidRPr="00022D3A">
              <w:t xml:space="preserve">Mean VIF  </w:t>
            </w:r>
          </w:p>
        </w:tc>
        <w:tc>
          <w:tcPr>
            <w:tcW w:w="851" w:type="dxa"/>
            <w:tcBorders>
              <w:top w:val="single" w:sz="4" w:space="0" w:color="auto"/>
              <w:left w:val="single" w:sz="4" w:space="0" w:color="auto"/>
            </w:tcBorders>
          </w:tcPr>
          <w:p w:rsidR="00B131E3" w:rsidRPr="00022D3A" w:rsidRDefault="00B131E3" w:rsidP="009A1DDE">
            <w:pPr>
              <w:jc w:val="both"/>
              <w:rPr>
                <w:color w:val="0D0D0D"/>
                <w:shd w:val="clear" w:color="auto" w:fill="FFFFFF"/>
              </w:rPr>
            </w:pPr>
            <w:r w:rsidRPr="00022D3A">
              <w:t>2.00</w:t>
            </w:r>
          </w:p>
        </w:tc>
        <w:tc>
          <w:tcPr>
            <w:tcW w:w="1134" w:type="dxa"/>
            <w:tcBorders>
              <w:top w:val="single" w:sz="4" w:space="0" w:color="auto"/>
            </w:tcBorders>
          </w:tcPr>
          <w:p w:rsidR="00B131E3" w:rsidRPr="00022D3A" w:rsidRDefault="00B131E3" w:rsidP="009A1DDE">
            <w:pPr>
              <w:jc w:val="both"/>
              <w:rPr>
                <w:color w:val="0D0D0D"/>
                <w:shd w:val="clear" w:color="auto" w:fill="FFFFFF"/>
              </w:rPr>
            </w:pPr>
          </w:p>
        </w:tc>
      </w:tr>
    </w:tbl>
    <w:p w:rsidR="00B131E3" w:rsidRDefault="00B131E3"/>
    <w:sectPr w:rsidR="00B131E3">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36F94" w:rsidRDefault="00B36F94" w:rsidP="00803C9B">
      <w:r>
        <w:separator/>
      </w:r>
    </w:p>
  </w:endnote>
  <w:endnote w:type="continuationSeparator" w:id="0">
    <w:p w:rsidR="00B36F94" w:rsidRDefault="00B36F94" w:rsidP="00803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Heiti TC Light"/>
    <w:panose1 w:val="020B0604020202020204"/>
    <w:charset w:val="80"/>
    <w:family w:val="auto"/>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50108229"/>
      <w:docPartObj>
        <w:docPartGallery w:val="Page Numbers (Bottom of Page)"/>
        <w:docPartUnique/>
      </w:docPartObj>
    </w:sdtPr>
    <w:sdtContent>
      <w:p w:rsidR="00803C9B" w:rsidRDefault="00803C9B" w:rsidP="008353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03C9B" w:rsidRDefault="00803C9B" w:rsidP="00803C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68739460"/>
      <w:docPartObj>
        <w:docPartGallery w:val="Page Numbers (Bottom of Page)"/>
        <w:docPartUnique/>
      </w:docPartObj>
    </w:sdtPr>
    <w:sdtContent>
      <w:p w:rsidR="00803C9B" w:rsidRDefault="00803C9B" w:rsidP="008353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803C9B" w:rsidRDefault="00803C9B" w:rsidP="00803C9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36F94" w:rsidRDefault="00B36F94" w:rsidP="00803C9B">
      <w:r>
        <w:separator/>
      </w:r>
    </w:p>
  </w:footnote>
  <w:footnote w:type="continuationSeparator" w:id="0">
    <w:p w:rsidR="00B36F94" w:rsidRDefault="00B36F94" w:rsidP="00803C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1E3"/>
    <w:rsid w:val="000216F8"/>
    <w:rsid w:val="000568B4"/>
    <w:rsid w:val="000E2A0B"/>
    <w:rsid w:val="006A66F6"/>
    <w:rsid w:val="00720F43"/>
    <w:rsid w:val="00803C9B"/>
    <w:rsid w:val="00B131E3"/>
    <w:rsid w:val="00B36F94"/>
    <w:rsid w:val="00B64B29"/>
    <w:rsid w:val="00E468AD"/>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556F2F-91F7-4B4A-A559-7C03C0DC6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1E3"/>
    <w:rPr>
      <w:rFonts w:ascii="Times New Roman" w:eastAsia="Times New Roman" w:hAnsi="Times New Roman" w:cs="Times New Roman"/>
      <w:kern w:val="0"/>
      <w:lang w:val="en-GB" w:eastAsia="en-GB"/>
      <w14:ligatures w14:val="none"/>
    </w:rPr>
  </w:style>
  <w:style w:type="paragraph" w:styleId="Heading1">
    <w:name w:val="heading 1"/>
    <w:basedOn w:val="Normal"/>
    <w:next w:val="Normal"/>
    <w:link w:val="Heading1Char"/>
    <w:uiPriority w:val="9"/>
    <w:qFormat/>
    <w:rsid w:val="00B131E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1E3"/>
    <w:rPr>
      <w:rFonts w:asciiTheme="majorHAnsi" w:eastAsiaTheme="majorEastAsia" w:hAnsiTheme="majorHAnsi" w:cstheme="majorBidi"/>
      <w:color w:val="2F5496" w:themeColor="accent1" w:themeShade="BF"/>
      <w:kern w:val="0"/>
      <w:sz w:val="32"/>
      <w:szCs w:val="32"/>
      <w:lang w:val="en-GB" w:eastAsia="en-GB"/>
      <w14:ligatures w14:val="none"/>
    </w:rPr>
  </w:style>
  <w:style w:type="paragraph" w:styleId="Footer">
    <w:name w:val="footer"/>
    <w:basedOn w:val="Normal"/>
    <w:link w:val="FooterChar"/>
    <w:uiPriority w:val="99"/>
    <w:unhideWhenUsed/>
    <w:rsid w:val="00B131E3"/>
    <w:pPr>
      <w:tabs>
        <w:tab w:val="center" w:pos="4680"/>
        <w:tab w:val="right" w:pos="9360"/>
      </w:tabs>
    </w:pPr>
  </w:style>
  <w:style w:type="character" w:customStyle="1" w:styleId="FooterChar">
    <w:name w:val="Footer Char"/>
    <w:basedOn w:val="DefaultParagraphFont"/>
    <w:link w:val="Footer"/>
    <w:uiPriority w:val="99"/>
    <w:rsid w:val="00B131E3"/>
    <w:rPr>
      <w:rFonts w:ascii="Times New Roman" w:eastAsia="Times New Roman" w:hAnsi="Times New Roman" w:cs="Times New Roman"/>
      <w:kern w:val="0"/>
      <w:lang w:val="en-GB" w:eastAsia="en-GB"/>
      <w14:ligatures w14:val="none"/>
    </w:rPr>
  </w:style>
  <w:style w:type="table" w:styleId="TableGrid">
    <w:name w:val="Table Grid"/>
    <w:basedOn w:val="TableNormal"/>
    <w:uiPriority w:val="39"/>
    <w:rsid w:val="00B131E3"/>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A66F6"/>
    <w:pPr>
      <w:spacing w:before="100" w:beforeAutospacing="1" w:after="100" w:afterAutospacing="1"/>
    </w:pPr>
  </w:style>
  <w:style w:type="character" w:styleId="PageNumber">
    <w:name w:val="page number"/>
    <w:basedOn w:val="DefaultParagraphFont"/>
    <w:uiPriority w:val="99"/>
    <w:semiHidden/>
    <w:unhideWhenUsed/>
    <w:rsid w:val="00803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3955</Words>
  <Characters>22549</Characters>
  <Application>Microsoft Office Word</Application>
  <DocSecurity>0</DocSecurity>
  <Lines>187</Lines>
  <Paragraphs>52</Paragraphs>
  <ScaleCrop>false</ScaleCrop>
  <Company/>
  <LinksUpToDate>false</LinksUpToDate>
  <CharactersWithSpaces>26452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Agulu</dc:creator>
  <cp:keywords/>
  <dc:description/>
  <cp:lastModifiedBy>Gilbert Agulu</cp:lastModifiedBy>
  <cp:revision>7</cp:revision>
  <dcterms:created xsi:type="dcterms:W3CDTF">2025-07-18T11:05:00Z</dcterms:created>
  <dcterms:modified xsi:type="dcterms:W3CDTF">2025-07-27T16:24:00Z</dcterms:modified>
</cp:coreProperties>
</file>