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E3C" w:rsidRDefault="00484D9B" w:rsidP="00484D9B">
      <w:pPr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21F6A">
        <w:rPr>
          <w:rFonts w:ascii="Times New Roman" w:eastAsia="標楷體" w:hAnsi="Times New Roman" w:cs="Times New Roman" w:hint="eastAsia"/>
          <w:sz w:val="26"/>
          <w:szCs w:val="26"/>
        </w:rPr>
        <w:t>Supplementary Material</w:t>
      </w:r>
    </w:p>
    <w:p w:rsidR="00484D9B" w:rsidRPr="00A21F6A" w:rsidRDefault="00484D9B" w:rsidP="00484D9B">
      <w:pPr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21F6A">
        <w:rPr>
          <w:rFonts w:ascii="Times New Roman" w:eastAsia="標楷體" w:hAnsi="Times New Roman" w:cs="Times New Roman"/>
          <w:sz w:val="26"/>
          <w:szCs w:val="26"/>
        </w:rPr>
        <w:t>Table S1</w:t>
      </w:r>
    </w:p>
    <w:tbl>
      <w:tblPr>
        <w:tblStyle w:val="a3"/>
        <w:tblW w:w="13953" w:type="dxa"/>
        <w:jc w:val="center"/>
        <w:tblLook w:val="04A0" w:firstRow="1" w:lastRow="0" w:firstColumn="1" w:lastColumn="0" w:noHBand="0" w:noVBand="1"/>
      </w:tblPr>
      <w:tblGrid>
        <w:gridCol w:w="4531"/>
        <w:gridCol w:w="2552"/>
        <w:gridCol w:w="2977"/>
        <w:gridCol w:w="2627"/>
        <w:gridCol w:w="1266"/>
      </w:tblGrid>
      <w:tr w:rsidR="001E4B7F" w:rsidRPr="00996180" w:rsidTr="001E4B7F">
        <w:trPr>
          <w:jc w:val="center"/>
        </w:trPr>
        <w:tc>
          <w:tcPr>
            <w:tcW w:w="4531" w:type="dxa"/>
            <w:vMerge w:val="restart"/>
            <w:vAlign w:val="center"/>
          </w:tcPr>
          <w:p w:rsidR="001E4B7F" w:rsidRPr="00996180" w:rsidRDefault="001E4B7F" w:rsidP="003338EB">
            <w:pPr>
              <w:jc w:val="center"/>
              <w:rPr>
                <w:rFonts w:ascii="Palatino Linotype" w:eastAsia="標楷體" w:hAnsi="Palatino Linotype" w:cs="Calibri"/>
                <w:color w:val="000000"/>
              </w:rPr>
            </w:pPr>
            <w:r w:rsidRPr="00996180">
              <w:rPr>
                <w:rFonts w:ascii="Palatino Linotype" w:eastAsia="標楷體" w:hAnsi="Palatino Linotype" w:cs="Calibri"/>
                <w:color w:val="000000"/>
              </w:rPr>
              <w:t xml:space="preserve">General data </w:t>
            </w:r>
          </w:p>
        </w:tc>
        <w:tc>
          <w:tcPr>
            <w:tcW w:w="2552" w:type="dxa"/>
            <w:vMerge w:val="restart"/>
            <w:vAlign w:val="center"/>
          </w:tcPr>
          <w:p w:rsidR="001E4B7F" w:rsidRPr="00996180" w:rsidRDefault="001E4B7F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Total (</w:t>
            </w:r>
            <w:r w:rsidRPr="00996180">
              <w:rPr>
                <w:rFonts w:ascii="Palatino Linotype" w:hAnsi="Palatino Linotype" w:cs="Calibri"/>
                <w:i/>
                <w:color w:val="000000"/>
              </w:rPr>
              <w:t>n</w:t>
            </w:r>
            <w:r w:rsidRPr="00996180">
              <w:rPr>
                <w:rFonts w:ascii="Palatino Linotype" w:hAnsi="Palatino Linotype" w:cs="Calibri"/>
                <w:color w:val="000000"/>
              </w:rPr>
              <w:t xml:space="preserve"> = 1265)</w:t>
            </w:r>
          </w:p>
        </w:tc>
        <w:tc>
          <w:tcPr>
            <w:tcW w:w="5604" w:type="dxa"/>
            <w:gridSpan w:val="2"/>
            <w:vAlign w:val="center"/>
          </w:tcPr>
          <w:p w:rsidR="001E4B7F" w:rsidRPr="00996180" w:rsidRDefault="001E4B7F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Group</w:t>
            </w:r>
            <w:r>
              <w:rPr>
                <w:rFonts w:ascii="Palatino Linotype" w:hAnsi="Palatino Linotype" w:cs="Calibri"/>
                <w:color w:val="000000"/>
              </w:rPr>
              <w:t>s</w:t>
            </w:r>
          </w:p>
        </w:tc>
        <w:tc>
          <w:tcPr>
            <w:tcW w:w="0" w:type="auto"/>
            <w:vMerge w:val="restart"/>
            <w:vAlign w:val="center"/>
          </w:tcPr>
          <w:p w:rsidR="001E4B7F" w:rsidRPr="00996180" w:rsidRDefault="001E4B7F" w:rsidP="003338EB">
            <w:pPr>
              <w:jc w:val="center"/>
              <w:rPr>
                <w:rFonts w:ascii="Palatino Linotype" w:hAnsi="Palatino Linotype" w:cs="Calibri"/>
                <w:i/>
                <w:color w:val="000000"/>
              </w:rPr>
            </w:pPr>
            <w:r w:rsidRPr="00996180">
              <w:rPr>
                <w:rFonts w:ascii="Palatino Linotype" w:hAnsi="Palatino Linotype" w:cs="Calibri"/>
                <w:i/>
                <w:color w:val="000000"/>
              </w:rPr>
              <w:t>p-</w:t>
            </w:r>
            <w:r w:rsidRPr="00996180">
              <w:rPr>
                <w:rFonts w:ascii="Palatino Linotype" w:hAnsi="Palatino Linotype" w:cs="Calibri"/>
                <w:color w:val="000000"/>
              </w:rPr>
              <w:t>Value</w:t>
            </w:r>
          </w:p>
        </w:tc>
      </w:tr>
      <w:tr w:rsidR="001E4B7F" w:rsidRPr="00996180" w:rsidTr="001E4B7F">
        <w:trPr>
          <w:jc w:val="center"/>
        </w:trPr>
        <w:tc>
          <w:tcPr>
            <w:tcW w:w="4531" w:type="dxa"/>
            <w:vMerge/>
            <w:vAlign w:val="center"/>
          </w:tcPr>
          <w:p w:rsidR="001E4B7F" w:rsidRPr="00996180" w:rsidRDefault="001E4B7F" w:rsidP="003338EB">
            <w:pPr>
              <w:jc w:val="center"/>
              <w:rPr>
                <w:rFonts w:ascii="Palatino Linotype" w:eastAsia="標楷體" w:hAnsi="Palatino Linotype" w:cs="Calibri"/>
                <w:color w:val="000000"/>
              </w:rPr>
            </w:pPr>
          </w:p>
        </w:tc>
        <w:tc>
          <w:tcPr>
            <w:tcW w:w="2552" w:type="dxa"/>
            <w:vMerge/>
            <w:vAlign w:val="center"/>
          </w:tcPr>
          <w:p w:rsidR="001E4B7F" w:rsidRPr="00996180" w:rsidRDefault="001E4B7F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1E4B7F" w:rsidRDefault="001E4B7F" w:rsidP="003338EB">
            <w:pPr>
              <w:widowControl/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Non</w:t>
            </w:r>
            <w:r>
              <w:rPr>
                <w:rFonts w:ascii="Palatino Linotype" w:hAnsi="Palatino Linotype" w:cs="Calibri"/>
                <w:color w:val="000000"/>
              </w:rPr>
              <w:t>-</w:t>
            </w:r>
            <w:r w:rsidRPr="00996180">
              <w:rPr>
                <w:rFonts w:ascii="Palatino Linotype" w:hAnsi="Palatino Linotype" w:cs="Calibri"/>
                <w:color w:val="000000"/>
              </w:rPr>
              <w:t>repeat</w:t>
            </w:r>
            <w:r>
              <w:rPr>
                <w:rFonts w:ascii="Palatino Linotype" w:hAnsi="Palatino Linotype" w:cs="Calibri"/>
                <w:color w:val="000000"/>
              </w:rPr>
              <w:t>ed</w:t>
            </w:r>
            <w:r w:rsidRPr="00996180">
              <w:rPr>
                <w:rFonts w:ascii="Palatino Linotype" w:hAnsi="Palatino Linotype" w:cs="Calibri"/>
                <w:color w:val="000000"/>
              </w:rPr>
              <w:t xml:space="preserve"> infection </w:t>
            </w:r>
          </w:p>
          <w:p w:rsidR="001E4B7F" w:rsidRPr="00996180" w:rsidRDefault="001E4B7F" w:rsidP="003338EB">
            <w:pPr>
              <w:widowControl/>
              <w:jc w:val="center"/>
              <w:rPr>
                <w:rFonts w:ascii="Palatino Linotype" w:hAnsi="Palatino Linotype" w:cs="Calibri"/>
                <w:color w:val="000000"/>
              </w:rPr>
            </w:pPr>
            <w:bookmarkStart w:id="0" w:name="_GoBack"/>
            <w:bookmarkEnd w:id="0"/>
            <w:r w:rsidRPr="00996180">
              <w:rPr>
                <w:rFonts w:ascii="Palatino Linotype" w:hAnsi="Palatino Linotype" w:cs="Calibri"/>
                <w:color w:val="000000"/>
              </w:rPr>
              <w:t>(</w:t>
            </w:r>
            <w:r w:rsidRPr="00996180">
              <w:rPr>
                <w:rFonts w:ascii="Palatino Linotype" w:hAnsi="Palatino Linotype" w:cs="Calibri"/>
                <w:i/>
                <w:color w:val="000000"/>
              </w:rPr>
              <w:t>n</w:t>
            </w:r>
            <w:r w:rsidRPr="00996180">
              <w:rPr>
                <w:rFonts w:ascii="Palatino Linotype" w:hAnsi="Palatino Linotype" w:cs="Calibri"/>
                <w:color w:val="000000"/>
              </w:rPr>
              <w:t xml:space="preserve"> =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1126)</w:t>
            </w:r>
          </w:p>
        </w:tc>
        <w:tc>
          <w:tcPr>
            <w:tcW w:w="2627" w:type="dxa"/>
            <w:vAlign w:val="center"/>
          </w:tcPr>
          <w:p w:rsidR="001E4B7F" w:rsidRDefault="001E4B7F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Repeat</w:t>
            </w:r>
            <w:r>
              <w:rPr>
                <w:rFonts w:ascii="Palatino Linotype" w:hAnsi="Palatino Linotype" w:cs="Calibri"/>
                <w:color w:val="000000"/>
              </w:rPr>
              <w:t xml:space="preserve">ed </w:t>
            </w:r>
            <w:r w:rsidRPr="00996180">
              <w:rPr>
                <w:rFonts w:ascii="Palatino Linotype" w:hAnsi="Palatino Linotype" w:cs="Calibri"/>
                <w:color w:val="000000"/>
              </w:rPr>
              <w:t xml:space="preserve">infection </w:t>
            </w:r>
          </w:p>
          <w:p w:rsidR="001E4B7F" w:rsidRPr="00996180" w:rsidRDefault="001E4B7F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(</w:t>
            </w:r>
            <w:r w:rsidRPr="00996180">
              <w:rPr>
                <w:rFonts w:ascii="Palatino Linotype" w:hAnsi="Palatino Linotype" w:cs="Calibri"/>
                <w:i/>
                <w:color w:val="000000"/>
              </w:rPr>
              <w:t>n</w:t>
            </w:r>
            <w:r w:rsidRPr="00996180">
              <w:rPr>
                <w:rFonts w:ascii="Palatino Linotype" w:hAnsi="Palatino Linotype" w:cs="Calibri"/>
                <w:color w:val="000000"/>
              </w:rPr>
              <w:t xml:space="preserve"> = 139)</w:t>
            </w:r>
          </w:p>
        </w:tc>
        <w:tc>
          <w:tcPr>
            <w:tcW w:w="0" w:type="auto"/>
            <w:vMerge/>
            <w:vAlign w:val="center"/>
          </w:tcPr>
          <w:p w:rsidR="001E4B7F" w:rsidRPr="00996180" w:rsidRDefault="001E4B7F" w:rsidP="003338EB">
            <w:pPr>
              <w:widowControl/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rPr>
                <w:rFonts w:ascii="Palatino Linotype" w:eastAsia="標楷體" w:hAnsi="Palatino Linotype" w:cs="Calibri"/>
                <w:color w:val="000000"/>
              </w:rPr>
            </w:pPr>
            <w:r w:rsidRPr="00996180">
              <w:rPr>
                <w:rFonts w:ascii="Palatino Linotype" w:eastAsia="標楷體" w:hAnsi="Palatino Linotype" w:cs="Calibri"/>
                <w:color w:val="000000"/>
              </w:rPr>
              <w:t>Nationality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widowControl/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widowControl/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</w:tcPr>
          <w:p w:rsidR="00484D9B" w:rsidRPr="00996180" w:rsidRDefault="00484D9B" w:rsidP="003338EB">
            <w:pPr>
              <w:rPr>
                <w:rFonts w:ascii="Palatino Linotype" w:hAnsi="Palatino Linotype"/>
              </w:rPr>
            </w:pPr>
            <w:r w:rsidRPr="00996180">
              <w:rPr>
                <w:rFonts w:ascii="Palatino Linotype" w:hAnsi="Palatino Linotype"/>
              </w:rPr>
              <w:t xml:space="preserve">  Taiwanese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1030 (81.42%)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widowControl/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906 (80.46%)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124 (89.215)</w:t>
            </w:r>
          </w:p>
        </w:tc>
        <w:tc>
          <w:tcPr>
            <w:tcW w:w="0" w:type="auto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.017*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</w:tcPr>
          <w:p w:rsidR="00484D9B" w:rsidRPr="00996180" w:rsidRDefault="00484D9B" w:rsidP="003338EB">
            <w:pPr>
              <w:rPr>
                <w:rFonts w:ascii="Palatino Linotype" w:hAnsi="Palatino Linotype"/>
              </w:rPr>
            </w:pPr>
            <w:r w:rsidRPr="00996180">
              <w:rPr>
                <w:rFonts w:ascii="Palatino Linotype" w:hAnsi="Palatino Linotype"/>
              </w:rPr>
              <w:t xml:space="preserve">  Expat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235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(18.57%)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220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(19.53%)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15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(10.79%)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0.017*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widowControl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Sex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0.548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100" w:firstLine="240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Male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681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(53.83%)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610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(54.17%)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71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(51.07%)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100" w:firstLine="240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Female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584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(46.17%)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516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(45.82%)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68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(48.92%)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widowControl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Age</w:t>
            </w:r>
          </w:p>
        </w:tc>
        <w:tc>
          <w:tcPr>
            <w:tcW w:w="2552" w:type="dxa"/>
            <w:vAlign w:val="bottom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51.29 ± 17.33</w:t>
            </w:r>
          </w:p>
        </w:tc>
        <w:tc>
          <w:tcPr>
            <w:tcW w:w="2977" w:type="dxa"/>
            <w:vAlign w:val="bottom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51.44 ± 17.88</w:t>
            </w:r>
          </w:p>
        </w:tc>
        <w:tc>
          <w:tcPr>
            <w:tcW w:w="2627" w:type="dxa"/>
            <w:vAlign w:val="bottom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50.13 ± 11.88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0.462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</w:tcPr>
          <w:p w:rsidR="00484D9B" w:rsidRPr="00996180" w:rsidRDefault="00484D9B" w:rsidP="003338EB">
            <w:pPr>
              <w:ind w:firstLineChars="100" w:firstLine="240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Age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Times New Roman"/>
                <w:color w:val="000000"/>
              </w:rPr>
              <w:t>≤18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(1.1%)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(1.24%)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0.387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100" w:firstLine="240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Age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18-64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987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(78.02%)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859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(76.28%)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128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(92.08%)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&lt;0.001**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widowControl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  Age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Times New Roman"/>
                <w:color w:val="000000"/>
              </w:rPr>
              <w:t>≥65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264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(20.86%)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253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(22.46%)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(7.91%)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&lt;0.001**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Season</w:t>
            </w:r>
            <w:r>
              <w:rPr>
                <w:rFonts w:ascii="Palatino Linotype" w:hAnsi="Palatino Linotype" w:cs="Calibri"/>
                <w:color w:val="000000"/>
              </w:rPr>
              <w:t>s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100" w:firstLine="240"/>
              <w:rPr>
                <w:rFonts w:ascii="Palatino Linotype" w:eastAsia="新細明體" w:hAnsi="Palatino Linotype" w:cs="Calibri"/>
                <w:color w:val="000000"/>
              </w:rPr>
            </w:pPr>
            <w:r w:rsidRPr="00996180">
              <w:rPr>
                <w:rFonts w:ascii="Palatino Linotype" w:eastAsia="新細明體" w:hAnsi="Palatino Linotype" w:cs="Calibri"/>
                <w:color w:val="000000"/>
              </w:rPr>
              <w:t>Spring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318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(25.13%)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283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(25.13%)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35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(25.17%)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1.000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100" w:firstLine="240"/>
              <w:rPr>
                <w:rFonts w:ascii="Palatino Linotype" w:eastAsia="新細明體" w:hAnsi="Palatino Linotype" w:cs="Calibri"/>
                <w:color w:val="000000"/>
              </w:rPr>
            </w:pPr>
            <w:r w:rsidRPr="00996180">
              <w:rPr>
                <w:rFonts w:ascii="Palatino Linotype" w:eastAsia="新細明體" w:hAnsi="Palatino Linotype" w:cs="Calibri"/>
                <w:color w:val="000000"/>
              </w:rPr>
              <w:t>Summer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328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(25.92%)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294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(26.11%)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(24.46%)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0.758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  Fall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303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(23.95%)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269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(23.88%)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(24.46%)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0.916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  Winter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316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(24.98%)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280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(24.86%)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36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(25.89%)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0.835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Parasite species </w:t>
            </w:r>
            <w:r w:rsidRPr="00996180">
              <w:rPr>
                <w:rFonts w:ascii="Palatino Linotype" w:hAnsi="Palatino Linotype" w:cs="Times New Roman"/>
                <w:color w:val="000000"/>
              </w:rPr>
              <w:t>≥2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18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(1.42%)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13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(1.15%)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5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(3.59%)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0.039*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widowControl/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Blastocystis</w:t>
            </w:r>
            <w:proofErr w:type="spellEnd"/>
            <w:r>
              <w:rPr>
                <w:rFonts w:ascii="Palatino Linotype" w:hAnsi="Palatino Linotype" w:cs="Calibri"/>
                <w:i/>
                <w:sz w:val="26"/>
                <w:szCs w:val="26"/>
              </w:rPr>
              <w:t xml:space="preserve"> </w:t>
            </w:r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spp.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1103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(87.19%)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980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(87.03%)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123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(88.48%)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0.726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lastRenderedPageBreak/>
              <w:t>G. lamblia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116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(9.16%)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99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(8.79%)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17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(12.23%)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0.242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 xml:space="preserve">Entamoeba </w:t>
            </w:r>
            <w:r>
              <w:rPr>
                <w:rFonts w:ascii="Palatino Linotype" w:hAnsi="Palatino Linotype" w:cs="Calibri"/>
                <w:i/>
                <w:sz w:val="26"/>
                <w:szCs w:val="26"/>
              </w:rPr>
              <w:t>c</w:t>
            </w:r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oli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(1.89%)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23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(2.04%)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(0.71%)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0.506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Endolimax</w:t>
            </w:r>
            <w:proofErr w:type="spellEnd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 xml:space="preserve"> nana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16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(1.26%)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(1.24%)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(1.43%)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0.693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 xml:space="preserve">Trichuris </w:t>
            </w: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trichiura</w:t>
            </w:r>
            <w:proofErr w:type="spellEnd"/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(0.15%)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2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(0.17%)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1.000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Strongyloides</w:t>
            </w:r>
            <w:proofErr w:type="spellEnd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 xml:space="preserve"> </w:t>
            </w: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stercoralis</w:t>
            </w:r>
            <w:proofErr w:type="spellEnd"/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(0.31%)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(0.35%)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1.000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E. histolytica/</w:t>
            </w: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dispar</w:t>
            </w:r>
            <w:proofErr w:type="spellEnd"/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8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(0.63%)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7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(0.62%)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(0.71%)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0.607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Iodamoeba</w:t>
            </w:r>
            <w:proofErr w:type="spellEnd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 xml:space="preserve"> </w:t>
            </w: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buetschlii</w:t>
            </w:r>
            <w:proofErr w:type="spellEnd"/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(0.07%)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(0.08%)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1.000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Cryptosporidium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(0.07%)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(0.08%)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1.000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Chilomastix</w:t>
            </w:r>
            <w:proofErr w:type="spellEnd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 xml:space="preserve"> </w:t>
            </w:r>
            <w:proofErr w:type="spellStart"/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mesnili</w:t>
            </w:r>
            <w:proofErr w:type="spellEnd"/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(0.23%)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3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(0.26%)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1.000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Enterobius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(0.31%)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4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(0.35%)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1.000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996180" w:rsidRDefault="00484D9B" w:rsidP="003338EB">
            <w:pPr>
              <w:ind w:firstLineChars="50" w:firstLine="130"/>
              <w:rPr>
                <w:rFonts w:ascii="Palatino Linotype" w:hAnsi="Palatino Linotype" w:cs="Calibri"/>
                <w:i/>
                <w:sz w:val="26"/>
                <w:szCs w:val="26"/>
              </w:rPr>
            </w:pPr>
            <w:r w:rsidRPr="00996180">
              <w:rPr>
                <w:rFonts w:ascii="Palatino Linotype" w:hAnsi="Palatino Linotype" w:cs="Calibri"/>
                <w:i/>
                <w:sz w:val="26"/>
                <w:szCs w:val="26"/>
              </w:rPr>
              <w:t>Hookworm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(0.07%)</w:t>
            </w: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1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(0.08%)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>0</w:t>
            </w:r>
            <w:r>
              <w:rPr>
                <w:rFonts w:ascii="Palatino Linotype" w:hAnsi="Palatino Linotype" w:cs="Calibri"/>
                <w:color w:val="000000"/>
              </w:rPr>
              <w:t xml:space="preserve"> </w:t>
            </w:r>
            <w:r w:rsidRPr="00996180">
              <w:rPr>
                <w:rFonts w:ascii="Palatino Linotype" w:hAnsi="Palatino Linotype" w:cs="Calibri"/>
                <w:color w:val="000000"/>
              </w:rPr>
              <w:t>(0%)</w:t>
            </w: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 w:rsidRPr="00996180">
              <w:rPr>
                <w:rFonts w:ascii="Palatino Linotype" w:hAnsi="Palatino Linotype" w:cs="Calibri"/>
                <w:color w:val="000000"/>
              </w:rPr>
              <w:t xml:space="preserve">1.000 </w:t>
            </w: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0F7E3C" w:rsidRDefault="00484D9B" w:rsidP="003338EB">
            <w:pPr>
              <w:rPr>
                <w:rFonts w:ascii="Palatino Linotype" w:hAnsi="Palatino Linotype" w:cs="Calibri"/>
                <w:sz w:val="26"/>
                <w:szCs w:val="26"/>
              </w:rPr>
            </w:pPr>
            <w:r w:rsidRPr="000F7E3C">
              <w:rPr>
                <w:rFonts w:ascii="Palatino Linotype" w:hAnsi="Palatino Linotype" w:cs="Calibri"/>
                <w:sz w:val="26"/>
                <w:szCs w:val="26"/>
              </w:rPr>
              <w:t>Comorbidities</w:t>
            </w:r>
          </w:p>
        </w:tc>
        <w:tc>
          <w:tcPr>
            <w:tcW w:w="2552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 w:hint="eastAsia"/>
                <w:color w:val="000000"/>
              </w:rPr>
              <w:t xml:space="preserve"> </w:t>
            </w:r>
          </w:p>
        </w:tc>
        <w:tc>
          <w:tcPr>
            <w:tcW w:w="2627" w:type="dxa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484D9B" w:rsidRPr="00996180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</w:rPr>
            </w:pPr>
          </w:p>
        </w:tc>
      </w:tr>
      <w:tr w:rsidR="00484D9B" w:rsidRPr="00996180" w:rsidTr="001E4B7F">
        <w:trPr>
          <w:jc w:val="center"/>
        </w:trPr>
        <w:tc>
          <w:tcPr>
            <w:tcW w:w="4531" w:type="dxa"/>
            <w:vAlign w:val="center"/>
          </w:tcPr>
          <w:p w:rsidR="00484D9B" w:rsidRPr="000F7E3C" w:rsidRDefault="00484D9B" w:rsidP="003338EB">
            <w:pPr>
              <w:rPr>
                <w:rFonts w:ascii="Palatino Linotype" w:hAnsi="Palatino Linotype" w:cs="Calibri"/>
                <w:szCs w:val="24"/>
              </w:rPr>
            </w:pPr>
            <w:r w:rsidRPr="000F7E3C">
              <w:rPr>
                <w:rFonts w:ascii="Palatino Linotype" w:hAnsi="Palatino Linotype" w:cs="Calibri"/>
                <w:szCs w:val="24"/>
              </w:rPr>
              <w:t xml:space="preserve"> Cardiovascular disease</w:t>
            </w:r>
          </w:p>
        </w:tc>
        <w:tc>
          <w:tcPr>
            <w:tcW w:w="2552" w:type="dxa"/>
            <w:vAlign w:val="center"/>
          </w:tcPr>
          <w:p w:rsidR="00484D9B" w:rsidRPr="000F7E3C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  <w:szCs w:val="24"/>
              </w:rPr>
            </w:pPr>
            <w:r w:rsidRPr="000F7E3C">
              <w:rPr>
                <w:rFonts w:ascii="Palatino Linotype" w:hAnsi="Palatino Linotype" w:cs="Calibri"/>
                <w:color w:val="000000"/>
                <w:szCs w:val="24"/>
              </w:rPr>
              <w:t>23 (1.81%)</w:t>
            </w:r>
          </w:p>
        </w:tc>
        <w:tc>
          <w:tcPr>
            <w:tcW w:w="2977" w:type="dxa"/>
            <w:vAlign w:val="center"/>
          </w:tcPr>
          <w:p w:rsidR="00484D9B" w:rsidRPr="000F7E3C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  <w:szCs w:val="24"/>
              </w:rPr>
            </w:pPr>
            <w:r w:rsidRPr="000F7E3C">
              <w:rPr>
                <w:rFonts w:ascii="Palatino Linotype" w:hAnsi="Palatino Linotype" w:cs="Calibri"/>
                <w:color w:val="000000"/>
                <w:szCs w:val="24"/>
              </w:rPr>
              <w:t>21 (1.86%)</w:t>
            </w:r>
          </w:p>
        </w:tc>
        <w:tc>
          <w:tcPr>
            <w:tcW w:w="2627" w:type="dxa"/>
            <w:vAlign w:val="center"/>
          </w:tcPr>
          <w:p w:rsidR="00484D9B" w:rsidRPr="000F7E3C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  <w:szCs w:val="24"/>
              </w:rPr>
            </w:pPr>
            <w:r w:rsidRPr="000F7E3C">
              <w:rPr>
                <w:rFonts w:ascii="Palatino Linotype" w:hAnsi="Palatino Linotype" w:cs="Calibri"/>
                <w:color w:val="000000"/>
                <w:szCs w:val="24"/>
              </w:rPr>
              <w:t>2 (1.43%)</w:t>
            </w:r>
          </w:p>
        </w:tc>
        <w:tc>
          <w:tcPr>
            <w:tcW w:w="0" w:type="auto"/>
            <w:vAlign w:val="center"/>
          </w:tcPr>
          <w:p w:rsidR="00484D9B" w:rsidRPr="000F7E3C" w:rsidRDefault="00484D9B" w:rsidP="003338EB">
            <w:pPr>
              <w:jc w:val="center"/>
              <w:rPr>
                <w:rFonts w:ascii="Palatino Linotype" w:hAnsi="Palatino Linotype" w:cs="Calibri"/>
                <w:color w:val="000000"/>
                <w:szCs w:val="24"/>
              </w:rPr>
            </w:pPr>
            <w:r w:rsidRPr="000F7E3C">
              <w:rPr>
                <w:rFonts w:ascii="Palatino Linotype" w:hAnsi="Palatino Linotype" w:cs="Calibri"/>
                <w:color w:val="000000"/>
                <w:szCs w:val="24"/>
              </w:rPr>
              <w:t xml:space="preserve">1.000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 Congestive heart failure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26(2.05%)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24(2.13%)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2(1.43%)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1.000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 Diabetes Mellitus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87(6.87%)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82(7.28%)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5(3.59%)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0.149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Hypertension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158(12.49%)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144(12.78%)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14(10.07%)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0.437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Hyperlipidemia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85(6.71%)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74(6.57%)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11(7.91%)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0.677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C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>hronic obstructive pulmonary disease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50(3.95%)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48(4.26%)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2(1.43%)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0.167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Asthma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35(2.76%)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30(2.66%)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5(3.59%)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0.579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>Gastrointestinal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 disease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77(6.08%)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71(6.3%)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6(4.31%)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0.461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>Chronic kidney disease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75(5.92%)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69(6.12%)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6(4.31%)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0.507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Uremia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75(5.92%)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69(6.12%)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6(4.31%)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0.507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lastRenderedPageBreak/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Transplant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1(0.07%)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1(0.08%)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0(0%)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1.000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Immune disorder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17(1.34%)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16(1.42%)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1(0.71%)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1.000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Tumor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127(10.03%)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118(10.47%)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9(6.47%)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0.183 </w:t>
            </w:r>
          </w:p>
        </w:tc>
      </w:tr>
      <w:tr w:rsidR="000F7E3C" w:rsidRPr="00996180" w:rsidTr="00FD2A43">
        <w:trPr>
          <w:jc w:val="center"/>
        </w:trPr>
        <w:tc>
          <w:tcPr>
            <w:tcW w:w="13953" w:type="dxa"/>
            <w:gridSpan w:val="5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Liver disease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H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>epatocellular carcinoma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9(0.71%)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9(0.79%)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0(0%)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0.609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H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epatitis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B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 virus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26(2.05%)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21(1.86%)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5(3.59%)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0.195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 </w:t>
            </w:r>
            <w:r w:rsidR="001E4B7F"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H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epatitis 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>C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 virus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2(0.15%)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2(0.17%)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0(0%)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1.000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Liver cirrhosis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8(0.63%)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8(0.71%)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0(0%)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1.000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Alcoholism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0(0%)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0(0%)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0(0%)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S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>exual transmitted disease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22(1.73%)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21(1.86%)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1(0.71%)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0.500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I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>nflammatory bowel disease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12(0.94%)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11(0.97%)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1(0.71%)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1.000 </w:t>
            </w:r>
          </w:p>
        </w:tc>
      </w:tr>
      <w:tr w:rsidR="000F7E3C" w:rsidRPr="00996180" w:rsidTr="001E4B7F">
        <w:trPr>
          <w:jc w:val="center"/>
        </w:trPr>
        <w:tc>
          <w:tcPr>
            <w:tcW w:w="4531" w:type="dxa"/>
          </w:tcPr>
          <w:p w:rsidR="000F7E3C" w:rsidRPr="000F7E3C" w:rsidRDefault="000F7E3C" w:rsidP="000F7E3C">
            <w:pPr>
              <w:widowControl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>
              <w:rPr>
                <w:rFonts w:ascii="Palatino Linotype" w:eastAsia="新細明體" w:hAnsi="Palatino Linotype" w:cs="Calibri" w:hint="eastAsia"/>
                <w:kern w:val="0"/>
                <w:szCs w:val="24"/>
              </w:rPr>
              <w:t xml:space="preserve"> </w:t>
            </w: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I</w:t>
            </w:r>
            <w:r w:rsidR="001E4B7F">
              <w:rPr>
                <w:rFonts w:ascii="Palatino Linotype" w:eastAsia="新細明體" w:hAnsi="Palatino Linotype" w:cs="Calibri"/>
                <w:kern w:val="0"/>
                <w:szCs w:val="24"/>
              </w:rPr>
              <w:t>rritable bowel disease</w:t>
            </w:r>
          </w:p>
        </w:tc>
        <w:tc>
          <w:tcPr>
            <w:tcW w:w="2552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53(4.18%)</w:t>
            </w:r>
          </w:p>
        </w:tc>
        <w:tc>
          <w:tcPr>
            <w:tcW w:w="297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48(4.26%)</w:t>
            </w:r>
          </w:p>
        </w:tc>
        <w:tc>
          <w:tcPr>
            <w:tcW w:w="2627" w:type="dxa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>3(2.15%)</w:t>
            </w:r>
          </w:p>
        </w:tc>
        <w:tc>
          <w:tcPr>
            <w:tcW w:w="0" w:type="auto"/>
          </w:tcPr>
          <w:p w:rsidR="000F7E3C" w:rsidRPr="000F7E3C" w:rsidRDefault="000F7E3C" w:rsidP="000F7E3C">
            <w:pPr>
              <w:widowControl/>
              <w:jc w:val="center"/>
              <w:rPr>
                <w:rFonts w:ascii="Palatino Linotype" w:eastAsia="新細明體" w:hAnsi="Palatino Linotype" w:cs="Calibri"/>
                <w:kern w:val="0"/>
                <w:szCs w:val="24"/>
              </w:rPr>
            </w:pPr>
            <w:r w:rsidRPr="000F7E3C">
              <w:rPr>
                <w:rFonts w:ascii="Palatino Linotype" w:eastAsia="新細明體" w:hAnsi="Palatino Linotype" w:cs="Calibri"/>
                <w:kern w:val="0"/>
                <w:szCs w:val="24"/>
              </w:rPr>
              <w:t xml:space="preserve">1.000 </w:t>
            </w:r>
          </w:p>
        </w:tc>
      </w:tr>
    </w:tbl>
    <w:p w:rsidR="00484D9B" w:rsidRPr="00342BEB" w:rsidRDefault="00484D9B" w:rsidP="00484D9B">
      <w:pPr>
        <w:rPr>
          <w:rFonts w:ascii="Times New Roman" w:hAnsi="Times New Roman" w:cs="Times New Roman"/>
        </w:rPr>
      </w:pPr>
      <w:r w:rsidRPr="00342BEB">
        <w:rPr>
          <w:rFonts w:ascii="Times New Roman" w:hAnsi="Times New Roman" w:cs="Times New Roman"/>
        </w:rPr>
        <w:t>Chi-squared test. Mann–Whitney U-test. *</w:t>
      </w:r>
      <w:r w:rsidRPr="00342BEB">
        <w:rPr>
          <w:rFonts w:ascii="Times New Roman" w:hAnsi="Times New Roman" w:cs="Times New Roman"/>
          <w:i/>
        </w:rPr>
        <w:t>p</w:t>
      </w:r>
      <w:r w:rsidRPr="00342BEB">
        <w:rPr>
          <w:rFonts w:ascii="Times New Roman" w:hAnsi="Times New Roman" w:cs="Times New Roman"/>
        </w:rPr>
        <w:t xml:space="preserve"> &lt;</w:t>
      </w:r>
      <w:r w:rsidR="001E4B7F">
        <w:rPr>
          <w:rFonts w:ascii="Times New Roman" w:hAnsi="Times New Roman" w:cs="Times New Roman" w:hint="eastAsia"/>
        </w:rPr>
        <w:t xml:space="preserve"> </w:t>
      </w:r>
      <w:r w:rsidRPr="00342BEB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/>
        </w:rPr>
        <w:t>5</w:t>
      </w:r>
      <w:r w:rsidRPr="00342BEB">
        <w:rPr>
          <w:rFonts w:ascii="Times New Roman" w:hAnsi="Times New Roman" w:cs="Times New Roman"/>
        </w:rPr>
        <w:t>, *</w:t>
      </w:r>
      <w:r>
        <w:rPr>
          <w:rFonts w:ascii="Times New Roman" w:hAnsi="Times New Roman" w:cs="Times New Roman"/>
        </w:rPr>
        <w:t>*</w:t>
      </w:r>
      <w:r w:rsidRPr="00342BEB">
        <w:rPr>
          <w:rFonts w:ascii="Times New Roman" w:hAnsi="Times New Roman" w:cs="Times New Roman"/>
        </w:rPr>
        <w:t xml:space="preserve"> </w:t>
      </w:r>
      <w:r w:rsidRPr="00342BEB">
        <w:rPr>
          <w:rFonts w:ascii="Times New Roman" w:hAnsi="Times New Roman" w:cs="Times New Roman"/>
          <w:i/>
        </w:rPr>
        <w:t>p</w:t>
      </w:r>
      <w:r w:rsidRPr="00342BEB">
        <w:rPr>
          <w:rFonts w:ascii="Times New Roman" w:hAnsi="Times New Roman" w:cs="Times New Roman"/>
        </w:rPr>
        <w:t xml:space="preserve"> &lt;</w:t>
      </w:r>
      <w:r w:rsidR="001E4B7F">
        <w:rPr>
          <w:rFonts w:ascii="Times New Roman" w:hAnsi="Times New Roman" w:cs="Times New Roman" w:hint="eastAsia"/>
        </w:rPr>
        <w:t xml:space="preserve"> </w:t>
      </w:r>
      <w:r w:rsidRPr="00342BEB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/>
        </w:rPr>
        <w:t>01</w:t>
      </w:r>
      <w:r w:rsidRPr="00342BEB">
        <w:rPr>
          <w:rFonts w:ascii="Times New Roman" w:hAnsi="Times New Roman" w:cs="Times New Roman"/>
        </w:rPr>
        <w:t>, statistically significant. Continuous data were expressed as mean ± SD. Categorical data were expressed as number and percentage.</w:t>
      </w:r>
      <w:r w:rsidR="000F7E3C">
        <w:rPr>
          <w:rFonts w:ascii="Times New Roman" w:hAnsi="Times New Roman" w:cs="Times New Roman" w:hint="eastAsia"/>
        </w:rPr>
        <w:t xml:space="preserve"> </w:t>
      </w:r>
    </w:p>
    <w:p w:rsidR="00484D9B" w:rsidRDefault="00484D9B"/>
    <w:sectPr w:rsidR="00484D9B" w:rsidSect="00484D9B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9B"/>
    <w:rsid w:val="000F7E3C"/>
    <w:rsid w:val="001E4B7F"/>
    <w:rsid w:val="00484D9B"/>
    <w:rsid w:val="007B22E7"/>
    <w:rsid w:val="00810D70"/>
    <w:rsid w:val="00E7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450EA"/>
  <w15:chartTrackingRefBased/>
  <w15:docId w15:val="{E418F318-B428-442C-8945-812366D5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4D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苑裡急診</dc:creator>
  <cp:keywords/>
  <dc:description/>
  <cp:lastModifiedBy>VGH00</cp:lastModifiedBy>
  <cp:revision>3</cp:revision>
  <dcterms:created xsi:type="dcterms:W3CDTF">2025-11-12T17:07:00Z</dcterms:created>
  <dcterms:modified xsi:type="dcterms:W3CDTF">2026-05-01T12:28:00Z</dcterms:modified>
</cp:coreProperties>
</file>